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D62703" w:rsidTr="000112EB">
        <w:trPr>
          <w:cantSplit/>
          <w:trHeight w:val="1134"/>
        </w:trPr>
        <w:tc>
          <w:tcPr>
            <w:tcW w:w="7251" w:type="dxa"/>
          </w:tcPr>
          <w:p w:rsidR="0021438F" w:rsidRPr="00D62703" w:rsidRDefault="0021438F" w:rsidP="00A93227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</w:rPr>
            </w:pPr>
            <w:r w:rsidRPr="00D62703">
              <w:rPr>
                <w:b/>
                <w:sz w:val="32"/>
                <w:szCs w:val="32"/>
              </w:rPr>
              <w:t>Groupe</w:t>
            </w:r>
            <w:r w:rsidRPr="00D62703">
              <w:rPr>
                <w:b/>
                <w:bCs/>
                <w:sz w:val="32"/>
                <w:szCs w:val="32"/>
              </w:rPr>
              <w:t xml:space="preserve"> consultatif pour le développement </w:t>
            </w:r>
            <w:r w:rsidRPr="00D62703">
              <w:rPr>
                <w:b/>
                <w:bCs/>
                <w:sz w:val="32"/>
                <w:szCs w:val="32"/>
              </w:rPr>
              <w:br/>
              <w:t>des télécommunications (GCDT)</w:t>
            </w:r>
          </w:p>
          <w:p w:rsidR="0021438F" w:rsidRPr="00D62703" w:rsidRDefault="0021438F" w:rsidP="00A9322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D62703">
              <w:rPr>
                <w:b/>
                <w:bCs/>
                <w:sz w:val="26"/>
                <w:szCs w:val="26"/>
              </w:rPr>
              <w:t>23ème réunion, Genève, 9-11 avril 2018</w:t>
            </w:r>
          </w:p>
        </w:tc>
        <w:tc>
          <w:tcPr>
            <w:tcW w:w="2996" w:type="dxa"/>
          </w:tcPr>
          <w:p w:rsidR="0021438F" w:rsidRPr="00D62703" w:rsidRDefault="0021438F" w:rsidP="00A93227">
            <w:pPr>
              <w:spacing w:before="0"/>
              <w:ind w:right="142"/>
              <w:jc w:val="right"/>
            </w:pPr>
            <w:r w:rsidRPr="00D62703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70528" behindDoc="0" locked="0" layoutInCell="1" allowOverlap="1" wp14:anchorId="2A9E46AC" wp14:editId="1509EEC8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62230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D62703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:rsidR="00683C32" w:rsidRPr="00D62703" w:rsidRDefault="00683C32" w:rsidP="00A93227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D62703" w:rsidRDefault="00683C32" w:rsidP="00A93227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D62703" w:rsidTr="000C61E9">
        <w:trPr>
          <w:cantSplit/>
        </w:trPr>
        <w:tc>
          <w:tcPr>
            <w:tcW w:w="7251" w:type="dxa"/>
          </w:tcPr>
          <w:p w:rsidR="00683C32" w:rsidRPr="00D62703" w:rsidRDefault="00683C32" w:rsidP="00A93227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2996" w:type="dxa"/>
          </w:tcPr>
          <w:p w:rsidR="00683C32" w:rsidRPr="00D62703" w:rsidRDefault="00323587" w:rsidP="00A93227">
            <w:pPr>
              <w:spacing w:before="0"/>
              <w:rPr>
                <w:bCs/>
                <w:szCs w:val="24"/>
              </w:rPr>
            </w:pPr>
            <w:r w:rsidRPr="00D62703">
              <w:rPr>
                <w:b/>
                <w:bCs/>
                <w:szCs w:val="28"/>
              </w:rPr>
              <w:t xml:space="preserve">Document </w:t>
            </w:r>
            <w:bookmarkStart w:id="0" w:name="DocRef1"/>
            <w:bookmarkEnd w:id="0"/>
            <w:r w:rsidRPr="00D62703">
              <w:rPr>
                <w:b/>
                <w:bCs/>
                <w:szCs w:val="28"/>
              </w:rPr>
              <w:t>TDAG</w:t>
            </w:r>
            <w:r w:rsidR="00362F5F">
              <w:rPr>
                <w:b/>
                <w:bCs/>
                <w:szCs w:val="28"/>
              </w:rPr>
              <w:t>-</w:t>
            </w:r>
            <w:r w:rsidRPr="00D62703">
              <w:rPr>
                <w:b/>
                <w:bCs/>
                <w:szCs w:val="28"/>
              </w:rPr>
              <w:t>1</w:t>
            </w:r>
            <w:r w:rsidR="009E2E4A" w:rsidRPr="00D62703">
              <w:rPr>
                <w:b/>
                <w:bCs/>
                <w:szCs w:val="28"/>
              </w:rPr>
              <w:t>8</w:t>
            </w:r>
            <w:r w:rsidRPr="00D62703">
              <w:rPr>
                <w:b/>
                <w:bCs/>
                <w:szCs w:val="28"/>
              </w:rPr>
              <w:t>/</w:t>
            </w:r>
            <w:bookmarkStart w:id="1" w:name="DocNo1"/>
            <w:bookmarkEnd w:id="1"/>
            <w:r w:rsidR="00B56A79" w:rsidRPr="00D62703">
              <w:rPr>
                <w:b/>
                <w:bCs/>
                <w:szCs w:val="28"/>
              </w:rPr>
              <w:t>1</w:t>
            </w:r>
            <w:r w:rsidR="00012E2E" w:rsidRPr="00D62703">
              <w:rPr>
                <w:b/>
                <w:bCs/>
                <w:szCs w:val="28"/>
              </w:rPr>
              <w:t>3</w:t>
            </w:r>
            <w:r w:rsidRPr="00D62703">
              <w:rPr>
                <w:b/>
                <w:bCs/>
                <w:szCs w:val="28"/>
              </w:rPr>
              <w:t>-F</w:t>
            </w:r>
          </w:p>
        </w:tc>
      </w:tr>
      <w:tr w:rsidR="00683C32" w:rsidRPr="00D62703" w:rsidTr="000C61E9">
        <w:trPr>
          <w:cantSplit/>
        </w:trPr>
        <w:tc>
          <w:tcPr>
            <w:tcW w:w="7251" w:type="dxa"/>
          </w:tcPr>
          <w:p w:rsidR="00683C32" w:rsidRPr="00D62703" w:rsidRDefault="00683C32" w:rsidP="00A93227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683C32" w:rsidRPr="00D62703" w:rsidRDefault="00B56A79" w:rsidP="00A9322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D62703">
              <w:rPr>
                <w:b/>
                <w:bCs/>
                <w:szCs w:val="28"/>
              </w:rPr>
              <w:t xml:space="preserve">31 janvier </w:t>
            </w:r>
            <w:r w:rsidR="00323587" w:rsidRPr="00D62703">
              <w:rPr>
                <w:b/>
                <w:bCs/>
                <w:szCs w:val="28"/>
              </w:rPr>
              <w:t>201</w:t>
            </w:r>
            <w:r w:rsidR="009E2E4A" w:rsidRPr="00D62703">
              <w:rPr>
                <w:b/>
                <w:bCs/>
                <w:szCs w:val="28"/>
              </w:rPr>
              <w:t>8</w:t>
            </w:r>
          </w:p>
        </w:tc>
      </w:tr>
      <w:tr w:rsidR="00683C32" w:rsidRPr="00D62703" w:rsidTr="000C61E9">
        <w:trPr>
          <w:cantSplit/>
        </w:trPr>
        <w:tc>
          <w:tcPr>
            <w:tcW w:w="7251" w:type="dxa"/>
          </w:tcPr>
          <w:p w:rsidR="00683C32" w:rsidRPr="00D62703" w:rsidRDefault="00683C32" w:rsidP="00A93227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514D2F" w:rsidRPr="00D62703" w:rsidRDefault="00323587" w:rsidP="00A93227">
            <w:pPr>
              <w:spacing w:before="0"/>
              <w:rPr>
                <w:szCs w:val="24"/>
              </w:rPr>
            </w:pPr>
            <w:r w:rsidRPr="00D62703">
              <w:rPr>
                <w:b/>
                <w:szCs w:val="28"/>
              </w:rPr>
              <w:t>Original:</w:t>
            </w:r>
            <w:bookmarkStart w:id="3" w:name="Original"/>
            <w:bookmarkEnd w:id="3"/>
            <w:r w:rsidR="00B56A79" w:rsidRPr="00D62703">
              <w:rPr>
                <w:b/>
                <w:szCs w:val="28"/>
              </w:rPr>
              <w:t xml:space="preserve"> anglais</w:t>
            </w:r>
          </w:p>
        </w:tc>
      </w:tr>
      <w:tr w:rsidR="00A13162" w:rsidRPr="00D62703" w:rsidTr="000C61E9">
        <w:trPr>
          <w:cantSplit/>
          <w:trHeight w:val="852"/>
        </w:trPr>
        <w:tc>
          <w:tcPr>
            <w:tcW w:w="10247" w:type="dxa"/>
            <w:gridSpan w:val="2"/>
          </w:tcPr>
          <w:p w:rsidR="00A13162" w:rsidRPr="00D62703" w:rsidRDefault="006F017D" w:rsidP="00A93227">
            <w:pPr>
              <w:pStyle w:val="Source"/>
            </w:pPr>
            <w:bookmarkStart w:id="4" w:name="Source"/>
            <w:bookmarkEnd w:id="4"/>
            <w:r w:rsidRPr="00D62703">
              <w:t xml:space="preserve">Président de la Commission d'études </w:t>
            </w:r>
            <w:r w:rsidR="00012E2E" w:rsidRPr="00D62703">
              <w:t>2</w:t>
            </w:r>
            <w:r w:rsidRPr="00D62703">
              <w:t xml:space="preserve"> de l'UIT</w:t>
            </w:r>
            <w:r w:rsidRPr="00D62703">
              <w:noBreakHyphen/>
              <w:t>D</w:t>
            </w:r>
          </w:p>
        </w:tc>
      </w:tr>
      <w:tr w:rsidR="00AC6F14" w:rsidRPr="00D62703" w:rsidTr="000C61E9">
        <w:trPr>
          <w:cantSplit/>
        </w:trPr>
        <w:tc>
          <w:tcPr>
            <w:tcW w:w="10247" w:type="dxa"/>
            <w:gridSpan w:val="2"/>
          </w:tcPr>
          <w:p w:rsidR="00AC6F14" w:rsidRPr="00D62703" w:rsidRDefault="006F017D" w:rsidP="00A93227">
            <w:pPr>
              <w:pStyle w:val="Title1"/>
            </w:pPr>
            <w:bookmarkStart w:id="5" w:name="Title"/>
            <w:bookmarkEnd w:id="5"/>
            <w:r w:rsidRPr="00D62703">
              <w:t>DOMAINE DE COMP</w:t>
            </w:r>
            <w:r w:rsidR="00D7021F" w:rsidRPr="00D62703">
              <w:t>É</w:t>
            </w:r>
            <w:r w:rsidRPr="00D62703">
              <w:t>TENCE DE LA COMMISSION D'</w:t>
            </w:r>
            <w:r w:rsidR="00D7021F" w:rsidRPr="00D62703">
              <w:t>É</w:t>
            </w:r>
            <w:r w:rsidRPr="00D62703">
              <w:t xml:space="preserve">TUDES </w:t>
            </w:r>
            <w:r w:rsidR="00012E2E" w:rsidRPr="00D62703">
              <w:t>2</w:t>
            </w:r>
            <w:r w:rsidRPr="00D62703">
              <w:t xml:space="preserve"> DE L'UIT-D </w:t>
            </w:r>
            <w:r w:rsidRPr="00D62703">
              <w:br/>
              <w:t>POUR LA P</w:t>
            </w:r>
            <w:r w:rsidR="00494EEA" w:rsidRPr="00D62703">
              <w:t>É</w:t>
            </w:r>
            <w:r w:rsidRPr="00D62703">
              <w:t>RIODE D'</w:t>
            </w:r>
            <w:r w:rsidR="00D7021F" w:rsidRPr="00D62703">
              <w:t>É</w:t>
            </w:r>
            <w:r w:rsidRPr="00D62703">
              <w:t xml:space="preserve">TUDES 2018-2021 </w:t>
            </w:r>
          </w:p>
        </w:tc>
      </w:tr>
      <w:tr w:rsidR="00A721F4" w:rsidRPr="00D62703" w:rsidTr="000C61E9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:rsidR="00A721F4" w:rsidRPr="00D62703" w:rsidRDefault="00A721F4" w:rsidP="00A93227"/>
        </w:tc>
      </w:tr>
      <w:tr w:rsidR="00A721F4" w:rsidRPr="00D62703" w:rsidTr="000C61E9">
        <w:trPr>
          <w:cantSplit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D62703" w:rsidRDefault="00156BF6" w:rsidP="00A93227">
            <w:pPr>
              <w:spacing w:before="240"/>
              <w:rPr>
                <w:b/>
                <w:bCs/>
                <w:szCs w:val="24"/>
              </w:rPr>
            </w:pPr>
            <w:r w:rsidRPr="00D62703">
              <w:rPr>
                <w:b/>
                <w:bCs/>
                <w:szCs w:val="24"/>
              </w:rPr>
              <w:t>Résumé:</w:t>
            </w:r>
          </w:p>
          <w:p w:rsidR="006F017D" w:rsidRPr="00D62703" w:rsidRDefault="006F017D" w:rsidP="00A93227">
            <w:pPr>
              <w:rPr>
                <w:szCs w:val="24"/>
              </w:rPr>
            </w:pPr>
            <w:r w:rsidRPr="00D62703">
              <w:rPr>
                <w:szCs w:val="24"/>
              </w:rPr>
              <w:t xml:space="preserve">Le présent rapport décrit le domaine de compétence de </w:t>
            </w:r>
            <w:r w:rsidR="00993A21" w:rsidRPr="00D62703">
              <w:rPr>
                <w:szCs w:val="24"/>
              </w:rPr>
              <w:t>la C</w:t>
            </w:r>
            <w:r w:rsidRPr="00D62703">
              <w:rPr>
                <w:szCs w:val="24"/>
              </w:rPr>
              <w:t xml:space="preserve">ommission d'études </w:t>
            </w:r>
            <w:r w:rsidR="00012E2E" w:rsidRPr="00D62703">
              <w:rPr>
                <w:szCs w:val="24"/>
              </w:rPr>
              <w:t>2</w:t>
            </w:r>
            <w:r w:rsidRPr="00D62703">
              <w:rPr>
                <w:szCs w:val="24"/>
              </w:rPr>
              <w:t xml:space="preserve"> de l'UIT-D pour la période d'études 2018-2021, tel qu'il a été approuvé par la Conférence mondiale de développement des télécommunications de 2017 </w:t>
            </w:r>
            <w:r w:rsidR="00993A21" w:rsidRPr="00D62703">
              <w:rPr>
                <w:szCs w:val="24"/>
              </w:rPr>
              <w:t>(CMDT</w:t>
            </w:r>
            <w:r w:rsidRPr="00D62703">
              <w:rPr>
                <w:szCs w:val="24"/>
              </w:rPr>
              <w:t xml:space="preserve">-17). On y trouve également des renseignements sur les décisions de la </w:t>
            </w:r>
            <w:r w:rsidR="00993A21" w:rsidRPr="00D62703">
              <w:rPr>
                <w:szCs w:val="24"/>
              </w:rPr>
              <w:t>CMDT</w:t>
            </w:r>
            <w:r w:rsidRPr="00D62703">
              <w:rPr>
                <w:szCs w:val="24"/>
              </w:rPr>
              <w:t xml:space="preserve">-17 ayant des incidences sur </w:t>
            </w:r>
            <w:r w:rsidR="000112EB" w:rsidRPr="00D62703">
              <w:rPr>
                <w:szCs w:val="24"/>
              </w:rPr>
              <w:t>les C</w:t>
            </w:r>
            <w:r w:rsidR="00993A21" w:rsidRPr="00D62703">
              <w:rPr>
                <w:szCs w:val="24"/>
              </w:rPr>
              <w:t>ommissions d'études de l'UIT</w:t>
            </w:r>
            <w:r w:rsidRPr="00D62703">
              <w:rPr>
                <w:szCs w:val="24"/>
              </w:rPr>
              <w:t xml:space="preserve">-D et le </w:t>
            </w:r>
            <w:r w:rsidR="000112EB" w:rsidRPr="00D62703">
              <w:rPr>
                <w:szCs w:val="24"/>
              </w:rPr>
              <w:t>programme</w:t>
            </w:r>
            <w:r w:rsidRPr="00D62703">
              <w:rPr>
                <w:szCs w:val="24"/>
              </w:rPr>
              <w:t xml:space="preserve"> de travail </w:t>
            </w:r>
            <w:r w:rsidR="000112EB" w:rsidRPr="00D62703">
              <w:rPr>
                <w:szCs w:val="24"/>
              </w:rPr>
              <w:t>confié à la C</w:t>
            </w:r>
            <w:r w:rsidRPr="00D62703">
              <w:rPr>
                <w:szCs w:val="24"/>
              </w:rPr>
              <w:t xml:space="preserve">ommission d'études </w:t>
            </w:r>
            <w:r w:rsidR="00012E2E" w:rsidRPr="00D62703">
              <w:rPr>
                <w:szCs w:val="24"/>
              </w:rPr>
              <w:t>2</w:t>
            </w:r>
            <w:r w:rsidRPr="00D62703">
              <w:rPr>
                <w:szCs w:val="24"/>
              </w:rPr>
              <w:t xml:space="preserve"> pour </w:t>
            </w:r>
            <w:r w:rsidR="000112EB" w:rsidRPr="00D62703">
              <w:rPr>
                <w:szCs w:val="24"/>
              </w:rPr>
              <w:t>lui permettre de s'acquitter de</w:t>
            </w:r>
            <w:r w:rsidRPr="00D62703">
              <w:rPr>
                <w:szCs w:val="24"/>
              </w:rPr>
              <w:t xml:space="preserve"> son mandat</w:t>
            </w:r>
            <w:r w:rsidR="00993A21" w:rsidRPr="00D62703">
              <w:rPr>
                <w:szCs w:val="24"/>
              </w:rPr>
              <w:t>.</w:t>
            </w:r>
          </w:p>
          <w:p w:rsidR="00A721F4" w:rsidRPr="00D62703" w:rsidRDefault="00993A21" w:rsidP="00A93227">
            <w:pPr>
              <w:rPr>
                <w:szCs w:val="24"/>
              </w:rPr>
            </w:pPr>
            <w:r w:rsidRPr="00D62703">
              <w:rPr>
                <w:szCs w:val="24"/>
              </w:rPr>
              <w:t>L</w:t>
            </w:r>
            <w:r w:rsidR="006F017D" w:rsidRPr="00D62703">
              <w:rPr>
                <w:szCs w:val="24"/>
              </w:rPr>
              <w:t xml:space="preserve">a </w:t>
            </w:r>
            <w:r w:rsidRPr="00D62703">
              <w:rPr>
                <w:szCs w:val="24"/>
              </w:rPr>
              <w:t>C</w:t>
            </w:r>
            <w:r w:rsidR="006F017D" w:rsidRPr="00D62703">
              <w:rPr>
                <w:szCs w:val="24"/>
              </w:rPr>
              <w:t xml:space="preserve">ommission d'études </w:t>
            </w:r>
            <w:r w:rsidR="00012E2E" w:rsidRPr="00D62703">
              <w:rPr>
                <w:szCs w:val="24"/>
              </w:rPr>
              <w:t>2</w:t>
            </w:r>
            <w:r w:rsidR="006F017D" w:rsidRPr="00D62703">
              <w:rPr>
                <w:szCs w:val="24"/>
              </w:rPr>
              <w:t xml:space="preserve"> de l'UIT-D tiendra sa première réunion de la nouvelle période d'étude</w:t>
            </w:r>
            <w:r w:rsidR="000112EB" w:rsidRPr="00D62703">
              <w:rPr>
                <w:szCs w:val="24"/>
              </w:rPr>
              <w:t>s</w:t>
            </w:r>
            <w:r w:rsidR="00494EEA" w:rsidRPr="00D62703">
              <w:rPr>
                <w:szCs w:val="24"/>
              </w:rPr>
              <w:t xml:space="preserve"> du </w:t>
            </w:r>
            <w:r w:rsidR="00012E2E" w:rsidRPr="00D62703">
              <w:rPr>
                <w:szCs w:val="24"/>
              </w:rPr>
              <w:t>7 au 11</w:t>
            </w:r>
            <w:r w:rsidR="006F017D" w:rsidRPr="00D62703">
              <w:rPr>
                <w:szCs w:val="24"/>
              </w:rPr>
              <w:t xml:space="preserve"> mai 2018</w:t>
            </w:r>
            <w:r w:rsidRPr="00D62703">
              <w:rPr>
                <w:szCs w:val="24"/>
              </w:rPr>
              <w:t>.</w:t>
            </w:r>
          </w:p>
          <w:p w:rsidR="00A721F4" w:rsidRPr="00D62703" w:rsidRDefault="00156BF6" w:rsidP="00A93227">
            <w:pPr>
              <w:rPr>
                <w:b/>
                <w:bCs/>
                <w:szCs w:val="24"/>
              </w:rPr>
            </w:pPr>
            <w:r w:rsidRPr="00D62703">
              <w:rPr>
                <w:b/>
                <w:bCs/>
                <w:szCs w:val="24"/>
              </w:rPr>
              <w:t>Suite à donner:</w:t>
            </w:r>
          </w:p>
          <w:p w:rsidR="00A721F4" w:rsidRPr="00D62703" w:rsidRDefault="006F017D" w:rsidP="00A93227">
            <w:pPr>
              <w:rPr>
                <w:szCs w:val="24"/>
              </w:rPr>
            </w:pPr>
            <w:r w:rsidRPr="00D62703">
              <w:rPr>
                <w:szCs w:val="24"/>
              </w:rPr>
              <w:t>Le GCDT est in</w:t>
            </w:r>
            <w:r w:rsidR="000112EB" w:rsidRPr="00D62703">
              <w:rPr>
                <w:szCs w:val="24"/>
              </w:rPr>
              <w:t>vité à prendre note du présent d</w:t>
            </w:r>
            <w:r w:rsidRPr="00D62703">
              <w:rPr>
                <w:szCs w:val="24"/>
              </w:rPr>
              <w:t xml:space="preserve">ocument et à fournir toutes </w:t>
            </w:r>
            <w:r w:rsidR="006C74C9">
              <w:rPr>
                <w:szCs w:val="24"/>
              </w:rPr>
              <w:t xml:space="preserve">les </w:t>
            </w:r>
            <w:r w:rsidRPr="00D62703">
              <w:rPr>
                <w:szCs w:val="24"/>
              </w:rPr>
              <w:t xml:space="preserve">indications qu'il jugera utiles. </w:t>
            </w:r>
          </w:p>
          <w:p w:rsidR="00A721F4" w:rsidRPr="00D62703" w:rsidRDefault="00156BF6" w:rsidP="00A93227">
            <w:pPr>
              <w:rPr>
                <w:b/>
                <w:bCs/>
                <w:szCs w:val="24"/>
              </w:rPr>
            </w:pPr>
            <w:r w:rsidRPr="00D62703">
              <w:rPr>
                <w:b/>
                <w:bCs/>
                <w:szCs w:val="24"/>
              </w:rPr>
              <w:t>Références:</w:t>
            </w:r>
          </w:p>
          <w:p w:rsidR="00A721F4" w:rsidRPr="00D62703" w:rsidRDefault="006F017D" w:rsidP="00A93227">
            <w:pPr>
              <w:spacing w:after="120"/>
            </w:pPr>
            <w:r w:rsidRPr="00D62703">
              <w:t>Rapport final de la CMDT-17</w:t>
            </w:r>
          </w:p>
        </w:tc>
      </w:tr>
    </w:tbl>
    <w:p w:rsidR="006F017D" w:rsidRPr="00D62703" w:rsidRDefault="006F017D" w:rsidP="00A93227"/>
    <w:p w:rsidR="006F017D" w:rsidRPr="00D62703" w:rsidRDefault="006F017D" w:rsidP="00A932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6F017D" w:rsidRPr="00D62703" w:rsidRDefault="006F017D" w:rsidP="00A932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62703">
        <w:br w:type="page"/>
      </w:r>
    </w:p>
    <w:p w:rsidR="006F017D" w:rsidRPr="00D62703" w:rsidRDefault="006F017D" w:rsidP="00A93227">
      <w:pPr>
        <w:pStyle w:val="Heading1"/>
      </w:pPr>
      <w:r w:rsidRPr="00D62703">
        <w:lastRenderedPageBreak/>
        <w:t>1</w:t>
      </w:r>
      <w:r w:rsidRPr="00D62703">
        <w:tab/>
        <w:t xml:space="preserve">Décisions de la </w:t>
      </w:r>
      <w:r w:rsidR="004E7D97" w:rsidRPr="00D62703">
        <w:t>CMDT-17 ayant une incidence sur les C</w:t>
      </w:r>
      <w:r w:rsidRPr="00D62703">
        <w:t>ommissions d</w:t>
      </w:r>
      <w:r w:rsidR="004E7D97" w:rsidRPr="00D62703">
        <w:t>'</w:t>
      </w:r>
      <w:r w:rsidRPr="00D62703">
        <w:t>études de l</w:t>
      </w:r>
      <w:r w:rsidR="004E7D97" w:rsidRPr="00D62703">
        <w:t>'</w:t>
      </w:r>
      <w:r w:rsidRPr="00D62703">
        <w:t>UIT</w:t>
      </w:r>
      <w:r w:rsidR="004E7D97" w:rsidRPr="00D62703">
        <w:noBreakHyphen/>
      </w:r>
      <w:r w:rsidR="00040706" w:rsidRPr="00D62703">
        <w:t>D</w:t>
      </w:r>
    </w:p>
    <w:p w:rsidR="006F017D" w:rsidRPr="00D62703" w:rsidRDefault="004E7D97" w:rsidP="00A93227">
      <w:r w:rsidRPr="00D62703">
        <w:t>Les C</w:t>
      </w:r>
      <w:r w:rsidR="006F017D" w:rsidRPr="00D62703">
        <w:t xml:space="preserve">ommissions d'études de l'UIT-D mènent leurs travaux conformément à la procédure </w:t>
      </w:r>
      <w:r w:rsidR="000112EB" w:rsidRPr="00D62703">
        <w:t xml:space="preserve">et </w:t>
      </w:r>
      <w:r w:rsidR="006F017D" w:rsidRPr="00D62703">
        <w:t xml:space="preserve">aux méthodes de travail </w:t>
      </w:r>
      <w:r w:rsidR="000112EB" w:rsidRPr="00D62703">
        <w:t>décrites</w:t>
      </w:r>
      <w:r w:rsidRPr="00D62703">
        <w:t xml:space="preserve"> dans la Résolution 1 (Rév.Buenos Aires, 2017)</w:t>
      </w:r>
      <w:r w:rsidR="000112EB" w:rsidRPr="00D62703">
        <w:t xml:space="preserve"> d</w:t>
      </w:r>
      <w:bookmarkStart w:id="6" w:name="_GoBack"/>
      <w:bookmarkEnd w:id="6"/>
      <w:r w:rsidR="000112EB" w:rsidRPr="00D62703">
        <w:t>e la CMDT</w:t>
      </w:r>
      <w:r w:rsidRPr="00D62703">
        <w:t xml:space="preserve"> "</w:t>
      </w:r>
      <w:r w:rsidR="006F017D" w:rsidRPr="00D62703">
        <w:t>Règlement intérieur du Secteur du développement des télécommunications de l'UIT</w:t>
      </w:r>
      <w:r w:rsidRPr="00D62703">
        <w:t>"</w:t>
      </w:r>
      <w:r w:rsidR="000112EB" w:rsidRPr="00D62703">
        <w:t>,</w:t>
      </w:r>
      <w:r w:rsidR="006F017D" w:rsidRPr="00D62703">
        <w:t xml:space="preserve"> et selon les programmes de travail adoptés par la CMDT-17.</w:t>
      </w:r>
      <w:r w:rsidRPr="00D62703">
        <w:t xml:space="preserve"> La CMDT-17 a</w:t>
      </w:r>
      <w:r w:rsidR="006F017D" w:rsidRPr="00D62703">
        <w:t xml:space="preserve"> renforcé le rôle des </w:t>
      </w:r>
      <w:r w:rsidR="000112EB" w:rsidRPr="00D62703">
        <w:t>C</w:t>
      </w:r>
      <w:r w:rsidR="006F017D" w:rsidRPr="00D62703">
        <w:t>ommissions d</w:t>
      </w:r>
      <w:r w:rsidRPr="00D62703">
        <w:t>'</w:t>
      </w:r>
      <w:r w:rsidR="006F017D" w:rsidRPr="00D62703">
        <w:t>études de l</w:t>
      </w:r>
      <w:r w:rsidRPr="00D62703">
        <w:t>'UIT</w:t>
      </w:r>
      <w:r w:rsidR="006F017D" w:rsidRPr="00D62703">
        <w:t>-D</w:t>
      </w:r>
      <w:r w:rsidR="000112EB" w:rsidRPr="00D62703">
        <w:t>,</w:t>
      </w:r>
      <w:r w:rsidR="006F017D" w:rsidRPr="00D62703">
        <w:t xml:space="preserve"> afin d'offrir aux membres une tribune permettant d'échanger des données d'expérience, de présenter des idées, de dialoguer et de parvenir à un consensus sur les stratégies à adopter pour répondre aux priorités dans le domaine des </w:t>
      </w:r>
      <w:r w:rsidRPr="00D62703">
        <w:t>télécommunications</w:t>
      </w:r>
      <w:r w:rsidR="006F017D" w:rsidRPr="00D62703">
        <w:t xml:space="preserve">/TIC. </w:t>
      </w:r>
      <w:r w:rsidRPr="00D62703">
        <w:t>A</w:t>
      </w:r>
      <w:r w:rsidR="006F017D" w:rsidRPr="00D62703">
        <w:t xml:space="preserve"> cet</w:t>
      </w:r>
      <w:r w:rsidR="000112EB" w:rsidRPr="00D62703">
        <w:t>te fin, le rôle que jouent les C</w:t>
      </w:r>
      <w:r w:rsidR="006F017D" w:rsidRPr="00D62703">
        <w:t>ommissions d</w:t>
      </w:r>
      <w:r w:rsidRPr="00D62703">
        <w:t>'</w:t>
      </w:r>
      <w:r w:rsidR="006F017D" w:rsidRPr="00D62703">
        <w:t>études de l</w:t>
      </w:r>
      <w:r w:rsidRPr="00D62703">
        <w:t>'UIT</w:t>
      </w:r>
      <w:r w:rsidR="006F017D" w:rsidRPr="00D62703">
        <w:t xml:space="preserve">-D </w:t>
      </w:r>
      <w:r w:rsidR="000112EB" w:rsidRPr="00D62703">
        <w:t>pour</w:t>
      </w:r>
      <w:r w:rsidR="006F017D" w:rsidRPr="00D62703">
        <w:t xml:space="preserve"> aider les </w:t>
      </w:r>
      <w:r w:rsidRPr="00D62703">
        <w:t>E</w:t>
      </w:r>
      <w:r w:rsidR="006F017D" w:rsidRPr="00D62703">
        <w:t>tats Membres à atteindre les cibles associées à leurs ODD et certains objectifs de développement a été renforcé</w:t>
      </w:r>
      <w:r w:rsidRPr="00D62703">
        <w:t>.</w:t>
      </w:r>
    </w:p>
    <w:p w:rsidR="006F017D" w:rsidRPr="00D62703" w:rsidRDefault="006F017D" w:rsidP="00A93227">
      <w:r w:rsidRPr="00D62703">
        <w:t>S</w:t>
      </w:r>
      <w:r w:rsidR="004E7D97" w:rsidRPr="00D62703">
        <w:t>'</w:t>
      </w:r>
      <w:r w:rsidRPr="00D62703">
        <w:t xml:space="preserve">agissant du domaine de compétence </w:t>
      </w:r>
      <w:r w:rsidR="006C2F1B" w:rsidRPr="00D62703">
        <w:t>des C</w:t>
      </w:r>
      <w:r w:rsidRPr="00D62703">
        <w:t>ommissions d</w:t>
      </w:r>
      <w:r w:rsidR="004E7D97" w:rsidRPr="00D62703">
        <w:t>'</w:t>
      </w:r>
      <w:r w:rsidRPr="00D62703">
        <w:t>études de l</w:t>
      </w:r>
      <w:r w:rsidR="004E7D97" w:rsidRPr="00D62703">
        <w:t>'</w:t>
      </w:r>
      <w:r w:rsidR="000112EB" w:rsidRPr="00D62703">
        <w:t>UIT</w:t>
      </w:r>
      <w:r w:rsidR="000112EB" w:rsidRPr="00D62703">
        <w:noBreakHyphen/>
        <w:t>D, la C</w:t>
      </w:r>
      <w:r w:rsidRPr="00D62703">
        <w:t>ommission d</w:t>
      </w:r>
      <w:r w:rsidR="004E7D97" w:rsidRPr="00D62703">
        <w:t>'</w:t>
      </w:r>
      <w:r w:rsidRPr="00D62703">
        <w:t>études 1 de l</w:t>
      </w:r>
      <w:r w:rsidR="004E7D97" w:rsidRPr="00D62703">
        <w:t>'</w:t>
      </w:r>
      <w:r w:rsidR="000112EB" w:rsidRPr="00D62703">
        <w:t>UIT</w:t>
      </w:r>
      <w:r w:rsidRPr="00D62703">
        <w:t>-D continuera de privilégier la mise en place d</w:t>
      </w:r>
      <w:r w:rsidR="004E7D97" w:rsidRPr="00D62703">
        <w:t>'un "</w:t>
      </w:r>
      <w:r w:rsidRPr="00D62703">
        <w:t>Environnement propice au développement des télécommunications/TIC</w:t>
      </w:r>
      <w:r w:rsidR="004E7D97" w:rsidRPr="00D62703">
        <w:t>"</w:t>
      </w:r>
      <w:r w:rsidR="000112EB" w:rsidRPr="00D62703">
        <w:t>. La C</w:t>
      </w:r>
      <w:r w:rsidRPr="00D62703">
        <w:t>ommission d</w:t>
      </w:r>
      <w:r w:rsidR="004E7D97" w:rsidRPr="00D62703">
        <w:t>'</w:t>
      </w:r>
      <w:r w:rsidRPr="00D62703">
        <w:t>études 2 de l</w:t>
      </w:r>
      <w:r w:rsidR="004E7D97" w:rsidRPr="00D62703">
        <w:t>'UIT</w:t>
      </w:r>
      <w:r w:rsidR="004E7D97" w:rsidRPr="00D62703">
        <w:noBreakHyphen/>
      </w:r>
      <w:r w:rsidRPr="00D62703">
        <w:t>D</w:t>
      </w:r>
      <w:r w:rsidR="000112EB" w:rsidRPr="00D62703">
        <w:t>, pour sa part,</w:t>
      </w:r>
      <w:r w:rsidRPr="00D62703">
        <w:t xml:space="preserve"> mettra à nouveau l</w:t>
      </w:r>
      <w:r w:rsidR="004E7D97" w:rsidRPr="00D62703">
        <w:t>'accent sur les "</w:t>
      </w:r>
      <w:r w:rsidRPr="00D62703">
        <w:t>Services et applications issus des TIC pour promouvoir le développement durable</w:t>
      </w:r>
      <w:r w:rsidR="004E7D97" w:rsidRPr="00D62703">
        <w:t>"</w:t>
      </w:r>
      <w:r w:rsidRPr="00D62703">
        <w:t>. La création éventuelle de groupes de travail est du ressort de chaque commission d</w:t>
      </w:r>
      <w:r w:rsidR="004E7D97" w:rsidRPr="00D62703">
        <w:t>'</w:t>
      </w:r>
      <w:r w:rsidR="000112EB" w:rsidRPr="00D62703">
        <w:t>études et est</w:t>
      </w:r>
      <w:r w:rsidRPr="00D62703">
        <w:t xml:space="preserve"> fonction de ses besoins. La nouvelle équipe de direction désignée par la CMDT-17 pour diriger les travaux des deux commissions d</w:t>
      </w:r>
      <w:r w:rsidR="004E7D97" w:rsidRPr="00D62703">
        <w:t>'</w:t>
      </w:r>
      <w:r w:rsidRPr="00D62703">
        <w:t>étu</w:t>
      </w:r>
      <w:r w:rsidR="00494EEA" w:rsidRPr="00D62703">
        <w:t>des comprend deux Présidents et </w:t>
      </w:r>
      <w:r w:rsidR="004E7D97" w:rsidRPr="00D62703">
        <w:t>23</w:t>
      </w:r>
      <w:r w:rsidR="006C2F1B" w:rsidRPr="00D62703">
        <w:t> </w:t>
      </w:r>
      <w:r w:rsidR="000112EB" w:rsidRPr="00D62703">
        <w:t>V</w:t>
      </w:r>
      <w:r w:rsidR="004E7D97" w:rsidRPr="00D62703">
        <w:t>ice</w:t>
      </w:r>
      <w:r w:rsidR="006C2F1B" w:rsidRPr="00D62703">
        <w:noBreakHyphen/>
      </w:r>
      <w:r w:rsidR="000112EB" w:rsidRPr="00D62703">
        <w:t>P</w:t>
      </w:r>
      <w:r w:rsidRPr="00D62703">
        <w:t>résidents. En outr</w:t>
      </w:r>
      <w:r w:rsidR="000112EB" w:rsidRPr="00D62703">
        <w:t>e, les V</w:t>
      </w:r>
      <w:r w:rsidRPr="00D62703">
        <w:t>ice-</w:t>
      </w:r>
      <w:r w:rsidR="000112EB" w:rsidRPr="00D62703">
        <w:t>P</w:t>
      </w:r>
      <w:r w:rsidRPr="00D62703">
        <w:t>résidents se sont vu confier de nouvelles fonctions. Un</w:t>
      </w:r>
      <w:r w:rsidR="000112EB" w:rsidRPr="00D62703">
        <w:t xml:space="preserve"> appel</w:t>
      </w:r>
      <w:r w:rsidRPr="00D62703">
        <w:t xml:space="preserve"> </w:t>
      </w:r>
      <w:r w:rsidR="000112EB" w:rsidRPr="00D62703">
        <w:t>à candidatures pour les fonctions</w:t>
      </w:r>
      <w:r w:rsidRPr="00D62703">
        <w:t xml:space="preserve"> de Rapporteurs et de Vice-Rapporteurs a été envoyé aux membres et les nominations auront lieu lors des premières réunions de</w:t>
      </w:r>
      <w:r w:rsidR="000112EB" w:rsidRPr="00D62703">
        <w:t xml:space="preserve"> la</w:t>
      </w:r>
      <w:r w:rsidRPr="00D62703">
        <w:t xml:space="preserve"> CE 1 et </w:t>
      </w:r>
      <w:r w:rsidR="000112EB" w:rsidRPr="00D62703">
        <w:t xml:space="preserve">de la CE </w:t>
      </w:r>
      <w:r w:rsidRPr="00D62703">
        <w:t>2 de l</w:t>
      </w:r>
      <w:r w:rsidR="004E7D97" w:rsidRPr="00D62703">
        <w:t>'</w:t>
      </w:r>
      <w:r w:rsidR="000112EB" w:rsidRPr="00D62703">
        <w:t>UIT</w:t>
      </w:r>
      <w:r w:rsidR="000112EB" w:rsidRPr="00D62703">
        <w:noBreakHyphen/>
        <w:t>D</w:t>
      </w:r>
      <w:r w:rsidRPr="00D62703">
        <w:t xml:space="preserve"> q</w:t>
      </w:r>
      <w:r w:rsidR="004E7D97" w:rsidRPr="00D62703">
        <w:t>ui se tiendront en avril/</w:t>
      </w:r>
      <w:r w:rsidRPr="00D62703">
        <w:t>mai 2018.</w:t>
      </w:r>
    </w:p>
    <w:p w:rsidR="006F017D" w:rsidRPr="00D62703" w:rsidRDefault="006F017D" w:rsidP="00A93227">
      <w:r w:rsidRPr="00D62703">
        <w:t>Chaque commission d'études s'est vu attribuer sept Questions, contre neuf pendant la période d</w:t>
      </w:r>
      <w:r w:rsidR="004E7D97" w:rsidRPr="00D62703">
        <w:t>'</w:t>
      </w:r>
      <w:r w:rsidRPr="00D62703">
        <w:t xml:space="preserve">études précédente, ce qui permettra de mieux cibler les sujets d'étude. Dans plusieurs cas, les Questions ont été rédigées de manière à mettre </w:t>
      </w:r>
      <w:r w:rsidR="000112EB" w:rsidRPr="00D62703">
        <w:t>l'accent sur</w:t>
      </w:r>
      <w:r w:rsidRPr="00D62703">
        <w:t xml:space="preserve"> la dimension nationale et l</w:t>
      </w:r>
      <w:r w:rsidR="004E7D97" w:rsidRPr="00D62703">
        <w:t>'</w:t>
      </w:r>
      <w:r w:rsidRPr="00D62703">
        <w:t>expérience acquise par les pays. L</w:t>
      </w:r>
      <w:r w:rsidR="000112EB" w:rsidRPr="00D62703">
        <w:t>a présentation de</w:t>
      </w:r>
      <w:r w:rsidRPr="00D62703">
        <w:t xml:space="preserve"> rapports </w:t>
      </w:r>
      <w:r w:rsidR="000112EB" w:rsidRPr="00D62703">
        <w:t>d'activité</w:t>
      </w:r>
      <w:r w:rsidRPr="00D62703">
        <w:t xml:space="preserve"> annuels doit être </w:t>
      </w:r>
      <w:r w:rsidR="000112EB" w:rsidRPr="00D62703">
        <w:t>intégrée dans les</w:t>
      </w:r>
      <w:r w:rsidRPr="00D62703">
        <w:t xml:space="preserve"> programmes de travail propres </w:t>
      </w:r>
      <w:r w:rsidR="000112EB" w:rsidRPr="00D62703">
        <w:t>à chaque</w:t>
      </w:r>
      <w:r w:rsidRPr="00D62703">
        <w:t xml:space="preserve"> Question, dans la mesure du possible.</w:t>
      </w:r>
      <w:r w:rsidR="000112EB" w:rsidRPr="00D62703">
        <w:t xml:space="preserve"> Les activités des C</w:t>
      </w:r>
      <w:r w:rsidRPr="00D62703">
        <w:t>ommissions d</w:t>
      </w:r>
      <w:r w:rsidR="004E7D97" w:rsidRPr="00D62703">
        <w:t>'</w:t>
      </w:r>
      <w:r w:rsidRPr="00D62703">
        <w:t>études de l</w:t>
      </w:r>
      <w:r w:rsidR="004E7D97" w:rsidRPr="00D62703">
        <w:t>'</w:t>
      </w:r>
      <w:r w:rsidR="000112EB" w:rsidRPr="00D62703">
        <w:t>UIT</w:t>
      </w:r>
      <w:r w:rsidR="000112EB" w:rsidRPr="00D62703">
        <w:noBreakHyphen/>
      </w:r>
      <w:r w:rsidRPr="00D62703">
        <w:t xml:space="preserve">D </w:t>
      </w:r>
      <w:r w:rsidR="000112EB" w:rsidRPr="00D62703">
        <w:t>liées</w:t>
      </w:r>
      <w:r w:rsidRPr="00D62703">
        <w:t xml:space="preserve"> au renforcement des capacités et à la formation occupent désormais une place plus importante dans les Questions à l'étude et doivent se traduire par l</w:t>
      </w:r>
      <w:r w:rsidR="004E7D97" w:rsidRPr="00D62703">
        <w:t>'</w:t>
      </w:r>
      <w:r w:rsidRPr="00D62703">
        <w:t>élaboration de matériels didactiques et l</w:t>
      </w:r>
      <w:r w:rsidR="004E7D97" w:rsidRPr="00D62703">
        <w:t>'</w:t>
      </w:r>
      <w:r w:rsidRPr="00D62703">
        <w:t>organisation de formations</w:t>
      </w:r>
      <w:r w:rsidR="006C2F1B" w:rsidRPr="00D62703">
        <w:t>.</w:t>
      </w:r>
    </w:p>
    <w:p w:rsidR="006F017D" w:rsidRPr="00D62703" w:rsidRDefault="006F017D" w:rsidP="00A93227">
      <w:r w:rsidRPr="00D62703">
        <w:t>Le Règlement intérieur et les méthodes de travail ont été sensiblement remaniés, ainsi qu</w:t>
      </w:r>
      <w:r w:rsidR="004E7D97" w:rsidRPr="00D62703">
        <w:t>'</w:t>
      </w:r>
      <w:r w:rsidR="006C2F1B" w:rsidRPr="00D62703">
        <w:t>il ressort de la R</w:t>
      </w:r>
      <w:r w:rsidRPr="00D62703">
        <w:t xml:space="preserve">ésolution 1 révisée </w:t>
      </w:r>
      <w:r w:rsidR="006C2F1B" w:rsidRPr="00D62703">
        <w:t>(Rév.</w:t>
      </w:r>
      <w:r w:rsidRPr="00D62703">
        <w:t>Buenos Aires, 2017)</w:t>
      </w:r>
      <w:r w:rsidR="000112EB" w:rsidRPr="00D62703">
        <w:t xml:space="preserve"> de la CMDT</w:t>
      </w:r>
      <w:r w:rsidRPr="00D62703">
        <w:t>, par rapport à la période d</w:t>
      </w:r>
      <w:r w:rsidR="004E7D97" w:rsidRPr="00D62703">
        <w:t>'</w:t>
      </w:r>
      <w:r w:rsidRPr="00D62703">
        <w:t xml:space="preserve">études précédente. Ces modifications ont été apportées </w:t>
      </w:r>
      <w:r w:rsidR="000112EB" w:rsidRPr="00D62703">
        <w:t>sur la base</w:t>
      </w:r>
      <w:r w:rsidRPr="00D62703">
        <w:t xml:space="preserve"> des travaux menés par le Groupe de travail par correspondance du GCDT sur la Résolution 1, créé après la </w:t>
      </w:r>
      <w:r w:rsidR="006C2F1B" w:rsidRPr="00D62703">
        <w:t>CMDT</w:t>
      </w:r>
      <w:r w:rsidRPr="00D62703">
        <w:t xml:space="preserve">-14. </w:t>
      </w:r>
    </w:p>
    <w:p w:rsidR="006F017D" w:rsidRPr="00D62703" w:rsidRDefault="006F017D" w:rsidP="00A93227">
      <w:r w:rsidRPr="00D62703">
        <w:t xml:space="preserve">Au nombre des modifications apportées aux méthodes de travail figurent des définitions précises de textes fondamentaux </w:t>
      </w:r>
      <w:r w:rsidR="00E94062" w:rsidRPr="00D62703">
        <w:t>concernant le</w:t>
      </w:r>
      <w:r w:rsidRPr="00D62703">
        <w:t xml:space="preserve"> Secteur et des procédures d</w:t>
      </w:r>
      <w:r w:rsidR="004E7D97" w:rsidRPr="00D62703">
        <w:t>'</w:t>
      </w:r>
      <w:r w:rsidRPr="00D62703">
        <w:t>approbation/de suppression détaillées</w:t>
      </w:r>
      <w:r w:rsidR="00E94062" w:rsidRPr="00D62703">
        <w:t>,</w:t>
      </w:r>
      <w:r w:rsidRPr="00D62703">
        <w:t xml:space="preserve"> auxquelles doivent se conformer les principaux instruments de l</w:t>
      </w:r>
      <w:r w:rsidR="004E7D97" w:rsidRPr="00D62703">
        <w:t>'</w:t>
      </w:r>
      <w:r w:rsidRPr="00D62703">
        <w:t xml:space="preserve">UIT-D. Le modèle pour la soumission des contributions a été mis à jour, afin de tenir compte des enseignements tirés des activités et des bonnes pratiques proposées. Les méthodes de travail ont été complétées par de nouvelles dispositions applicables à la présentation de rapports </w:t>
      </w:r>
      <w:r w:rsidR="00E94062" w:rsidRPr="00D62703">
        <w:t>d'activité</w:t>
      </w:r>
      <w:r w:rsidRPr="00D62703">
        <w:t xml:space="preserve"> annuels relatifs aux Questions à l</w:t>
      </w:r>
      <w:r w:rsidR="004E7D97" w:rsidRPr="00D62703">
        <w:t>'</w:t>
      </w:r>
      <w:r w:rsidRPr="00D62703">
        <w:t>étude</w:t>
      </w:r>
      <w:r w:rsidR="00E94062" w:rsidRPr="00D62703">
        <w:t>, dans la mesure du possible</w:t>
      </w:r>
      <w:r w:rsidRPr="00D62703">
        <w:t>. En outre, des tables rondes informelles, des séminaires ou des ateliers à visée illustrative, associés à chaque Question à l'étude, doivent être organisés, dans la mesure du possible, pendant toute la période d</w:t>
      </w:r>
      <w:r w:rsidR="004E7D97" w:rsidRPr="00D62703">
        <w:t>'</w:t>
      </w:r>
      <w:r w:rsidRPr="00D62703">
        <w:t>études. Des efforts concertés s</w:t>
      </w:r>
      <w:r w:rsidR="004E7D97" w:rsidRPr="00D62703">
        <w:t>'</w:t>
      </w:r>
      <w:r w:rsidRPr="00D62703">
        <w:t>imposent entre les activités relevant d</w:t>
      </w:r>
      <w:r w:rsidR="00E94062" w:rsidRPr="00D62703">
        <w:t>es</w:t>
      </w:r>
      <w:r w:rsidRPr="00D62703">
        <w:t xml:space="preserve"> Question</w:t>
      </w:r>
      <w:r w:rsidR="00E94062" w:rsidRPr="00D62703">
        <w:t>s</w:t>
      </w:r>
      <w:r w:rsidRPr="00D62703">
        <w:t xml:space="preserve"> et les autres travaux menés par le BDT et il est nécessaire d</w:t>
      </w:r>
      <w:r w:rsidR="004E7D97" w:rsidRPr="00D62703">
        <w:t>'</w:t>
      </w:r>
      <w:r w:rsidRPr="00D62703">
        <w:t xml:space="preserve">insister </w:t>
      </w:r>
      <w:r w:rsidR="00E94062" w:rsidRPr="00D62703">
        <w:t>à nouveau</w:t>
      </w:r>
      <w:r w:rsidRPr="00D62703">
        <w:t xml:space="preserve"> sur la nécessité de rendre compte des synergies obtenues dans </w:t>
      </w:r>
      <w:r w:rsidRPr="00D62703">
        <w:lastRenderedPageBreak/>
        <w:t>le cadre des travaux sur les Questions confiées aux commissions d'études, des programmes,</w:t>
      </w:r>
      <w:r w:rsidR="006C2F1B" w:rsidRPr="00D62703">
        <w:t xml:space="preserve"> </w:t>
      </w:r>
      <w:r w:rsidRPr="00D62703">
        <w:t xml:space="preserve">des initiatives régionales et des projets. Il a </w:t>
      </w:r>
      <w:r w:rsidR="006C2F1B" w:rsidRPr="00D62703">
        <w:t>été davantage fait mention des "</w:t>
      </w:r>
      <w:r w:rsidRPr="00D62703">
        <w:t>établissements universitaires</w:t>
      </w:r>
      <w:r w:rsidR="006C2F1B" w:rsidRPr="00D62703">
        <w:t>"</w:t>
      </w:r>
      <w:r w:rsidRPr="00D62703">
        <w:t xml:space="preserve"> et de leur participation aux travaux du Secteur dans l</w:t>
      </w:r>
      <w:r w:rsidR="004E7D97" w:rsidRPr="00D62703">
        <w:t>'</w:t>
      </w:r>
      <w:r w:rsidRPr="00D62703">
        <w:t>ensemble de la Résolution 1</w:t>
      </w:r>
      <w:r w:rsidR="006C2F1B" w:rsidRPr="00D62703">
        <w:t>.</w:t>
      </w:r>
    </w:p>
    <w:p w:rsidR="006F017D" w:rsidRPr="00D62703" w:rsidRDefault="006F017D" w:rsidP="00A93227">
      <w:pPr>
        <w:pStyle w:val="Heading1"/>
      </w:pPr>
      <w:r w:rsidRPr="00D62703">
        <w:t>2</w:t>
      </w:r>
      <w:r w:rsidRPr="00D62703">
        <w:tab/>
        <w:t>Présentation des travaux de la C</w:t>
      </w:r>
      <w:r w:rsidR="00494EEA" w:rsidRPr="00D62703">
        <w:t xml:space="preserve">ommission d'études </w:t>
      </w:r>
      <w:r w:rsidR="00256788" w:rsidRPr="00D62703">
        <w:t>2</w:t>
      </w:r>
      <w:r w:rsidR="00494EEA" w:rsidRPr="00D62703">
        <w:t xml:space="preserve"> de l'UIT-D</w:t>
      </w:r>
    </w:p>
    <w:p w:rsidR="006F017D" w:rsidRPr="00D62703" w:rsidRDefault="006F017D" w:rsidP="00A93227">
      <w:pPr>
        <w:pStyle w:val="Heading2"/>
      </w:pPr>
      <w:r w:rsidRPr="00D62703">
        <w:t>2.1</w:t>
      </w:r>
      <w:r w:rsidRPr="00D62703">
        <w:tab/>
        <w:t>Domaine de compétence</w:t>
      </w:r>
    </w:p>
    <w:p w:rsidR="006F017D" w:rsidRPr="00D62703" w:rsidRDefault="006C2F1B" w:rsidP="00A93227">
      <w:r w:rsidRPr="00D62703">
        <w:t>L</w:t>
      </w:r>
      <w:r w:rsidR="006F017D" w:rsidRPr="00D62703">
        <w:t xml:space="preserve">a </w:t>
      </w:r>
      <w:r w:rsidRPr="00D62703">
        <w:t>C</w:t>
      </w:r>
      <w:r w:rsidR="006F017D" w:rsidRPr="00D62703">
        <w:t>ommission d</w:t>
      </w:r>
      <w:r w:rsidR="004E7D97" w:rsidRPr="00D62703">
        <w:t>'</w:t>
      </w:r>
      <w:r w:rsidR="006F017D" w:rsidRPr="00D62703">
        <w:t xml:space="preserve">études </w:t>
      </w:r>
      <w:r w:rsidR="00256788" w:rsidRPr="00D62703">
        <w:t>2</w:t>
      </w:r>
      <w:r w:rsidR="006F017D" w:rsidRPr="00D62703">
        <w:t xml:space="preserve"> (CE </w:t>
      </w:r>
      <w:r w:rsidR="00256788" w:rsidRPr="00D62703">
        <w:t>2</w:t>
      </w:r>
      <w:r w:rsidR="006F017D" w:rsidRPr="00D62703">
        <w:t>) a été créée confo</w:t>
      </w:r>
      <w:r w:rsidRPr="00D62703">
        <w:t>rmément à la Résolution 2 (Rév.</w:t>
      </w:r>
      <w:r w:rsidR="006F017D" w:rsidRPr="00D62703">
        <w:t>Buenos</w:t>
      </w:r>
      <w:r w:rsidRPr="00D62703">
        <w:t> </w:t>
      </w:r>
      <w:r w:rsidR="006F017D" w:rsidRPr="00D62703">
        <w:t>Aires,</w:t>
      </w:r>
      <w:r w:rsidRPr="00D62703">
        <w:t> </w:t>
      </w:r>
      <w:r w:rsidR="006F017D" w:rsidRPr="00D62703">
        <w:t>2017) de la CMDT, en vue d'examiner, au titre des Questions adoptées par les membres de l'UIT lors de la CMD</w:t>
      </w:r>
      <w:r w:rsidR="00256788" w:rsidRPr="00D62703">
        <w:t xml:space="preserve">T-17, les questions relatives aux services et applications reposant sur les </w:t>
      </w:r>
      <w:r w:rsidR="00256788" w:rsidRPr="00D62703">
        <w:rPr>
          <w:rFonts w:eastAsia="Batang"/>
        </w:rPr>
        <w:t>technologies de l'information et de la communication</w:t>
      </w:r>
      <w:r w:rsidR="00A93227">
        <w:rPr>
          <w:rFonts w:eastAsia="Batang"/>
        </w:rPr>
        <w:t xml:space="preserve"> (TIC)</w:t>
      </w:r>
      <w:r w:rsidR="00256788" w:rsidRPr="00D62703">
        <w:t xml:space="preserve"> pour promouvoir le développement durable.</w:t>
      </w:r>
    </w:p>
    <w:p w:rsidR="00256788" w:rsidRPr="00D62703" w:rsidRDefault="006F017D" w:rsidP="00A93227">
      <w:r w:rsidRPr="00D62703">
        <w:t xml:space="preserve">A ce titre, la CE </w:t>
      </w:r>
      <w:r w:rsidR="00256788" w:rsidRPr="00D62703">
        <w:t>2</w:t>
      </w:r>
      <w:r w:rsidRPr="00D62703">
        <w:t xml:space="preserve"> est responsable de sept sujets de fond, qui incluent</w:t>
      </w:r>
      <w:r w:rsidR="00310F95" w:rsidRPr="00D62703">
        <w:t xml:space="preserve">, au sens large, </w:t>
      </w:r>
      <w:r w:rsidR="00256788" w:rsidRPr="00D62703">
        <w:t xml:space="preserve">les services et applications pris en charge par les télécommunications/TIC, l'instauration de la confiance et de la sécurité dans l'utilisation des TIC, la mise en </w:t>
      </w:r>
      <w:r w:rsidR="00D41214" w:rsidRPr="00D62703">
        <w:t>oeuvre de tests de conformité et d'interopérabilité pour les dispositifs et équipements de t</w:t>
      </w:r>
      <w:r w:rsidR="00A93227">
        <w:t>élécommunication/TIC ainsi que</w:t>
      </w:r>
      <w:r w:rsidR="00D41214" w:rsidRPr="00D62703">
        <w:t xml:space="preserve"> la lutte contre la contrefaçon de dispositifs de télécommunication/TIC et contre le vol de dispositifs de télécommunication mobiles. </w:t>
      </w:r>
      <w:r w:rsidR="00902FA5" w:rsidRPr="00D62703">
        <w:t>En outre</w:t>
      </w:r>
      <w:r w:rsidR="00D41214" w:rsidRPr="00D62703">
        <w:t>, l'utilisation des télécommunications/TIC pour le suivi et l'atténuation des effe</w:t>
      </w:r>
      <w:r w:rsidR="00902FA5" w:rsidRPr="00D62703">
        <w:t xml:space="preserve">ts des changements climatiques </w:t>
      </w:r>
      <w:r w:rsidR="00D41214" w:rsidRPr="00D62703">
        <w:t>dans les pays en développement</w:t>
      </w:r>
      <w:r w:rsidR="00902FA5" w:rsidRPr="00D62703">
        <w:t xml:space="preserve"> ainsi que</w:t>
      </w:r>
      <w:r w:rsidR="00D41214" w:rsidRPr="00D62703">
        <w:t xml:space="preserve"> l'utilisation des télécommunications/</w:t>
      </w:r>
      <w:r w:rsidR="00902FA5" w:rsidRPr="00D62703">
        <w:rPr>
          <w:rFonts w:eastAsia="Batang"/>
        </w:rPr>
        <w:t xml:space="preserve">TIC </w:t>
      </w:r>
      <w:r w:rsidR="00D41214" w:rsidRPr="00D62703">
        <w:t>pour la réduction et la gestion des risques de catastrophe</w:t>
      </w:r>
      <w:r w:rsidR="00902FA5" w:rsidRPr="00D62703">
        <w:t>,</w:t>
      </w:r>
      <w:r w:rsidR="00D41214" w:rsidRPr="00D62703">
        <w:t xml:space="preserve"> l'exposition des personnes aux champs électromagnétiques et </w:t>
      </w:r>
      <w:r w:rsidR="00902FA5" w:rsidRPr="00D62703">
        <w:t>l'</w:t>
      </w:r>
      <w:r w:rsidR="00D41214" w:rsidRPr="00D62703">
        <w:t xml:space="preserve">élimination en toute sécurité des déchets d'équipements électroniques </w:t>
      </w:r>
      <w:r w:rsidR="0008515F" w:rsidRPr="00D62703">
        <w:t>font</w:t>
      </w:r>
      <w:r w:rsidR="00902FA5" w:rsidRPr="00D62703">
        <w:t xml:space="preserve"> également </w:t>
      </w:r>
      <w:r w:rsidR="0008515F" w:rsidRPr="00D62703">
        <w:rPr>
          <w:color w:val="000000"/>
        </w:rPr>
        <w:t>partie des domaines de travail de la CE 2.</w:t>
      </w:r>
    </w:p>
    <w:p w:rsidR="006F017D" w:rsidRPr="00D62703" w:rsidRDefault="006F017D" w:rsidP="00A93227">
      <w:pPr>
        <w:pStyle w:val="Heading2"/>
      </w:pPr>
      <w:r w:rsidRPr="00D62703">
        <w:t>2.2</w:t>
      </w:r>
      <w:r w:rsidRPr="00D62703">
        <w:tab/>
        <w:t>Equipe de direction de la Commission d'études</w:t>
      </w:r>
      <w:r w:rsidR="006C2F1B" w:rsidRPr="00D62703">
        <w:t xml:space="preserve"> </w:t>
      </w:r>
      <w:r w:rsidR="00D41214" w:rsidRPr="00D62703">
        <w:t>2</w:t>
      </w:r>
      <w:r w:rsidRPr="00D62703">
        <w:t xml:space="preserve"> </w:t>
      </w:r>
    </w:p>
    <w:p w:rsidR="006F017D" w:rsidRPr="00D62703" w:rsidRDefault="006F017D" w:rsidP="00A93227">
      <w:r w:rsidRPr="00D62703">
        <w:t xml:space="preserve">La CMDT-17 a désigné l'équipe de direction de la CE </w:t>
      </w:r>
      <w:r w:rsidR="00D41214" w:rsidRPr="00D62703">
        <w:t>2</w:t>
      </w:r>
      <w:r w:rsidRPr="00D62703">
        <w:t xml:space="preserve"> pour la septième période d'études (2018</w:t>
      </w:r>
      <w:r w:rsidR="006C2F1B" w:rsidRPr="00D62703">
        <w:noBreakHyphen/>
      </w:r>
      <w:r w:rsidR="0008515F" w:rsidRPr="00D62703">
        <w:t>2021).</w:t>
      </w:r>
      <w:r w:rsidRPr="00D62703">
        <w:t xml:space="preserve"> La présidence a été confiée à </w:t>
      </w:r>
      <w:r w:rsidR="00D41214" w:rsidRPr="00D62703">
        <w:rPr>
          <w:rFonts w:cstheme="minorHAnsi"/>
          <w:szCs w:val="24"/>
        </w:rPr>
        <w:t>M. Ahmad Reza Sharafat (République islamique d'Iran)</w:t>
      </w:r>
      <w:r w:rsidR="0008515F" w:rsidRPr="00D62703">
        <w:rPr>
          <w:rFonts w:cstheme="minorHAnsi"/>
          <w:szCs w:val="24"/>
        </w:rPr>
        <w:t xml:space="preserve"> </w:t>
      </w:r>
      <w:r w:rsidRPr="00D62703">
        <w:t xml:space="preserve">et </w:t>
      </w:r>
      <w:r w:rsidR="00D41214" w:rsidRPr="00D62703">
        <w:t>onze</w:t>
      </w:r>
      <w:r w:rsidRPr="00D62703">
        <w:t xml:space="preserve"> </w:t>
      </w:r>
      <w:r w:rsidR="0008515F" w:rsidRPr="00D62703">
        <w:t xml:space="preserve">Vice-Présidentes et </w:t>
      </w:r>
      <w:r w:rsidRPr="00D62703">
        <w:t xml:space="preserve">Vice-Présidents ont été nommés, à savoir: </w:t>
      </w:r>
    </w:p>
    <w:p w:rsidR="00D41214" w:rsidRPr="006C74C9" w:rsidRDefault="00D41214" w:rsidP="00A93227">
      <w:pPr>
        <w:pStyle w:val="enumlev1"/>
        <w:rPr>
          <w:lang w:val="es-ES_tradnl"/>
        </w:rPr>
      </w:pPr>
      <w:r w:rsidRPr="006C74C9">
        <w:rPr>
          <w:lang w:val="es-ES_tradnl"/>
        </w:rPr>
        <w:t>–</w:t>
      </w:r>
      <w:r w:rsidRPr="006C74C9">
        <w:rPr>
          <w:lang w:val="es-ES_tradnl"/>
        </w:rPr>
        <w:tab/>
        <w:t>M. Roland Yaw Kudozia (Ghana, AFR)</w:t>
      </w:r>
    </w:p>
    <w:p w:rsidR="00D41214" w:rsidRPr="006C74C9" w:rsidRDefault="00D41214" w:rsidP="00A93227">
      <w:pPr>
        <w:pStyle w:val="enumlev1"/>
        <w:rPr>
          <w:lang w:val="en-US"/>
        </w:rPr>
      </w:pPr>
      <w:r w:rsidRPr="006C74C9">
        <w:rPr>
          <w:lang w:val="en-US"/>
        </w:rPr>
        <w:t>–</w:t>
      </w:r>
      <w:r w:rsidRPr="006C74C9">
        <w:rPr>
          <w:lang w:val="en-US"/>
        </w:rPr>
        <w:tab/>
        <w:t>M. Henry Chukwudumeme Nkemadu (Nigéria, AFR)</w:t>
      </w:r>
    </w:p>
    <w:p w:rsidR="00D41214" w:rsidRPr="006C74C9" w:rsidRDefault="00D41214" w:rsidP="00A93227">
      <w:pPr>
        <w:pStyle w:val="enumlev1"/>
        <w:rPr>
          <w:lang w:val="es-ES_tradnl"/>
        </w:rPr>
      </w:pPr>
      <w:r w:rsidRPr="006C74C9">
        <w:rPr>
          <w:lang w:val="es-ES_tradnl"/>
        </w:rPr>
        <w:t>–</w:t>
      </w:r>
      <w:r w:rsidRPr="006C74C9">
        <w:rPr>
          <w:lang w:val="es-ES_tradnl"/>
        </w:rPr>
        <w:tab/>
        <w:t>Mme Celina Delgado Castellón (Nicaragua, AMS)</w:t>
      </w:r>
    </w:p>
    <w:p w:rsidR="00D41214" w:rsidRPr="00D62703" w:rsidRDefault="00D41214" w:rsidP="00A93227">
      <w:pPr>
        <w:pStyle w:val="enumlev1"/>
      </w:pPr>
      <w:r w:rsidRPr="00D62703">
        <w:t>–</w:t>
      </w:r>
      <w:r w:rsidRPr="00D62703">
        <w:tab/>
        <w:t>Mme Nora Abdalla Hassan Basher (Soudan, ARB)</w:t>
      </w:r>
    </w:p>
    <w:p w:rsidR="00D41214" w:rsidRPr="00D62703" w:rsidRDefault="00D41214" w:rsidP="00A93227">
      <w:pPr>
        <w:pStyle w:val="enumlev1"/>
      </w:pPr>
      <w:r w:rsidRPr="00D62703">
        <w:t>–</w:t>
      </w:r>
      <w:r w:rsidRPr="00D62703">
        <w:tab/>
        <w:t>M. Nasser Al Marzouqi (Emirats arabes unis, ARB)</w:t>
      </w:r>
    </w:p>
    <w:p w:rsidR="00D41214" w:rsidRPr="00D62703" w:rsidRDefault="00D41214" w:rsidP="00A93227">
      <w:pPr>
        <w:pStyle w:val="enumlev1"/>
      </w:pPr>
      <w:r w:rsidRPr="00D62703">
        <w:t>–</w:t>
      </w:r>
      <w:r w:rsidRPr="00D62703">
        <w:tab/>
        <w:t>Mme Ke Wang (République populaire de Chine, ASP)</w:t>
      </w:r>
    </w:p>
    <w:p w:rsidR="00D41214" w:rsidRPr="006C74C9" w:rsidRDefault="00D41214" w:rsidP="00A93227">
      <w:pPr>
        <w:pStyle w:val="enumlev1"/>
        <w:rPr>
          <w:lang w:val="es-ES_tradnl"/>
        </w:rPr>
      </w:pPr>
      <w:r w:rsidRPr="006C74C9">
        <w:rPr>
          <w:lang w:val="es-ES_tradnl"/>
        </w:rPr>
        <w:t>–</w:t>
      </w:r>
      <w:r w:rsidRPr="006C74C9">
        <w:rPr>
          <w:lang w:val="es-ES_tradnl"/>
        </w:rPr>
        <w:tab/>
        <w:t>M. Ananda Raj Khanal (Népal, ASP)</w:t>
      </w:r>
    </w:p>
    <w:p w:rsidR="00D41214" w:rsidRPr="00D62703" w:rsidRDefault="00D41214" w:rsidP="00A93227">
      <w:pPr>
        <w:pStyle w:val="enumlev1"/>
      </w:pPr>
      <w:r w:rsidRPr="00D62703">
        <w:t>–</w:t>
      </w:r>
      <w:r w:rsidRPr="00D62703">
        <w:tab/>
        <w:t>M. Yakov</w:t>
      </w:r>
      <w:r w:rsidR="0008515F" w:rsidRPr="00D62703">
        <w:t xml:space="preserve"> Gass (Fédération de Russie, CEI</w:t>
      </w:r>
      <w:r w:rsidRPr="00D62703">
        <w:t>)</w:t>
      </w:r>
    </w:p>
    <w:p w:rsidR="00D41214" w:rsidRPr="006C74C9" w:rsidRDefault="00D41214" w:rsidP="00A93227">
      <w:pPr>
        <w:pStyle w:val="enumlev1"/>
        <w:rPr>
          <w:lang w:val="es-ES_tradnl"/>
        </w:rPr>
      </w:pPr>
      <w:r w:rsidRPr="006C74C9">
        <w:rPr>
          <w:lang w:val="es-ES_tradnl"/>
        </w:rPr>
        <w:t>–</w:t>
      </w:r>
      <w:r w:rsidRPr="006C74C9">
        <w:rPr>
          <w:lang w:val="es-ES_tradnl"/>
        </w:rPr>
        <w:tab/>
        <w:t>M. Tolibjon Oltinovich Mirzakulov (Ouzbé</w:t>
      </w:r>
      <w:r w:rsidR="0008515F" w:rsidRPr="006C74C9">
        <w:rPr>
          <w:lang w:val="es-ES_tradnl"/>
        </w:rPr>
        <w:t>kistan, CEI</w:t>
      </w:r>
      <w:r w:rsidRPr="006C74C9">
        <w:rPr>
          <w:lang w:val="es-ES_tradnl"/>
        </w:rPr>
        <w:t>)</w:t>
      </w:r>
    </w:p>
    <w:p w:rsidR="00D41214" w:rsidRPr="006C74C9" w:rsidRDefault="00D41214" w:rsidP="00A93227">
      <w:pPr>
        <w:pStyle w:val="enumlev1"/>
        <w:rPr>
          <w:lang w:val="es-ES_tradnl"/>
        </w:rPr>
      </w:pPr>
      <w:r w:rsidRPr="006C74C9">
        <w:rPr>
          <w:lang w:val="es-ES_tradnl"/>
        </w:rPr>
        <w:t>–</w:t>
      </w:r>
      <w:r w:rsidRPr="006C74C9">
        <w:rPr>
          <w:lang w:val="es-ES_tradnl"/>
        </w:rPr>
        <w:tab/>
        <w:t>M. Filipe Miguel Antunes Batista (Portugal, EUR)</w:t>
      </w:r>
    </w:p>
    <w:p w:rsidR="00D41214" w:rsidRPr="00D62703" w:rsidRDefault="00D41214" w:rsidP="00A93227">
      <w:pPr>
        <w:pStyle w:val="enumlev1"/>
      </w:pPr>
      <w:r w:rsidRPr="00D62703">
        <w:t>–</w:t>
      </w:r>
      <w:r w:rsidRPr="00D62703">
        <w:tab/>
        <w:t>M. Dominique Würges (France, EUR)</w:t>
      </w:r>
    </w:p>
    <w:p w:rsidR="00362F5F" w:rsidRDefault="00362F5F" w:rsidP="00A93227">
      <w:pPr>
        <w:pStyle w:val="Heading2"/>
      </w:pPr>
      <w:r>
        <w:br w:type="page"/>
      </w:r>
    </w:p>
    <w:p w:rsidR="006F017D" w:rsidRPr="00D62703" w:rsidRDefault="006F017D" w:rsidP="00A93227">
      <w:pPr>
        <w:pStyle w:val="Heading2"/>
      </w:pPr>
      <w:r w:rsidRPr="00D62703">
        <w:lastRenderedPageBreak/>
        <w:t>2.3</w:t>
      </w:r>
      <w:r w:rsidRPr="00D62703">
        <w:tab/>
        <w:t xml:space="preserve">Questions confiées à la Commission d'études </w:t>
      </w:r>
      <w:r w:rsidR="00E435F5" w:rsidRPr="00D62703">
        <w:t>2</w:t>
      </w:r>
      <w:r w:rsidRPr="00D62703">
        <w:t xml:space="preserve"> </w:t>
      </w:r>
    </w:p>
    <w:p w:rsidR="006F017D" w:rsidRPr="00D62703" w:rsidRDefault="006C2F1B" w:rsidP="00A93227">
      <w:r w:rsidRPr="00D62703">
        <w:t>La CMDT</w:t>
      </w:r>
      <w:r w:rsidR="006F017D" w:rsidRPr="00D62703">
        <w:t xml:space="preserve">-17 a confié à la Commission d'études </w:t>
      </w:r>
      <w:r w:rsidR="00E435F5" w:rsidRPr="00D62703">
        <w:t>2</w:t>
      </w:r>
      <w:r w:rsidR="00040706" w:rsidRPr="00D62703">
        <w:t xml:space="preserve"> </w:t>
      </w:r>
      <w:r w:rsidR="006F017D" w:rsidRPr="00D62703">
        <w:t>l</w:t>
      </w:r>
      <w:r w:rsidR="004E7D97" w:rsidRPr="00D62703">
        <w:t>'</w:t>
      </w:r>
      <w:r w:rsidR="006F017D" w:rsidRPr="00D62703">
        <w:t xml:space="preserve">étude des Questions suivantes: </w:t>
      </w:r>
    </w:p>
    <w:p w:rsidR="00E435F5" w:rsidRPr="00D62703" w:rsidRDefault="00E435F5" w:rsidP="00A93227">
      <w:pPr>
        <w:pStyle w:val="enumlev1"/>
      </w:pPr>
      <w:r w:rsidRPr="00D62703">
        <w:t>–</w:t>
      </w:r>
      <w:r w:rsidRPr="00D62703">
        <w:tab/>
        <w:t xml:space="preserve">Question 1/2: Créer une société et des villes intelligentes: utilisation des </w:t>
      </w:r>
      <w:r w:rsidR="00876599" w:rsidRPr="00D62703">
        <w:rPr>
          <w:rFonts w:eastAsia="Batang"/>
        </w:rPr>
        <w:t>TIC</w:t>
      </w:r>
      <w:r w:rsidRPr="00D62703">
        <w:t xml:space="preserve"> au service du développement socio-économique durable</w:t>
      </w:r>
    </w:p>
    <w:p w:rsidR="00E435F5" w:rsidRPr="00D62703" w:rsidRDefault="00E435F5" w:rsidP="00A93227">
      <w:pPr>
        <w:pStyle w:val="enumlev1"/>
      </w:pPr>
      <w:r w:rsidRPr="00D62703">
        <w:t>–</w:t>
      </w:r>
      <w:r w:rsidRPr="00D62703">
        <w:tab/>
        <w:t>Question 2/2: Les télécommunications/</w:t>
      </w:r>
      <w:r w:rsidR="00876599" w:rsidRPr="00D62703">
        <w:t>TIC</w:t>
      </w:r>
      <w:r w:rsidRPr="00D62703">
        <w:t xml:space="preserve"> au service de la cybersanté</w:t>
      </w:r>
    </w:p>
    <w:p w:rsidR="00E435F5" w:rsidRPr="00D62703" w:rsidRDefault="00E435F5" w:rsidP="00A93227">
      <w:pPr>
        <w:pStyle w:val="enumlev1"/>
      </w:pPr>
      <w:r w:rsidRPr="00D62703">
        <w:t>–</w:t>
      </w:r>
      <w:r w:rsidRPr="00D62703">
        <w:tab/>
        <w:t xml:space="preserve">Question 3/2: Sécurisation des réseaux d'information et de communication: bonnes pratiques pour créer une culture de la cybersécurité </w:t>
      </w:r>
    </w:p>
    <w:p w:rsidR="00E435F5" w:rsidRPr="00D62703" w:rsidRDefault="00E435F5" w:rsidP="00A93227">
      <w:pPr>
        <w:pStyle w:val="enumlev1"/>
        <w:keepNext/>
        <w:keepLines/>
      </w:pPr>
      <w:r w:rsidRPr="00D62703">
        <w:t>–</w:t>
      </w:r>
      <w:r w:rsidRPr="00D62703">
        <w:tab/>
        <w:t xml:space="preserve">Question 4/2: Assistance aux pays en développement concernant la mise en oeuvre de programmes de conformité et d'interopérabilité et lutte contre la contrefaçon d'équipements reposant sur les </w:t>
      </w:r>
      <w:r w:rsidR="00876599" w:rsidRPr="00D62703">
        <w:rPr>
          <w:rFonts w:eastAsia="Batang"/>
        </w:rPr>
        <w:t>TIC</w:t>
      </w:r>
      <w:r w:rsidRPr="00D62703">
        <w:t xml:space="preserve"> et le vol de dispositifs mobiles </w:t>
      </w:r>
    </w:p>
    <w:p w:rsidR="00E435F5" w:rsidRPr="00D62703" w:rsidRDefault="00E435F5" w:rsidP="00A93227">
      <w:pPr>
        <w:pStyle w:val="enumlev1"/>
      </w:pPr>
      <w:r w:rsidRPr="00D62703">
        <w:t>–</w:t>
      </w:r>
      <w:r w:rsidRPr="00D62703">
        <w:tab/>
        <w:t>Question 5/2: Utilisation des télécommunications/</w:t>
      </w:r>
      <w:r w:rsidR="00876599" w:rsidRPr="00D62703">
        <w:rPr>
          <w:rFonts w:eastAsia="Batang"/>
        </w:rPr>
        <w:t xml:space="preserve">TIC </w:t>
      </w:r>
      <w:r w:rsidRPr="00D62703">
        <w:t xml:space="preserve">pour la réduction et la gestion des risques de catastrophe </w:t>
      </w:r>
    </w:p>
    <w:p w:rsidR="00E435F5" w:rsidRPr="00D62703" w:rsidRDefault="00E435F5" w:rsidP="00A93227">
      <w:pPr>
        <w:pStyle w:val="enumlev1"/>
      </w:pPr>
      <w:r w:rsidRPr="00D62703">
        <w:t>–</w:t>
      </w:r>
      <w:r w:rsidRPr="00D62703">
        <w:tab/>
        <w:t xml:space="preserve">Question 6/2: Les </w:t>
      </w:r>
      <w:r w:rsidR="00876599" w:rsidRPr="00D62703">
        <w:rPr>
          <w:rFonts w:eastAsia="Batang"/>
        </w:rPr>
        <w:t>TIC</w:t>
      </w:r>
      <w:r w:rsidRPr="00D62703">
        <w:t xml:space="preserve"> et l'environnement</w:t>
      </w:r>
    </w:p>
    <w:p w:rsidR="00E435F5" w:rsidRPr="00D62703" w:rsidRDefault="00E435F5" w:rsidP="00A93227">
      <w:pPr>
        <w:pStyle w:val="enumlev1"/>
      </w:pPr>
      <w:r w:rsidRPr="00D62703">
        <w:t>–</w:t>
      </w:r>
      <w:r w:rsidRPr="00D62703">
        <w:tab/>
        <w:t>Question 7/2: Stratégies et politiques concernant l'exposition des personnes aux champs électromagnétiques</w:t>
      </w:r>
    </w:p>
    <w:p w:rsidR="006F017D" w:rsidRPr="00D62703" w:rsidRDefault="006F017D" w:rsidP="00A93227">
      <w:pPr>
        <w:pStyle w:val="Heading2"/>
      </w:pPr>
      <w:r w:rsidRPr="00D62703">
        <w:t>2.4</w:t>
      </w:r>
      <w:r w:rsidRPr="00D62703">
        <w:tab/>
        <w:t>Désignation des Rapporteurs et des Vice-Rapporte</w:t>
      </w:r>
      <w:r w:rsidR="000B56AA" w:rsidRPr="00D62703">
        <w:t xml:space="preserve">urs de la Commission d'études </w:t>
      </w:r>
      <w:r w:rsidR="00E435F5" w:rsidRPr="00D62703">
        <w:t>2</w:t>
      </w:r>
    </w:p>
    <w:p w:rsidR="006F017D" w:rsidRPr="00D62703" w:rsidRDefault="006F017D" w:rsidP="00A93227">
      <w:r w:rsidRPr="00D62703">
        <w:t>Un appel à candidatures pour</w:t>
      </w:r>
      <w:r w:rsidR="006B1BAC" w:rsidRPr="00D62703">
        <w:t xml:space="preserve"> les fonctions de Rapporteurs et</w:t>
      </w:r>
      <w:r w:rsidRPr="00D62703">
        <w:t xml:space="preserve"> de Vice-Rapporteurs a été envoyé aux membres et il se</w:t>
      </w:r>
      <w:r w:rsidR="006B1BAC" w:rsidRPr="00D62703">
        <w:t>ra procédé aux nominations des Rapporteurs et des Vice</w:t>
      </w:r>
      <w:r w:rsidR="006B1BAC" w:rsidRPr="00D62703">
        <w:noBreakHyphen/>
        <w:t>R</w:t>
      </w:r>
      <w:r w:rsidRPr="00D62703">
        <w:t>apporteurs pour les sept Questions à l</w:t>
      </w:r>
      <w:r w:rsidR="004E7D97" w:rsidRPr="00D62703">
        <w:t>'</w:t>
      </w:r>
      <w:r w:rsidRPr="00D62703">
        <w:t xml:space="preserve">étude lors de la première réunion de la CE </w:t>
      </w:r>
      <w:r w:rsidR="00E435F5" w:rsidRPr="00D62703">
        <w:t>2</w:t>
      </w:r>
      <w:r w:rsidRPr="00D62703">
        <w:t xml:space="preserve"> de l</w:t>
      </w:r>
      <w:r w:rsidR="004E7D97" w:rsidRPr="00D62703">
        <w:t>'</w:t>
      </w:r>
      <w:r w:rsidRPr="00D62703">
        <w:t>UIT-D</w:t>
      </w:r>
      <w:r w:rsidR="006B1BAC" w:rsidRPr="00D62703">
        <w:t>,</w:t>
      </w:r>
      <w:r w:rsidRPr="00D62703">
        <w:t xml:space="preserve"> qui se tiendra en </w:t>
      </w:r>
      <w:r w:rsidR="00E435F5" w:rsidRPr="00D62703">
        <w:t>mai </w:t>
      </w:r>
      <w:r w:rsidRPr="00D62703">
        <w:t>2018. En raison de la nature des études, les Rapporteurs devraient être nommés sur la base de leur connaissance du sujet considéré et de leur capacité à coordonner les trav</w:t>
      </w:r>
      <w:r w:rsidR="006B1BAC" w:rsidRPr="00D62703">
        <w:t>aux. Lors de la nomination des Vice</w:t>
      </w:r>
      <w:r w:rsidR="006B1BAC" w:rsidRPr="00D62703">
        <w:noBreakHyphen/>
        <w:t>R</w:t>
      </w:r>
      <w:r w:rsidRPr="00D62703">
        <w:t>apporteurs, on s</w:t>
      </w:r>
      <w:r w:rsidR="004E7D97" w:rsidRPr="00D62703">
        <w:t>'</w:t>
      </w:r>
      <w:r w:rsidRPr="00D62703">
        <w:t>efforcera également d</w:t>
      </w:r>
      <w:r w:rsidR="004E7D97" w:rsidRPr="00D62703">
        <w:t>'</w:t>
      </w:r>
      <w:r w:rsidRPr="00D62703">
        <w:t>assurer</w:t>
      </w:r>
      <w:r w:rsidR="006C2F1B" w:rsidRPr="00D62703">
        <w:t xml:space="preserve"> un équilibre entre les régions.</w:t>
      </w:r>
    </w:p>
    <w:p w:rsidR="006F017D" w:rsidRPr="00D62703" w:rsidRDefault="006F017D" w:rsidP="00A93227">
      <w:r w:rsidRPr="00D62703">
        <w:t>La liste de toutes les candidatures reçues est accessible en ligne à l</w:t>
      </w:r>
      <w:r w:rsidR="004E7D97" w:rsidRPr="00D62703">
        <w:t>'</w:t>
      </w:r>
      <w:r w:rsidRPr="00D62703">
        <w:t xml:space="preserve">adresse suivante: </w:t>
      </w:r>
      <w:hyperlink r:id="rId9" w:history="1">
        <w:r w:rsidR="006B1BAC" w:rsidRPr="00D62703">
          <w:rPr>
            <w:rStyle w:val="Hyperlink"/>
          </w:rPr>
          <w:t>https://www.itu.int/en/ITU-D/Study-Groups/2018-2021/Pages/Candidates.aspx</w:t>
        </w:r>
      </w:hyperlink>
      <w:r w:rsidR="006B1BAC" w:rsidRPr="00D62703">
        <w:t>.</w:t>
      </w:r>
    </w:p>
    <w:p w:rsidR="006F017D" w:rsidRPr="00D62703" w:rsidRDefault="006F017D" w:rsidP="00A93227">
      <w:pPr>
        <w:pStyle w:val="Heading1"/>
      </w:pPr>
      <w:r w:rsidRPr="00D62703">
        <w:t>3</w:t>
      </w:r>
      <w:r w:rsidRPr="00D62703">
        <w:tab/>
        <w:t xml:space="preserve">Stratégie et programmes de travail de </w:t>
      </w:r>
      <w:r w:rsidR="00624DC5" w:rsidRPr="00D62703">
        <w:t>la C</w:t>
      </w:r>
      <w:r w:rsidRPr="00D62703">
        <w:t>ommission d</w:t>
      </w:r>
      <w:r w:rsidR="004E7D97" w:rsidRPr="00D62703">
        <w:t>'</w:t>
      </w:r>
      <w:r w:rsidRPr="00D62703">
        <w:t xml:space="preserve">études </w:t>
      </w:r>
      <w:r w:rsidR="00E435F5" w:rsidRPr="00D62703">
        <w:t>2</w:t>
      </w:r>
    </w:p>
    <w:p w:rsidR="00067219" w:rsidRPr="00D62703" w:rsidRDefault="005464AD" w:rsidP="00A93227">
      <w:r w:rsidRPr="00D62703">
        <w:t>Afin que la C</w:t>
      </w:r>
      <w:r w:rsidR="006F017D" w:rsidRPr="00D62703">
        <w:t>ommission d</w:t>
      </w:r>
      <w:r w:rsidR="004E7D97" w:rsidRPr="00D62703">
        <w:t>'</w:t>
      </w:r>
      <w:r w:rsidRPr="00D62703">
        <w:t xml:space="preserve">études </w:t>
      </w:r>
      <w:r w:rsidR="00E435F5" w:rsidRPr="00D62703">
        <w:t>2</w:t>
      </w:r>
      <w:r w:rsidRPr="00D62703">
        <w:t xml:space="preserve"> obtienne l</w:t>
      </w:r>
      <w:r w:rsidR="006F017D" w:rsidRPr="00D62703">
        <w:t xml:space="preserve">es résultats </w:t>
      </w:r>
      <w:r w:rsidRPr="00D62703">
        <w:t>escomptés pour</w:t>
      </w:r>
      <w:r w:rsidR="006F017D" w:rsidRPr="00D62703">
        <w:t xml:space="preserve"> la période d</w:t>
      </w:r>
      <w:r w:rsidR="004E7D97" w:rsidRPr="00D62703">
        <w:t>'</w:t>
      </w:r>
      <w:r w:rsidR="006F017D" w:rsidRPr="00D62703">
        <w:t>études</w:t>
      </w:r>
      <w:r w:rsidRPr="00D62703">
        <w:t> </w:t>
      </w:r>
      <w:r w:rsidR="006F017D" w:rsidRPr="00D62703">
        <w:t>2018-2021, conformément au mandat</w:t>
      </w:r>
      <w:r w:rsidR="00624DC5" w:rsidRPr="00D62703">
        <w:t xml:space="preserve"> défini dans la Résolution 2 (Ré</w:t>
      </w:r>
      <w:r w:rsidR="006F017D" w:rsidRPr="00D62703">
        <w:t>v.Buenos</w:t>
      </w:r>
      <w:r w:rsidRPr="00D62703">
        <w:t> </w:t>
      </w:r>
      <w:r w:rsidR="006F017D" w:rsidRPr="00D62703">
        <w:t>Ai</w:t>
      </w:r>
      <w:r w:rsidR="00624DC5" w:rsidRPr="00D62703">
        <w:t>res,</w:t>
      </w:r>
      <w:r w:rsidRPr="00D62703">
        <w:t> 2017) de la CM</w:t>
      </w:r>
      <w:r w:rsidR="00624DC5" w:rsidRPr="00D62703">
        <w:t>DT</w:t>
      </w:r>
      <w:r w:rsidRPr="00D62703">
        <w:t>,</w:t>
      </w:r>
      <w:r w:rsidR="00624DC5" w:rsidRPr="00D62703">
        <w:t xml:space="preserve"> "</w:t>
      </w:r>
      <w:r w:rsidR="006F017D" w:rsidRPr="00D62703">
        <w:t>Etablissement de commissions d'études</w:t>
      </w:r>
      <w:r w:rsidR="00624DC5" w:rsidRPr="00D62703">
        <w:t>"</w:t>
      </w:r>
      <w:r w:rsidR="006F017D" w:rsidRPr="00D62703">
        <w:t>, certains éléments essentiels doivent être pris en considé</w:t>
      </w:r>
      <w:r w:rsidR="00067219" w:rsidRPr="00D62703">
        <w:t xml:space="preserve">ration et définis dès le départ. </w:t>
      </w:r>
      <w:r w:rsidR="008E35BF" w:rsidRPr="00D62703">
        <w:t>Q</w:t>
      </w:r>
      <w:r w:rsidR="006F017D" w:rsidRPr="00D62703">
        <w:t>uatre réunions de la commission d</w:t>
      </w:r>
      <w:r w:rsidR="004E7D97" w:rsidRPr="00D62703">
        <w:t>'</w:t>
      </w:r>
      <w:r w:rsidR="006F017D" w:rsidRPr="00D62703">
        <w:t xml:space="preserve">études </w:t>
      </w:r>
      <w:r w:rsidR="008E35BF" w:rsidRPr="00D62703">
        <w:t>et trois séries de réunions de G</w:t>
      </w:r>
      <w:r w:rsidR="006F017D" w:rsidRPr="00D62703">
        <w:t>roupes du Rapporteur</w:t>
      </w:r>
      <w:r w:rsidR="008E35BF" w:rsidRPr="00D62703">
        <w:t xml:space="preserve"> doivent avoir lieu sur la période de quatre ans</w:t>
      </w:r>
      <w:r w:rsidR="006F017D" w:rsidRPr="00D62703">
        <w:t>. En outre, il est prévu d</w:t>
      </w:r>
      <w:r w:rsidR="004E7D97" w:rsidRPr="00D62703">
        <w:t>'</w:t>
      </w:r>
      <w:r w:rsidR="006F017D" w:rsidRPr="00D62703">
        <w:t xml:space="preserve">organiser </w:t>
      </w:r>
      <w:r w:rsidR="008E35BF" w:rsidRPr="00D62703">
        <w:t xml:space="preserve">à Genève, ainsi que dans les régions, </w:t>
      </w:r>
      <w:r w:rsidR="006F017D" w:rsidRPr="00D62703">
        <w:t>des réunions d</w:t>
      </w:r>
      <w:r w:rsidR="004E7D97" w:rsidRPr="00D62703">
        <w:t>'</w:t>
      </w:r>
      <w:r w:rsidR="006F017D" w:rsidRPr="00D62703">
        <w:t xml:space="preserve">experts sur des </w:t>
      </w:r>
      <w:r w:rsidR="008E35BF" w:rsidRPr="00D62703">
        <w:t>thèmes</w:t>
      </w:r>
      <w:r w:rsidR="006F017D" w:rsidRPr="00D62703">
        <w:t xml:space="preserve"> relati</w:t>
      </w:r>
      <w:r w:rsidR="008E35BF" w:rsidRPr="00D62703">
        <w:t>f</w:t>
      </w:r>
      <w:r w:rsidR="006F017D" w:rsidRPr="00D62703">
        <w:t>s aux Questions à l</w:t>
      </w:r>
      <w:r w:rsidR="004E7D97" w:rsidRPr="00D62703">
        <w:t>'</w:t>
      </w:r>
      <w:r w:rsidR="006F017D" w:rsidRPr="00D62703">
        <w:t xml:space="preserve">étude. Ces réunions connexes, qui pourront comporter des tables rondes informelles, des séminaires ou des ateliers à visée illustrative associés à chaque Question à l'étude, sous réserve </w:t>
      </w:r>
      <w:r w:rsidR="00C875C7" w:rsidRPr="00D62703">
        <w:t xml:space="preserve">de la réception </w:t>
      </w:r>
      <w:r w:rsidR="006F017D" w:rsidRPr="00D62703">
        <w:t xml:space="preserve">des différentes propositions </w:t>
      </w:r>
      <w:r w:rsidR="008E35BF" w:rsidRPr="00D62703">
        <w:t xml:space="preserve">qui seront </w:t>
      </w:r>
      <w:r w:rsidR="006F017D" w:rsidRPr="00D62703">
        <w:t>soumises par les membres, doivent se tenir dans la mesure du possible tout au long de la période d</w:t>
      </w:r>
      <w:r w:rsidR="004E7D97" w:rsidRPr="00D62703">
        <w:t>'</w:t>
      </w:r>
      <w:r w:rsidR="006F017D" w:rsidRPr="00D62703">
        <w:t xml:space="preserve">études. Les membres sont encouragés à présenter des propositions relatives à ces réunions et ateliers connexes, pour examen et approbation </w:t>
      </w:r>
      <w:r w:rsidR="008E35BF" w:rsidRPr="00D62703">
        <w:t>lors des</w:t>
      </w:r>
      <w:r w:rsidR="006F017D" w:rsidRPr="00D62703">
        <w:t xml:space="preserve"> réunions annuelles de la commission d</w:t>
      </w:r>
      <w:r w:rsidR="004E7D97" w:rsidRPr="00D62703">
        <w:t>'</w:t>
      </w:r>
      <w:r w:rsidR="00002C8C" w:rsidRPr="00D62703">
        <w:t>études.</w:t>
      </w:r>
    </w:p>
    <w:p w:rsidR="00362F5F" w:rsidRDefault="00362F5F" w:rsidP="00A93227">
      <w:r>
        <w:br w:type="page"/>
      </w:r>
    </w:p>
    <w:p w:rsidR="006F017D" w:rsidRPr="00D62703" w:rsidRDefault="006F017D" w:rsidP="00362F5F">
      <w:r w:rsidRPr="00D62703">
        <w:lastRenderedPageBreak/>
        <w:t xml:space="preserve">Grâce </w:t>
      </w:r>
      <w:r w:rsidR="00040706" w:rsidRPr="00D62703">
        <w:t xml:space="preserve">à </w:t>
      </w:r>
      <w:r w:rsidRPr="00D62703">
        <w:t>une bonne planification dès le début de la période d</w:t>
      </w:r>
      <w:r w:rsidR="004E7D97" w:rsidRPr="00D62703">
        <w:t>'</w:t>
      </w:r>
      <w:r w:rsidRPr="00D62703">
        <w:t xml:space="preserve">études, il sera également possible de chercher à créer des synergies stratégiques entre les travaux menés au titre des Questions confiées à la CE </w:t>
      </w:r>
      <w:r w:rsidR="00E435F5" w:rsidRPr="00D62703">
        <w:t>2</w:t>
      </w:r>
      <w:r w:rsidR="009A386A" w:rsidRPr="00D62703">
        <w:t>,</w:t>
      </w:r>
      <w:r w:rsidRPr="00D62703">
        <w:t xml:space="preserve"> </w:t>
      </w:r>
      <w:r w:rsidR="009A386A" w:rsidRPr="00D62703">
        <w:t>avec les responsables des</w:t>
      </w:r>
      <w:r w:rsidRPr="00D62703">
        <w:t xml:space="preserve"> Questions confiées à l</w:t>
      </w:r>
      <w:r w:rsidR="004E7D97" w:rsidRPr="00D62703">
        <w:t>'</w:t>
      </w:r>
      <w:r w:rsidRPr="00D62703">
        <w:t>autre commission d</w:t>
      </w:r>
      <w:r w:rsidR="004E7D97" w:rsidRPr="00D62703">
        <w:t>'</w:t>
      </w:r>
      <w:r w:rsidRPr="00D62703">
        <w:t>études ainsi qu</w:t>
      </w:r>
      <w:r w:rsidR="00AF0B66" w:rsidRPr="00D62703">
        <w:t>'</w:t>
      </w:r>
      <w:r w:rsidR="009A386A" w:rsidRPr="00D62703">
        <w:t>avec</w:t>
      </w:r>
      <w:r w:rsidRPr="00D62703">
        <w:t xml:space="preserve"> les </w:t>
      </w:r>
      <w:r w:rsidR="00E435F5" w:rsidRPr="00D62703">
        <w:t>commissions d'études</w:t>
      </w:r>
      <w:r w:rsidRPr="00D62703">
        <w:t xml:space="preserve"> des autres Secteurs. Comme l</w:t>
      </w:r>
      <w:r w:rsidR="004E7D97" w:rsidRPr="00D62703">
        <w:t>'</w:t>
      </w:r>
      <w:r w:rsidRPr="00D62703">
        <w:t xml:space="preserve">ont demandé les membres, il sera tenu compte, dans toutes les activités </w:t>
      </w:r>
      <w:r w:rsidR="009A386A" w:rsidRPr="00D62703">
        <w:t>menées par les C</w:t>
      </w:r>
      <w:r w:rsidRPr="00D62703">
        <w:t>ommissions d</w:t>
      </w:r>
      <w:r w:rsidR="004E7D97" w:rsidRPr="00D62703">
        <w:t>'</w:t>
      </w:r>
      <w:r w:rsidRPr="00D62703">
        <w:t>études de l</w:t>
      </w:r>
      <w:r w:rsidR="004E7D97" w:rsidRPr="00D62703">
        <w:t>'</w:t>
      </w:r>
      <w:r w:rsidR="009A386A" w:rsidRPr="00D62703">
        <w:t>UIT</w:t>
      </w:r>
      <w:r w:rsidR="009A386A" w:rsidRPr="00D62703">
        <w:noBreakHyphen/>
      </w:r>
      <w:r w:rsidRPr="00D62703">
        <w:t xml:space="preserve">D, de la nécessité de faire rapport sur les synergies obtenues dans le cadre des travaux </w:t>
      </w:r>
      <w:r w:rsidR="009A386A" w:rsidRPr="00D62703">
        <w:t>effectués au titre des</w:t>
      </w:r>
      <w:r w:rsidRPr="00D62703">
        <w:t xml:space="preserve"> Questions </w:t>
      </w:r>
      <w:r w:rsidR="009A386A" w:rsidRPr="00D62703">
        <w:t xml:space="preserve">connexes </w:t>
      </w:r>
      <w:r w:rsidRPr="00D62703">
        <w:t>conf</w:t>
      </w:r>
      <w:r w:rsidR="009A386A" w:rsidRPr="00D62703">
        <w:t>iées aux commissions d'études, d</w:t>
      </w:r>
      <w:r w:rsidRPr="00D62703">
        <w:t>es programmes,</w:t>
      </w:r>
      <w:r w:rsidR="00002C8C" w:rsidRPr="00D62703">
        <w:t xml:space="preserve"> </w:t>
      </w:r>
      <w:r w:rsidR="009A386A" w:rsidRPr="00D62703">
        <w:t>des initiatives régionales et d</w:t>
      </w:r>
      <w:r w:rsidRPr="00D62703">
        <w:t xml:space="preserve">es projets </w:t>
      </w:r>
      <w:r w:rsidR="00AF0B66" w:rsidRPr="00D62703">
        <w:t>associés</w:t>
      </w:r>
      <w:r w:rsidRPr="00D62703">
        <w:t xml:space="preserve">. </w:t>
      </w:r>
    </w:p>
    <w:p w:rsidR="006F017D" w:rsidRPr="00D62703" w:rsidRDefault="00AF0B66" w:rsidP="00A93227">
      <w:r w:rsidRPr="00D62703">
        <w:t>Les C</w:t>
      </w:r>
      <w:r w:rsidR="006F017D" w:rsidRPr="00D62703">
        <w:t>ommissions d</w:t>
      </w:r>
      <w:r w:rsidR="004E7D97" w:rsidRPr="00D62703">
        <w:t>'</w:t>
      </w:r>
      <w:r w:rsidR="006F017D" w:rsidRPr="00D62703">
        <w:t>études de l</w:t>
      </w:r>
      <w:r w:rsidR="004E7D97" w:rsidRPr="00D62703">
        <w:t>'</w:t>
      </w:r>
      <w:r w:rsidRPr="00D62703">
        <w:t>UIT</w:t>
      </w:r>
      <w:r w:rsidR="006F017D" w:rsidRPr="00D62703">
        <w:t xml:space="preserve">-D offrent aux membres la possibilité d'échanger des données d'expérience, de présenter des idées, de </w:t>
      </w:r>
      <w:r w:rsidRPr="00D62703">
        <w:t>procéder à des échanges de vues</w:t>
      </w:r>
      <w:r w:rsidR="006F017D" w:rsidRPr="00D62703">
        <w:t xml:space="preserve"> et de </w:t>
      </w:r>
      <w:r w:rsidR="00C875C7" w:rsidRPr="00D62703">
        <w:t>mettre au point d</w:t>
      </w:r>
      <w:r w:rsidR="006F017D" w:rsidRPr="00D62703">
        <w:t xml:space="preserve">es stratégies à adopter pour répondre aux priorités dans le domaine des </w:t>
      </w:r>
      <w:r w:rsidR="00002C8C" w:rsidRPr="00D62703">
        <w:t>télécommunications</w:t>
      </w:r>
      <w:r w:rsidR="006F017D" w:rsidRPr="00D62703">
        <w:t>/TIC. La participation des établissements universitaires aux travaux du Secteur a été renforcée dans le tex</w:t>
      </w:r>
      <w:r w:rsidR="00002C8C" w:rsidRPr="00D62703">
        <w:t>te révisé de la Résolution 1 (Ré</w:t>
      </w:r>
      <w:r w:rsidR="006F017D" w:rsidRPr="00D62703">
        <w:t>v.Buenos Aires, 2017) de la C</w:t>
      </w:r>
      <w:r w:rsidRPr="00D62703">
        <w:t>M</w:t>
      </w:r>
      <w:r w:rsidR="006F017D" w:rsidRPr="00D62703">
        <w:t xml:space="preserve">DT. </w:t>
      </w:r>
      <w:r w:rsidR="004E7D97" w:rsidRPr="00D62703">
        <w:t>A</w:t>
      </w:r>
      <w:r w:rsidRPr="00D62703">
        <w:t xml:space="preserve"> cet égard, les C</w:t>
      </w:r>
      <w:r w:rsidR="006F017D" w:rsidRPr="00D62703">
        <w:t>ommissions d</w:t>
      </w:r>
      <w:r w:rsidR="004E7D97" w:rsidRPr="00D62703">
        <w:t>'</w:t>
      </w:r>
      <w:r w:rsidR="006F017D" w:rsidRPr="00D62703">
        <w:t>études de l</w:t>
      </w:r>
      <w:r w:rsidR="004E7D97" w:rsidRPr="00D62703">
        <w:t>'</w:t>
      </w:r>
      <w:r w:rsidR="00002C8C" w:rsidRPr="00D62703">
        <w:t>UIT</w:t>
      </w:r>
      <w:r w:rsidR="006F017D" w:rsidRPr="00D62703">
        <w:t xml:space="preserve">-D continueront de sensibiliser davantage tous les membres, y compris les établissements universitaires, </w:t>
      </w:r>
      <w:r w:rsidRPr="00D62703">
        <w:t>au fait qu'il est dans leur intérêt</w:t>
      </w:r>
      <w:r w:rsidR="006F017D" w:rsidRPr="00D62703">
        <w:t xml:space="preserve"> de participer et de contribuer pleinement aux travaux du Secteur</w:t>
      </w:r>
      <w:r w:rsidR="00002C8C" w:rsidRPr="00D62703">
        <w:t>.</w:t>
      </w:r>
    </w:p>
    <w:p w:rsidR="006F017D" w:rsidRPr="00D62703" w:rsidRDefault="006F017D" w:rsidP="00A93227">
      <w:r w:rsidRPr="00D62703">
        <w:t>En application de la décision prise par le Conseil à sa session de 2017 en vue de lancer un projet pilote permettant la participation des petites et moyennes ent</w:t>
      </w:r>
      <w:r w:rsidR="00AF0B66" w:rsidRPr="00D62703">
        <w:t>reprises (PME) aux travaux des C</w:t>
      </w:r>
      <w:r w:rsidRPr="00D62703">
        <w:t xml:space="preserve">ommissions d'études de l'UIT-T et de l'UIT-D, les PME pourront participer aux réunions de 2018 des Commissions d'études 1 et 2 de l'UIT-D. Le projet pilote sera mis en oeuvre jusqu'à la </w:t>
      </w:r>
      <w:r w:rsidR="00A93227">
        <w:t xml:space="preserve">tenue des </w:t>
      </w:r>
      <w:r w:rsidR="00612B0A" w:rsidRPr="00D62703">
        <w:t>dernières réunions des commissions d'études et des Groupes du Rapporteur de l'UIT-D en amont de la Conférence</w:t>
      </w:r>
      <w:r w:rsidR="00A93227">
        <w:t xml:space="preserve"> de plénipotentiaires de l'UIT de 2018 (PP-18)</w:t>
      </w:r>
      <w:r w:rsidRPr="00D62703">
        <w:t xml:space="preserve">. </w:t>
      </w:r>
      <w:r w:rsidR="004E7D97" w:rsidRPr="00D62703">
        <w:t>A</w:t>
      </w:r>
      <w:r w:rsidRPr="00D62703">
        <w:t xml:space="preserve"> cet égard, les PME intéressées peuvent consulter leur administration concernant les possibilités de participation</w:t>
      </w:r>
      <w:r w:rsidR="00AF0B66" w:rsidRPr="00D62703">
        <w:t>.</w:t>
      </w:r>
      <w:r w:rsidRPr="00D62703">
        <w:t xml:space="preserve"> L'administration communiquera à l'UIT les noms des PME qui </w:t>
      </w:r>
      <w:r w:rsidR="00AF0B66" w:rsidRPr="00D62703">
        <w:t>remplissent</w:t>
      </w:r>
      <w:r w:rsidRPr="00D62703">
        <w:t xml:space="preserve"> les critères nationaux et peuvent prendre part au projet pilote. Bien qu'elles ne constituent pas une catégorie de membre, les PME sélectionnées pourront prendre p</w:t>
      </w:r>
      <w:r w:rsidR="00AF0B66" w:rsidRPr="00D62703">
        <w:t>leinement part aux travaux des C</w:t>
      </w:r>
      <w:r w:rsidRPr="00D62703">
        <w:t>ommissions d'études de l'UIT-D pendant toute la durée du projet pilote, sans pouvoir toutefois intervenir dans le processus de décisions et la gestion.</w:t>
      </w:r>
    </w:p>
    <w:p w:rsidR="006F017D" w:rsidRPr="00D62703" w:rsidRDefault="006F017D" w:rsidP="00A93227">
      <w:r w:rsidRPr="00D62703">
        <w:t xml:space="preserve">Le programme de travail préliminaire de </w:t>
      </w:r>
      <w:r w:rsidR="00002C8C" w:rsidRPr="00D62703">
        <w:t>la C</w:t>
      </w:r>
      <w:r w:rsidRPr="00D62703">
        <w:t>ommission d</w:t>
      </w:r>
      <w:r w:rsidR="004E7D97" w:rsidRPr="00D62703">
        <w:t>'</w:t>
      </w:r>
      <w:r w:rsidRPr="00D62703">
        <w:t xml:space="preserve">études </w:t>
      </w:r>
      <w:r w:rsidR="00E435F5" w:rsidRPr="00D62703">
        <w:t>2</w:t>
      </w:r>
      <w:r w:rsidRPr="00D62703">
        <w:t xml:space="preserve"> figure dans l</w:t>
      </w:r>
      <w:r w:rsidR="004E7D97" w:rsidRPr="00D62703">
        <w:t>'</w:t>
      </w:r>
      <w:r w:rsidRPr="00D62703">
        <w:rPr>
          <w:b/>
          <w:bCs/>
        </w:rPr>
        <w:t>Annexe 1</w:t>
      </w:r>
      <w:r w:rsidRPr="00D62703">
        <w:t>. Le programme de travail sera révisé chaque année afin d'orienter les travaux de la commission d</w:t>
      </w:r>
      <w:r w:rsidR="004E7D97" w:rsidRPr="00D62703">
        <w:t>'</w:t>
      </w:r>
      <w:r w:rsidRPr="00D62703">
        <w:t>études</w:t>
      </w:r>
      <w:r w:rsidR="00002C8C" w:rsidRPr="00D62703">
        <w:t>.</w:t>
      </w:r>
    </w:p>
    <w:p w:rsidR="006F017D" w:rsidRPr="00D62703" w:rsidRDefault="006F017D" w:rsidP="00A93227">
      <w:pPr>
        <w:pStyle w:val="Heading1"/>
      </w:pPr>
      <w:r w:rsidRPr="00D62703">
        <w:t>4</w:t>
      </w:r>
      <w:r w:rsidRPr="00D62703">
        <w:tab/>
        <w:t>Outils de collaboration</w:t>
      </w:r>
    </w:p>
    <w:p w:rsidR="006F017D" w:rsidRPr="00D62703" w:rsidRDefault="006F017D" w:rsidP="00A93227">
      <w:r w:rsidRPr="00D62703">
        <w:t>Conformément à l</w:t>
      </w:r>
      <w:r w:rsidR="004E7D97" w:rsidRPr="00D62703">
        <w:t>'</w:t>
      </w:r>
      <w:r w:rsidRPr="00D62703">
        <w:t xml:space="preserve">approche préconisée par la </w:t>
      </w:r>
      <w:r w:rsidR="00E435F5" w:rsidRPr="00D62703">
        <w:t>Conférence mondiale de développement des télécommunications</w:t>
      </w:r>
      <w:r w:rsidRPr="00D62703">
        <w:t>,</w:t>
      </w:r>
      <w:r w:rsidR="00AF0B66" w:rsidRPr="00D62703">
        <w:t xml:space="preserve"> le s</w:t>
      </w:r>
      <w:r w:rsidRPr="00D62703">
        <w:t>ecrétariat s</w:t>
      </w:r>
      <w:r w:rsidR="004E7D97" w:rsidRPr="00D62703">
        <w:t>'</w:t>
      </w:r>
      <w:r w:rsidRPr="00D62703">
        <w:t xml:space="preserve">est employé à </w:t>
      </w:r>
      <w:r w:rsidR="00AF0B66" w:rsidRPr="00D62703">
        <w:t xml:space="preserve">concevoir </w:t>
      </w:r>
      <w:r w:rsidRPr="00D62703">
        <w:t xml:space="preserve">divers outils </w:t>
      </w:r>
      <w:r w:rsidR="00AF0B66" w:rsidRPr="00D62703">
        <w:t xml:space="preserve">de collaboration </w:t>
      </w:r>
      <w:r w:rsidRPr="00D62703">
        <w:t>destinés à faciliter la participation électronique des personn</w:t>
      </w:r>
      <w:r w:rsidR="00AF0B66" w:rsidRPr="00D62703">
        <w:t>es collaborant aux travaux des C</w:t>
      </w:r>
      <w:r w:rsidRPr="00D62703">
        <w:t>ommissions d'études de l'UIT-D. En complément des services de participation interactive à distance et de la diffusion habituelle sur le web dans les langues de la réunion considérée, des listes de diffusion et des sites de collaboration SharePoint sont mis à la disposition des participants et des membres de l</w:t>
      </w:r>
      <w:r w:rsidR="004E7D97" w:rsidRPr="00D62703">
        <w:t>'</w:t>
      </w:r>
      <w:r w:rsidRPr="00D62703">
        <w:t>équipe de direction</w:t>
      </w:r>
      <w:r w:rsidR="00AF0B66" w:rsidRPr="00D62703">
        <w:t>, tant</w:t>
      </w:r>
      <w:r w:rsidRPr="00D62703">
        <w:t xml:space="preserve"> au niveau de la commission d</w:t>
      </w:r>
      <w:r w:rsidR="004E7D97" w:rsidRPr="00D62703">
        <w:t>'</w:t>
      </w:r>
      <w:r w:rsidR="00AF0B66" w:rsidRPr="00D62703">
        <w:t>études qu'au niveau</w:t>
      </w:r>
      <w:r w:rsidRPr="00D62703">
        <w:t xml:space="preserve"> des Questions à l</w:t>
      </w:r>
      <w:r w:rsidR="004E7D97" w:rsidRPr="00D62703">
        <w:t>'</w:t>
      </w:r>
      <w:r w:rsidRPr="00D62703">
        <w:t>étude</w:t>
      </w:r>
      <w:r w:rsidR="00002C8C" w:rsidRPr="00D62703">
        <w:t>.</w:t>
      </w:r>
    </w:p>
    <w:p w:rsidR="006F017D" w:rsidRPr="00D62703" w:rsidRDefault="006F017D" w:rsidP="00A93227">
      <w:r w:rsidRPr="00D62703">
        <w:t>Les listes de diffusion permettent l</w:t>
      </w:r>
      <w:r w:rsidR="004E7D97" w:rsidRPr="00D62703">
        <w:t>'</w:t>
      </w:r>
      <w:r w:rsidRPr="00D62703">
        <w:t>échange de courriers électroniques entre les experts s</w:t>
      </w:r>
      <w:r w:rsidR="004E7D97" w:rsidRPr="00D62703">
        <w:t>'</w:t>
      </w:r>
      <w:r w:rsidRPr="00D62703">
        <w:t>intéressant au</w:t>
      </w:r>
      <w:r w:rsidR="00AF0B66" w:rsidRPr="00D62703">
        <w:t>x</w:t>
      </w:r>
      <w:r w:rsidRPr="00D62703">
        <w:t xml:space="preserve"> sujet</w:t>
      </w:r>
      <w:r w:rsidR="00AF0B66" w:rsidRPr="00D62703">
        <w:t>s</w:t>
      </w:r>
      <w:r w:rsidRPr="00D62703">
        <w:t xml:space="preserve"> à l</w:t>
      </w:r>
      <w:r w:rsidR="004E7D97" w:rsidRPr="00D62703">
        <w:t>'</w:t>
      </w:r>
      <w:r w:rsidRPr="00D62703">
        <w:t xml:space="preserve">étude, tandis que le site de collaboration SharePoint offre un lieu de rencontre virtuel </w:t>
      </w:r>
      <w:r w:rsidR="00AF0B66" w:rsidRPr="00D62703">
        <w:t xml:space="preserve">où les </w:t>
      </w:r>
      <w:r w:rsidRPr="00D62703">
        <w:t>participants peuvent trouver un calendrier des activités de</w:t>
      </w:r>
      <w:r w:rsidR="00B67157" w:rsidRPr="00D62703">
        <w:t xml:space="preserve"> la</w:t>
      </w:r>
      <w:r w:rsidRPr="00D62703">
        <w:t xml:space="preserve"> commission d'études, des annonces et une zone d'échange de documents pour faciliter les travaux entre les </w:t>
      </w:r>
      <w:r w:rsidRPr="00D62703">
        <w:lastRenderedPageBreak/>
        <w:t>réunions. Il existe également un site exclusivement réservé aux équipes de direction des commissions d'études, dotée de fonctionnalités similaires. En outre, l</w:t>
      </w:r>
      <w:r w:rsidR="004E7D97" w:rsidRPr="00D62703">
        <w:t>'</w:t>
      </w:r>
      <w:r w:rsidRPr="00D62703">
        <w:t>application ITU-D Events Mobile and Desktop permet aux participants d'avoir accès simplement et rapidement, sur leur ordinateur, leur smartphone ou leur tablette, à tous les documents pertinents et à d'autres informations pratiques concernant les réunions.</w:t>
      </w:r>
    </w:p>
    <w:p w:rsidR="006F017D" w:rsidRPr="00D62703" w:rsidRDefault="00002C8C" w:rsidP="00A93227">
      <w:r w:rsidRPr="00D62703">
        <w:t>U</w:t>
      </w:r>
      <w:r w:rsidR="006F017D" w:rsidRPr="00D62703">
        <w:t xml:space="preserve">n compte TIES actif est nécessaire pour pouvoir </w:t>
      </w:r>
      <w:r w:rsidR="00AF0B66" w:rsidRPr="00D62703">
        <w:t>accéder</w:t>
      </w:r>
      <w:r w:rsidR="006F017D" w:rsidRPr="00D62703">
        <w:t xml:space="preserve"> à tous ces services. </w:t>
      </w:r>
    </w:p>
    <w:p w:rsidR="006F017D" w:rsidRPr="00D62703" w:rsidRDefault="00002C8C" w:rsidP="00A93227">
      <w:r w:rsidRPr="00D62703">
        <w:t>La première réunion de la C</w:t>
      </w:r>
      <w:r w:rsidR="006F017D" w:rsidRPr="00D62703">
        <w:t>ommission d</w:t>
      </w:r>
      <w:r w:rsidR="004E7D97" w:rsidRPr="00D62703">
        <w:t>'</w:t>
      </w:r>
      <w:r w:rsidR="006F017D" w:rsidRPr="00D62703">
        <w:t xml:space="preserve">études </w:t>
      </w:r>
      <w:r w:rsidR="00E435F5" w:rsidRPr="00D62703">
        <w:t>2</w:t>
      </w:r>
      <w:r w:rsidR="006F017D" w:rsidRPr="00D62703">
        <w:t xml:space="preserve"> de l</w:t>
      </w:r>
      <w:r w:rsidR="004E7D97" w:rsidRPr="00D62703">
        <w:t>'</w:t>
      </w:r>
      <w:r w:rsidRPr="00D62703">
        <w:t>UIT</w:t>
      </w:r>
      <w:r w:rsidR="00BE0D3C" w:rsidRPr="00D62703">
        <w:t xml:space="preserve">-D </w:t>
      </w:r>
      <w:r w:rsidR="006F017D" w:rsidRPr="00D62703">
        <w:t>comprendra des séances de présentation et de formation aux méthodes de travail et aux outils de collaboration mise à la disposition de</w:t>
      </w:r>
      <w:r w:rsidR="00AF0B66" w:rsidRPr="00D62703">
        <w:t>s participants aux travaux des C</w:t>
      </w:r>
      <w:r w:rsidR="006F017D" w:rsidRPr="00D62703">
        <w:t>ommissions d</w:t>
      </w:r>
      <w:r w:rsidR="004E7D97" w:rsidRPr="00D62703">
        <w:t>'</w:t>
      </w:r>
      <w:r w:rsidR="006F017D" w:rsidRPr="00D62703">
        <w:t>études de l</w:t>
      </w:r>
      <w:r w:rsidR="004E7D97" w:rsidRPr="00D62703">
        <w:t>'</w:t>
      </w:r>
      <w:r w:rsidRPr="00D62703">
        <w:t>UIT</w:t>
      </w:r>
      <w:r w:rsidRPr="00D62703">
        <w:noBreakHyphen/>
      </w:r>
      <w:r w:rsidR="006F017D" w:rsidRPr="00D62703">
        <w:t xml:space="preserve">D. Les participants aux travaux des commissions d'études sont encouragés à examiner ces outils et à transmettre leurs </w:t>
      </w:r>
      <w:r w:rsidR="00AF0B66" w:rsidRPr="00D62703">
        <w:t xml:space="preserve">commentaires </w:t>
      </w:r>
      <w:r w:rsidR="006F017D" w:rsidRPr="00D62703">
        <w:t xml:space="preserve">éventuels </w:t>
      </w:r>
      <w:r w:rsidR="00AF0B66" w:rsidRPr="00D62703">
        <w:t>au s</w:t>
      </w:r>
      <w:r w:rsidR="006F017D" w:rsidRPr="00D62703">
        <w:t>ecrétariat</w:t>
      </w:r>
      <w:r w:rsidR="00AF0B66" w:rsidRPr="00D62703">
        <w:t>,</w:t>
      </w:r>
      <w:r w:rsidR="006F017D" w:rsidRPr="00D62703">
        <w:t xml:space="preserve"> afin de contribuer à leur amélioration. </w:t>
      </w:r>
    </w:p>
    <w:p w:rsidR="006F017D" w:rsidRPr="00D62703" w:rsidRDefault="006F017D" w:rsidP="00A93227">
      <w:pPr>
        <w:pStyle w:val="Heading1"/>
      </w:pPr>
      <w:r w:rsidRPr="00D62703">
        <w:t>5</w:t>
      </w:r>
      <w:r w:rsidRPr="00D62703">
        <w:tab/>
        <w:t>Conclusion</w:t>
      </w:r>
    </w:p>
    <w:p w:rsidR="006F017D" w:rsidRPr="00D62703" w:rsidRDefault="00002C8C" w:rsidP="00A93227">
      <w:r w:rsidRPr="00D62703">
        <w:t>La C</w:t>
      </w:r>
      <w:r w:rsidR="006F017D" w:rsidRPr="00D62703">
        <w:t>ommission d</w:t>
      </w:r>
      <w:r w:rsidR="004E7D97" w:rsidRPr="00D62703">
        <w:t>'</w:t>
      </w:r>
      <w:r w:rsidR="006F017D" w:rsidRPr="00D62703">
        <w:t xml:space="preserve">études </w:t>
      </w:r>
      <w:r w:rsidR="00E435F5" w:rsidRPr="00D62703">
        <w:t>2</w:t>
      </w:r>
      <w:r w:rsidR="006F017D" w:rsidRPr="00D62703">
        <w:t>,</w:t>
      </w:r>
      <w:r w:rsidRPr="00D62703">
        <w:t xml:space="preserve"> </w:t>
      </w:r>
      <w:r w:rsidR="006F017D" w:rsidRPr="00D62703">
        <w:t xml:space="preserve">compte tenu du nouveau mandat qui lui a été confié et des Questions qui lui ont été assignées, se réunira du </w:t>
      </w:r>
      <w:r w:rsidR="00E435F5" w:rsidRPr="00D62703">
        <w:t>7 au 11</w:t>
      </w:r>
      <w:r w:rsidR="006F017D" w:rsidRPr="00D62703">
        <w:t xml:space="preserve"> mai 2018. Cette première réunion sera l'occasion d'examiner de près les résultats attendus sur lesquels les membres</w:t>
      </w:r>
      <w:r w:rsidR="00AF0B66" w:rsidRPr="00D62703">
        <w:t xml:space="preserve"> se sont mis d'accord lors de</w:t>
      </w:r>
      <w:r w:rsidR="00E435F5" w:rsidRPr="00D62703">
        <w:t xml:space="preserve"> la </w:t>
      </w:r>
      <w:r w:rsidRPr="00D62703">
        <w:t>CMDT</w:t>
      </w:r>
      <w:r w:rsidR="006F017D" w:rsidRPr="00D62703">
        <w:t>-17, de définir les méthodes à suivre pour la conduite des travaux et d</w:t>
      </w:r>
      <w:r w:rsidR="004E7D97" w:rsidRPr="00D62703">
        <w:t>'</w:t>
      </w:r>
      <w:r w:rsidR="006F017D" w:rsidRPr="00D62703">
        <w:t>adopter des programmes de travail détaillés pour chaque Question à l</w:t>
      </w:r>
      <w:r w:rsidR="004E7D97" w:rsidRPr="00D62703">
        <w:t>'</w:t>
      </w:r>
      <w:r w:rsidR="006F017D" w:rsidRPr="00D62703">
        <w:t>étude</w:t>
      </w:r>
      <w:r w:rsidR="00040706" w:rsidRPr="00D62703">
        <w:t>.</w:t>
      </w:r>
      <w:r w:rsidR="006F017D" w:rsidRPr="00D62703">
        <w:t xml:space="preserve"> Elle sera aussi l'occasion de nommer les Rapporteurs et les Vice-Rapporteurs pour chacune des Questions à l'étude. </w:t>
      </w:r>
    </w:p>
    <w:p w:rsidR="006F017D" w:rsidRPr="00D62703" w:rsidRDefault="006F017D" w:rsidP="00A93227">
      <w:r w:rsidRPr="00D62703">
        <w:t>Des séances de p</w:t>
      </w:r>
      <w:r w:rsidR="00BE0D3C" w:rsidRPr="00D62703">
        <w:t>résentation des travaux des C</w:t>
      </w:r>
      <w:r w:rsidRPr="00D62703">
        <w:t>ommissions d'études de l'UIT-D, durant lesquelles des informations détaillées seront données sur les méthodes de travail et les outils à la disposition des participants, seront organisées le premier jour de la réunion</w:t>
      </w:r>
      <w:r w:rsidR="00002C8C" w:rsidRPr="00D62703">
        <w:t>.</w:t>
      </w:r>
    </w:p>
    <w:p w:rsidR="006F017D" w:rsidRPr="00D62703" w:rsidRDefault="006F017D" w:rsidP="00A93227">
      <w:r w:rsidRPr="00D62703">
        <w:t>La série de réunions</w:t>
      </w:r>
      <w:r w:rsidR="00AF0B66" w:rsidRPr="00D62703">
        <w:t xml:space="preserve"> d</w:t>
      </w:r>
      <w:r w:rsidR="00A93227">
        <w:t>es</w:t>
      </w:r>
      <w:r w:rsidR="00AF0B66" w:rsidRPr="00D62703">
        <w:t xml:space="preserve"> Groupe</w:t>
      </w:r>
      <w:r w:rsidR="00A93227">
        <w:t>s</w:t>
      </w:r>
      <w:r w:rsidR="00AF0B66" w:rsidRPr="00D62703">
        <w:t xml:space="preserve"> du Rapporteur de la C</w:t>
      </w:r>
      <w:r w:rsidRPr="00D62703">
        <w:t>ommission d</w:t>
      </w:r>
      <w:r w:rsidR="004E7D97" w:rsidRPr="00D62703">
        <w:t>'</w:t>
      </w:r>
      <w:r w:rsidRPr="00D62703">
        <w:t xml:space="preserve">études </w:t>
      </w:r>
      <w:r w:rsidR="00E435F5" w:rsidRPr="00D62703">
        <w:t>2</w:t>
      </w:r>
      <w:r w:rsidRPr="00D62703">
        <w:t xml:space="preserve"> </w:t>
      </w:r>
      <w:r w:rsidR="00AF0B66" w:rsidRPr="00D62703">
        <w:t xml:space="preserve">de 2018 </w:t>
      </w:r>
      <w:r w:rsidRPr="00D62703">
        <w:t xml:space="preserve">devrait avoir lieu du </w:t>
      </w:r>
      <w:r w:rsidR="00E435F5" w:rsidRPr="00D62703">
        <w:t>1er</w:t>
      </w:r>
      <w:r w:rsidR="00002C8C" w:rsidRPr="00D62703">
        <w:t> </w:t>
      </w:r>
      <w:r w:rsidRPr="00D62703">
        <w:t xml:space="preserve">au </w:t>
      </w:r>
      <w:r w:rsidR="00E435F5" w:rsidRPr="00D62703">
        <w:t>12 octobre</w:t>
      </w:r>
      <w:r w:rsidRPr="00D62703">
        <w:t xml:space="preserve"> 2018.</w:t>
      </w:r>
    </w:p>
    <w:p w:rsidR="00E435F5" w:rsidRPr="00D62703" w:rsidRDefault="00E435F5" w:rsidP="00A93227"/>
    <w:p w:rsidR="006F017D" w:rsidRPr="00D62703" w:rsidRDefault="006F017D" w:rsidP="00A93227"/>
    <w:p w:rsidR="006F017D" w:rsidRPr="00D62703" w:rsidRDefault="006F017D" w:rsidP="00A93227">
      <w:pPr>
        <w:sectPr w:rsidR="006F017D" w:rsidRPr="00D62703" w:rsidSect="00473791">
          <w:headerReference w:type="default" r:id="rId10"/>
          <w:footerReference w:type="default" r:id="rId11"/>
          <w:footerReference w:type="first" r:id="rId12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:rsidR="006F017D" w:rsidRPr="00D62703" w:rsidRDefault="008C0D19" w:rsidP="00A93227">
      <w:pPr>
        <w:pStyle w:val="Annextitle"/>
        <w:spacing w:before="0"/>
      </w:pPr>
      <w:r w:rsidRPr="00D62703">
        <w:lastRenderedPageBreak/>
        <w:t>Annexe 1</w:t>
      </w:r>
      <w:r w:rsidR="002B27F6" w:rsidRPr="00D62703">
        <w:br/>
      </w:r>
      <w:r w:rsidR="00436C87" w:rsidRPr="00D62703">
        <w:br/>
      </w:r>
      <w:r w:rsidRPr="00D62703">
        <w:t>Programme de travail de la C</w:t>
      </w:r>
      <w:r w:rsidR="006F017D" w:rsidRPr="00D62703">
        <w:t>ommission d</w:t>
      </w:r>
      <w:r w:rsidR="004E7D97" w:rsidRPr="00D62703">
        <w:t>'</w:t>
      </w:r>
      <w:r w:rsidR="006F017D" w:rsidRPr="00D62703">
        <w:t xml:space="preserve">études </w:t>
      </w:r>
      <w:r w:rsidR="00E435F5" w:rsidRPr="00D62703">
        <w:t>2</w:t>
      </w:r>
      <w:r w:rsidR="006F017D" w:rsidRPr="00D62703">
        <w:t xml:space="preserve"> de l</w:t>
      </w:r>
      <w:r w:rsidR="004E7D97" w:rsidRPr="00D62703">
        <w:t>'</w:t>
      </w:r>
      <w:r w:rsidRPr="00D62703">
        <w:t>UIT</w:t>
      </w:r>
      <w:r w:rsidR="006F017D" w:rsidRPr="00D62703">
        <w:t xml:space="preserve">-D </w:t>
      </w:r>
    </w:p>
    <w:p w:rsidR="008C0D19" w:rsidRPr="00D62703" w:rsidRDefault="008C0D19" w:rsidP="00A93227">
      <w:pPr>
        <w:pStyle w:val="Headingb"/>
        <w:spacing w:before="0"/>
        <w:jc w:val="center"/>
      </w:pPr>
      <w:r w:rsidRPr="00D62703">
        <w:t xml:space="preserve">Programme de travail de la Commission d'études </w:t>
      </w:r>
      <w:r w:rsidR="00E435F5" w:rsidRPr="00D62703">
        <w:t>2</w:t>
      </w:r>
      <w:r w:rsidRPr="00D62703">
        <w:t xml:space="preserve"> de l'UIT-D (2018-2021)</w:t>
      </w:r>
    </w:p>
    <w:p w:rsidR="008C0D19" w:rsidRPr="00D62703" w:rsidRDefault="002B27F6" w:rsidP="00A93227">
      <w:pPr>
        <w:spacing w:before="0" w:after="60"/>
        <w:jc w:val="right"/>
      </w:pPr>
      <w:r w:rsidRPr="00D62703">
        <w:rPr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8863184</wp:posOffset>
                </wp:positionH>
                <wp:positionV relativeFrom="paragraph">
                  <wp:posOffset>397070</wp:posOffset>
                </wp:positionV>
                <wp:extent cx="651510" cy="202613"/>
                <wp:effectExtent l="0" t="4128" r="11113" b="11112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1510" cy="202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67F" w:rsidRPr="00362F5F" w:rsidRDefault="00CB767F" w:rsidP="00362F5F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62F5F">
                              <w:rPr>
                                <w:sz w:val="16"/>
                                <w:szCs w:val="16"/>
                              </w:rPr>
                              <w:t>CMDT-21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7.9pt;margin-top:31.25pt;width:51.3pt;height:15.95pt;rotation: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">
                <v:textbox inset="0,0,0,0">
                  <w:txbxContent>
                    <w:p w:rsidR="00CB767F" w:rsidRPr="00362F5F" w:rsidRDefault="00CB767F" w:rsidP="00362F5F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62F5F">
                        <w:rPr>
                          <w:sz w:val="16"/>
                          <w:szCs w:val="16"/>
                        </w:rPr>
                        <w:t>CMDT-21</w:t>
                      </w:r>
                    </w:p>
                  </w:txbxContent>
                </v:textbox>
              </v:shape>
            </w:pict>
          </mc:Fallback>
        </mc:AlternateContent>
      </w:r>
      <w:r w:rsidR="003F5949" w:rsidRPr="00D62703">
        <w:t>16</w:t>
      </w:r>
      <w:r w:rsidR="008C0D19" w:rsidRPr="00D62703">
        <w:t xml:space="preserve"> janvier 2018</w:t>
      </w:r>
    </w:p>
    <w:tbl>
      <w:tblPr>
        <w:tblStyle w:val="TableGrid"/>
        <w:tblW w:w="14884" w:type="dxa"/>
        <w:tblInd w:w="-567" w:type="dxa"/>
        <w:tblLook w:val="04A0" w:firstRow="1" w:lastRow="0" w:firstColumn="1" w:lastColumn="0" w:noHBand="0" w:noVBand="1"/>
      </w:tblPr>
      <w:tblGrid>
        <w:gridCol w:w="1031"/>
        <w:gridCol w:w="1516"/>
        <w:gridCol w:w="2126"/>
        <w:gridCol w:w="1985"/>
        <w:gridCol w:w="2083"/>
        <w:gridCol w:w="2174"/>
        <w:gridCol w:w="1701"/>
        <w:gridCol w:w="1276"/>
        <w:gridCol w:w="992"/>
      </w:tblGrid>
      <w:tr w:rsidR="00362F5F" w:rsidRPr="00D62703" w:rsidTr="00492E80">
        <w:tc>
          <w:tcPr>
            <w:tcW w:w="1031" w:type="dxa"/>
            <w:tcBorders>
              <w:top w:val="nil"/>
              <w:left w:val="nil"/>
            </w:tcBorders>
          </w:tcPr>
          <w:p w:rsidR="00362F5F" w:rsidRPr="00D62703" w:rsidRDefault="00362F5F" w:rsidP="00A93227">
            <w:pPr>
              <w:pStyle w:val="Tablehead"/>
              <w:rPr>
                <w:sz w:val="20"/>
                <w:szCs w:val="18"/>
              </w:rPr>
            </w:pPr>
          </w:p>
        </w:tc>
        <w:tc>
          <w:tcPr>
            <w:tcW w:w="3642" w:type="dxa"/>
            <w:gridSpan w:val="2"/>
            <w:shd w:val="clear" w:color="auto" w:fill="A6A6A6" w:themeFill="background1" w:themeFillShade="A6"/>
          </w:tcPr>
          <w:p w:rsidR="00362F5F" w:rsidRPr="00D62703" w:rsidRDefault="00362F5F" w:rsidP="00A93227">
            <w:pPr>
              <w:pStyle w:val="Tablehead"/>
              <w:jc w:val="left"/>
              <w:rPr>
                <w:sz w:val="20"/>
                <w:szCs w:val="18"/>
              </w:rPr>
            </w:pPr>
            <w:r w:rsidRPr="00D62703">
              <w:rPr>
                <w:sz w:val="20"/>
                <w:szCs w:val="18"/>
              </w:rPr>
              <w:t>Rapport au GCDT</w:t>
            </w:r>
            <w:r w:rsidRPr="00D62703">
              <w:rPr>
                <w:sz w:val="20"/>
                <w:szCs w:val="18"/>
              </w:rPr>
              <w:tab/>
              <w:t>2018</w:t>
            </w:r>
          </w:p>
        </w:tc>
        <w:tc>
          <w:tcPr>
            <w:tcW w:w="4068" w:type="dxa"/>
            <w:gridSpan w:val="2"/>
            <w:shd w:val="clear" w:color="auto" w:fill="A6A6A6" w:themeFill="background1" w:themeFillShade="A6"/>
          </w:tcPr>
          <w:p w:rsidR="00362F5F" w:rsidRPr="00D62703" w:rsidRDefault="00362F5F" w:rsidP="00A93227">
            <w:pPr>
              <w:pStyle w:val="Tablehead"/>
              <w:jc w:val="left"/>
              <w:rPr>
                <w:sz w:val="20"/>
                <w:szCs w:val="18"/>
              </w:rPr>
            </w:pPr>
            <w:r w:rsidRPr="00D62703">
              <w:rPr>
                <w:sz w:val="20"/>
                <w:szCs w:val="18"/>
              </w:rPr>
              <w:t>Rapport au GCDT</w:t>
            </w:r>
            <w:r w:rsidRPr="00D62703">
              <w:rPr>
                <w:sz w:val="20"/>
                <w:szCs w:val="18"/>
              </w:rPr>
              <w:tab/>
              <w:t>2019</w:t>
            </w:r>
          </w:p>
        </w:tc>
        <w:tc>
          <w:tcPr>
            <w:tcW w:w="3875" w:type="dxa"/>
            <w:gridSpan w:val="2"/>
            <w:shd w:val="clear" w:color="auto" w:fill="A6A6A6" w:themeFill="background1" w:themeFillShade="A6"/>
          </w:tcPr>
          <w:p w:rsidR="00362F5F" w:rsidRPr="00D62703" w:rsidRDefault="00362F5F" w:rsidP="00A93227">
            <w:pPr>
              <w:pStyle w:val="Tablehead"/>
              <w:tabs>
                <w:tab w:val="clear" w:pos="1985"/>
                <w:tab w:val="left" w:pos="1924"/>
              </w:tabs>
              <w:jc w:val="left"/>
              <w:rPr>
                <w:sz w:val="20"/>
                <w:szCs w:val="18"/>
              </w:rPr>
            </w:pPr>
            <w:r w:rsidRPr="00D62703">
              <w:rPr>
                <w:sz w:val="20"/>
                <w:szCs w:val="18"/>
              </w:rPr>
              <w:t>Rapport au GCDT</w:t>
            </w:r>
            <w:r w:rsidRPr="00D62703">
              <w:rPr>
                <w:sz w:val="20"/>
                <w:szCs w:val="18"/>
              </w:rPr>
              <w:tab/>
            </w:r>
            <w:r w:rsidRPr="00D62703">
              <w:rPr>
                <w:sz w:val="20"/>
                <w:szCs w:val="18"/>
              </w:rPr>
              <w:tab/>
              <w:t>2020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6A6A6" w:themeFill="background1" w:themeFillShade="A6"/>
          </w:tcPr>
          <w:p w:rsidR="00362F5F" w:rsidRPr="00D62703" w:rsidRDefault="00362F5F" w:rsidP="00362F5F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1740"/>
              </w:tabs>
              <w:ind w:left="39"/>
              <w:jc w:val="left"/>
              <w:rPr>
                <w:sz w:val="20"/>
                <w:szCs w:val="18"/>
              </w:rPr>
            </w:pPr>
            <w:r w:rsidRPr="00D62703">
              <w:rPr>
                <w:sz w:val="20"/>
                <w:szCs w:val="18"/>
              </w:rPr>
              <w:t>Rapport au GCDT/à la CMDT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6A6A6" w:themeFill="background1" w:themeFillShade="A6"/>
          </w:tcPr>
          <w:p w:rsidR="00362F5F" w:rsidRPr="00D62703" w:rsidRDefault="00362F5F" w:rsidP="00362F5F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143"/>
              </w:tabs>
              <w:ind w:left="39" w:right="34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ab/>
              <w:t>2021</w:t>
            </w:r>
          </w:p>
        </w:tc>
      </w:tr>
      <w:tr w:rsidR="008C0D19" w:rsidRPr="00D62703" w:rsidTr="00492E80">
        <w:tc>
          <w:tcPr>
            <w:tcW w:w="1031" w:type="dxa"/>
            <w:shd w:val="clear" w:color="auto" w:fill="595959" w:themeFill="text1" w:themeFillTint="A6"/>
            <w:vAlign w:val="center"/>
          </w:tcPr>
          <w:p w:rsidR="008C0D19" w:rsidRPr="00D62703" w:rsidRDefault="008C0D19" w:rsidP="00A93227">
            <w:pPr>
              <w:pStyle w:val="Tabletext"/>
              <w:spacing w:before="20" w:after="20"/>
              <w:jc w:val="center"/>
              <w:rPr>
                <w:color w:val="FFFFFF" w:themeColor="background1"/>
                <w:sz w:val="18"/>
                <w:szCs w:val="16"/>
              </w:rPr>
            </w:pPr>
            <w:r w:rsidRPr="00D62703">
              <w:rPr>
                <w:color w:val="FFFFFF" w:themeColor="background1"/>
                <w:sz w:val="18"/>
                <w:szCs w:val="16"/>
              </w:rPr>
              <w:t>Question</w:t>
            </w:r>
          </w:p>
        </w:tc>
        <w:tc>
          <w:tcPr>
            <w:tcW w:w="1516" w:type="dxa"/>
            <w:shd w:val="clear" w:color="auto" w:fill="595959" w:themeFill="text1" w:themeFillTint="A6"/>
          </w:tcPr>
          <w:p w:rsidR="008C0D19" w:rsidRPr="00D62703" w:rsidRDefault="00643551" w:rsidP="00A93227">
            <w:pPr>
              <w:pStyle w:val="Tabletext"/>
              <w:spacing w:before="20" w:after="20"/>
              <w:jc w:val="center"/>
              <w:rPr>
                <w:color w:val="FFFFFF" w:themeColor="background1"/>
                <w:sz w:val="18"/>
                <w:szCs w:val="16"/>
              </w:rPr>
            </w:pPr>
            <w:r w:rsidRPr="00D62703">
              <w:rPr>
                <w:color w:val="FFFFFF" w:themeColor="background1"/>
                <w:sz w:val="18"/>
                <w:szCs w:val="16"/>
              </w:rPr>
              <w:t>1ère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 réunion annuelle de </w:t>
            </w:r>
            <w:r w:rsidR="0012304F" w:rsidRPr="00D62703">
              <w:rPr>
                <w:color w:val="FFFFFF" w:themeColor="background1"/>
                <w:sz w:val="18"/>
                <w:szCs w:val="16"/>
              </w:rPr>
              <w:br/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>la CE</w:t>
            </w:r>
            <w:r w:rsidR="00A46FB0" w:rsidRPr="00D62703">
              <w:rPr>
                <w:color w:val="FFFFFF" w:themeColor="background1"/>
                <w:sz w:val="18"/>
                <w:szCs w:val="16"/>
              </w:rPr>
              <w:t> </w:t>
            </w:r>
            <w:r w:rsidRPr="00D62703">
              <w:rPr>
                <w:color w:val="FFFFFF" w:themeColor="background1"/>
                <w:sz w:val="18"/>
                <w:szCs w:val="16"/>
              </w:rPr>
              <w:t>2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 </w:t>
            </w:r>
            <w:r w:rsidR="00A46FB0" w:rsidRPr="00D62703">
              <w:rPr>
                <w:color w:val="FFFFFF" w:themeColor="background1"/>
                <w:sz w:val="18"/>
                <w:szCs w:val="16"/>
              </w:rPr>
              <w:br/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>(</w:t>
            </w:r>
            <w:r w:rsidR="00E435F5" w:rsidRPr="00D62703">
              <w:rPr>
                <w:color w:val="FFFFFF" w:themeColor="background1"/>
                <w:sz w:val="18"/>
                <w:szCs w:val="16"/>
              </w:rPr>
              <w:t>7-11 ma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>i 2018)</w:t>
            </w:r>
            <w:r w:rsidR="003844CD" w:rsidRPr="00D62703">
              <w:rPr>
                <w:color w:val="FFFFFF" w:themeColor="background1"/>
                <w:sz w:val="18"/>
                <w:szCs w:val="16"/>
              </w:rPr>
              <w:t>*</w:t>
            </w:r>
          </w:p>
        </w:tc>
        <w:tc>
          <w:tcPr>
            <w:tcW w:w="2126" w:type="dxa"/>
            <w:shd w:val="clear" w:color="auto" w:fill="595959" w:themeFill="text1" w:themeFillTint="A6"/>
          </w:tcPr>
          <w:p w:rsidR="008C0D19" w:rsidRPr="00D62703" w:rsidRDefault="00A46FB0" w:rsidP="00A93227">
            <w:pPr>
              <w:pStyle w:val="Tabletext"/>
              <w:spacing w:before="20" w:after="20"/>
              <w:jc w:val="center"/>
              <w:rPr>
                <w:color w:val="FFFFFF" w:themeColor="background1"/>
                <w:sz w:val="18"/>
                <w:szCs w:val="16"/>
              </w:rPr>
            </w:pPr>
            <w:r w:rsidRPr="00D62703">
              <w:rPr>
                <w:color w:val="FFFFFF" w:themeColor="background1"/>
                <w:sz w:val="18"/>
                <w:szCs w:val="16"/>
              </w:rPr>
              <w:t>R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>éunions d</w:t>
            </w:r>
            <w:r w:rsidR="00A93227">
              <w:rPr>
                <w:color w:val="FFFFFF" w:themeColor="background1"/>
                <w:sz w:val="18"/>
                <w:szCs w:val="16"/>
              </w:rPr>
              <w:t>es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 Groupe</w:t>
            </w:r>
            <w:r w:rsidR="00A93227">
              <w:rPr>
                <w:color w:val="FFFFFF" w:themeColor="background1"/>
                <w:sz w:val="18"/>
                <w:szCs w:val="16"/>
              </w:rPr>
              <w:t>s du 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Rapporteur de </w:t>
            </w:r>
            <w:r w:rsidR="0012304F" w:rsidRPr="00D62703">
              <w:rPr>
                <w:color w:val="FFFFFF" w:themeColor="background1"/>
                <w:sz w:val="18"/>
                <w:szCs w:val="16"/>
              </w:rPr>
              <w:br/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>la CE</w:t>
            </w:r>
            <w:r w:rsidRPr="00D62703">
              <w:rPr>
                <w:color w:val="FFFFFF" w:themeColor="background1"/>
                <w:sz w:val="18"/>
                <w:szCs w:val="16"/>
              </w:rPr>
              <w:t xml:space="preserve"> </w:t>
            </w:r>
            <w:r w:rsidR="00E435F5" w:rsidRPr="00D62703">
              <w:rPr>
                <w:color w:val="FFFFFF" w:themeColor="background1"/>
                <w:sz w:val="18"/>
                <w:szCs w:val="16"/>
              </w:rPr>
              <w:t>2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 </w:t>
            </w:r>
            <w:r w:rsidRPr="00D62703">
              <w:rPr>
                <w:color w:val="FFFFFF" w:themeColor="background1"/>
                <w:sz w:val="18"/>
                <w:szCs w:val="16"/>
              </w:rPr>
              <w:br/>
              <w:t>(</w:t>
            </w:r>
            <w:r w:rsidR="00E435F5" w:rsidRPr="00D62703">
              <w:rPr>
                <w:color w:val="FFFFFF" w:themeColor="background1"/>
                <w:sz w:val="18"/>
                <w:szCs w:val="16"/>
              </w:rPr>
              <w:t>1er-12 octobre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 </w:t>
            </w:r>
            <w:r w:rsidRPr="00D62703">
              <w:rPr>
                <w:color w:val="FFFFFF" w:themeColor="background1"/>
                <w:sz w:val="18"/>
                <w:szCs w:val="16"/>
              </w:rPr>
              <w:t>2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>018)</w:t>
            </w:r>
          </w:p>
        </w:tc>
        <w:tc>
          <w:tcPr>
            <w:tcW w:w="1985" w:type="dxa"/>
            <w:shd w:val="clear" w:color="auto" w:fill="595959" w:themeFill="text1" w:themeFillTint="A6"/>
          </w:tcPr>
          <w:p w:rsidR="008C0D19" w:rsidRPr="00D62703" w:rsidRDefault="008C0D19" w:rsidP="00A93227">
            <w:pPr>
              <w:pStyle w:val="Tabletext"/>
              <w:spacing w:before="20" w:after="20"/>
              <w:jc w:val="center"/>
              <w:rPr>
                <w:color w:val="FFFFFF" w:themeColor="background1"/>
                <w:sz w:val="18"/>
                <w:szCs w:val="16"/>
              </w:rPr>
            </w:pPr>
            <w:r w:rsidRPr="00D62703">
              <w:rPr>
                <w:color w:val="FFFFFF" w:themeColor="background1"/>
                <w:sz w:val="18"/>
                <w:szCs w:val="16"/>
              </w:rPr>
              <w:t>2ème</w:t>
            </w:r>
            <w:r w:rsidR="00A46FB0" w:rsidRPr="00D62703">
              <w:rPr>
                <w:color w:val="FFFFFF" w:themeColor="background1"/>
                <w:sz w:val="18"/>
                <w:szCs w:val="16"/>
              </w:rPr>
              <w:t xml:space="preserve"> réunion annuelle de la CE </w:t>
            </w:r>
            <w:r w:rsidR="003F5949" w:rsidRPr="00D62703">
              <w:rPr>
                <w:color w:val="FFFFFF" w:themeColor="background1"/>
                <w:sz w:val="18"/>
                <w:szCs w:val="16"/>
              </w:rPr>
              <w:t>2</w:t>
            </w:r>
            <w:r w:rsidR="00A46FB0" w:rsidRPr="00D62703">
              <w:rPr>
                <w:color w:val="FFFFFF" w:themeColor="background1"/>
                <w:sz w:val="18"/>
                <w:szCs w:val="16"/>
              </w:rPr>
              <w:t xml:space="preserve"> </w:t>
            </w:r>
            <w:r w:rsidR="00A46FB0" w:rsidRPr="00D62703">
              <w:rPr>
                <w:color w:val="FFFFFF" w:themeColor="background1"/>
                <w:sz w:val="18"/>
                <w:szCs w:val="16"/>
              </w:rPr>
              <w:br/>
              <w:t>(</w:t>
            </w:r>
            <w:r w:rsidR="003F5949" w:rsidRPr="00D62703">
              <w:rPr>
                <w:color w:val="FFFFFF" w:themeColor="background1"/>
                <w:sz w:val="18"/>
                <w:szCs w:val="16"/>
              </w:rPr>
              <w:t>25-29</w:t>
            </w:r>
            <w:r w:rsidRPr="00D62703">
              <w:rPr>
                <w:color w:val="FFFFFF" w:themeColor="background1"/>
                <w:sz w:val="18"/>
                <w:szCs w:val="16"/>
              </w:rPr>
              <w:t xml:space="preserve"> mars 2019)</w:t>
            </w:r>
            <w:r w:rsidR="003844CD" w:rsidRPr="00D62703">
              <w:rPr>
                <w:color w:val="FFFFFF" w:themeColor="background1"/>
                <w:sz w:val="18"/>
                <w:szCs w:val="16"/>
              </w:rPr>
              <w:t>*</w:t>
            </w:r>
          </w:p>
        </w:tc>
        <w:tc>
          <w:tcPr>
            <w:tcW w:w="2083" w:type="dxa"/>
            <w:shd w:val="clear" w:color="auto" w:fill="595959" w:themeFill="text1" w:themeFillTint="A6"/>
          </w:tcPr>
          <w:p w:rsidR="008C0D19" w:rsidRPr="00D62703" w:rsidRDefault="00A46FB0" w:rsidP="00A93227">
            <w:pPr>
              <w:pStyle w:val="Tabletext"/>
              <w:spacing w:before="20" w:after="20"/>
              <w:jc w:val="center"/>
              <w:rPr>
                <w:color w:val="FFFFFF" w:themeColor="background1"/>
                <w:sz w:val="18"/>
                <w:szCs w:val="16"/>
              </w:rPr>
            </w:pPr>
            <w:r w:rsidRPr="00D62703">
              <w:rPr>
                <w:color w:val="FFFFFF" w:themeColor="background1"/>
                <w:sz w:val="18"/>
                <w:szCs w:val="16"/>
              </w:rPr>
              <w:t>R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>éunions d</w:t>
            </w:r>
            <w:r w:rsidR="00A93227">
              <w:rPr>
                <w:color w:val="FFFFFF" w:themeColor="background1"/>
                <w:sz w:val="18"/>
                <w:szCs w:val="16"/>
              </w:rPr>
              <w:t>es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 Groupe</w:t>
            </w:r>
            <w:r w:rsidR="00A93227">
              <w:rPr>
                <w:color w:val="FFFFFF" w:themeColor="background1"/>
                <w:sz w:val="18"/>
                <w:szCs w:val="16"/>
              </w:rPr>
              <w:t>s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 du</w:t>
            </w:r>
            <w:r w:rsidR="00A93227">
              <w:rPr>
                <w:color w:val="FFFFFF" w:themeColor="background1"/>
                <w:sz w:val="18"/>
                <w:szCs w:val="16"/>
              </w:rPr>
              <w:t> 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>Rapporteur de la CE</w:t>
            </w:r>
            <w:r w:rsidRPr="00D62703">
              <w:rPr>
                <w:color w:val="FFFFFF" w:themeColor="background1"/>
                <w:sz w:val="18"/>
                <w:szCs w:val="16"/>
              </w:rPr>
              <w:t xml:space="preserve"> </w:t>
            </w:r>
            <w:r w:rsidR="00643551" w:rsidRPr="00D62703">
              <w:rPr>
                <w:color w:val="FFFFFF" w:themeColor="background1"/>
                <w:sz w:val="18"/>
                <w:szCs w:val="16"/>
              </w:rPr>
              <w:t>2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 </w:t>
            </w:r>
            <w:r w:rsidRPr="00D62703">
              <w:rPr>
                <w:color w:val="FFFFFF" w:themeColor="background1"/>
                <w:sz w:val="18"/>
                <w:szCs w:val="16"/>
              </w:rPr>
              <w:br/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>(</w:t>
            </w:r>
            <w:r w:rsidR="003F5949" w:rsidRPr="00D62703">
              <w:rPr>
                <w:color w:val="FFFFFF" w:themeColor="background1"/>
                <w:sz w:val="18"/>
                <w:szCs w:val="16"/>
              </w:rPr>
              <w:t>7-18 octobre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 2019</w:t>
            </w:r>
            <w:r w:rsidR="00CB767F" w:rsidRPr="00D62703">
              <w:rPr>
                <w:color w:val="FFFFFF" w:themeColor="background1"/>
                <w:sz w:val="18"/>
                <w:szCs w:val="16"/>
              </w:rPr>
              <w:t>)</w:t>
            </w:r>
          </w:p>
        </w:tc>
        <w:tc>
          <w:tcPr>
            <w:tcW w:w="2174" w:type="dxa"/>
            <w:shd w:val="clear" w:color="auto" w:fill="595959" w:themeFill="text1" w:themeFillTint="A6"/>
          </w:tcPr>
          <w:p w:rsidR="008C0D19" w:rsidRPr="00D62703" w:rsidRDefault="008C0D19" w:rsidP="00A93227">
            <w:pPr>
              <w:pStyle w:val="Tabletext"/>
              <w:spacing w:before="20" w:after="20"/>
              <w:jc w:val="center"/>
              <w:rPr>
                <w:color w:val="FFFFFF" w:themeColor="background1"/>
                <w:sz w:val="18"/>
                <w:szCs w:val="16"/>
              </w:rPr>
            </w:pPr>
            <w:r w:rsidRPr="00D62703">
              <w:rPr>
                <w:color w:val="FFFFFF" w:themeColor="background1"/>
                <w:sz w:val="18"/>
                <w:szCs w:val="16"/>
              </w:rPr>
              <w:t xml:space="preserve">3ème réunion annuelle </w:t>
            </w:r>
            <w:r w:rsidR="003F5949" w:rsidRPr="00D62703">
              <w:rPr>
                <w:color w:val="FFFFFF" w:themeColor="background1"/>
                <w:sz w:val="18"/>
                <w:szCs w:val="16"/>
              </w:rPr>
              <w:br/>
            </w:r>
            <w:r w:rsidRPr="00D62703">
              <w:rPr>
                <w:color w:val="FFFFFF" w:themeColor="background1"/>
                <w:sz w:val="18"/>
                <w:szCs w:val="16"/>
              </w:rPr>
              <w:t>de l</w:t>
            </w:r>
            <w:r w:rsidR="003844CD" w:rsidRPr="00D62703">
              <w:rPr>
                <w:color w:val="FFFFFF" w:themeColor="background1"/>
                <w:sz w:val="18"/>
                <w:szCs w:val="16"/>
              </w:rPr>
              <w:t>a CE</w:t>
            </w:r>
            <w:r w:rsidR="00CB767F" w:rsidRPr="00D62703">
              <w:rPr>
                <w:color w:val="FFFFFF" w:themeColor="background1"/>
                <w:sz w:val="18"/>
                <w:szCs w:val="16"/>
              </w:rPr>
              <w:t xml:space="preserve"> </w:t>
            </w:r>
            <w:r w:rsidR="003F5949" w:rsidRPr="00D62703">
              <w:rPr>
                <w:color w:val="FFFFFF" w:themeColor="background1"/>
                <w:sz w:val="18"/>
                <w:szCs w:val="16"/>
              </w:rPr>
              <w:t>2</w:t>
            </w:r>
            <w:r w:rsidR="003844CD" w:rsidRPr="00D62703">
              <w:rPr>
                <w:color w:val="FFFFFF" w:themeColor="background1"/>
                <w:sz w:val="18"/>
                <w:szCs w:val="16"/>
              </w:rPr>
              <w:t xml:space="preserve"> </w:t>
            </w:r>
            <w:r w:rsidR="00CB767F" w:rsidRPr="00D62703">
              <w:rPr>
                <w:color w:val="FFFFFF" w:themeColor="background1"/>
                <w:sz w:val="18"/>
                <w:szCs w:val="16"/>
              </w:rPr>
              <w:br/>
            </w:r>
            <w:r w:rsidR="003844CD" w:rsidRPr="00D62703">
              <w:rPr>
                <w:color w:val="FFFFFF" w:themeColor="background1"/>
                <w:sz w:val="18"/>
                <w:szCs w:val="16"/>
              </w:rPr>
              <w:t>(</w:t>
            </w:r>
            <w:r w:rsidR="003F5949" w:rsidRPr="00D62703">
              <w:rPr>
                <w:color w:val="FFFFFF" w:themeColor="background1"/>
                <w:sz w:val="18"/>
                <w:szCs w:val="16"/>
              </w:rPr>
              <w:t>24-28</w:t>
            </w:r>
            <w:r w:rsidRPr="00D62703">
              <w:rPr>
                <w:color w:val="FFFFFF" w:themeColor="background1"/>
                <w:sz w:val="18"/>
                <w:szCs w:val="16"/>
              </w:rPr>
              <w:t xml:space="preserve"> février 2020</w:t>
            </w:r>
            <w:r w:rsidR="003844CD" w:rsidRPr="00D62703">
              <w:rPr>
                <w:color w:val="FFFFFF" w:themeColor="background1"/>
                <w:sz w:val="18"/>
                <w:szCs w:val="16"/>
              </w:rPr>
              <w:t>)*</w:t>
            </w:r>
          </w:p>
        </w:tc>
        <w:tc>
          <w:tcPr>
            <w:tcW w:w="1701" w:type="dxa"/>
            <w:shd w:val="clear" w:color="auto" w:fill="595959" w:themeFill="text1" w:themeFillTint="A6"/>
          </w:tcPr>
          <w:p w:rsidR="008C0D19" w:rsidRPr="00D62703" w:rsidRDefault="00A46FB0" w:rsidP="00A93227">
            <w:pPr>
              <w:pStyle w:val="Tabletext"/>
              <w:spacing w:before="20" w:after="20"/>
              <w:jc w:val="center"/>
              <w:rPr>
                <w:color w:val="FFFFFF" w:themeColor="background1"/>
                <w:sz w:val="18"/>
                <w:szCs w:val="16"/>
              </w:rPr>
            </w:pPr>
            <w:r w:rsidRPr="00D62703">
              <w:rPr>
                <w:color w:val="FFFFFF" w:themeColor="background1"/>
                <w:sz w:val="18"/>
                <w:szCs w:val="16"/>
              </w:rPr>
              <w:t>R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éunions </w:t>
            </w:r>
            <w:r w:rsidR="00A93227">
              <w:rPr>
                <w:color w:val="FFFFFF" w:themeColor="background1"/>
                <w:sz w:val="18"/>
                <w:szCs w:val="16"/>
              </w:rPr>
              <w:t>des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 Groupe</w:t>
            </w:r>
            <w:r w:rsidR="00A93227">
              <w:rPr>
                <w:color w:val="FFFFFF" w:themeColor="background1"/>
                <w:sz w:val="18"/>
                <w:szCs w:val="16"/>
              </w:rPr>
              <w:t>s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 du Rapporteur </w:t>
            </w:r>
            <w:r w:rsidR="00CB767F" w:rsidRPr="00D62703">
              <w:rPr>
                <w:color w:val="FFFFFF" w:themeColor="background1"/>
                <w:sz w:val="18"/>
                <w:szCs w:val="16"/>
              </w:rPr>
              <w:br/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>de la CE</w:t>
            </w:r>
            <w:r w:rsidRPr="00D62703">
              <w:rPr>
                <w:color w:val="FFFFFF" w:themeColor="background1"/>
                <w:sz w:val="18"/>
                <w:szCs w:val="16"/>
              </w:rPr>
              <w:t xml:space="preserve"> </w:t>
            </w:r>
            <w:r w:rsidR="003F5949" w:rsidRPr="00D62703">
              <w:rPr>
                <w:color w:val="FFFFFF" w:themeColor="background1"/>
                <w:sz w:val="18"/>
                <w:szCs w:val="16"/>
              </w:rPr>
              <w:t>2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 </w:t>
            </w:r>
            <w:r w:rsidRPr="00D62703">
              <w:rPr>
                <w:color w:val="FFFFFF" w:themeColor="background1"/>
                <w:sz w:val="18"/>
                <w:szCs w:val="16"/>
              </w:rPr>
              <w:br/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>(</w:t>
            </w:r>
            <w:r w:rsidR="003F5949" w:rsidRPr="00D62703">
              <w:rPr>
                <w:color w:val="FFFFFF" w:themeColor="background1"/>
                <w:sz w:val="18"/>
                <w:szCs w:val="16"/>
              </w:rPr>
              <w:t>5-16</w:t>
            </w:r>
            <w:r w:rsidR="008C0D19" w:rsidRPr="00D62703">
              <w:rPr>
                <w:color w:val="FFFFFF" w:themeColor="background1"/>
                <w:sz w:val="18"/>
                <w:szCs w:val="16"/>
              </w:rPr>
              <w:t xml:space="preserve"> octobre 2020)</w:t>
            </w:r>
          </w:p>
        </w:tc>
        <w:tc>
          <w:tcPr>
            <w:tcW w:w="2268" w:type="dxa"/>
            <w:gridSpan w:val="2"/>
            <w:shd w:val="clear" w:color="auto" w:fill="595959" w:themeFill="text1" w:themeFillTint="A6"/>
          </w:tcPr>
          <w:p w:rsidR="008C0D19" w:rsidRPr="00D62703" w:rsidRDefault="008C0D19" w:rsidP="00A93227">
            <w:pPr>
              <w:pStyle w:val="Tabletext"/>
              <w:spacing w:before="20" w:after="20"/>
              <w:jc w:val="center"/>
              <w:rPr>
                <w:color w:val="FFFFFF" w:themeColor="background1"/>
                <w:sz w:val="18"/>
                <w:szCs w:val="16"/>
              </w:rPr>
            </w:pPr>
            <w:r w:rsidRPr="00D62703">
              <w:rPr>
                <w:color w:val="FFFFFF" w:themeColor="background1"/>
                <w:sz w:val="18"/>
                <w:szCs w:val="16"/>
              </w:rPr>
              <w:t xml:space="preserve">4ème réunion annuelle </w:t>
            </w:r>
            <w:r w:rsidR="003F5949" w:rsidRPr="00D62703">
              <w:rPr>
                <w:color w:val="FFFFFF" w:themeColor="background1"/>
                <w:sz w:val="18"/>
                <w:szCs w:val="16"/>
              </w:rPr>
              <w:br/>
            </w:r>
            <w:r w:rsidRPr="00D62703">
              <w:rPr>
                <w:color w:val="FFFFFF" w:themeColor="background1"/>
                <w:sz w:val="18"/>
                <w:szCs w:val="16"/>
              </w:rPr>
              <w:t>de la CE</w:t>
            </w:r>
            <w:r w:rsidR="00A46FB0" w:rsidRPr="00D62703">
              <w:rPr>
                <w:color w:val="FFFFFF" w:themeColor="background1"/>
                <w:sz w:val="18"/>
                <w:szCs w:val="16"/>
              </w:rPr>
              <w:t xml:space="preserve"> </w:t>
            </w:r>
            <w:r w:rsidR="003F5949" w:rsidRPr="00D62703">
              <w:rPr>
                <w:color w:val="FFFFFF" w:themeColor="background1"/>
                <w:sz w:val="18"/>
                <w:szCs w:val="16"/>
              </w:rPr>
              <w:t>2</w:t>
            </w:r>
            <w:r w:rsidR="00A46FB0" w:rsidRPr="00D62703">
              <w:rPr>
                <w:color w:val="FFFFFF" w:themeColor="background1"/>
                <w:sz w:val="18"/>
                <w:szCs w:val="16"/>
              </w:rPr>
              <w:t xml:space="preserve"> </w:t>
            </w:r>
            <w:r w:rsidR="00CB767F" w:rsidRPr="00D62703">
              <w:rPr>
                <w:color w:val="FFFFFF" w:themeColor="background1"/>
                <w:sz w:val="18"/>
                <w:szCs w:val="16"/>
              </w:rPr>
              <w:br/>
            </w:r>
            <w:r w:rsidR="00A46FB0" w:rsidRPr="00D62703">
              <w:rPr>
                <w:color w:val="FFFFFF" w:themeColor="background1"/>
                <w:sz w:val="18"/>
                <w:szCs w:val="16"/>
              </w:rPr>
              <w:t>(</w:t>
            </w:r>
            <w:r w:rsidR="003F5949" w:rsidRPr="00D62703">
              <w:rPr>
                <w:color w:val="FFFFFF" w:themeColor="background1"/>
                <w:sz w:val="18"/>
                <w:szCs w:val="16"/>
              </w:rPr>
              <w:t>22-26</w:t>
            </w:r>
            <w:r w:rsidRPr="00D62703">
              <w:rPr>
                <w:color w:val="FFFFFF" w:themeColor="background1"/>
                <w:sz w:val="18"/>
                <w:szCs w:val="16"/>
              </w:rPr>
              <w:t xml:space="preserve"> mars 2021)</w:t>
            </w:r>
            <w:r w:rsidR="003844CD" w:rsidRPr="00D62703">
              <w:rPr>
                <w:color w:val="FFFFFF" w:themeColor="background1"/>
                <w:sz w:val="18"/>
                <w:szCs w:val="16"/>
              </w:rPr>
              <w:t>*</w:t>
            </w:r>
          </w:p>
        </w:tc>
      </w:tr>
      <w:tr w:rsidR="008C0D19" w:rsidRPr="00D62703" w:rsidTr="00CB767F">
        <w:tc>
          <w:tcPr>
            <w:tcW w:w="14884" w:type="dxa"/>
            <w:gridSpan w:val="9"/>
            <w:shd w:val="clear" w:color="auto" w:fill="595959" w:themeFill="text1" w:themeFillTint="A6"/>
            <w:vAlign w:val="center"/>
          </w:tcPr>
          <w:p w:rsidR="008C0D19" w:rsidRPr="00D62703" w:rsidRDefault="008C0D19" w:rsidP="00A93227">
            <w:pPr>
              <w:pStyle w:val="Tabletext10pt"/>
              <w:jc w:val="center"/>
              <w:rPr>
                <w:color w:val="FFFFFF" w:themeColor="background1"/>
              </w:rPr>
            </w:pPr>
            <w:r w:rsidRPr="00D62703">
              <w:rPr>
                <w:color w:val="FFFFFF" w:themeColor="background1"/>
              </w:rPr>
              <w:t>Des ateliers thématiques, des cours et des séminaires doivent avoir lieu pendant toute la période d'études à Genève et dans les régions</w:t>
            </w:r>
            <w:r w:rsidR="004B0C17" w:rsidRPr="00D62703">
              <w:rPr>
                <w:color w:val="FFFFFF" w:themeColor="background1"/>
              </w:rPr>
              <w:t>,</w:t>
            </w:r>
            <w:r w:rsidRPr="00D62703">
              <w:rPr>
                <w:color w:val="FFFFFF" w:themeColor="background1"/>
              </w:rPr>
              <w:t xml:space="preserve"> en fonction des propositions reçues</w:t>
            </w:r>
            <w:r w:rsidR="0031047C" w:rsidRPr="00D62703">
              <w:rPr>
                <w:color w:val="FFFFFF" w:themeColor="background1"/>
              </w:rPr>
              <w:t>.</w:t>
            </w:r>
          </w:p>
        </w:tc>
      </w:tr>
      <w:tr w:rsidR="008C57E2" w:rsidRPr="00D62703" w:rsidTr="00CB767F">
        <w:tc>
          <w:tcPr>
            <w:tcW w:w="1031" w:type="dxa"/>
            <w:vMerge w:val="restart"/>
            <w:shd w:val="clear" w:color="auto" w:fill="B089FF"/>
            <w:vAlign w:val="center"/>
          </w:tcPr>
          <w:p w:rsidR="008C57E2" w:rsidRPr="00D62703" w:rsidRDefault="00D60141" w:rsidP="00A93227">
            <w:pPr>
              <w:pStyle w:val="Tabletext"/>
              <w:spacing w:before="0" w:after="0"/>
              <w:jc w:val="center"/>
            </w:pPr>
            <w:r w:rsidRPr="00D62703">
              <w:t>Q 1/</w:t>
            </w:r>
            <w:r w:rsidR="008F61B8" w:rsidRPr="00D62703">
              <w:t>2</w:t>
            </w:r>
          </w:p>
        </w:tc>
        <w:tc>
          <w:tcPr>
            <w:tcW w:w="13853" w:type="dxa"/>
            <w:gridSpan w:val="8"/>
            <w:shd w:val="clear" w:color="auto" w:fill="B089FF"/>
            <w:vAlign w:val="center"/>
          </w:tcPr>
          <w:p w:rsidR="008C57E2" w:rsidRPr="00D62703" w:rsidRDefault="008C57E2" w:rsidP="00A93227">
            <w:pPr>
              <w:pStyle w:val="Tabletext10pt"/>
              <w:spacing w:before="0" w:after="0"/>
              <w:jc w:val="center"/>
            </w:pPr>
            <w:r w:rsidRPr="00D62703">
              <w:t xml:space="preserve">L'accent est mis dans la Question sur les lignes directrices, </w:t>
            </w:r>
            <w:r w:rsidR="00085219" w:rsidRPr="00D62703">
              <w:t xml:space="preserve">les études de cas, </w:t>
            </w:r>
            <w:r w:rsidRPr="00D62703">
              <w:t xml:space="preserve">les ateliers, </w:t>
            </w:r>
            <w:r w:rsidR="00085219" w:rsidRPr="00D62703">
              <w:t>les cours et les séminaires</w:t>
            </w:r>
            <w:r w:rsidR="004B0C17" w:rsidRPr="00D62703">
              <w:t>.</w:t>
            </w:r>
          </w:p>
        </w:tc>
      </w:tr>
      <w:tr w:rsidR="00CB767F" w:rsidRPr="00D62703" w:rsidTr="00492E80">
        <w:tc>
          <w:tcPr>
            <w:tcW w:w="1031" w:type="dxa"/>
            <w:vMerge/>
            <w:vAlign w:val="center"/>
          </w:tcPr>
          <w:p w:rsidR="008C57E2" w:rsidRPr="00D62703" w:rsidRDefault="008C57E2" w:rsidP="00A93227">
            <w:pPr>
              <w:pStyle w:val="Tabletext"/>
              <w:spacing w:before="0" w:after="0"/>
              <w:jc w:val="center"/>
            </w:pPr>
          </w:p>
        </w:tc>
        <w:tc>
          <w:tcPr>
            <w:tcW w:w="1516" w:type="dxa"/>
            <w:shd w:val="clear" w:color="auto" w:fill="D3BDFF"/>
          </w:tcPr>
          <w:p w:rsidR="008C57E2" w:rsidRPr="00D62703" w:rsidRDefault="00A46FB0" w:rsidP="00A93227">
            <w:pPr>
              <w:pStyle w:val="Tabletext10pt"/>
              <w:spacing w:before="0" w:after="0"/>
              <w:jc w:val="center"/>
            </w:pPr>
            <w:r w:rsidRPr="00D62703">
              <w:t>Programme de travail et projet de table des matières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C57E2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1985" w:type="dxa"/>
            <w:shd w:val="clear" w:color="auto" w:fill="D3BDFF"/>
          </w:tcPr>
          <w:p w:rsidR="008C57E2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Rapport d'activité annuel</w:t>
            </w:r>
            <w:r w:rsidR="006A04B6" w:rsidRPr="00D62703">
              <w:t>, projet de produit (?)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C57E2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2174" w:type="dxa"/>
            <w:shd w:val="clear" w:color="auto" w:fill="D3BDFF"/>
          </w:tcPr>
          <w:p w:rsidR="008C57E2" w:rsidRPr="00D62703" w:rsidRDefault="00740305" w:rsidP="00A93227">
            <w:pPr>
              <w:pStyle w:val="Tabletext10pt"/>
              <w:spacing w:before="0" w:after="0"/>
              <w:jc w:val="center"/>
            </w:pPr>
            <w:r w:rsidRPr="00D62703">
              <w:t>Rapport d'activité annuel</w:t>
            </w:r>
            <w:r w:rsidR="006A04B6" w:rsidRPr="00D62703">
              <w:t>, projet</w:t>
            </w:r>
            <w:r w:rsidR="00D51D36" w:rsidRPr="00D62703">
              <w:t xml:space="preserve"> de rapport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C57E2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etc.</w:t>
            </w:r>
          </w:p>
        </w:tc>
        <w:tc>
          <w:tcPr>
            <w:tcW w:w="2268" w:type="dxa"/>
            <w:gridSpan w:val="2"/>
            <w:shd w:val="clear" w:color="auto" w:fill="D3BDFF"/>
          </w:tcPr>
          <w:p w:rsidR="008C57E2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Rapport(s) final(s), lignes directrices, projets de Recommandation</w:t>
            </w:r>
          </w:p>
        </w:tc>
      </w:tr>
      <w:tr w:rsidR="0012304F" w:rsidRPr="00D62703" w:rsidTr="00CB767F">
        <w:tc>
          <w:tcPr>
            <w:tcW w:w="1031" w:type="dxa"/>
            <w:vMerge w:val="restart"/>
            <w:shd w:val="clear" w:color="auto" w:fill="0081E2"/>
            <w:vAlign w:val="center"/>
          </w:tcPr>
          <w:p w:rsidR="0012304F" w:rsidRPr="00D62703" w:rsidRDefault="0012304F" w:rsidP="00A93227">
            <w:pPr>
              <w:pStyle w:val="Tabletext"/>
              <w:spacing w:before="0" w:after="0"/>
              <w:jc w:val="center"/>
            </w:pPr>
            <w:r w:rsidRPr="00D62703">
              <w:t>Q 2/</w:t>
            </w:r>
            <w:r w:rsidR="008F61B8" w:rsidRPr="00D62703">
              <w:t>2</w:t>
            </w:r>
          </w:p>
        </w:tc>
        <w:tc>
          <w:tcPr>
            <w:tcW w:w="13853" w:type="dxa"/>
            <w:gridSpan w:val="8"/>
            <w:shd w:val="clear" w:color="auto" w:fill="0081E2"/>
            <w:vAlign w:val="center"/>
          </w:tcPr>
          <w:p w:rsidR="0012304F" w:rsidRPr="00D62703" w:rsidRDefault="00702010" w:rsidP="00A93227">
            <w:pPr>
              <w:pStyle w:val="Tabletext10pt"/>
              <w:spacing w:before="0" w:after="0"/>
              <w:jc w:val="center"/>
              <w:rPr>
                <w:sz w:val="24"/>
              </w:rPr>
            </w:pPr>
            <w:r w:rsidRPr="00D62703">
              <w:t xml:space="preserve">L'accent est mis dans la Question sur </w:t>
            </w:r>
            <w:r w:rsidR="006A04B6" w:rsidRPr="00D62703">
              <w:t>les lignes directrices, les normes techniques et les bonnes pratiques</w:t>
            </w:r>
            <w:r w:rsidRPr="00D62703">
              <w:t>.</w:t>
            </w:r>
          </w:p>
        </w:tc>
      </w:tr>
      <w:tr w:rsidR="00CB767F" w:rsidRPr="00D62703" w:rsidTr="00492E80">
        <w:tc>
          <w:tcPr>
            <w:tcW w:w="1031" w:type="dxa"/>
            <w:vMerge/>
            <w:vAlign w:val="center"/>
          </w:tcPr>
          <w:p w:rsidR="00D60141" w:rsidRPr="00D62703" w:rsidRDefault="00D60141" w:rsidP="00A93227">
            <w:pPr>
              <w:pStyle w:val="Tabletext"/>
              <w:spacing w:before="0" w:after="0"/>
              <w:jc w:val="center"/>
            </w:pPr>
          </w:p>
        </w:tc>
        <w:tc>
          <w:tcPr>
            <w:tcW w:w="1516" w:type="dxa"/>
            <w:shd w:val="clear" w:color="auto" w:fill="2DA5FF"/>
          </w:tcPr>
          <w:p w:rsidR="00D60141" w:rsidRPr="00D62703" w:rsidRDefault="00A46FB0" w:rsidP="00A93227">
            <w:pPr>
              <w:pStyle w:val="Tabletext10pt"/>
              <w:spacing w:before="0" w:after="0"/>
              <w:jc w:val="center"/>
            </w:pPr>
            <w:r w:rsidRPr="00D62703">
              <w:t>Programme de travail et projet de table des matières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1985" w:type="dxa"/>
            <w:shd w:val="clear" w:color="auto" w:fill="2DA5FF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Rapport d'activité annuel, produits annuels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2174" w:type="dxa"/>
            <w:shd w:val="clear" w:color="auto" w:fill="2DA5FF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Rapport d'activité annuel, produits annuels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etc.</w:t>
            </w:r>
          </w:p>
        </w:tc>
        <w:tc>
          <w:tcPr>
            <w:tcW w:w="2268" w:type="dxa"/>
            <w:gridSpan w:val="2"/>
            <w:shd w:val="clear" w:color="auto" w:fill="2DA5FF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Rapport(s) final(s), lignes directrices, projets de Recommandation</w:t>
            </w:r>
          </w:p>
        </w:tc>
      </w:tr>
      <w:tr w:rsidR="0012304F" w:rsidRPr="00D62703" w:rsidTr="00CB767F">
        <w:tc>
          <w:tcPr>
            <w:tcW w:w="1031" w:type="dxa"/>
            <w:vMerge w:val="restart"/>
            <w:shd w:val="clear" w:color="auto" w:fill="51BCF1"/>
            <w:vAlign w:val="center"/>
          </w:tcPr>
          <w:p w:rsidR="0012304F" w:rsidRPr="00D62703" w:rsidRDefault="0012304F" w:rsidP="00A93227">
            <w:pPr>
              <w:pStyle w:val="Tabletext"/>
              <w:spacing w:before="0" w:after="0"/>
              <w:jc w:val="center"/>
            </w:pPr>
            <w:r w:rsidRPr="00D62703">
              <w:t>Q 3/</w:t>
            </w:r>
            <w:r w:rsidR="008F61B8" w:rsidRPr="00D62703">
              <w:t>2</w:t>
            </w:r>
          </w:p>
        </w:tc>
        <w:tc>
          <w:tcPr>
            <w:tcW w:w="13853" w:type="dxa"/>
            <w:gridSpan w:val="8"/>
            <w:shd w:val="clear" w:color="auto" w:fill="51BCF1"/>
            <w:vAlign w:val="center"/>
          </w:tcPr>
          <w:p w:rsidR="0012304F" w:rsidRPr="00D62703" w:rsidRDefault="00702010" w:rsidP="00A93227">
            <w:pPr>
              <w:pStyle w:val="Tabletext10pt"/>
              <w:spacing w:before="0" w:after="0"/>
              <w:jc w:val="center"/>
              <w:rPr>
                <w:sz w:val="24"/>
              </w:rPr>
            </w:pPr>
            <w:r w:rsidRPr="00D62703">
              <w:t xml:space="preserve">L'accent est mis dans la Question sur </w:t>
            </w:r>
            <w:r w:rsidR="00A93227">
              <w:t xml:space="preserve">les </w:t>
            </w:r>
            <w:r w:rsidR="006A04B6" w:rsidRPr="00D62703">
              <w:t>ateliers et les séminaires, ainsi que sur la présentation de partenariats public-privé efficaces</w:t>
            </w:r>
            <w:r w:rsidR="00492E80">
              <w:t>.</w:t>
            </w:r>
          </w:p>
        </w:tc>
      </w:tr>
      <w:tr w:rsidR="00CB767F" w:rsidRPr="00D62703" w:rsidTr="00492E80">
        <w:tc>
          <w:tcPr>
            <w:tcW w:w="1031" w:type="dxa"/>
            <w:vMerge/>
            <w:vAlign w:val="center"/>
          </w:tcPr>
          <w:p w:rsidR="00D60141" w:rsidRPr="00D62703" w:rsidRDefault="00D60141" w:rsidP="00A93227">
            <w:pPr>
              <w:pStyle w:val="Tabletext"/>
              <w:spacing w:before="0" w:after="0"/>
              <w:jc w:val="center"/>
            </w:pPr>
          </w:p>
        </w:tc>
        <w:tc>
          <w:tcPr>
            <w:tcW w:w="1516" w:type="dxa"/>
            <w:shd w:val="clear" w:color="auto" w:fill="89EDFB"/>
          </w:tcPr>
          <w:p w:rsidR="00D60141" w:rsidRPr="00D62703" w:rsidRDefault="00A46FB0" w:rsidP="00A93227">
            <w:pPr>
              <w:pStyle w:val="Tabletext10pt"/>
              <w:spacing w:before="0" w:after="0"/>
              <w:jc w:val="center"/>
            </w:pPr>
            <w:r w:rsidRPr="00D62703">
              <w:t>Programme de travail et projet de table des matières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1985" w:type="dxa"/>
            <w:shd w:val="clear" w:color="auto" w:fill="89EDFB"/>
          </w:tcPr>
          <w:p w:rsidR="00D60141" w:rsidRPr="00D62703" w:rsidRDefault="006A04B6" w:rsidP="00A93227">
            <w:pPr>
              <w:pStyle w:val="Tabletext10pt"/>
              <w:spacing w:before="0" w:after="0"/>
              <w:jc w:val="center"/>
            </w:pPr>
            <w:r w:rsidRPr="00D62703">
              <w:t>Rapport d'activité annuel, projet de produit (?)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2174" w:type="dxa"/>
            <w:shd w:val="clear" w:color="auto" w:fill="89EDFB"/>
          </w:tcPr>
          <w:p w:rsidR="00D60141" w:rsidRPr="00D62703" w:rsidRDefault="006A04B6" w:rsidP="00A93227">
            <w:pPr>
              <w:pStyle w:val="Tabletext10pt"/>
              <w:spacing w:before="0" w:after="0"/>
              <w:jc w:val="center"/>
            </w:pPr>
            <w:r w:rsidRPr="00D62703">
              <w:t>Rapport d'activité annuel, projet de rapport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etc.</w:t>
            </w:r>
          </w:p>
        </w:tc>
        <w:tc>
          <w:tcPr>
            <w:tcW w:w="2268" w:type="dxa"/>
            <w:gridSpan w:val="2"/>
            <w:shd w:val="clear" w:color="auto" w:fill="89EDFB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Rapport(s) final(s), lignes directrices, manuel, projets de Recommandation</w:t>
            </w:r>
          </w:p>
        </w:tc>
      </w:tr>
    </w:tbl>
    <w:p w:rsidR="002B27F6" w:rsidRPr="00D62703" w:rsidRDefault="002B27F6" w:rsidP="00A93227">
      <w:r w:rsidRPr="00D62703">
        <w:br w:type="page"/>
      </w:r>
    </w:p>
    <w:tbl>
      <w:tblPr>
        <w:tblStyle w:val="TableGrid"/>
        <w:tblW w:w="14884" w:type="dxa"/>
        <w:tblInd w:w="-572" w:type="dxa"/>
        <w:tblLook w:val="04A0" w:firstRow="1" w:lastRow="0" w:firstColumn="1" w:lastColumn="0" w:noHBand="0" w:noVBand="1"/>
      </w:tblPr>
      <w:tblGrid>
        <w:gridCol w:w="1031"/>
        <w:gridCol w:w="1516"/>
        <w:gridCol w:w="2126"/>
        <w:gridCol w:w="1985"/>
        <w:gridCol w:w="2083"/>
        <w:gridCol w:w="2174"/>
        <w:gridCol w:w="1554"/>
        <w:gridCol w:w="2415"/>
      </w:tblGrid>
      <w:tr w:rsidR="0012304F" w:rsidRPr="00D62703" w:rsidTr="002B27F6">
        <w:tc>
          <w:tcPr>
            <w:tcW w:w="1031" w:type="dxa"/>
            <w:vMerge w:val="restart"/>
            <w:shd w:val="clear" w:color="auto" w:fill="53A757"/>
            <w:vAlign w:val="center"/>
          </w:tcPr>
          <w:p w:rsidR="0012304F" w:rsidRPr="00D62703" w:rsidRDefault="0012304F" w:rsidP="00A93227">
            <w:pPr>
              <w:pStyle w:val="Tabletext"/>
              <w:spacing w:before="0" w:after="0"/>
              <w:jc w:val="center"/>
            </w:pPr>
            <w:r w:rsidRPr="00D62703">
              <w:lastRenderedPageBreak/>
              <w:t>Q 4/</w:t>
            </w:r>
            <w:r w:rsidR="008F61B8" w:rsidRPr="00D62703">
              <w:t>2</w:t>
            </w:r>
          </w:p>
        </w:tc>
        <w:tc>
          <w:tcPr>
            <w:tcW w:w="13853" w:type="dxa"/>
            <w:gridSpan w:val="7"/>
            <w:shd w:val="clear" w:color="auto" w:fill="53A757"/>
            <w:vAlign w:val="center"/>
          </w:tcPr>
          <w:p w:rsidR="0012304F" w:rsidRPr="00D62703" w:rsidRDefault="00702010" w:rsidP="00A93227">
            <w:pPr>
              <w:pStyle w:val="Tabletext10pt"/>
              <w:keepNext/>
              <w:keepLines/>
              <w:spacing w:before="0" w:after="0"/>
              <w:jc w:val="center"/>
              <w:rPr>
                <w:sz w:val="24"/>
              </w:rPr>
            </w:pPr>
            <w:r w:rsidRPr="00D62703">
              <w:t xml:space="preserve">L'accent est mis dans la Question sur </w:t>
            </w:r>
            <w:r w:rsidR="00A93227">
              <w:t xml:space="preserve">les lignes directrices et </w:t>
            </w:r>
            <w:r w:rsidRPr="00D62703">
              <w:t>les bonnes pratiques</w:t>
            </w:r>
            <w:r w:rsidR="006A04B6" w:rsidRPr="00D62703">
              <w:t>, les questionnaires et les études de cas sur la c</w:t>
            </w:r>
            <w:r w:rsidR="00A93227">
              <w:t xml:space="preserve">onformité et l'interopérabilité </w:t>
            </w:r>
            <w:r w:rsidR="00492E80">
              <w:br/>
            </w:r>
            <w:r w:rsidR="00A93227">
              <w:t>ainsi que sur</w:t>
            </w:r>
            <w:r w:rsidR="006A04B6" w:rsidRPr="00D62703">
              <w:t xml:space="preserve"> </w:t>
            </w:r>
            <w:r w:rsidR="00CE2822" w:rsidRPr="00D62703">
              <w:t xml:space="preserve">la </w:t>
            </w:r>
            <w:r w:rsidR="006A04B6" w:rsidRPr="00D62703">
              <w:rPr>
                <w:color w:val="000000"/>
              </w:rPr>
              <w:t>lutte contre la contrefaçon d’équipements TIC et le vol de dispositifs mobiles</w:t>
            </w:r>
            <w:r w:rsidR="00492E80">
              <w:rPr>
                <w:color w:val="000000"/>
              </w:rPr>
              <w:t>.</w:t>
            </w:r>
          </w:p>
        </w:tc>
      </w:tr>
      <w:tr w:rsidR="00CB767F" w:rsidRPr="00D62703" w:rsidTr="004C49CB">
        <w:tc>
          <w:tcPr>
            <w:tcW w:w="1031" w:type="dxa"/>
            <w:vMerge/>
            <w:vAlign w:val="center"/>
          </w:tcPr>
          <w:p w:rsidR="00D60141" w:rsidRPr="00D62703" w:rsidRDefault="00D60141" w:rsidP="00A93227">
            <w:pPr>
              <w:pStyle w:val="Tabletext"/>
              <w:spacing w:before="0" w:after="0"/>
              <w:jc w:val="center"/>
            </w:pPr>
          </w:p>
        </w:tc>
        <w:tc>
          <w:tcPr>
            <w:tcW w:w="1516" w:type="dxa"/>
            <w:shd w:val="clear" w:color="auto" w:fill="8CC68F"/>
          </w:tcPr>
          <w:p w:rsidR="00D60141" w:rsidRPr="00D62703" w:rsidRDefault="00A46FB0" w:rsidP="00A93227">
            <w:pPr>
              <w:pStyle w:val="Tabletext10pt"/>
              <w:spacing w:before="0" w:after="0"/>
              <w:jc w:val="center"/>
            </w:pPr>
            <w:r w:rsidRPr="00D62703">
              <w:t>Programme de travail et projet de table des matières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1985" w:type="dxa"/>
            <w:shd w:val="clear" w:color="auto" w:fill="8CC68F"/>
          </w:tcPr>
          <w:p w:rsidR="00D60141" w:rsidRPr="00D62703" w:rsidRDefault="00CE2822" w:rsidP="00A93227">
            <w:pPr>
              <w:pStyle w:val="Tabletext10pt"/>
              <w:spacing w:before="0" w:after="0"/>
              <w:jc w:val="center"/>
            </w:pPr>
            <w:r w:rsidRPr="00D62703">
              <w:t>Rapport d'activité annuel, projet de produit (?)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keepNext/>
              <w:keepLines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2174" w:type="dxa"/>
            <w:shd w:val="clear" w:color="auto" w:fill="8CC68F"/>
          </w:tcPr>
          <w:p w:rsidR="00D60141" w:rsidRPr="00D62703" w:rsidRDefault="00CE2822" w:rsidP="00A93227">
            <w:pPr>
              <w:pStyle w:val="Tabletext10pt"/>
              <w:spacing w:before="0" w:after="0"/>
              <w:jc w:val="center"/>
            </w:pPr>
            <w:r w:rsidRPr="00D62703">
              <w:t>Rapport d'activité annuel, projet de produit (?)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etc.</w:t>
            </w:r>
          </w:p>
        </w:tc>
        <w:tc>
          <w:tcPr>
            <w:tcW w:w="2415" w:type="dxa"/>
            <w:shd w:val="clear" w:color="auto" w:fill="8CC68F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Rapport(s) final(s), lignes directrices, projets de Recommandation</w:t>
            </w:r>
          </w:p>
        </w:tc>
      </w:tr>
      <w:tr w:rsidR="0012304F" w:rsidRPr="00D62703" w:rsidTr="002B27F6">
        <w:tc>
          <w:tcPr>
            <w:tcW w:w="1031" w:type="dxa"/>
            <w:vMerge w:val="restart"/>
            <w:shd w:val="clear" w:color="auto" w:fill="EDD62F"/>
            <w:vAlign w:val="center"/>
          </w:tcPr>
          <w:p w:rsidR="0012304F" w:rsidRPr="00D62703" w:rsidRDefault="0012304F" w:rsidP="00A93227">
            <w:pPr>
              <w:pStyle w:val="Tabletext"/>
              <w:spacing w:before="0" w:after="0"/>
              <w:jc w:val="center"/>
            </w:pPr>
            <w:r w:rsidRPr="00D62703">
              <w:t>Q 5/</w:t>
            </w:r>
            <w:r w:rsidR="008F61B8" w:rsidRPr="00D62703">
              <w:t>2</w:t>
            </w:r>
          </w:p>
        </w:tc>
        <w:tc>
          <w:tcPr>
            <w:tcW w:w="13853" w:type="dxa"/>
            <w:gridSpan w:val="7"/>
            <w:shd w:val="clear" w:color="auto" w:fill="EDD62F"/>
            <w:vAlign w:val="center"/>
          </w:tcPr>
          <w:p w:rsidR="0012304F" w:rsidRPr="00D62703" w:rsidRDefault="00702010" w:rsidP="00A93227">
            <w:pPr>
              <w:pStyle w:val="Tabletext10pt"/>
              <w:spacing w:before="0" w:after="0"/>
              <w:jc w:val="center"/>
              <w:rPr>
                <w:sz w:val="24"/>
              </w:rPr>
            </w:pPr>
            <w:r w:rsidRPr="00D62703">
              <w:t xml:space="preserve">L'accent est mis dans la Question sur les bonnes pratiques </w:t>
            </w:r>
            <w:r w:rsidR="00CE2822" w:rsidRPr="00D62703">
              <w:t xml:space="preserve">et sur le partage d'expériences au niveau national en matière de préparation en prévision des catastrophes, </w:t>
            </w:r>
            <w:r w:rsidR="00CE2822" w:rsidRPr="00D62703">
              <w:rPr>
                <w:color w:val="000000"/>
              </w:rPr>
              <w:t>d'atténuat</w:t>
            </w:r>
            <w:r w:rsidR="00A93227">
              <w:rPr>
                <w:color w:val="000000"/>
              </w:rPr>
              <w:t>ion des effets des catastrophes et</w:t>
            </w:r>
            <w:r w:rsidR="00CE2822" w:rsidRPr="00D62703">
              <w:rPr>
                <w:color w:val="000000"/>
              </w:rPr>
              <w:t xml:space="preserve"> d'opérations de secours, ainsi qu'en matière d'élaboration de plans </w:t>
            </w:r>
            <w:r w:rsidR="00A93227">
              <w:rPr>
                <w:color w:val="000000"/>
              </w:rPr>
              <w:t xml:space="preserve">nationaux </w:t>
            </w:r>
            <w:r w:rsidR="00CE2822" w:rsidRPr="00D62703">
              <w:rPr>
                <w:color w:val="000000"/>
              </w:rPr>
              <w:t>s</w:t>
            </w:r>
            <w:r w:rsidR="00A93227">
              <w:rPr>
                <w:color w:val="000000"/>
              </w:rPr>
              <w:t>ur les communications en cas de </w:t>
            </w:r>
            <w:r w:rsidR="00CE2822" w:rsidRPr="00D62703">
              <w:rPr>
                <w:color w:val="000000"/>
              </w:rPr>
              <w:t>catastrophe</w:t>
            </w:r>
            <w:r w:rsidR="00492E80">
              <w:rPr>
                <w:color w:val="000000"/>
              </w:rPr>
              <w:t>.</w:t>
            </w:r>
          </w:p>
        </w:tc>
      </w:tr>
      <w:tr w:rsidR="00CB767F" w:rsidRPr="00D62703" w:rsidTr="004C49CB">
        <w:tc>
          <w:tcPr>
            <w:tcW w:w="1031" w:type="dxa"/>
            <w:vMerge/>
            <w:vAlign w:val="center"/>
          </w:tcPr>
          <w:p w:rsidR="00D60141" w:rsidRPr="00D62703" w:rsidRDefault="00D60141" w:rsidP="00A93227">
            <w:pPr>
              <w:pStyle w:val="Tabletext"/>
              <w:spacing w:before="0" w:after="0"/>
              <w:jc w:val="center"/>
            </w:pPr>
          </w:p>
        </w:tc>
        <w:tc>
          <w:tcPr>
            <w:tcW w:w="1516" w:type="dxa"/>
            <w:shd w:val="clear" w:color="auto" w:fill="F2E26A"/>
          </w:tcPr>
          <w:p w:rsidR="00D60141" w:rsidRPr="00D62703" w:rsidRDefault="00A46FB0" w:rsidP="00A93227">
            <w:pPr>
              <w:pStyle w:val="Tabletext10pt"/>
              <w:spacing w:before="0" w:after="0"/>
              <w:jc w:val="center"/>
            </w:pPr>
            <w:r w:rsidRPr="00D62703">
              <w:t>Programme de travail et projet de table des matières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1985" w:type="dxa"/>
            <w:shd w:val="clear" w:color="auto" w:fill="F2E26A"/>
          </w:tcPr>
          <w:p w:rsidR="00D60141" w:rsidRPr="00D62703" w:rsidRDefault="00CE2822" w:rsidP="00A93227">
            <w:pPr>
              <w:pStyle w:val="Tabletext10pt"/>
              <w:spacing w:before="0" w:after="0"/>
              <w:jc w:val="center"/>
            </w:pPr>
            <w:r w:rsidRPr="00D62703">
              <w:t>Rapport d'activité annuel, produits annuels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2174" w:type="dxa"/>
            <w:shd w:val="clear" w:color="auto" w:fill="F2E26A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Rapport d'activité annuel, produits annuels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etc.</w:t>
            </w:r>
          </w:p>
        </w:tc>
        <w:tc>
          <w:tcPr>
            <w:tcW w:w="2415" w:type="dxa"/>
            <w:shd w:val="clear" w:color="auto" w:fill="F2E26A"/>
          </w:tcPr>
          <w:p w:rsidR="00D60141" w:rsidRPr="00D62703" w:rsidRDefault="006A04B6" w:rsidP="00A93227">
            <w:pPr>
              <w:pStyle w:val="Tabletext10pt"/>
              <w:spacing w:before="0" w:after="0"/>
              <w:jc w:val="center"/>
            </w:pPr>
            <w:r w:rsidRPr="00D62703">
              <w:t>Rapport(s) final(s), lignes directrices, projets de Recommandation</w:t>
            </w:r>
          </w:p>
        </w:tc>
      </w:tr>
      <w:tr w:rsidR="0012304F" w:rsidRPr="00D62703" w:rsidTr="002B27F6">
        <w:tc>
          <w:tcPr>
            <w:tcW w:w="1031" w:type="dxa"/>
            <w:vMerge w:val="restart"/>
            <w:shd w:val="clear" w:color="auto" w:fill="E9832F"/>
            <w:vAlign w:val="center"/>
          </w:tcPr>
          <w:p w:rsidR="0012304F" w:rsidRPr="00D62703" w:rsidRDefault="0012304F" w:rsidP="00A93227">
            <w:pPr>
              <w:pStyle w:val="Tabletext"/>
              <w:spacing w:before="0" w:after="0"/>
              <w:jc w:val="center"/>
            </w:pPr>
            <w:r w:rsidRPr="00D62703">
              <w:t>Q 6/</w:t>
            </w:r>
            <w:r w:rsidR="008F61B8" w:rsidRPr="00D62703">
              <w:t>2</w:t>
            </w:r>
          </w:p>
        </w:tc>
        <w:tc>
          <w:tcPr>
            <w:tcW w:w="13853" w:type="dxa"/>
            <w:gridSpan w:val="7"/>
            <w:shd w:val="clear" w:color="auto" w:fill="E9832F"/>
            <w:vAlign w:val="center"/>
          </w:tcPr>
          <w:p w:rsidR="0012304F" w:rsidRPr="00D62703" w:rsidRDefault="00702010" w:rsidP="00A93227">
            <w:pPr>
              <w:pStyle w:val="Tabletext10pt"/>
              <w:spacing w:before="0" w:after="0"/>
              <w:jc w:val="center"/>
            </w:pPr>
            <w:r w:rsidRPr="00D62703">
              <w:t xml:space="preserve">L'accent est mis dans la Question sur les </w:t>
            </w:r>
            <w:r w:rsidR="00CE2822" w:rsidRPr="00D62703">
              <w:t>stratégies</w:t>
            </w:r>
            <w:r w:rsidRPr="00D62703">
              <w:t>,</w:t>
            </w:r>
            <w:r w:rsidR="00CE2822" w:rsidRPr="00D62703">
              <w:t xml:space="preserve"> les lignes directrices et</w:t>
            </w:r>
            <w:r w:rsidRPr="00D62703">
              <w:t xml:space="preserve"> les bonnes pratiques</w:t>
            </w:r>
          </w:p>
        </w:tc>
      </w:tr>
      <w:tr w:rsidR="00CB767F" w:rsidRPr="00D62703" w:rsidTr="004C49CB">
        <w:tc>
          <w:tcPr>
            <w:tcW w:w="1031" w:type="dxa"/>
            <w:vMerge/>
            <w:vAlign w:val="center"/>
          </w:tcPr>
          <w:p w:rsidR="00D60141" w:rsidRPr="00D62703" w:rsidRDefault="00D60141" w:rsidP="00A93227">
            <w:pPr>
              <w:pStyle w:val="Tabletext"/>
              <w:spacing w:before="0" w:after="0"/>
              <w:jc w:val="center"/>
            </w:pPr>
          </w:p>
        </w:tc>
        <w:tc>
          <w:tcPr>
            <w:tcW w:w="1516" w:type="dxa"/>
            <w:shd w:val="clear" w:color="auto" w:fill="F0AC74"/>
          </w:tcPr>
          <w:p w:rsidR="00D60141" w:rsidRPr="00D62703" w:rsidRDefault="00A46FB0" w:rsidP="00A93227">
            <w:pPr>
              <w:pStyle w:val="Tabletext10pt"/>
              <w:spacing w:before="0" w:after="0"/>
              <w:jc w:val="center"/>
            </w:pPr>
            <w:r w:rsidRPr="00D62703">
              <w:t>Programme de travail et projet de table des matières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1985" w:type="dxa"/>
            <w:shd w:val="clear" w:color="auto" w:fill="F0AC74"/>
          </w:tcPr>
          <w:p w:rsidR="00D60141" w:rsidRPr="00D62703" w:rsidRDefault="00CE2822" w:rsidP="00A93227">
            <w:pPr>
              <w:pStyle w:val="Tabletext10pt"/>
              <w:spacing w:before="0" w:after="0"/>
              <w:jc w:val="center"/>
            </w:pPr>
            <w:r w:rsidRPr="00D62703">
              <w:t>Rap</w:t>
            </w:r>
            <w:r w:rsidR="00A93227">
              <w:t>port d'activité annuel, produit</w:t>
            </w:r>
            <w:r w:rsidRPr="00D62703">
              <w:t xml:space="preserve"> annuel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2174" w:type="dxa"/>
            <w:shd w:val="clear" w:color="auto" w:fill="F0AC74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Rapport d'activité annuel, rapport intérimaire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etc.</w:t>
            </w:r>
          </w:p>
        </w:tc>
        <w:tc>
          <w:tcPr>
            <w:tcW w:w="2415" w:type="dxa"/>
            <w:shd w:val="clear" w:color="auto" w:fill="F0AC74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Rapport(s) final(s), lignes directrices, projets de Recommandation</w:t>
            </w:r>
          </w:p>
        </w:tc>
      </w:tr>
      <w:tr w:rsidR="0012304F" w:rsidRPr="00D62703" w:rsidTr="002B27F6">
        <w:tc>
          <w:tcPr>
            <w:tcW w:w="1031" w:type="dxa"/>
            <w:vMerge w:val="restart"/>
            <w:shd w:val="clear" w:color="auto" w:fill="FB3919"/>
            <w:vAlign w:val="center"/>
          </w:tcPr>
          <w:p w:rsidR="0012304F" w:rsidRPr="00D62703" w:rsidRDefault="0012304F" w:rsidP="00A93227">
            <w:pPr>
              <w:pStyle w:val="Tabletext"/>
              <w:spacing w:before="0" w:after="0"/>
              <w:jc w:val="center"/>
            </w:pPr>
            <w:r w:rsidRPr="00D62703">
              <w:t>Q 7/</w:t>
            </w:r>
            <w:r w:rsidR="008F61B8" w:rsidRPr="00D62703">
              <w:t>2</w:t>
            </w:r>
          </w:p>
        </w:tc>
        <w:tc>
          <w:tcPr>
            <w:tcW w:w="13853" w:type="dxa"/>
            <w:gridSpan w:val="7"/>
            <w:shd w:val="clear" w:color="auto" w:fill="FB3919"/>
            <w:vAlign w:val="center"/>
          </w:tcPr>
          <w:p w:rsidR="0012304F" w:rsidRPr="00D62703" w:rsidRDefault="00702010" w:rsidP="00A93227">
            <w:pPr>
              <w:pStyle w:val="Tabletext10pt"/>
              <w:spacing w:before="0" w:after="0"/>
              <w:jc w:val="center"/>
              <w:rPr>
                <w:sz w:val="24"/>
              </w:rPr>
            </w:pPr>
            <w:r w:rsidRPr="00D62703">
              <w:t>L'accent est mis dans la Question sur les bonnes pratiques</w:t>
            </w:r>
            <w:r w:rsidR="00CE2822" w:rsidRPr="00D62703">
              <w:t xml:space="preserve"> et les lignes directrices, ainsi que sur les</w:t>
            </w:r>
            <w:r w:rsidRPr="00D62703">
              <w:t xml:space="preserve"> ateliers et les séminaires pour échanger des données d'expérience et sensibiliser l'opinion</w:t>
            </w:r>
            <w:r w:rsidR="00436C87" w:rsidRPr="00D62703">
              <w:t>.</w:t>
            </w:r>
          </w:p>
        </w:tc>
      </w:tr>
      <w:tr w:rsidR="00CB767F" w:rsidRPr="00D62703" w:rsidTr="004C49CB">
        <w:tc>
          <w:tcPr>
            <w:tcW w:w="103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60141" w:rsidRPr="00D62703" w:rsidRDefault="00D60141" w:rsidP="00A93227">
            <w:pPr>
              <w:pStyle w:val="Tabletext"/>
              <w:spacing w:before="0" w:after="0"/>
              <w:jc w:val="center"/>
            </w:pPr>
          </w:p>
        </w:tc>
        <w:tc>
          <w:tcPr>
            <w:tcW w:w="1516" w:type="dxa"/>
            <w:shd w:val="clear" w:color="auto" w:fill="FC8470"/>
          </w:tcPr>
          <w:p w:rsidR="00D60141" w:rsidRPr="00D62703" w:rsidRDefault="00A46FB0" w:rsidP="00A93227">
            <w:pPr>
              <w:pStyle w:val="Tabletext10pt"/>
              <w:spacing w:before="0" w:after="0"/>
              <w:jc w:val="center"/>
            </w:pPr>
            <w:r w:rsidRPr="00D62703">
              <w:t>Programme de travail et projet de table des matières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1985" w:type="dxa"/>
            <w:shd w:val="clear" w:color="auto" w:fill="FC8470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Rapport d'activité annuel, rapport</w:t>
            </w:r>
            <w:r w:rsidR="00CE2822" w:rsidRPr="00D62703">
              <w:t xml:space="preserve"> provisoire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études de cas, etc.</w:t>
            </w:r>
          </w:p>
        </w:tc>
        <w:tc>
          <w:tcPr>
            <w:tcW w:w="2174" w:type="dxa"/>
            <w:shd w:val="clear" w:color="auto" w:fill="FC8470"/>
          </w:tcPr>
          <w:p w:rsidR="00D60141" w:rsidRPr="00D62703" w:rsidRDefault="00CE2822" w:rsidP="00A93227">
            <w:pPr>
              <w:pStyle w:val="Tabletext10pt"/>
              <w:spacing w:before="0" w:after="0"/>
              <w:jc w:val="center"/>
            </w:pPr>
            <w:r w:rsidRPr="00D62703">
              <w:t>Rapport d'activité annuel, rapport provisoire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Rédaction, etc.</w:t>
            </w:r>
          </w:p>
        </w:tc>
        <w:tc>
          <w:tcPr>
            <w:tcW w:w="2415" w:type="dxa"/>
            <w:shd w:val="clear" w:color="auto" w:fill="FC8470"/>
          </w:tcPr>
          <w:p w:rsidR="00D60141" w:rsidRPr="00D62703" w:rsidRDefault="008A4EA2" w:rsidP="00A93227">
            <w:pPr>
              <w:pStyle w:val="Tabletext10pt"/>
              <w:spacing w:before="0" w:after="0"/>
              <w:jc w:val="center"/>
            </w:pPr>
            <w:r w:rsidRPr="00D62703">
              <w:t>Rapport(s) final(s), lignes directrices, projets de Recommandation</w:t>
            </w:r>
          </w:p>
        </w:tc>
      </w:tr>
      <w:tr w:rsidR="00CB767F" w:rsidRPr="00D62703" w:rsidTr="000A35CD">
        <w:tc>
          <w:tcPr>
            <w:tcW w:w="1031" w:type="dxa"/>
            <w:tcBorders>
              <w:left w:val="nil"/>
              <w:bottom w:val="nil"/>
            </w:tcBorders>
            <w:vAlign w:val="center"/>
          </w:tcPr>
          <w:p w:rsidR="00D60141" w:rsidRPr="00D62703" w:rsidRDefault="00D60141" w:rsidP="00A93227">
            <w:pPr>
              <w:pStyle w:val="Tabletext"/>
              <w:spacing w:before="0" w:after="0"/>
              <w:jc w:val="center"/>
              <w:rPr>
                <w:color w:val="FFFFFF" w:themeColor="background1"/>
              </w:rPr>
            </w:pPr>
          </w:p>
        </w:tc>
        <w:tc>
          <w:tcPr>
            <w:tcW w:w="1516" w:type="dxa"/>
            <w:shd w:val="clear" w:color="auto" w:fill="000000" w:themeFill="text1"/>
          </w:tcPr>
          <w:p w:rsidR="00D60141" w:rsidRPr="00D62703" w:rsidRDefault="00933CC9" w:rsidP="00A93227">
            <w:pPr>
              <w:pStyle w:val="Tabletext10pt"/>
              <w:spacing w:before="0" w:after="0"/>
              <w:jc w:val="center"/>
              <w:rPr>
                <w:color w:val="FFFFFF" w:themeColor="background1"/>
              </w:rPr>
            </w:pPr>
            <w:r w:rsidRPr="00D62703">
              <w:rPr>
                <w:color w:val="FFFFFF" w:themeColor="background1"/>
              </w:rPr>
              <w:t>S</w:t>
            </w:r>
            <w:r w:rsidR="00702010" w:rsidRPr="00D62703">
              <w:rPr>
                <w:color w:val="FFFFFF" w:themeColor="background1"/>
              </w:rPr>
              <w:t>éance</w:t>
            </w:r>
            <w:r w:rsidR="00CE2822" w:rsidRPr="00D62703">
              <w:rPr>
                <w:color w:val="FFFFFF" w:themeColor="background1"/>
              </w:rPr>
              <w:t>s</w:t>
            </w:r>
            <w:r w:rsidR="00702010" w:rsidRPr="00D62703">
              <w:rPr>
                <w:color w:val="FFFFFF" w:themeColor="background1"/>
              </w:rPr>
              <w:t xml:space="preserve"> d'information sur les outils disponibles, les méthodes de travail, etc.</w:t>
            </w:r>
          </w:p>
        </w:tc>
        <w:tc>
          <w:tcPr>
            <w:tcW w:w="2126" w:type="dxa"/>
          </w:tcPr>
          <w:p w:rsidR="00D60141" w:rsidRPr="00D62703" w:rsidRDefault="00D60141" w:rsidP="00A93227">
            <w:pPr>
              <w:pStyle w:val="Tabletext10pt"/>
              <w:spacing w:before="0" w:after="0"/>
              <w:jc w:val="center"/>
              <w:rPr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:rsidR="00D60141" w:rsidRPr="00D62703" w:rsidRDefault="00702010" w:rsidP="00A93227">
            <w:pPr>
              <w:pStyle w:val="Tabletext10pt"/>
              <w:spacing w:before="0" w:after="0"/>
              <w:jc w:val="center"/>
              <w:rPr>
                <w:color w:val="FFFFFF" w:themeColor="background1"/>
              </w:rPr>
            </w:pPr>
            <w:r w:rsidRPr="00D62703">
              <w:rPr>
                <w:color w:val="FFFFFF" w:themeColor="background1"/>
              </w:rPr>
              <w:t xml:space="preserve">Enquêtes éventuelles à communiquer pour approbation à la réunion de la CE </w:t>
            </w:r>
            <w:r w:rsidR="00BD67F1" w:rsidRPr="00D62703">
              <w:rPr>
                <w:color w:val="FFFFFF" w:themeColor="background1"/>
              </w:rPr>
              <w:t>2</w:t>
            </w:r>
          </w:p>
        </w:tc>
        <w:tc>
          <w:tcPr>
            <w:tcW w:w="2083" w:type="dxa"/>
          </w:tcPr>
          <w:p w:rsidR="00D60141" w:rsidRPr="00D62703" w:rsidRDefault="00D60141" w:rsidP="00A93227">
            <w:pPr>
              <w:pStyle w:val="Tabletext10pt"/>
              <w:spacing w:before="0" w:after="0"/>
              <w:jc w:val="center"/>
              <w:rPr>
                <w:color w:val="FFFFFF" w:themeColor="background1"/>
              </w:rPr>
            </w:pPr>
          </w:p>
        </w:tc>
        <w:tc>
          <w:tcPr>
            <w:tcW w:w="2174" w:type="dxa"/>
            <w:shd w:val="clear" w:color="auto" w:fill="000000" w:themeFill="text1"/>
          </w:tcPr>
          <w:p w:rsidR="00D60141" w:rsidRPr="00D62703" w:rsidRDefault="00702010" w:rsidP="00A93227">
            <w:pPr>
              <w:pStyle w:val="Tabletext10pt"/>
              <w:spacing w:before="0" w:after="0"/>
              <w:jc w:val="center"/>
              <w:rPr>
                <w:color w:val="FFFFFF" w:themeColor="background1"/>
              </w:rPr>
            </w:pPr>
            <w:r w:rsidRPr="00D62703">
              <w:rPr>
                <w:color w:val="FFFFFF" w:themeColor="background1"/>
              </w:rPr>
              <w:t>Résultats de l'enquête à analyser et à intégrer</w:t>
            </w:r>
            <w:r w:rsidR="00B64BF7" w:rsidRPr="00D62703">
              <w:rPr>
                <w:color w:val="FFFFFF" w:themeColor="background1"/>
              </w:rPr>
              <w:t xml:space="preserve">. </w:t>
            </w:r>
            <w:r w:rsidR="00B64BF7" w:rsidRPr="00D62703">
              <w:rPr>
                <w:color w:val="FFFFFF" w:themeColor="background1"/>
              </w:rPr>
              <w:br/>
              <w:t>Etudes de cas versées dans la bibliothèque.</w:t>
            </w:r>
            <w:r w:rsidR="00B64BF7" w:rsidRPr="00D62703">
              <w:rPr>
                <w:color w:val="FFFFFF" w:themeColor="background1"/>
              </w:rPr>
              <w:br/>
              <w:t>Avenir des Questions</w:t>
            </w:r>
          </w:p>
        </w:tc>
        <w:tc>
          <w:tcPr>
            <w:tcW w:w="1554" w:type="dxa"/>
            <w:shd w:val="clear" w:color="auto" w:fill="FFFFFF" w:themeFill="background1"/>
          </w:tcPr>
          <w:p w:rsidR="00D60141" w:rsidRPr="00D62703" w:rsidRDefault="00D60141" w:rsidP="00A93227">
            <w:pPr>
              <w:pStyle w:val="Tabletext10pt"/>
              <w:spacing w:before="0" w:after="0"/>
              <w:jc w:val="center"/>
              <w:rPr>
                <w:color w:val="FFFFFF" w:themeColor="background1"/>
              </w:rPr>
            </w:pPr>
          </w:p>
        </w:tc>
        <w:tc>
          <w:tcPr>
            <w:tcW w:w="2415" w:type="dxa"/>
            <w:shd w:val="clear" w:color="auto" w:fill="000000" w:themeFill="text1"/>
          </w:tcPr>
          <w:p w:rsidR="00D60141" w:rsidRPr="00D62703" w:rsidRDefault="00B64BF7" w:rsidP="00A93227">
            <w:pPr>
              <w:pStyle w:val="Tabletext10pt"/>
              <w:spacing w:before="0" w:after="0"/>
              <w:jc w:val="center"/>
              <w:rPr>
                <w:color w:val="FFFFFF" w:themeColor="background1"/>
                <w:sz w:val="24"/>
              </w:rPr>
            </w:pPr>
            <w:r w:rsidRPr="00D62703">
              <w:rPr>
                <w:color w:val="FFFFFF" w:themeColor="background1"/>
              </w:rPr>
              <w:t>Accord concernant les produits att</w:t>
            </w:r>
            <w:r w:rsidR="00501932" w:rsidRPr="00D62703">
              <w:rPr>
                <w:color w:val="FFFFFF" w:themeColor="background1"/>
              </w:rPr>
              <w:t>endus qui seront présentés à la </w:t>
            </w:r>
            <w:r w:rsidRPr="00D62703">
              <w:rPr>
                <w:color w:val="FFFFFF" w:themeColor="background1"/>
              </w:rPr>
              <w:t>CMDT-21, avenir des Questions et propositions d'amélioration</w:t>
            </w:r>
          </w:p>
        </w:tc>
      </w:tr>
    </w:tbl>
    <w:p w:rsidR="008C0D19" w:rsidRPr="00D62703" w:rsidRDefault="00CE2822" w:rsidP="00A93227">
      <w:pPr>
        <w:tabs>
          <w:tab w:val="clear" w:pos="794"/>
          <w:tab w:val="left" w:pos="426"/>
        </w:tabs>
        <w:spacing w:before="240"/>
      </w:pPr>
      <w:r w:rsidRPr="00D62703">
        <w:t>*</w:t>
      </w:r>
      <w:r w:rsidRPr="00D62703">
        <w:tab/>
        <w:t>Réunion de l'é</w:t>
      </w:r>
      <w:r w:rsidR="00D51D36" w:rsidRPr="00D62703">
        <w:t>quipe de direction de la CE </w:t>
      </w:r>
      <w:r w:rsidR="008F61B8" w:rsidRPr="00D62703">
        <w:t>2</w:t>
      </w:r>
      <w:r w:rsidR="00D51D36" w:rsidRPr="00D62703">
        <w:t>.</w:t>
      </w:r>
    </w:p>
    <w:p w:rsidR="00740305" w:rsidRPr="00D62703" w:rsidRDefault="00740305" w:rsidP="00A93227">
      <w:pPr>
        <w:tabs>
          <w:tab w:val="clear" w:pos="794"/>
          <w:tab w:val="left" w:pos="426"/>
        </w:tabs>
        <w:spacing w:before="240"/>
      </w:pPr>
    </w:p>
    <w:p w:rsidR="00836BDB" w:rsidRPr="00D62703" w:rsidRDefault="003C58BF" w:rsidP="00A9322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D62703">
        <w:t>_____________</w:t>
      </w:r>
      <w:r w:rsidR="004122C5" w:rsidRPr="00D62703">
        <w:t>_</w:t>
      </w:r>
      <w:r w:rsidR="00922EC1" w:rsidRPr="00D62703">
        <w:t>_</w:t>
      </w:r>
    </w:p>
    <w:sectPr w:rsidR="00836BDB" w:rsidRPr="00D62703" w:rsidSect="006F017D">
      <w:headerReference w:type="default" r:id="rId13"/>
      <w:headerReference w:type="first" r:id="rId14"/>
      <w:footerReference w:type="first" r:id="rId15"/>
      <w:pgSz w:w="16834" w:h="11907" w:orient="landscape" w:code="9"/>
      <w:pgMar w:top="1134" w:right="1418" w:bottom="1134" w:left="1418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EB" w:rsidRDefault="000112EB">
      <w:r>
        <w:separator/>
      </w:r>
    </w:p>
  </w:endnote>
  <w:endnote w:type="continuationSeparator" w:id="0">
    <w:p w:rsidR="000112EB" w:rsidRDefault="0001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EB" w:rsidRPr="00A93227" w:rsidRDefault="000112EB" w:rsidP="006C2F1B">
    <w:pPr>
      <w:pStyle w:val="Footer"/>
      <w:rPr>
        <w:lang w:val="es-ES_tradnl"/>
      </w:rPr>
    </w:pPr>
    <w:r>
      <w:fldChar w:fldCharType="begin"/>
    </w:r>
    <w:r w:rsidRPr="00A93227">
      <w:rPr>
        <w:lang w:val="es-ES_tradnl"/>
      </w:rPr>
      <w:instrText xml:space="preserve"> FILENAME \p  \* MERGEFORMAT </w:instrText>
    </w:r>
    <w:r>
      <w:fldChar w:fldCharType="separate"/>
    </w:r>
    <w:r w:rsidR="00A93227" w:rsidRPr="00A93227">
      <w:rPr>
        <w:lang w:val="es-ES_tradnl"/>
      </w:rPr>
      <w:t>P:\FRA\ITU-D\CONF-D\TDAG18\000\013F.docx</w:t>
    </w:r>
    <w:r>
      <w:fldChar w:fldCharType="end"/>
    </w:r>
    <w:r w:rsidR="00012E2E" w:rsidRPr="00A93227">
      <w:rPr>
        <w:lang w:val="es-ES_tradnl"/>
      </w:rPr>
      <w:t xml:space="preserve"> (428703</w:t>
    </w:r>
    <w:r w:rsidRPr="00A93227">
      <w:rPr>
        <w:lang w:val="es-ES_tradnl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56788" w:rsidRPr="004D495C" w:rsidTr="0025678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256788" w:rsidRPr="004D495C" w:rsidRDefault="00256788" w:rsidP="00362F5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256788" w:rsidRPr="004D495C" w:rsidRDefault="00256788" w:rsidP="00362F5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256788" w:rsidRPr="00256788" w:rsidRDefault="00256788" w:rsidP="00362F5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fr-CH"/>
            </w:rPr>
          </w:pPr>
          <w:r w:rsidRPr="00256788">
            <w:rPr>
              <w:sz w:val="18"/>
              <w:szCs w:val="18"/>
              <w:lang w:val="fr-CH"/>
            </w:rPr>
            <w:t>M. Ahmad Reza Sharafat, Président de la Commission</w:t>
          </w:r>
          <w:r>
            <w:rPr>
              <w:sz w:val="18"/>
              <w:szCs w:val="18"/>
              <w:lang w:val="fr-CH"/>
            </w:rPr>
            <w:t xml:space="preserve"> d'études</w:t>
          </w:r>
          <w:r w:rsidRPr="00256788">
            <w:rPr>
              <w:sz w:val="18"/>
              <w:szCs w:val="18"/>
              <w:lang w:val="fr-CH"/>
            </w:rPr>
            <w:t xml:space="preserve"> 2 de l'UIT-D</w:t>
          </w:r>
        </w:p>
      </w:tc>
      <w:bookmarkStart w:id="7" w:name="OrgName"/>
      <w:bookmarkEnd w:id="7"/>
    </w:tr>
    <w:tr w:rsidR="00256788" w:rsidRPr="004D495C" w:rsidTr="00256788">
      <w:tc>
        <w:tcPr>
          <w:tcW w:w="1526" w:type="dxa"/>
          <w:shd w:val="clear" w:color="auto" w:fill="auto"/>
        </w:tcPr>
        <w:p w:rsidR="00256788" w:rsidRPr="006F017D" w:rsidRDefault="00256788" w:rsidP="00362F5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:rsidR="00256788" w:rsidRPr="00256788" w:rsidRDefault="00256788" w:rsidP="00362F5F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256788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5987" w:type="dxa"/>
        </w:tcPr>
        <w:p w:rsidR="00256788" w:rsidRPr="004F6CC8" w:rsidRDefault="00256788" w:rsidP="00362F5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256788">
            <w:rPr>
              <w:sz w:val="18"/>
              <w:szCs w:val="18"/>
              <w:lang w:val="fr-CH"/>
            </w:rPr>
            <w:t>+98 912 106 1716, +</w:t>
          </w:r>
          <w:r>
            <w:rPr>
              <w:sz w:val="18"/>
              <w:szCs w:val="18"/>
              <w:lang w:val="en-US"/>
            </w:rPr>
            <w:t>41 76 797 6116</w:t>
          </w:r>
        </w:p>
      </w:tc>
      <w:bookmarkStart w:id="8" w:name="PhoneNo"/>
      <w:bookmarkEnd w:id="8"/>
    </w:tr>
    <w:tr w:rsidR="00256788" w:rsidRPr="004D495C" w:rsidTr="00256788">
      <w:tc>
        <w:tcPr>
          <w:tcW w:w="1526" w:type="dxa"/>
          <w:shd w:val="clear" w:color="auto" w:fill="auto"/>
        </w:tcPr>
        <w:p w:rsidR="00256788" w:rsidRPr="004D495C" w:rsidRDefault="00256788" w:rsidP="00362F5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256788" w:rsidRPr="004D495C" w:rsidRDefault="00256788" w:rsidP="00362F5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</w:tcPr>
        <w:p w:rsidR="00256788" w:rsidRPr="004F6CC8" w:rsidRDefault="00A93B2D" w:rsidP="00362F5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56788" w:rsidRPr="004F6CC8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9" w:name="Email"/>
      <w:bookmarkEnd w:id="9"/>
    </w:tr>
  </w:tbl>
  <w:p w:rsidR="000112EB" w:rsidRDefault="000112EB" w:rsidP="00B80157">
    <w:pPr>
      <w:pStyle w:val="Footer"/>
      <w:jc w:val="center"/>
      <w:rPr>
        <w:lang w:val="fr-CH"/>
      </w:rPr>
    </w:pPr>
  </w:p>
  <w:p w:rsidR="000112EB" w:rsidRPr="008802F9" w:rsidRDefault="00A93B2D" w:rsidP="00362F5F">
    <w:pPr>
      <w:pStyle w:val="Footer"/>
      <w:jc w:val="center"/>
    </w:pPr>
    <w:hyperlink r:id="rId2" w:history="1">
      <w:r w:rsidR="00362F5F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3" w:history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F7" w:rsidRPr="006C2F1B" w:rsidRDefault="00B64BF7" w:rsidP="00B64BF7">
    <w:pPr>
      <w:pStyle w:val="Footer"/>
      <w:rPr>
        <w:lang w:val="es-ES_tradnl"/>
      </w:rPr>
    </w:pPr>
    <w:r>
      <w:fldChar w:fldCharType="begin"/>
    </w:r>
    <w:r w:rsidRPr="006C2F1B">
      <w:rPr>
        <w:lang w:val="es-ES_tradnl"/>
      </w:rPr>
      <w:instrText xml:space="preserve"> FILENAME \p  \* MERGEFORMAT </w:instrText>
    </w:r>
    <w:r>
      <w:fldChar w:fldCharType="separate"/>
    </w:r>
    <w:r w:rsidR="008E2A61">
      <w:rPr>
        <w:lang w:val="es-ES_tradnl"/>
      </w:rPr>
      <w:t>P:\FRA\ITU-D\CONF-D\TDAG18\000\012F.docx</w:t>
    </w:r>
    <w:r>
      <w:fldChar w:fldCharType="end"/>
    </w:r>
    <w:r>
      <w:rPr>
        <w:lang w:val="es-ES_tradnl"/>
      </w:rPr>
      <w:t xml:space="preserve"> (428702</w:t>
    </w:r>
    <w:r w:rsidRPr="006C2F1B">
      <w:rPr>
        <w:lang w:val="es-ES_tradnl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EB" w:rsidRDefault="000112EB">
      <w:r>
        <w:t>____________________</w:t>
      </w:r>
    </w:p>
  </w:footnote>
  <w:footnote w:type="continuationSeparator" w:id="0">
    <w:p w:rsidR="000112EB" w:rsidRDefault="00011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EB" w:rsidRPr="006D271A" w:rsidRDefault="000112EB" w:rsidP="006F017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62F5F">
      <w:rPr>
        <w:sz w:val="22"/>
        <w:szCs w:val="22"/>
        <w:lang w:val="de-CH"/>
      </w:rPr>
      <w:t>-</w:t>
    </w:r>
    <w:r w:rsidRPr="00A54E72">
      <w:rPr>
        <w:sz w:val="22"/>
        <w:szCs w:val="22"/>
        <w:lang w:val="de-CH"/>
      </w:rPr>
      <w:t>1</w:t>
    </w:r>
    <w:r>
      <w:rPr>
        <w:sz w:val="22"/>
        <w:szCs w:val="22"/>
        <w:lang w:val="de-CH"/>
      </w:rPr>
      <w:t>8</w:t>
    </w:r>
    <w:r w:rsidRPr="00A54E72">
      <w:rPr>
        <w:sz w:val="22"/>
        <w:szCs w:val="22"/>
        <w:lang w:val="de-CH"/>
      </w:rPr>
      <w:t>/</w:t>
    </w:r>
    <w:r w:rsidR="00012E2E">
      <w:rPr>
        <w:sz w:val="22"/>
        <w:szCs w:val="22"/>
        <w:lang w:val="de-CH"/>
      </w:rPr>
      <w:t>13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A93B2D">
      <w:rPr>
        <w:noProof/>
        <w:sz w:val="22"/>
        <w:szCs w:val="22"/>
        <w:lang w:val="de-CH"/>
      </w:rPr>
      <w:t>6</w:t>
    </w:r>
    <w:r w:rsidRPr="00972BCD">
      <w:rPr>
        <w:sz w:val="22"/>
        <w:szCs w:val="22"/>
      </w:rPr>
      <w:fldChar w:fldCharType="end"/>
    </w:r>
  </w:p>
  <w:p w:rsidR="000112EB" w:rsidRPr="006C74C9" w:rsidRDefault="000112EB" w:rsidP="00A525CC">
    <w:pPr>
      <w:pStyle w:val="Header"/>
      <w:rPr>
        <w:rStyle w:val="PageNumber"/>
        <w:lang w:val="de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F7" w:rsidRPr="006D271A" w:rsidRDefault="00B64BF7" w:rsidP="00B64BF7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997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TDAG1</w:t>
    </w:r>
    <w:r>
      <w:rPr>
        <w:sz w:val="22"/>
        <w:szCs w:val="22"/>
        <w:lang w:val="de-CH"/>
      </w:rPr>
      <w:t>8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23</w:t>
    </w:r>
    <w:r w:rsidRPr="00A54E72">
      <w:rPr>
        <w:sz w:val="22"/>
        <w:szCs w:val="22"/>
        <w:lang w:val="de-CH"/>
      </w:rPr>
      <w:t>/</w:t>
    </w:r>
    <w:r w:rsidR="008F61B8">
      <w:rPr>
        <w:sz w:val="22"/>
        <w:szCs w:val="22"/>
        <w:lang w:val="de-CH"/>
      </w:rPr>
      <w:t>13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A93B2D">
      <w:rPr>
        <w:noProof/>
        <w:sz w:val="22"/>
        <w:szCs w:val="22"/>
        <w:lang w:val="de-CH"/>
      </w:rPr>
      <w:t>8</w:t>
    </w:r>
    <w:r w:rsidRPr="00972BCD">
      <w:rPr>
        <w:sz w:val="22"/>
        <w:szCs w:val="22"/>
      </w:rPr>
      <w:fldChar w:fldCharType="end"/>
    </w:r>
  </w:p>
  <w:p w:rsidR="00B64BF7" w:rsidRPr="00B64BF7" w:rsidRDefault="00B64BF7" w:rsidP="00A525CC">
    <w:pPr>
      <w:pStyle w:val="Header"/>
      <w:rPr>
        <w:rStyle w:val="PageNumber"/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F7" w:rsidRPr="006D271A" w:rsidRDefault="00B64BF7" w:rsidP="00E435F5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997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TDAG1</w:t>
    </w:r>
    <w:r>
      <w:rPr>
        <w:sz w:val="22"/>
        <w:szCs w:val="22"/>
        <w:lang w:val="de-CH"/>
      </w:rPr>
      <w:t>8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23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1</w:t>
    </w:r>
    <w:r w:rsidR="00E435F5">
      <w:rPr>
        <w:sz w:val="22"/>
        <w:szCs w:val="22"/>
        <w:lang w:val="de-CH"/>
      </w:rPr>
      <w:t>3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A93B2D">
      <w:rPr>
        <w:noProof/>
        <w:sz w:val="22"/>
        <w:szCs w:val="22"/>
        <w:lang w:val="de-CH"/>
      </w:rPr>
      <w:t>7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79"/>
    <w:rsid w:val="00002716"/>
    <w:rsid w:val="00002C8C"/>
    <w:rsid w:val="00005791"/>
    <w:rsid w:val="00010827"/>
    <w:rsid w:val="000112EB"/>
    <w:rsid w:val="00012E2E"/>
    <w:rsid w:val="00015089"/>
    <w:rsid w:val="0002520B"/>
    <w:rsid w:val="00037A9E"/>
    <w:rsid w:val="00037F91"/>
    <w:rsid w:val="00040706"/>
    <w:rsid w:val="000539F1"/>
    <w:rsid w:val="00054747"/>
    <w:rsid w:val="00055A2A"/>
    <w:rsid w:val="000615C1"/>
    <w:rsid w:val="00061675"/>
    <w:rsid w:val="00067219"/>
    <w:rsid w:val="000743AA"/>
    <w:rsid w:val="0008515F"/>
    <w:rsid w:val="00085219"/>
    <w:rsid w:val="0009225C"/>
    <w:rsid w:val="000A17C4"/>
    <w:rsid w:val="000A35CD"/>
    <w:rsid w:val="000A36A4"/>
    <w:rsid w:val="000B1EE1"/>
    <w:rsid w:val="000B2352"/>
    <w:rsid w:val="000B56AA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304F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B5D6A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438F"/>
    <w:rsid w:val="00217444"/>
    <w:rsid w:val="00217CC3"/>
    <w:rsid w:val="00220AB6"/>
    <w:rsid w:val="0022120F"/>
    <w:rsid w:val="0022754A"/>
    <w:rsid w:val="00236560"/>
    <w:rsid w:val="0023662E"/>
    <w:rsid w:val="00245D0F"/>
    <w:rsid w:val="002548C3"/>
    <w:rsid w:val="00256788"/>
    <w:rsid w:val="00257ACD"/>
    <w:rsid w:val="00262908"/>
    <w:rsid w:val="002650F4"/>
    <w:rsid w:val="002715FD"/>
    <w:rsid w:val="002770B1"/>
    <w:rsid w:val="00285B33"/>
    <w:rsid w:val="00287A3C"/>
    <w:rsid w:val="002A2FC6"/>
    <w:rsid w:val="002B27F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047C"/>
    <w:rsid w:val="00310F95"/>
    <w:rsid w:val="003125C3"/>
    <w:rsid w:val="00312AE6"/>
    <w:rsid w:val="00315BF0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62F5F"/>
    <w:rsid w:val="00380B71"/>
    <w:rsid w:val="0038365A"/>
    <w:rsid w:val="003844CD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256"/>
    <w:rsid w:val="003C58BF"/>
    <w:rsid w:val="003D451D"/>
    <w:rsid w:val="003F2DD8"/>
    <w:rsid w:val="003F3F2D"/>
    <w:rsid w:val="003F50B2"/>
    <w:rsid w:val="003F5949"/>
    <w:rsid w:val="00400CCF"/>
    <w:rsid w:val="00401BFF"/>
    <w:rsid w:val="00404424"/>
    <w:rsid w:val="0041156B"/>
    <w:rsid w:val="004122C5"/>
    <w:rsid w:val="00413B78"/>
    <w:rsid w:val="00416DDE"/>
    <w:rsid w:val="00436C87"/>
    <w:rsid w:val="0044411E"/>
    <w:rsid w:val="00453435"/>
    <w:rsid w:val="00466398"/>
    <w:rsid w:val="0047306D"/>
    <w:rsid w:val="00473791"/>
    <w:rsid w:val="00476E48"/>
    <w:rsid w:val="00477DFE"/>
    <w:rsid w:val="00481DE9"/>
    <w:rsid w:val="0049128B"/>
    <w:rsid w:val="00492E80"/>
    <w:rsid w:val="00493B49"/>
    <w:rsid w:val="00494EEA"/>
    <w:rsid w:val="00495501"/>
    <w:rsid w:val="004A070A"/>
    <w:rsid w:val="004A320E"/>
    <w:rsid w:val="004A4E9C"/>
    <w:rsid w:val="004B0C17"/>
    <w:rsid w:val="004B1A3C"/>
    <w:rsid w:val="004C49CB"/>
    <w:rsid w:val="004D2CC3"/>
    <w:rsid w:val="004D35CB"/>
    <w:rsid w:val="004E20E5"/>
    <w:rsid w:val="004E64EA"/>
    <w:rsid w:val="004E7828"/>
    <w:rsid w:val="004E7D97"/>
    <w:rsid w:val="004F46AA"/>
    <w:rsid w:val="004F6A70"/>
    <w:rsid w:val="00500AD7"/>
    <w:rsid w:val="00501932"/>
    <w:rsid w:val="00502ABF"/>
    <w:rsid w:val="00504DB0"/>
    <w:rsid w:val="00507C35"/>
    <w:rsid w:val="00510735"/>
    <w:rsid w:val="00514D2F"/>
    <w:rsid w:val="005272D4"/>
    <w:rsid w:val="0054420E"/>
    <w:rsid w:val="00544D1B"/>
    <w:rsid w:val="00545DC0"/>
    <w:rsid w:val="00545F6C"/>
    <w:rsid w:val="005464AD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2B0A"/>
    <w:rsid w:val="00623F30"/>
    <w:rsid w:val="00624DC5"/>
    <w:rsid w:val="00625FB8"/>
    <w:rsid w:val="006261BD"/>
    <w:rsid w:val="00635EDB"/>
    <w:rsid w:val="00643551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04B6"/>
    <w:rsid w:val="006A6549"/>
    <w:rsid w:val="006A7710"/>
    <w:rsid w:val="006A7A61"/>
    <w:rsid w:val="006B1BAC"/>
    <w:rsid w:val="006B1E59"/>
    <w:rsid w:val="006B2FFB"/>
    <w:rsid w:val="006C10A2"/>
    <w:rsid w:val="006C1F18"/>
    <w:rsid w:val="006C2F1B"/>
    <w:rsid w:val="006C74C9"/>
    <w:rsid w:val="006D40D5"/>
    <w:rsid w:val="006E1C93"/>
    <w:rsid w:val="006E6B2B"/>
    <w:rsid w:val="006F009A"/>
    <w:rsid w:val="006F017D"/>
    <w:rsid w:val="006F3D93"/>
    <w:rsid w:val="006F49D0"/>
    <w:rsid w:val="007019B1"/>
    <w:rsid w:val="00702010"/>
    <w:rsid w:val="00721657"/>
    <w:rsid w:val="007279A8"/>
    <w:rsid w:val="00727B1A"/>
    <w:rsid w:val="00740305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5540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2081"/>
    <w:rsid w:val="00872B6E"/>
    <w:rsid w:val="00874DFD"/>
    <w:rsid w:val="00876599"/>
    <w:rsid w:val="008802F9"/>
    <w:rsid w:val="00883086"/>
    <w:rsid w:val="008879FD"/>
    <w:rsid w:val="00894C37"/>
    <w:rsid w:val="008A00EA"/>
    <w:rsid w:val="008A3F93"/>
    <w:rsid w:val="008A4EA2"/>
    <w:rsid w:val="008A6236"/>
    <w:rsid w:val="008A6E1C"/>
    <w:rsid w:val="008A72FD"/>
    <w:rsid w:val="008B2EDF"/>
    <w:rsid w:val="008B43FB"/>
    <w:rsid w:val="008B54CB"/>
    <w:rsid w:val="008B5A3D"/>
    <w:rsid w:val="008C0D19"/>
    <w:rsid w:val="008C4010"/>
    <w:rsid w:val="008C4FDF"/>
    <w:rsid w:val="008C57E2"/>
    <w:rsid w:val="008C6B1F"/>
    <w:rsid w:val="008D5E4F"/>
    <w:rsid w:val="008E2A61"/>
    <w:rsid w:val="008E35BF"/>
    <w:rsid w:val="008F14F5"/>
    <w:rsid w:val="008F61B8"/>
    <w:rsid w:val="008F71C1"/>
    <w:rsid w:val="00902D41"/>
    <w:rsid w:val="00902F49"/>
    <w:rsid w:val="00902FA5"/>
    <w:rsid w:val="00914004"/>
    <w:rsid w:val="0092088B"/>
    <w:rsid w:val="00922EC1"/>
    <w:rsid w:val="009301F1"/>
    <w:rsid w:val="009307DF"/>
    <w:rsid w:val="00933CC9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A21"/>
    <w:rsid w:val="00993F46"/>
    <w:rsid w:val="00997358"/>
    <w:rsid w:val="009A386A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46FB0"/>
    <w:rsid w:val="00A50CA0"/>
    <w:rsid w:val="00A525CC"/>
    <w:rsid w:val="00A53E7C"/>
    <w:rsid w:val="00A60087"/>
    <w:rsid w:val="00A705E8"/>
    <w:rsid w:val="00A721F4"/>
    <w:rsid w:val="00A93227"/>
    <w:rsid w:val="00A9392C"/>
    <w:rsid w:val="00A93B2D"/>
    <w:rsid w:val="00A9462B"/>
    <w:rsid w:val="00A949F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0B66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470F2"/>
    <w:rsid w:val="00B533E9"/>
    <w:rsid w:val="00B56A79"/>
    <w:rsid w:val="00B64BF7"/>
    <w:rsid w:val="00B66E8F"/>
    <w:rsid w:val="00B67157"/>
    <w:rsid w:val="00B80157"/>
    <w:rsid w:val="00B83D5E"/>
    <w:rsid w:val="00B8460A"/>
    <w:rsid w:val="00B8650D"/>
    <w:rsid w:val="00B87748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67F1"/>
    <w:rsid w:val="00BD79F0"/>
    <w:rsid w:val="00BE0D3C"/>
    <w:rsid w:val="00BE2B4D"/>
    <w:rsid w:val="00C015F8"/>
    <w:rsid w:val="00C07E26"/>
    <w:rsid w:val="00C1011C"/>
    <w:rsid w:val="00C12F94"/>
    <w:rsid w:val="00C177C5"/>
    <w:rsid w:val="00C17FDD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5C7"/>
    <w:rsid w:val="00C87BCA"/>
    <w:rsid w:val="00C87EED"/>
    <w:rsid w:val="00C94506"/>
    <w:rsid w:val="00C954BC"/>
    <w:rsid w:val="00CA1F0B"/>
    <w:rsid w:val="00CB110F"/>
    <w:rsid w:val="00CB2A2E"/>
    <w:rsid w:val="00CB338A"/>
    <w:rsid w:val="00CB767F"/>
    <w:rsid w:val="00CB79C5"/>
    <w:rsid w:val="00CC411F"/>
    <w:rsid w:val="00CC4B75"/>
    <w:rsid w:val="00CC732E"/>
    <w:rsid w:val="00CD2FCD"/>
    <w:rsid w:val="00CD7207"/>
    <w:rsid w:val="00CE0DBE"/>
    <w:rsid w:val="00CE2822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5F9F"/>
    <w:rsid w:val="00D20E99"/>
    <w:rsid w:val="00D21C83"/>
    <w:rsid w:val="00D35BDD"/>
    <w:rsid w:val="00D41214"/>
    <w:rsid w:val="00D51D36"/>
    <w:rsid w:val="00D5468D"/>
    <w:rsid w:val="00D60141"/>
    <w:rsid w:val="00D62703"/>
    <w:rsid w:val="00D63006"/>
    <w:rsid w:val="00D7021F"/>
    <w:rsid w:val="00D72301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35F5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4062"/>
    <w:rsid w:val="00E9605B"/>
    <w:rsid w:val="00E97298"/>
    <w:rsid w:val="00E97514"/>
    <w:rsid w:val="00E97753"/>
    <w:rsid w:val="00EA7DE7"/>
    <w:rsid w:val="00EB7196"/>
    <w:rsid w:val="00EB7A8A"/>
    <w:rsid w:val="00EC51E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70AFCF91-12F9-4A50-BD73-A33C3D19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6B1BAC"/>
    <w:rPr>
      <w:color w:val="800080" w:themeColor="followedHyperlink"/>
      <w:u w:val="single"/>
    </w:rPr>
  </w:style>
  <w:style w:type="paragraph" w:customStyle="1" w:styleId="Tabletext10pt">
    <w:name w:val="Table_text + 10 pt"/>
    <w:basedOn w:val="Tabletext"/>
    <w:rsid w:val="00B64BF7"/>
    <w:rPr>
      <w:sz w:val="20"/>
    </w:rPr>
  </w:style>
  <w:style w:type="character" w:customStyle="1" w:styleId="enumlev1Char">
    <w:name w:val="enumlev1 Char"/>
    <w:basedOn w:val="DefaultParagraphFont"/>
    <w:link w:val="enumlev1"/>
    <w:rsid w:val="00256788"/>
    <w:rPr>
      <w:rFonts w:asciiTheme="minorHAnsi" w:hAnsiTheme="minorHAnsi"/>
      <w:sz w:val="24"/>
      <w:lang w:val="fr-CH" w:eastAsia="en-US"/>
    </w:rPr>
  </w:style>
  <w:style w:type="character" w:customStyle="1" w:styleId="ListParagraphChar">
    <w:name w:val="List Paragraph Char"/>
    <w:link w:val="ListParagraph"/>
    <w:uiPriority w:val="34"/>
    <w:rsid w:val="00D41214"/>
    <w:rPr>
      <w:rFonts w:asciiTheme="minorHAnsi" w:hAnsiTheme="minorHAnsi"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Study-Groups/2018-2021/Pages/Candidates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ahmad.sharafa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D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4A3B-D280-4E91-83C0-8B7C3989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PF_TDAG18.dotx</Template>
  <TotalTime>18</TotalTime>
  <Pages>8</Pages>
  <Words>3181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21179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Gozel, Elsa</dc:creator>
  <cp:lastModifiedBy>BDT - nd</cp:lastModifiedBy>
  <cp:revision>5</cp:revision>
  <cp:lastPrinted>2018-02-07T11:04:00Z</cp:lastPrinted>
  <dcterms:created xsi:type="dcterms:W3CDTF">2018-02-12T11:08:00Z</dcterms:created>
  <dcterms:modified xsi:type="dcterms:W3CDTF">2018-02-12T14:42:00Z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