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71"/>
        <w:tblW w:w="10031" w:type="dxa"/>
        <w:tblLayout w:type="fixed"/>
        <w:tblLook w:val="0000" w:firstRow="0" w:lastRow="0" w:firstColumn="0" w:lastColumn="0" w:noHBand="0" w:noVBand="0"/>
      </w:tblPr>
      <w:tblGrid>
        <w:gridCol w:w="6804"/>
        <w:gridCol w:w="3227"/>
      </w:tblGrid>
      <w:tr w:rsidR="001E252D" w14:paraId="43EF2ADA" w14:textId="77777777" w:rsidTr="001212AC">
        <w:trPr>
          <w:cantSplit/>
          <w:trHeight w:val="1134"/>
        </w:trPr>
        <w:tc>
          <w:tcPr>
            <w:tcW w:w="6804" w:type="dxa"/>
          </w:tcPr>
          <w:p w14:paraId="1945B359" w14:textId="77777777" w:rsidR="001E252D" w:rsidRPr="001E252D" w:rsidRDefault="001E252D" w:rsidP="001212AC">
            <w:pPr>
              <w:tabs>
                <w:tab w:val="clear" w:pos="1134"/>
              </w:tabs>
              <w:spacing w:before="20" w:after="48" w:line="240" w:lineRule="atLeast"/>
              <w:ind w:left="34"/>
              <w:rPr>
                <w:b/>
                <w:bCs/>
                <w:sz w:val="32"/>
                <w:szCs w:val="32"/>
              </w:rPr>
            </w:pPr>
            <w:bookmarkStart w:id="0" w:name="_GoBack"/>
            <w:bookmarkEnd w:id="0"/>
            <w:r w:rsidRPr="001E252D">
              <w:rPr>
                <w:b/>
                <w:bCs/>
                <w:sz w:val="32"/>
                <w:szCs w:val="32"/>
              </w:rPr>
              <w:t>Telecommunication Development Advisory Group (TDAG)</w:t>
            </w:r>
          </w:p>
          <w:p w14:paraId="21FE0C64" w14:textId="77777777" w:rsidR="001E252D" w:rsidRPr="00421F93" w:rsidRDefault="001E252D" w:rsidP="001212AC">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14:paraId="2A2E0E81" w14:textId="77777777" w:rsidR="001E252D" w:rsidRPr="00D96B4B" w:rsidRDefault="002B3C84" w:rsidP="001212AC">
            <w:pPr>
              <w:spacing w:before="0" w:line="240" w:lineRule="atLeast"/>
              <w:jc w:val="right"/>
              <w:rPr>
                <w:rFonts w:cstheme="minorHAnsi"/>
              </w:rPr>
            </w:pPr>
            <w:bookmarkStart w:id="1" w:name="ditulogo"/>
            <w:bookmarkEnd w:id="1"/>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14:paraId="360A1D2A" w14:textId="77777777" w:rsidTr="001212AC">
        <w:trPr>
          <w:cantSplit/>
        </w:trPr>
        <w:tc>
          <w:tcPr>
            <w:tcW w:w="6804" w:type="dxa"/>
            <w:tcBorders>
              <w:top w:val="single" w:sz="12" w:space="0" w:color="auto"/>
            </w:tcBorders>
          </w:tcPr>
          <w:p w14:paraId="494BCBAE" w14:textId="77777777" w:rsidR="00D83BF5" w:rsidRPr="00D96B4B" w:rsidRDefault="00D83BF5" w:rsidP="001212AC">
            <w:pPr>
              <w:spacing w:before="0" w:after="48" w:line="240" w:lineRule="atLeast"/>
              <w:rPr>
                <w:rFonts w:cstheme="minorHAnsi"/>
                <w:b/>
                <w:smallCaps/>
                <w:sz w:val="20"/>
              </w:rPr>
            </w:pPr>
            <w:bookmarkStart w:id="2" w:name="dhead"/>
          </w:p>
        </w:tc>
        <w:tc>
          <w:tcPr>
            <w:tcW w:w="3227" w:type="dxa"/>
            <w:tcBorders>
              <w:top w:val="single" w:sz="12" w:space="0" w:color="auto"/>
            </w:tcBorders>
          </w:tcPr>
          <w:p w14:paraId="7BD1ADEB" w14:textId="77777777" w:rsidR="00D83BF5" w:rsidRPr="00D96B4B" w:rsidRDefault="00D83BF5" w:rsidP="001212AC">
            <w:pPr>
              <w:spacing w:before="0" w:line="240" w:lineRule="atLeast"/>
              <w:rPr>
                <w:rFonts w:cstheme="minorHAnsi"/>
                <w:sz w:val="20"/>
              </w:rPr>
            </w:pPr>
          </w:p>
        </w:tc>
      </w:tr>
      <w:tr w:rsidR="00D83BF5" w:rsidRPr="0038489B" w14:paraId="66D6726D" w14:textId="77777777" w:rsidTr="001212AC">
        <w:trPr>
          <w:cantSplit/>
          <w:trHeight w:val="23"/>
        </w:trPr>
        <w:tc>
          <w:tcPr>
            <w:tcW w:w="6804" w:type="dxa"/>
            <w:shd w:val="clear" w:color="auto" w:fill="auto"/>
          </w:tcPr>
          <w:p w14:paraId="3D0D936C" w14:textId="77777777" w:rsidR="00D83BF5" w:rsidRPr="00EA2701" w:rsidRDefault="00D83BF5" w:rsidP="001212AC">
            <w:pPr>
              <w:pStyle w:val="Committee"/>
              <w:framePr w:hSpace="0" w:wrap="auto" w:hAnchor="text" w:yAlign="inline"/>
              <w:rPr>
                <w:lang w:val="en-US"/>
              </w:rPr>
            </w:pPr>
            <w:bookmarkStart w:id="3" w:name="dnum" w:colFirst="1" w:colLast="1"/>
            <w:bookmarkStart w:id="4" w:name="dmeeting" w:colFirst="0" w:colLast="0"/>
            <w:bookmarkEnd w:id="2"/>
          </w:p>
        </w:tc>
        <w:tc>
          <w:tcPr>
            <w:tcW w:w="3227" w:type="dxa"/>
          </w:tcPr>
          <w:p w14:paraId="4CDD74CB" w14:textId="77777777" w:rsidR="00D83BF5" w:rsidRPr="00E07105" w:rsidRDefault="00D83BF5" w:rsidP="001212AC">
            <w:pPr>
              <w:tabs>
                <w:tab w:val="left" w:pos="851"/>
              </w:tabs>
              <w:spacing w:before="0" w:line="240" w:lineRule="atLeast"/>
              <w:rPr>
                <w:rFonts w:cstheme="minorHAnsi"/>
                <w:szCs w:val="24"/>
                <w:lang w:val="es-ES_tradnl"/>
              </w:rPr>
            </w:pPr>
            <w:r w:rsidRPr="00EA2701">
              <w:rPr>
                <w:b/>
                <w:bCs/>
                <w:szCs w:val="24"/>
                <w:lang w:val="en-US"/>
              </w:rPr>
              <w:t>Document</w:t>
            </w:r>
            <w:r w:rsidRPr="0084734D">
              <w:rPr>
                <w:b/>
                <w:bCs/>
                <w:szCs w:val="24"/>
                <w:lang w:val="es-ES_tradnl"/>
              </w:rPr>
              <w:t xml:space="preserve"> </w:t>
            </w:r>
            <w:bookmarkStart w:id="5" w:name="DocRef1"/>
            <w:bookmarkEnd w:id="5"/>
            <w:r w:rsidR="001E252D">
              <w:rPr>
                <w:b/>
                <w:bCs/>
                <w:szCs w:val="24"/>
                <w:lang w:val="es-ES_tradnl"/>
              </w:rPr>
              <w:t>TDAG-18</w:t>
            </w:r>
            <w:r w:rsidRPr="00147DA1">
              <w:rPr>
                <w:b/>
                <w:bCs/>
                <w:szCs w:val="24"/>
                <w:lang w:val="es-ES_tradnl"/>
              </w:rPr>
              <w:t>/</w:t>
            </w:r>
            <w:r w:rsidR="00230938">
              <w:rPr>
                <w:b/>
                <w:bCs/>
                <w:szCs w:val="24"/>
                <w:lang w:val="es-ES_tradnl"/>
              </w:rPr>
              <w:t>8</w:t>
            </w:r>
            <w:r w:rsidRPr="00147DA1">
              <w:rPr>
                <w:b/>
                <w:bCs/>
                <w:szCs w:val="24"/>
                <w:lang w:val="es-ES_tradnl"/>
              </w:rPr>
              <w:t>-E</w:t>
            </w:r>
          </w:p>
        </w:tc>
      </w:tr>
      <w:tr w:rsidR="00D83BF5" w:rsidRPr="00C324A8" w14:paraId="6EA97374" w14:textId="77777777" w:rsidTr="001212AC">
        <w:trPr>
          <w:cantSplit/>
          <w:trHeight w:val="23"/>
        </w:trPr>
        <w:tc>
          <w:tcPr>
            <w:tcW w:w="6804" w:type="dxa"/>
            <w:shd w:val="clear" w:color="auto" w:fill="auto"/>
          </w:tcPr>
          <w:p w14:paraId="4BF0A1E7" w14:textId="77777777" w:rsidR="00D83BF5" w:rsidRPr="00E07105" w:rsidRDefault="00D83BF5" w:rsidP="001212AC">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698000BE" w14:textId="65F574B0" w:rsidR="00D83BF5" w:rsidRPr="00D96B4B" w:rsidRDefault="00993077" w:rsidP="001212AC">
            <w:pPr>
              <w:spacing w:before="0" w:line="240" w:lineRule="atLeast"/>
              <w:rPr>
                <w:rFonts w:cstheme="minorHAnsi"/>
                <w:szCs w:val="24"/>
              </w:rPr>
            </w:pPr>
            <w:r>
              <w:rPr>
                <w:b/>
                <w:bCs/>
                <w:szCs w:val="24"/>
                <w:lang w:val="fr-FR"/>
              </w:rPr>
              <w:t>12</w:t>
            </w:r>
            <w:r w:rsidR="00F07AED">
              <w:rPr>
                <w:b/>
                <w:bCs/>
                <w:szCs w:val="24"/>
                <w:lang w:val="fr-FR"/>
              </w:rPr>
              <w:t xml:space="preserve"> March</w:t>
            </w:r>
            <w:r w:rsidR="00CC2954">
              <w:rPr>
                <w:b/>
                <w:bCs/>
                <w:szCs w:val="24"/>
                <w:lang w:val="fr-FR"/>
              </w:rPr>
              <w:t xml:space="preserve"> 2018</w:t>
            </w:r>
          </w:p>
        </w:tc>
      </w:tr>
      <w:tr w:rsidR="00D83BF5" w:rsidRPr="00C324A8" w14:paraId="0B0EAA12" w14:textId="77777777" w:rsidTr="001212AC">
        <w:trPr>
          <w:cantSplit/>
          <w:trHeight w:val="23"/>
        </w:trPr>
        <w:tc>
          <w:tcPr>
            <w:tcW w:w="6804" w:type="dxa"/>
            <w:shd w:val="clear" w:color="auto" w:fill="auto"/>
          </w:tcPr>
          <w:p w14:paraId="75BF21B3" w14:textId="77777777" w:rsidR="00D83BF5" w:rsidRPr="00D96B4B" w:rsidRDefault="00D83BF5" w:rsidP="001212AC">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407CB3E8" w14:textId="77777777" w:rsidR="00D83BF5" w:rsidRPr="00D96B4B" w:rsidRDefault="00D83BF5" w:rsidP="001212AC">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14:paraId="0F846200" w14:textId="77777777" w:rsidTr="001212AC">
        <w:trPr>
          <w:cantSplit/>
          <w:trHeight w:val="23"/>
        </w:trPr>
        <w:tc>
          <w:tcPr>
            <w:tcW w:w="10031" w:type="dxa"/>
            <w:gridSpan w:val="2"/>
            <w:shd w:val="clear" w:color="auto" w:fill="auto"/>
          </w:tcPr>
          <w:p w14:paraId="4C9F1F66" w14:textId="77777777" w:rsidR="00D83BF5" w:rsidRPr="00D83BF5" w:rsidRDefault="006B547B" w:rsidP="001212AC">
            <w:pPr>
              <w:pStyle w:val="Source"/>
              <w:spacing w:before="240" w:after="240"/>
            </w:pPr>
            <w:r w:rsidRPr="006B547B">
              <w:t>Director, Telecommunication Development Bureau</w:t>
            </w:r>
          </w:p>
        </w:tc>
      </w:tr>
      <w:tr w:rsidR="00D83BF5" w:rsidRPr="00C324A8" w14:paraId="5C901C5C" w14:textId="77777777" w:rsidTr="001212AC">
        <w:trPr>
          <w:cantSplit/>
          <w:trHeight w:val="23"/>
        </w:trPr>
        <w:tc>
          <w:tcPr>
            <w:tcW w:w="10031" w:type="dxa"/>
            <w:gridSpan w:val="2"/>
            <w:shd w:val="clear" w:color="auto" w:fill="auto"/>
            <w:vAlign w:val="center"/>
          </w:tcPr>
          <w:p w14:paraId="64B05A96" w14:textId="77777777" w:rsidR="00D83BF5" w:rsidRDefault="000906C7" w:rsidP="001212AC">
            <w:pPr>
              <w:pStyle w:val="Title1"/>
              <w:spacing w:before="120" w:after="120"/>
            </w:pPr>
            <w:r w:rsidRPr="000906C7">
              <w:rPr>
                <w:szCs w:val="28"/>
              </w:rPr>
              <w:t>FINANCIAL IMPLICATIONS OF THE REGIONAL INITIATIVES APPROVED BY WTDC-17</w:t>
            </w:r>
          </w:p>
        </w:tc>
      </w:tr>
      <w:tr w:rsidR="00D83BF5" w:rsidRPr="00C324A8" w14:paraId="5EDEE277" w14:textId="77777777" w:rsidTr="001212AC">
        <w:trPr>
          <w:cantSplit/>
          <w:trHeight w:val="23"/>
        </w:trPr>
        <w:tc>
          <w:tcPr>
            <w:tcW w:w="10031" w:type="dxa"/>
            <w:gridSpan w:val="2"/>
            <w:tcBorders>
              <w:bottom w:val="single" w:sz="4" w:space="0" w:color="auto"/>
            </w:tcBorders>
            <w:shd w:val="clear" w:color="auto" w:fill="auto"/>
          </w:tcPr>
          <w:p w14:paraId="1F9CD688" w14:textId="77777777" w:rsidR="00D83BF5" w:rsidRPr="00B911B2" w:rsidRDefault="00D83BF5" w:rsidP="001212AC">
            <w:pPr>
              <w:pStyle w:val="Title1"/>
              <w:spacing w:before="120" w:after="120"/>
              <w:jc w:val="left"/>
              <w:rPr>
                <w:rFonts w:cs="Times New Roman Bold"/>
                <w:caps w:val="0"/>
                <w:szCs w:val="28"/>
              </w:rPr>
            </w:pPr>
          </w:p>
        </w:tc>
      </w:tr>
      <w:tr w:rsidR="001E252D" w:rsidRPr="00C324A8" w14:paraId="661CA0CF" w14:textId="77777777" w:rsidTr="001212AC">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7A2DEE0" w14:textId="77777777" w:rsidR="001E252D" w:rsidRPr="008C5113" w:rsidRDefault="001E252D" w:rsidP="001212AC">
            <w:pPr>
              <w:rPr>
                <w:b/>
                <w:bCs/>
                <w:szCs w:val="24"/>
              </w:rPr>
            </w:pPr>
            <w:r w:rsidRPr="008C5113">
              <w:rPr>
                <w:b/>
                <w:bCs/>
                <w:szCs w:val="24"/>
              </w:rPr>
              <w:t>Summary:</w:t>
            </w:r>
          </w:p>
          <w:p w14:paraId="2E4D0394" w14:textId="51654086" w:rsidR="00E92BE6" w:rsidRPr="00D20216" w:rsidRDefault="00E92BE6" w:rsidP="00986953">
            <w:pPr>
              <w:spacing w:before="60"/>
              <w:jc w:val="both"/>
              <w:rPr>
                <w:szCs w:val="24"/>
                <w:lang w:val="en-US"/>
              </w:rPr>
            </w:pPr>
            <w:r w:rsidRPr="00D20216">
              <w:rPr>
                <w:szCs w:val="24"/>
                <w:lang w:val="en-US"/>
              </w:rPr>
              <w:t>The World Telecommunication Development Conference (WTDC-17), held in Buenos Aires, Argentina from 9 to 20 October 2017, adopted the Buenos Aires Declaration and the Buenos Aires Action Plan, including 30 regional initiatives (5 regional initiatives per ITU-D region).</w:t>
            </w:r>
          </w:p>
          <w:p w14:paraId="5B8F1430" w14:textId="6F2B495C" w:rsidR="00E92BE6" w:rsidRPr="00D20216" w:rsidRDefault="00E92BE6" w:rsidP="00986953">
            <w:pPr>
              <w:spacing w:before="60"/>
              <w:jc w:val="both"/>
              <w:rPr>
                <w:szCs w:val="24"/>
                <w:lang w:val="en-US"/>
              </w:rPr>
            </w:pPr>
            <w:r w:rsidRPr="00D20216">
              <w:rPr>
                <w:szCs w:val="24"/>
                <w:lang w:val="en-US"/>
              </w:rPr>
              <w:t xml:space="preserve">As indicated in the Report of the Budget Control Committee (COM2) of WTDC-17, </w:t>
            </w:r>
            <w:r w:rsidR="003E0402">
              <w:rPr>
                <w:szCs w:val="24"/>
                <w:lang w:val="en-US"/>
              </w:rPr>
              <w:t>i</w:t>
            </w:r>
            <w:r w:rsidRPr="00D20216">
              <w:rPr>
                <w:szCs w:val="24"/>
                <w:lang w:val="en-US"/>
              </w:rPr>
              <w:t>t is proposed to allocate from ITU resources 1 million CHF per RI for the period 2018-2021, totaling 30 million CHF (5 RIs per region), to enable ITU-D to create and attract partnerships that will bring additional financial resources to augment those allocated by ITU for meaningful and impactful projects within the framework of the regional initiatives adopted by WTDC-17. The justification of the proposed allocation amount is contained in the main body of this document.</w:t>
            </w:r>
          </w:p>
          <w:p w14:paraId="1B0663F6" w14:textId="2326DB68" w:rsidR="00E92BE6" w:rsidRPr="00D20216" w:rsidRDefault="00E92BE6" w:rsidP="00986953">
            <w:pPr>
              <w:spacing w:before="60"/>
              <w:jc w:val="both"/>
              <w:rPr>
                <w:szCs w:val="24"/>
                <w:lang w:val="en-US"/>
              </w:rPr>
            </w:pPr>
            <w:r w:rsidRPr="00D20216">
              <w:rPr>
                <w:szCs w:val="24"/>
                <w:lang w:val="en-US"/>
              </w:rPr>
              <w:t xml:space="preserve">The meeting of the Council Working Group on Financial and Human Resources (CWG-FHR), held in January 2018, considered the </w:t>
            </w:r>
            <w:r>
              <w:rPr>
                <w:szCs w:val="24"/>
                <w:lang w:val="en-US"/>
              </w:rPr>
              <w:t>r</w:t>
            </w:r>
            <w:r w:rsidRPr="00D20216">
              <w:rPr>
                <w:szCs w:val="24"/>
                <w:lang w:val="en-US"/>
              </w:rPr>
              <w:t xml:space="preserve">eport of COM2 of WTDC-17 and requested the </w:t>
            </w:r>
            <w:r>
              <w:rPr>
                <w:szCs w:val="24"/>
                <w:lang w:val="en-US"/>
              </w:rPr>
              <w:t>s</w:t>
            </w:r>
            <w:r w:rsidRPr="00D20216">
              <w:rPr>
                <w:szCs w:val="24"/>
                <w:lang w:val="en-US"/>
              </w:rPr>
              <w:t>ecretariat “to present options for partial implementation of regional initiatives that may be taken into account in a revised draft Financial Plan for 2020-2023”.</w:t>
            </w:r>
          </w:p>
          <w:p w14:paraId="5F3584C5" w14:textId="2DB73FFA" w:rsidR="00E92BE6" w:rsidRPr="00D20216" w:rsidRDefault="00E92BE6" w:rsidP="00986953">
            <w:pPr>
              <w:spacing w:before="60"/>
              <w:jc w:val="both"/>
              <w:rPr>
                <w:szCs w:val="24"/>
              </w:rPr>
            </w:pPr>
            <w:r w:rsidRPr="00986953">
              <w:rPr>
                <w:lang w:val="en-US"/>
              </w:rPr>
              <w:t xml:space="preserve">This document provides the overview of the </w:t>
            </w:r>
            <w:r>
              <w:rPr>
                <w:szCs w:val="24"/>
                <w:lang w:val="en-US"/>
              </w:rPr>
              <w:t>RIs</w:t>
            </w:r>
            <w:r w:rsidRPr="00986953">
              <w:rPr>
                <w:lang w:val="en-US"/>
              </w:rPr>
              <w:t xml:space="preserve"> and presents options</w:t>
            </w:r>
            <w:r w:rsidRPr="00D20216">
              <w:rPr>
                <w:rStyle w:val="FootnoteReference"/>
                <w:rFonts w:cstheme="minorHAnsi"/>
                <w:szCs w:val="24"/>
                <w:vertAlign w:val="superscript"/>
              </w:rPr>
              <w:footnoteReference w:id="2"/>
            </w:r>
            <w:r w:rsidRPr="00986953">
              <w:rPr>
                <w:lang w:val="en-US"/>
              </w:rPr>
              <w:t xml:space="preserve"> for the allocation of resources towards the implementation of </w:t>
            </w:r>
            <w:r>
              <w:rPr>
                <w:szCs w:val="24"/>
                <w:lang w:val="en-US"/>
              </w:rPr>
              <w:t>RIs</w:t>
            </w:r>
            <w:r w:rsidRPr="00986953">
              <w:rPr>
                <w:lang w:val="en-US"/>
              </w:rPr>
              <w:t>. Justification for each of the options is also provided.</w:t>
            </w:r>
          </w:p>
          <w:p w14:paraId="23336072" w14:textId="77777777" w:rsidR="006B547B" w:rsidRPr="0063336C" w:rsidRDefault="001E252D" w:rsidP="001212AC">
            <w:pPr>
              <w:rPr>
                <w:b/>
                <w:bCs/>
                <w:szCs w:val="24"/>
              </w:rPr>
            </w:pPr>
            <w:r w:rsidRPr="0063336C">
              <w:rPr>
                <w:b/>
                <w:bCs/>
                <w:szCs w:val="24"/>
              </w:rPr>
              <w:t>Action required:</w:t>
            </w:r>
          </w:p>
          <w:p w14:paraId="0507B7F4" w14:textId="77777777" w:rsidR="000906C7" w:rsidRPr="008C5113" w:rsidRDefault="006349B8" w:rsidP="001212AC">
            <w:pPr>
              <w:rPr>
                <w:szCs w:val="24"/>
              </w:rPr>
            </w:pPr>
            <w:r w:rsidRPr="008C5113">
              <w:rPr>
                <w:szCs w:val="24"/>
              </w:rPr>
              <w:t xml:space="preserve">TDAG </w:t>
            </w:r>
            <w:r w:rsidR="000906C7" w:rsidRPr="008C5113">
              <w:rPr>
                <w:szCs w:val="24"/>
              </w:rPr>
              <w:t xml:space="preserve">is invited to </w:t>
            </w:r>
            <w:r w:rsidRPr="008C5113">
              <w:rPr>
                <w:szCs w:val="24"/>
              </w:rPr>
              <w:t xml:space="preserve">note </w:t>
            </w:r>
            <w:r w:rsidR="000906C7" w:rsidRPr="008C5113">
              <w:rPr>
                <w:szCs w:val="24"/>
              </w:rPr>
              <w:t>th</w:t>
            </w:r>
            <w:r w:rsidRPr="008C5113">
              <w:rPr>
                <w:szCs w:val="24"/>
              </w:rPr>
              <w:t>e</w:t>
            </w:r>
            <w:r w:rsidR="000906C7" w:rsidRPr="008C5113">
              <w:rPr>
                <w:szCs w:val="24"/>
              </w:rPr>
              <w:t xml:space="preserve"> document.</w:t>
            </w:r>
          </w:p>
          <w:p w14:paraId="1428CA82" w14:textId="77777777" w:rsidR="001E252D" w:rsidRPr="008C5113" w:rsidRDefault="001E252D" w:rsidP="001212AC">
            <w:pPr>
              <w:rPr>
                <w:b/>
                <w:bCs/>
                <w:szCs w:val="24"/>
              </w:rPr>
            </w:pPr>
            <w:r w:rsidRPr="008C5113">
              <w:rPr>
                <w:b/>
                <w:bCs/>
                <w:szCs w:val="24"/>
              </w:rPr>
              <w:t>References:</w:t>
            </w:r>
          </w:p>
          <w:p w14:paraId="7BED9FE9" w14:textId="77777777" w:rsidR="001E252D" w:rsidRPr="00D9621A" w:rsidRDefault="002506F7" w:rsidP="001212AC">
            <w:pPr>
              <w:spacing w:after="120"/>
            </w:pPr>
            <w:r w:rsidRPr="008C5113">
              <w:rPr>
                <w:szCs w:val="24"/>
                <w:lang w:val="en-US"/>
              </w:rPr>
              <w:t xml:space="preserve">Documents </w:t>
            </w:r>
            <w:hyperlink r:id="rId13" w:history="1">
              <w:r w:rsidRPr="008C5113">
                <w:rPr>
                  <w:rStyle w:val="Hyperlink"/>
                  <w:szCs w:val="24"/>
                  <w:lang w:val="en-US"/>
                </w:rPr>
                <w:t>WTDC-17/85</w:t>
              </w:r>
            </w:hyperlink>
            <w:r w:rsidRPr="008C5113">
              <w:rPr>
                <w:szCs w:val="24"/>
                <w:lang w:val="en-US"/>
              </w:rPr>
              <w:t xml:space="preserve">, </w:t>
            </w:r>
            <w:hyperlink r:id="rId14" w:history="1">
              <w:r w:rsidRPr="008C5113">
                <w:rPr>
                  <w:rStyle w:val="Hyperlink"/>
                  <w:szCs w:val="24"/>
                  <w:lang w:val="en-US"/>
                </w:rPr>
                <w:t>CWG-FHR 8/2</w:t>
              </w:r>
            </w:hyperlink>
            <w:r w:rsidR="006349B8" w:rsidRPr="008C5113">
              <w:rPr>
                <w:rStyle w:val="Hyperlink"/>
                <w:color w:val="auto"/>
                <w:szCs w:val="24"/>
                <w:u w:val="none"/>
                <w:lang w:val="en-US"/>
              </w:rPr>
              <w:t>,</w:t>
            </w:r>
            <w:r w:rsidR="006349B8" w:rsidRPr="008C5113">
              <w:rPr>
                <w:rStyle w:val="Hyperlink"/>
                <w:szCs w:val="24"/>
                <w:u w:val="none"/>
                <w:lang w:val="en-US"/>
              </w:rPr>
              <w:t xml:space="preserve"> </w:t>
            </w:r>
            <w:hyperlink r:id="rId15" w:history="1">
              <w:r w:rsidR="006349B8" w:rsidRPr="008C5113">
                <w:rPr>
                  <w:rStyle w:val="Hyperlink"/>
                  <w:szCs w:val="24"/>
                  <w:lang w:val="en-US"/>
                </w:rPr>
                <w:t>C18/66</w:t>
              </w:r>
            </w:hyperlink>
          </w:p>
        </w:tc>
      </w:tr>
      <w:bookmarkEnd w:id="8"/>
      <w:bookmarkEnd w:id="9"/>
    </w:tbl>
    <w:p w14:paraId="73520614" w14:textId="77777777" w:rsidR="00FB3F74" w:rsidRDefault="00FB3F74">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14:paraId="2CC02826" w14:textId="77777777" w:rsidR="00E92BE6" w:rsidRPr="00C0739B" w:rsidRDefault="00E92BE6" w:rsidP="00E92BE6">
      <w:pPr>
        <w:pStyle w:val="ListParagraph"/>
        <w:keepNext/>
        <w:numPr>
          <w:ilvl w:val="0"/>
          <w:numId w:val="8"/>
        </w:numPr>
        <w:tabs>
          <w:tab w:val="clear" w:pos="1134"/>
          <w:tab w:val="clear" w:pos="1871"/>
          <w:tab w:val="clear" w:pos="2268"/>
        </w:tabs>
        <w:overflowPunct/>
        <w:autoSpaceDE/>
        <w:autoSpaceDN/>
        <w:adjustRightInd/>
        <w:spacing w:before="240"/>
        <w:ind w:left="567" w:hanging="567"/>
        <w:contextualSpacing w:val="0"/>
        <w:textAlignment w:val="auto"/>
        <w:rPr>
          <w:b/>
          <w:bCs/>
          <w:szCs w:val="24"/>
          <w:lang w:val="en-US"/>
        </w:rPr>
      </w:pPr>
      <w:r w:rsidRPr="00C0739B">
        <w:rPr>
          <w:b/>
          <w:bCs/>
          <w:szCs w:val="24"/>
          <w:lang w:val="en-US"/>
        </w:rPr>
        <w:lastRenderedPageBreak/>
        <w:t>Introduction</w:t>
      </w:r>
    </w:p>
    <w:p w14:paraId="62D10F72" w14:textId="5DA6D339" w:rsidR="00E92BE6" w:rsidRPr="00C0739B" w:rsidRDefault="00E92BE6" w:rsidP="00E92BE6">
      <w:pPr>
        <w:rPr>
          <w:szCs w:val="24"/>
          <w:lang w:val="en-US"/>
        </w:rPr>
      </w:pPr>
      <w:r w:rsidRPr="00C0739B">
        <w:rPr>
          <w:szCs w:val="24"/>
          <w:lang w:val="en-US"/>
        </w:rPr>
        <w:t>The World Telecommunication Development Conference (WTDC-17)</w:t>
      </w:r>
      <w:r>
        <w:rPr>
          <w:szCs w:val="24"/>
          <w:lang w:val="en-US"/>
        </w:rPr>
        <w:t>,</w:t>
      </w:r>
      <w:r w:rsidRPr="00C0739B">
        <w:rPr>
          <w:szCs w:val="24"/>
          <w:lang w:val="en-US"/>
        </w:rPr>
        <w:t xml:space="preserve"> held in Buenos Aires, Argentina from 9 to 20 October 2017</w:t>
      </w:r>
      <w:r>
        <w:rPr>
          <w:szCs w:val="24"/>
          <w:lang w:val="en-US"/>
        </w:rPr>
        <w:t>,</w:t>
      </w:r>
      <w:r w:rsidRPr="00C0739B">
        <w:rPr>
          <w:szCs w:val="24"/>
          <w:lang w:val="en-US"/>
        </w:rPr>
        <w:t xml:space="preserve"> adopted the Buenos Aires Declaration</w:t>
      </w:r>
      <w:r>
        <w:rPr>
          <w:szCs w:val="24"/>
          <w:lang w:val="en-US"/>
        </w:rPr>
        <w:t xml:space="preserve"> and</w:t>
      </w:r>
      <w:r w:rsidRPr="00C0739B">
        <w:rPr>
          <w:szCs w:val="24"/>
          <w:lang w:val="en-US"/>
        </w:rPr>
        <w:t xml:space="preserve"> the Buenos Aires Action Plan</w:t>
      </w:r>
      <w:r>
        <w:rPr>
          <w:szCs w:val="24"/>
          <w:lang w:val="en-US"/>
        </w:rPr>
        <w:t>,</w:t>
      </w:r>
      <w:r w:rsidRPr="00C0739B">
        <w:rPr>
          <w:szCs w:val="24"/>
          <w:lang w:val="en-US"/>
        </w:rPr>
        <w:t xml:space="preserve"> including 30 </w:t>
      </w:r>
      <w:r>
        <w:rPr>
          <w:szCs w:val="24"/>
          <w:lang w:val="en-US"/>
        </w:rPr>
        <w:t>RIs</w:t>
      </w:r>
      <w:r w:rsidRPr="00C0739B">
        <w:rPr>
          <w:szCs w:val="24"/>
          <w:lang w:val="en-US"/>
        </w:rPr>
        <w:t xml:space="preserve"> (</w:t>
      </w:r>
      <w:r>
        <w:rPr>
          <w:szCs w:val="24"/>
          <w:lang w:val="en-US"/>
        </w:rPr>
        <w:t>five RIs</w:t>
      </w:r>
      <w:r w:rsidRPr="00C0739B">
        <w:rPr>
          <w:szCs w:val="24"/>
          <w:lang w:val="en-US"/>
        </w:rPr>
        <w:t xml:space="preserve"> per ITU-D region).  Based on the experience during the previous implementation cycle of </w:t>
      </w:r>
      <w:r>
        <w:rPr>
          <w:szCs w:val="24"/>
          <w:lang w:val="en-US"/>
        </w:rPr>
        <w:t>RIs</w:t>
      </w:r>
      <w:r w:rsidRPr="00C0739B">
        <w:rPr>
          <w:szCs w:val="24"/>
          <w:lang w:val="en-US"/>
        </w:rPr>
        <w:t xml:space="preserve"> (2015-2017), it was evident that medium</w:t>
      </w:r>
      <w:r>
        <w:rPr>
          <w:rStyle w:val="FootnoteReference"/>
          <w:szCs w:val="24"/>
          <w:lang w:val="en-US"/>
        </w:rPr>
        <w:footnoteReference w:id="3"/>
      </w:r>
      <w:r w:rsidRPr="00C0739B">
        <w:rPr>
          <w:szCs w:val="24"/>
          <w:lang w:val="en-US"/>
        </w:rPr>
        <w:t xml:space="preserve"> to large-scale</w:t>
      </w:r>
      <w:r>
        <w:rPr>
          <w:rStyle w:val="FootnoteReference"/>
          <w:szCs w:val="24"/>
          <w:lang w:val="en-US"/>
        </w:rPr>
        <w:footnoteReference w:id="4"/>
      </w:r>
      <w:r w:rsidRPr="00C0739B">
        <w:rPr>
          <w:szCs w:val="24"/>
          <w:lang w:val="en-US"/>
        </w:rPr>
        <w:t xml:space="preserve"> projects have high impact at national and regional levels.  </w:t>
      </w:r>
    </w:p>
    <w:p w14:paraId="094A79DC" w14:textId="40B506AC" w:rsidR="00E92BE6" w:rsidRDefault="00E92BE6" w:rsidP="00E92BE6">
      <w:pPr>
        <w:rPr>
          <w:szCs w:val="24"/>
          <w:lang w:val="en-US"/>
        </w:rPr>
      </w:pPr>
      <w:r>
        <w:rPr>
          <w:szCs w:val="24"/>
          <w:lang w:val="en-US"/>
        </w:rPr>
        <w:t xml:space="preserve">During the period 2014-2018, ITU signed 86 projects with a value of CHF 26 million and allocated CHF 3.4 million in cash contribution to these projects. However, the majority of the projects remained small- and medium-sized due to lack of meaningful funding that could support large-scale projects. </w:t>
      </w:r>
    </w:p>
    <w:p w14:paraId="0931A08D" w14:textId="1D843ED5" w:rsidR="00E92BE6" w:rsidRDefault="00E92BE6" w:rsidP="00E92BE6">
      <w:pPr>
        <w:rPr>
          <w:szCs w:val="24"/>
          <w:lang w:val="en-US"/>
        </w:rPr>
      </w:pPr>
      <w:r w:rsidRPr="00C0739B">
        <w:rPr>
          <w:szCs w:val="24"/>
          <w:lang w:val="en-US"/>
        </w:rPr>
        <w:t xml:space="preserve">Based on experience resulting from implementing </w:t>
      </w:r>
      <w:r>
        <w:rPr>
          <w:szCs w:val="24"/>
          <w:lang w:val="en-US"/>
        </w:rPr>
        <w:t>RIs</w:t>
      </w:r>
      <w:r w:rsidRPr="00C0739B">
        <w:rPr>
          <w:szCs w:val="24"/>
          <w:lang w:val="en-US"/>
        </w:rPr>
        <w:t xml:space="preserve"> in past years</w:t>
      </w:r>
      <w:r>
        <w:rPr>
          <w:szCs w:val="24"/>
          <w:lang w:val="en-US"/>
        </w:rPr>
        <w:t>,</w:t>
      </w:r>
      <w:r>
        <w:rPr>
          <w:rStyle w:val="FootnoteReference"/>
          <w:szCs w:val="24"/>
          <w:lang w:val="en-US"/>
        </w:rPr>
        <w:footnoteReference w:id="5"/>
      </w:r>
      <w:r w:rsidRPr="00C0739B">
        <w:rPr>
          <w:szCs w:val="24"/>
          <w:lang w:val="en-US"/>
        </w:rPr>
        <w:t xml:space="preserve"> the </w:t>
      </w:r>
      <w:r>
        <w:rPr>
          <w:szCs w:val="24"/>
          <w:lang w:val="en-US"/>
        </w:rPr>
        <w:t>s</w:t>
      </w:r>
      <w:r w:rsidRPr="00C0739B">
        <w:rPr>
          <w:szCs w:val="24"/>
          <w:lang w:val="en-US"/>
        </w:rPr>
        <w:t xml:space="preserve">ecretariat, at the request of the Chairman of Committee 3 of WTDC-17, provided estimates of resources to be provided by ITU for the implementation of </w:t>
      </w:r>
      <w:r>
        <w:rPr>
          <w:szCs w:val="24"/>
          <w:lang w:val="en-US"/>
        </w:rPr>
        <w:t>RIs and t</w:t>
      </w:r>
      <w:r w:rsidRPr="00DE50C0">
        <w:rPr>
          <w:szCs w:val="24"/>
          <w:lang w:val="en-US"/>
        </w:rPr>
        <w:t xml:space="preserve">o enable ITU-D to create and attract partnerships for meaningful and impactful projects within the framework of the </w:t>
      </w:r>
      <w:r>
        <w:rPr>
          <w:szCs w:val="24"/>
          <w:lang w:val="en-US"/>
        </w:rPr>
        <w:t>RIs</w:t>
      </w:r>
      <w:r w:rsidRPr="00DE50C0">
        <w:rPr>
          <w:szCs w:val="24"/>
          <w:lang w:val="en-US"/>
        </w:rPr>
        <w:t xml:space="preserve"> adopted by WTDC-17</w:t>
      </w:r>
      <w:r>
        <w:rPr>
          <w:szCs w:val="24"/>
          <w:lang w:val="en-US"/>
        </w:rPr>
        <w:t>.</w:t>
      </w:r>
    </w:p>
    <w:p w14:paraId="4FE8FA78" w14:textId="6420D21B" w:rsidR="00E92BE6" w:rsidRDefault="00E92BE6" w:rsidP="00986953">
      <w:pPr>
        <w:rPr>
          <w:szCs w:val="24"/>
          <w:lang w:val="en-US"/>
        </w:rPr>
      </w:pPr>
      <w:r w:rsidRPr="00C0739B">
        <w:rPr>
          <w:szCs w:val="24"/>
          <w:lang w:val="en-US"/>
        </w:rPr>
        <w:t xml:space="preserve">In terms of financing and achieving expected results, each </w:t>
      </w:r>
      <w:r>
        <w:rPr>
          <w:szCs w:val="24"/>
          <w:lang w:val="en-US"/>
        </w:rPr>
        <w:t>RI</w:t>
      </w:r>
      <w:r w:rsidRPr="00C0739B">
        <w:rPr>
          <w:szCs w:val="24"/>
          <w:lang w:val="en-US"/>
        </w:rPr>
        <w:t xml:space="preserve"> would require a set of projects financed by a budget of at least 3.5</w:t>
      </w:r>
      <w:r>
        <w:rPr>
          <w:szCs w:val="24"/>
          <w:lang w:val="en-US"/>
        </w:rPr>
        <w:t xml:space="preserve"> to </w:t>
      </w:r>
      <w:r w:rsidRPr="00C0739B">
        <w:rPr>
          <w:szCs w:val="24"/>
          <w:lang w:val="en-US"/>
        </w:rPr>
        <w:t xml:space="preserve">5 million </w:t>
      </w:r>
      <w:r>
        <w:rPr>
          <w:szCs w:val="24"/>
          <w:lang w:val="en-US"/>
        </w:rPr>
        <w:t>CHF</w:t>
      </w:r>
      <w:r w:rsidRPr="00C0739B">
        <w:rPr>
          <w:szCs w:val="24"/>
          <w:lang w:val="en-US"/>
        </w:rPr>
        <w:t>. This translates to a total value of 105</w:t>
      </w:r>
      <w:r>
        <w:rPr>
          <w:szCs w:val="24"/>
          <w:lang w:val="en-US"/>
        </w:rPr>
        <w:t xml:space="preserve"> to </w:t>
      </w:r>
      <w:r w:rsidRPr="00C0739B">
        <w:rPr>
          <w:szCs w:val="24"/>
          <w:lang w:val="en-US"/>
        </w:rPr>
        <w:t xml:space="preserve">150 million </w:t>
      </w:r>
      <w:r>
        <w:rPr>
          <w:szCs w:val="24"/>
          <w:lang w:val="en-US"/>
        </w:rPr>
        <w:t>CHF</w:t>
      </w:r>
      <w:r w:rsidRPr="00C0739B">
        <w:rPr>
          <w:szCs w:val="24"/>
          <w:lang w:val="en-US"/>
        </w:rPr>
        <w:t xml:space="preserve"> for financing the implementation of the 30 </w:t>
      </w:r>
      <w:r>
        <w:rPr>
          <w:szCs w:val="24"/>
          <w:lang w:val="en-US"/>
        </w:rPr>
        <w:t>RIs</w:t>
      </w:r>
      <w:r w:rsidRPr="00C0739B">
        <w:rPr>
          <w:szCs w:val="24"/>
          <w:lang w:val="en-US"/>
        </w:rPr>
        <w:t xml:space="preserve"> approved by WTDC-17 over a period of four years (as explained in Annex B of document </w:t>
      </w:r>
      <w:hyperlink r:id="rId16" w:history="1">
        <w:r w:rsidRPr="00820D51">
          <w:rPr>
            <w:rStyle w:val="Hyperlink"/>
            <w:szCs w:val="24"/>
            <w:lang w:val="en-US"/>
          </w:rPr>
          <w:t>WTDC-17/85</w:t>
        </w:r>
      </w:hyperlink>
      <w:r w:rsidRPr="00C0739B">
        <w:rPr>
          <w:szCs w:val="24"/>
          <w:lang w:val="en-US"/>
        </w:rPr>
        <w:t xml:space="preserve">). </w:t>
      </w:r>
      <w:r>
        <w:rPr>
          <w:szCs w:val="24"/>
          <w:lang w:val="en-US"/>
        </w:rPr>
        <w:t>The requested figures are based on concrete examples in the past where ITU allocated a meaningful budget to a project that in turn resulted in a high contribution to the same project by a partner:</w:t>
      </w:r>
    </w:p>
    <w:p w14:paraId="37DD9EBE" w14:textId="77777777" w:rsidR="00E92BE6" w:rsidRDefault="00E92BE6" w:rsidP="00986953">
      <w:pPr>
        <w:pStyle w:val="ListParagraph"/>
        <w:numPr>
          <w:ilvl w:val="0"/>
          <w:numId w:val="9"/>
        </w:numPr>
        <w:spacing w:before="60"/>
        <w:ind w:left="567" w:hanging="567"/>
        <w:contextualSpacing w:val="0"/>
        <w:rPr>
          <w:szCs w:val="24"/>
          <w:lang w:val="en-US"/>
        </w:rPr>
      </w:pPr>
      <w:r>
        <w:rPr>
          <w:szCs w:val="24"/>
          <w:lang w:val="en-US"/>
        </w:rPr>
        <w:t>Partnership with the European Commission where ITU contributed EUR 0.4 million and the EC contributed EUR 8 million.</w:t>
      </w:r>
    </w:p>
    <w:p w14:paraId="4C1FADFF" w14:textId="5A294214" w:rsidR="00E92BE6" w:rsidRDefault="00E92BE6" w:rsidP="00986953">
      <w:pPr>
        <w:pStyle w:val="ListParagraph"/>
        <w:numPr>
          <w:ilvl w:val="0"/>
          <w:numId w:val="9"/>
        </w:numPr>
        <w:spacing w:before="60"/>
        <w:ind w:left="567" w:hanging="567"/>
        <w:contextualSpacing w:val="0"/>
        <w:rPr>
          <w:szCs w:val="24"/>
          <w:lang w:val="en-US"/>
        </w:rPr>
      </w:pPr>
      <w:r>
        <w:rPr>
          <w:szCs w:val="24"/>
          <w:lang w:val="en-US"/>
        </w:rPr>
        <w:t>Partnership with the McCaw Foundation on Broadband Wireless Networks where ITU allocated CHF 2.4 million and the partner contributed CHF 4 million.</w:t>
      </w:r>
    </w:p>
    <w:p w14:paraId="7662FAB5" w14:textId="77777777" w:rsidR="00E92BE6" w:rsidRPr="00E37135" w:rsidRDefault="00E92BE6" w:rsidP="00986953">
      <w:pPr>
        <w:pStyle w:val="ListParagraph"/>
        <w:numPr>
          <w:ilvl w:val="0"/>
          <w:numId w:val="9"/>
        </w:numPr>
        <w:spacing w:before="60"/>
        <w:ind w:left="567" w:hanging="567"/>
        <w:contextualSpacing w:val="0"/>
        <w:rPr>
          <w:szCs w:val="24"/>
          <w:lang w:val="en-US"/>
        </w:rPr>
      </w:pPr>
      <w:r>
        <w:rPr>
          <w:szCs w:val="24"/>
          <w:lang w:val="en-US"/>
        </w:rPr>
        <w:t>Nearly concluded negotiations with the European Commission where ITU has allocated EUR 0.5 million and the Commission is contributing EUR 5 million.</w:t>
      </w:r>
    </w:p>
    <w:p w14:paraId="4E38E13F" w14:textId="77777777" w:rsidR="00E92BE6" w:rsidRPr="00C0739B" w:rsidRDefault="00E92BE6" w:rsidP="00E92BE6">
      <w:pPr>
        <w:pStyle w:val="ListParagraph"/>
        <w:keepNext/>
        <w:numPr>
          <w:ilvl w:val="0"/>
          <w:numId w:val="8"/>
        </w:numPr>
        <w:tabs>
          <w:tab w:val="clear" w:pos="1134"/>
          <w:tab w:val="clear" w:pos="1871"/>
          <w:tab w:val="clear" w:pos="2268"/>
        </w:tabs>
        <w:overflowPunct/>
        <w:autoSpaceDE/>
        <w:autoSpaceDN/>
        <w:adjustRightInd/>
        <w:spacing w:before="240"/>
        <w:ind w:left="567" w:hanging="567"/>
        <w:contextualSpacing w:val="0"/>
        <w:textAlignment w:val="auto"/>
        <w:rPr>
          <w:b/>
          <w:bCs/>
          <w:szCs w:val="24"/>
          <w:lang w:val="en-US"/>
        </w:rPr>
      </w:pPr>
      <w:r w:rsidRPr="00C0739B">
        <w:rPr>
          <w:b/>
          <w:bCs/>
          <w:szCs w:val="24"/>
          <w:lang w:val="en-US"/>
        </w:rPr>
        <w:t>Overview of the regional initiatives</w:t>
      </w:r>
    </w:p>
    <w:p w14:paraId="77261283" w14:textId="4ADC4550" w:rsidR="00E92BE6" w:rsidRDefault="00E92BE6" w:rsidP="00E92BE6">
      <w:pPr>
        <w:rPr>
          <w:szCs w:val="24"/>
          <w:lang w:val="en-US"/>
        </w:rPr>
      </w:pPr>
      <w:r w:rsidRPr="00C0739B">
        <w:rPr>
          <w:szCs w:val="24"/>
          <w:lang w:val="en-US"/>
        </w:rPr>
        <w:t xml:space="preserve">WTDC-17 approved the </w:t>
      </w:r>
      <w:r>
        <w:rPr>
          <w:szCs w:val="24"/>
          <w:lang w:val="en-US"/>
        </w:rPr>
        <w:t xml:space="preserve">RIs covering the following broad areas of focus creating synergies </w:t>
      </w:r>
      <w:r w:rsidRPr="00A01305">
        <w:rPr>
          <w:szCs w:val="24"/>
          <w:lang w:val="en-US"/>
        </w:rPr>
        <w:t xml:space="preserve">across regions in implementing the </w:t>
      </w:r>
      <w:r>
        <w:rPr>
          <w:szCs w:val="24"/>
          <w:lang w:val="en-US"/>
        </w:rPr>
        <w:t xml:space="preserve">RIs as specified in </w:t>
      </w:r>
      <w:r w:rsidRPr="00BF4C61">
        <w:rPr>
          <w:b/>
          <w:bCs/>
          <w:szCs w:val="24"/>
          <w:lang w:val="en-US"/>
        </w:rPr>
        <w:t>Annex 1</w:t>
      </w:r>
      <w:r>
        <w:rPr>
          <w:szCs w:val="24"/>
          <w:lang w:val="en-US"/>
        </w:rPr>
        <w:t>.</w:t>
      </w:r>
    </w:p>
    <w:p w14:paraId="0AA1299F" w14:textId="77777777" w:rsidR="00E92BE6" w:rsidRPr="00C0739B" w:rsidRDefault="00E92BE6" w:rsidP="00E92BE6">
      <w:pPr>
        <w:pStyle w:val="ListParagraph"/>
        <w:keepNext/>
        <w:numPr>
          <w:ilvl w:val="0"/>
          <w:numId w:val="8"/>
        </w:numPr>
        <w:tabs>
          <w:tab w:val="clear" w:pos="1134"/>
          <w:tab w:val="clear" w:pos="1871"/>
          <w:tab w:val="clear" w:pos="2268"/>
        </w:tabs>
        <w:overflowPunct/>
        <w:autoSpaceDE/>
        <w:autoSpaceDN/>
        <w:adjustRightInd/>
        <w:spacing w:before="240"/>
        <w:ind w:left="567" w:hanging="567"/>
        <w:contextualSpacing w:val="0"/>
        <w:textAlignment w:val="auto"/>
        <w:rPr>
          <w:b/>
          <w:bCs/>
          <w:szCs w:val="24"/>
          <w:lang w:val="en-US"/>
        </w:rPr>
      </w:pPr>
      <w:r w:rsidRPr="00C0739B">
        <w:rPr>
          <w:b/>
          <w:bCs/>
          <w:szCs w:val="24"/>
          <w:lang w:val="en-US"/>
        </w:rPr>
        <w:t>Proposals</w:t>
      </w:r>
    </w:p>
    <w:p w14:paraId="63C68051" w14:textId="0471D3DE" w:rsidR="00E92BE6" w:rsidRDefault="00E92BE6" w:rsidP="00E92BE6">
      <w:pPr>
        <w:rPr>
          <w:szCs w:val="24"/>
          <w:lang w:val="en-US"/>
        </w:rPr>
      </w:pPr>
      <w:r w:rsidRPr="00C0739B">
        <w:rPr>
          <w:szCs w:val="24"/>
          <w:lang w:val="en-US"/>
        </w:rPr>
        <w:t xml:space="preserve">The Council Working Group on Financial and Human Resources (CWG-FHR), held </w:t>
      </w:r>
      <w:r>
        <w:rPr>
          <w:szCs w:val="24"/>
          <w:lang w:val="en-US"/>
        </w:rPr>
        <w:t>in January </w:t>
      </w:r>
      <w:r w:rsidRPr="00C0739B">
        <w:rPr>
          <w:szCs w:val="24"/>
          <w:lang w:val="en-US"/>
        </w:rPr>
        <w:t xml:space="preserve">2018, considered the </w:t>
      </w:r>
      <w:r>
        <w:rPr>
          <w:szCs w:val="24"/>
          <w:lang w:val="en-US"/>
        </w:rPr>
        <w:t>r</w:t>
      </w:r>
      <w:r w:rsidRPr="00C0739B">
        <w:rPr>
          <w:szCs w:val="24"/>
          <w:lang w:val="en-US"/>
        </w:rPr>
        <w:t xml:space="preserve">eport of the Budget Control Committee (document </w:t>
      </w:r>
      <w:hyperlink r:id="rId17" w:history="1">
        <w:r w:rsidRPr="00820D51">
          <w:rPr>
            <w:rStyle w:val="Hyperlink"/>
            <w:szCs w:val="24"/>
            <w:lang w:val="en-US"/>
          </w:rPr>
          <w:t>CWG-FHR 8/2</w:t>
        </w:r>
      </w:hyperlink>
      <w:r w:rsidRPr="00C0739B">
        <w:rPr>
          <w:szCs w:val="24"/>
          <w:lang w:val="en-US"/>
        </w:rPr>
        <w:t xml:space="preserve">) and requested the </w:t>
      </w:r>
      <w:r>
        <w:rPr>
          <w:szCs w:val="24"/>
          <w:lang w:val="en-US"/>
        </w:rPr>
        <w:t>s</w:t>
      </w:r>
      <w:r w:rsidRPr="00C0739B">
        <w:rPr>
          <w:szCs w:val="24"/>
          <w:lang w:val="en-US"/>
        </w:rPr>
        <w:t>ecretariat “to present options for partial implementation of regional initiatives that may be taken into account in a revised draft Financial Plan for 2020-2023”.</w:t>
      </w:r>
    </w:p>
    <w:p w14:paraId="51358F2C" w14:textId="1DD9AEB6" w:rsidR="00E92BE6" w:rsidRDefault="00E92BE6" w:rsidP="00E92BE6">
      <w:pPr>
        <w:rPr>
          <w:szCs w:val="24"/>
          <w:lang w:val="en-US"/>
        </w:rPr>
      </w:pPr>
      <w:r w:rsidRPr="00C0739B">
        <w:rPr>
          <w:szCs w:val="24"/>
          <w:lang w:val="en-US"/>
        </w:rPr>
        <w:lastRenderedPageBreak/>
        <w:t xml:space="preserve">It is planned that the implementation of these </w:t>
      </w:r>
      <w:r>
        <w:rPr>
          <w:szCs w:val="24"/>
          <w:lang w:val="en-US"/>
        </w:rPr>
        <w:t>RIs</w:t>
      </w:r>
      <w:r w:rsidRPr="00C0739B">
        <w:rPr>
          <w:szCs w:val="24"/>
          <w:lang w:val="en-US"/>
        </w:rPr>
        <w:t xml:space="preserve"> will start in 2018.</w:t>
      </w:r>
      <w:r>
        <w:rPr>
          <w:szCs w:val="24"/>
          <w:lang w:val="en-US"/>
        </w:rPr>
        <w:t xml:space="preserve"> </w:t>
      </w:r>
      <w:r w:rsidRPr="00C0739B" w:rsidDel="00672DD1">
        <w:rPr>
          <w:szCs w:val="24"/>
          <w:lang w:val="en-US"/>
        </w:rPr>
        <w:t xml:space="preserve">The expectation is that </w:t>
      </w:r>
      <w:r>
        <w:rPr>
          <w:szCs w:val="24"/>
          <w:lang w:val="en-US"/>
        </w:rPr>
        <w:t>the contribution of ITU</w:t>
      </w:r>
      <w:r w:rsidRPr="00C0739B" w:rsidDel="00672DD1">
        <w:rPr>
          <w:szCs w:val="24"/>
          <w:lang w:val="en-US"/>
        </w:rPr>
        <w:t xml:space="preserve"> will be augmented by resources raised through resource mobilization efforts and commitments to be made by countries.</w:t>
      </w:r>
      <w:r>
        <w:rPr>
          <w:szCs w:val="24"/>
          <w:lang w:val="en-US"/>
        </w:rPr>
        <w:t xml:space="preserve"> </w:t>
      </w:r>
    </w:p>
    <w:p w14:paraId="0EC26C78" w14:textId="77777777" w:rsidR="00E92BE6" w:rsidRDefault="00E92BE6" w:rsidP="00E92BE6">
      <w:pPr>
        <w:keepNext/>
        <w:rPr>
          <w:szCs w:val="24"/>
          <w:lang w:val="en-US"/>
        </w:rPr>
      </w:pPr>
      <w:r w:rsidRPr="00DE08BA">
        <w:rPr>
          <w:szCs w:val="24"/>
          <w:lang w:val="en-US"/>
        </w:rPr>
        <w:t xml:space="preserve">As per document WTDC-17/85 the allocation of KCHF 500 to each RI for 2018-2019 and KCHF 500 for 2020-2021 would require a maximum of CHF 15 million in 2018-2019 and another CHF 15 million in 2020-2021 totaling CHF 30 million for full implementation. This option represents the ideal funding situation where significant impact could be achieved if we are to attract more resources to finance large-scale projects with a higher impact. </w:t>
      </w:r>
    </w:p>
    <w:p w14:paraId="53C7F722" w14:textId="64B41492" w:rsidR="00E92BE6" w:rsidRDefault="00E92BE6" w:rsidP="00986953">
      <w:pPr>
        <w:keepNext/>
        <w:spacing w:after="120"/>
        <w:rPr>
          <w:szCs w:val="24"/>
          <w:lang w:val="en-US"/>
        </w:rPr>
      </w:pPr>
      <w:r w:rsidRPr="00C0739B">
        <w:rPr>
          <w:szCs w:val="24"/>
          <w:lang w:val="en-US"/>
        </w:rPr>
        <w:t xml:space="preserve">Based on the </w:t>
      </w:r>
      <w:r>
        <w:rPr>
          <w:szCs w:val="24"/>
          <w:lang w:val="en-US"/>
        </w:rPr>
        <w:t>request</w:t>
      </w:r>
      <w:r w:rsidRPr="00C0739B">
        <w:rPr>
          <w:szCs w:val="24"/>
          <w:lang w:val="en-US"/>
        </w:rPr>
        <w:t xml:space="preserve"> of CWG-FHR</w:t>
      </w:r>
      <w:r>
        <w:rPr>
          <w:szCs w:val="24"/>
          <w:lang w:val="en-US"/>
        </w:rPr>
        <w:t xml:space="preserve"> for the secretariat to present options for “partial” implementation,</w:t>
      </w:r>
      <w:r w:rsidRPr="00C0739B">
        <w:rPr>
          <w:szCs w:val="24"/>
          <w:lang w:val="en-US"/>
        </w:rPr>
        <w:t xml:space="preserve"> </w:t>
      </w:r>
      <w:r>
        <w:rPr>
          <w:szCs w:val="24"/>
          <w:lang w:val="en-US"/>
        </w:rPr>
        <w:t xml:space="preserve">and conscious of the limited financial resources of the Union, </w:t>
      </w:r>
      <w:r w:rsidRPr="00C0739B">
        <w:rPr>
          <w:szCs w:val="24"/>
          <w:lang w:val="en-US"/>
        </w:rPr>
        <w:t>the following options</w:t>
      </w:r>
      <w:r>
        <w:rPr>
          <w:szCs w:val="24"/>
          <w:lang w:val="en-US"/>
        </w:rPr>
        <w:t xml:space="preserve"> (see an explanatory note below the table)</w:t>
      </w:r>
      <w:r w:rsidRPr="00C0739B">
        <w:rPr>
          <w:szCs w:val="24"/>
          <w:lang w:val="en-US"/>
        </w:rPr>
        <w:t xml:space="preserve"> </w:t>
      </w:r>
      <w:r>
        <w:rPr>
          <w:szCs w:val="24"/>
          <w:lang w:val="en-US"/>
        </w:rPr>
        <w:t>are being proposed with an accompanying explanatory note for each option. The higher the allocated amount to each of the RI, the more likely it is for external partners to commit more funds</w:t>
      </w:r>
      <w:r>
        <w:rPr>
          <w:rStyle w:val="FootnoteReference"/>
          <w:szCs w:val="24"/>
          <w:lang w:val="en-US"/>
        </w:rPr>
        <w:footnoteReference w:id="6"/>
      </w:r>
      <w:r>
        <w:rPr>
          <w:szCs w:val="24"/>
          <w:lang w:val="en-US"/>
        </w:rPr>
        <w:t xml:space="preserve"> towards projects related to the RIs. </w:t>
      </w: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E92BE6" w:rsidRPr="00592E51" w14:paraId="29BE75DF" w14:textId="77777777" w:rsidTr="002F6D46">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0AE64" w14:textId="77777777" w:rsidR="00E92BE6" w:rsidRPr="00592E51" w:rsidRDefault="00E92BE6" w:rsidP="002F6D46">
            <w:pPr>
              <w:keepNext/>
              <w:spacing w:after="120"/>
              <w:jc w:val="center"/>
              <w:rPr>
                <w:b/>
                <w:bCs/>
                <w:sz w:val="22"/>
                <w:szCs w:val="22"/>
                <w:lang w:val="en-US"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F0067" w14:textId="6B86222B" w:rsidR="00E92BE6" w:rsidRPr="00592E51" w:rsidRDefault="00E92BE6" w:rsidP="002F6D46">
            <w:pPr>
              <w:keepNext/>
              <w:spacing w:after="120"/>
              <w:rPr>
                <w:b/>
                <w:bCs/>
                <w:sz w:val="22"/>
                <w:szCs w:val="22"/>
              </w:rPr>
            </w:pPr>
            <w:r w:rsidRPr="00592E51">
              <w:rPr>
                <w:b/>
                <w:bCs/>
                <w:sz w:val="22"/>
                <w:szCs w:val="22"/>
              </w:rPr>
              <w:t>Option</w:t>
            </w:r>
            <w:r>
              <w:rPr>
                <w:b/>
                <w:bCs/>
                <w:sz w:val="22"/>
                <w:szCs w:val="22"/>
              </w:rPr>
              <w:t>s for partial implementation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F5399" w14:textId="77777777" w:rsidR="00E92BE6" w:rsidRPr="00592E51" w:rsidRDefault="00E92BE6" w:rsidP="002F6D46">
            <w:pPr>
              <w:keepNext/>
              <w:spacing w:after="120"/>
              <w:jc w:val="center"/>
              <w:rPr>
                <w:b/>
                <w:bCs/>
                <w:sz w:val="22"/>
                <w:szCs w:val="22"/>
              </w:rPr>
            </w:pPr>
            <w:r w:rsidRPr="00592E51">
              <w:rPr>
                <w:b/>
                <w:bCs/>
                <w:sz w:val="22"/>
                <w:szCs w:val="22"/>
              </w:rPr>
              <w:t>2018-2019</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86E8CD" w14:textId="77777777" w:rsidR="00E92BE6" w:rsidRPr="00592E51" w:rsidRDefault="00E92BE6" w:rsidP="002F6D46">
            <w:pPr>
              <w:keepNext/>
              <w:spacing w:after="120"/>
              <w:jc w:val="center"/>
              <w:rPr>
                <w:b/>
                <w:bCs/>
                <w:sz w:val="22"/>
                <w:szCs w:val="22"/>
              </w:rPr>
            </w:pPr>
            <w:r w:rsidRPr="00592E51">
              <w:rPr>
                <w:b/>
                <w:bCs/>
                <w:sz w:val="22"/>
                <w:szCs w:val="22"/>
              </w:rPr>
              <w:t>2020-2021</w:t>
            </w:r>
          </w:p>
        </w:tc>
        <w:tc>
          <w:tcPr>
            <w:tcW w:w="2126" w:type="dxa"/>
            <w:tcBorders>
              <w:top w:val="single" w:sz="8" w:space="0" w:color="auto"/>
              <w:left w:val="nil"/>
              <w:bottom w:val="single" w:sz="8" w:space="0" w:color="auto"/>
              <w:right w:val="single" w:sz="8" w:space="0" w:color="auto"/>
            </w:tcBorders>
          </w:tcPr>
          <w:p w14:paraId="1E9DE09C" w14:textId="77777777" w:rsidR="00E92BE6" w:rsidRPr="00592E51" w:rsidRDefault="00E92BE6" w:rsidP="002F6D46">
            <w:pPr>
              <w:keepNext/>
              <w:spacing w:after="120"/>
              <w:jc w:val="center"/>
              <w:rPr>
                <w:b/>
                <w:bCs/>
                <w:sz w:val="22"/>
                <w:szCs w:val="22"/>
              </w:rPr>
            </w:pPr>
            <w:r w:rsidRPr="00592E51">
              <w:rPr>
                <w:b/>
                <w:bCs/>
                <w:sz w:val="22"/>
                <w:szCs w:val="22"/>
              </w:rPr>
              <w:t>TOTAL 2018-2021</w:t>
            </w:r>
          </w:p>
        </w:tc>
      </w:tr>
      <w:tr w:rsidR="00E92BE6" w:rsidRPr="00592E51" w14:paraId="2C668383" w14:textId="77777777" w:rsidTr="00986953">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CC481" w14:textId="77777777" w:rsidR="00E92BE6" w:rsidRPr="00592E51" w:rsidRDefault="00E92BE6" w:rsidP="002F6D46">
            <w:pPr>
              <w:spacing w:before="60" w:after="60"/>
              <w:rPr>
                <w:sz w:val="22"/>
                <w:szCs w:val="22"/>
              </w:rPr>
            </w:pPr>
            <w:r>
              <w:rPr>
                <w:sz w:val="22"/>
                <w:szCs w:val="22"/>
              </w:rPr>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B5033" w14:textId="57189413" w:rsidR="00E92BE6" w:rsidRPr="00592E51" w:rsidRDefault="00E92BE6" w:rsidP="002F6D46">
            <w:pPr>
              <w:spacing w:before="60" w:after="60"/>
              <w:rPr>
                <w:sz w:val="22"/>
                <w:szCs w:val="22"/>
              </w:rPr>
            </w:pPr>
            <w:r>
              <w:rPr>
                <w:sz w:val="22"/>
                <w:szCs w:val="22"/>
              </w:rPr>
              <w:t>Allocation of KCHF </w:t>
            </w:r>
            <w:r w:rsidRPr="00592E51">
              <w:rPr>
                <w:sz w:val="22"/>
                <w:szCs w:val="22"/>
              </w:rPr>
              <w:t xml:space="preserve">100 to each </w:t>
            </w:r>
            <w:r>
              <w:rPr>
                <w:sz w:val="22"/>
                <w:szCs w:val="22"/>
              </w:rPr>
              <w:t>RI for 2018-2019 and KCHF</w:t>
            </w:r>
            <w:r>
              <w:rPr>
                <w:sz w:val="22"/>
                <w:szCs w:val="22"/>
                <w:lang w:val="en-US"/>
              </w:rPr>
              <w:t> </w:t>
            </w:r>
            <w:r w:rsidRPr="00592E51">
              <w:rPr>
                <w:sz w:val="22"/>
                <w:szCs w:val="22"/>
              </w:rPr>
              <w:t>500 for 2020-2021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D06502" w14:textId="64F59071" w:rsidR="00E92BE6" w:rsidRPr="00592E51" w:rsidRDefault="00E92BE6" w:rsidP="002F6D46">
            <w:pPr>
              <w:spacing w:before="60" w:after="60"/>
              <w:jc w:val="center"/>
              <w:rPr>
                <w:sz w:val="22"/>
                <w:szCs w:val="22"/>
              </w:rPr>
            </w:pPr>
            <w:r w:rsidRPr="00592E51">
              <w:rPr>
                <w:sz w:val="22"/>
                <w:szCs w:val="22"/>
              </w:rPr>
              <w:t>Maximum of CHF 3 million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FC536" w14:textId="77777777" w:rsidR="00E92BE6" w:rsidRPr="00592E51" w:rsidRDefault="00E92BE6" w:rsidP="002F6D46">
            <w:pPr>
              <w:spacing w:before="60" w:after="60"/>
              <w:jc w:val="center"/>
              <w:rPr>
                <w:sz w:val="22"/>
                <w:szCs w:val="22"/>
              </w:rPr>
            </w:pPr>
            <w:r w:rsidRPr="00592E51">
              <w:rPr>
                <w:sz w:val="22"/>
                <w:szCs w:val="22"/>
              </w:rPr>
              <w:t>CHF 15 million</w:t>
            </w:r>
          </w:p>
        </w:tc>
        <w:tc>
          <w:tcPr>
            <w:tcW w:w="2126" w:type="dxa"/>
            <w:tcBorders>
              <w:top w:val="single" w:sz="8" w:space="0" w:color="auto"/>
              <w:left w:val="nil"/>
              <w:bottom w:val="single" w:sz="8" w:space="0" w:color="auto"/>
              <w:right w:val="single" w:sz="8" w:space="0" w:color="auto"/>
            </w:tcBorders>
          </w:tcPr>
          <w:p w14:paraId="78FD6708" w14:textId="3BB31C56" w:rsidR="00E92BE6" w:rsidRPr="00592E51" w:rsidRDefault="00E92BE6" w:rsidP="002F6D46">
            <w:pPr>
              <w:spacing w:before="60" w:after="60"/>
              <w:jc w:val="center"/>
              <w:rPr>
                <w:b/>
                <w:bCs/>
                <w:sz w:val="22"/>
                <w:szCs w:val="22"/>
              </w:rPr>
            </w:pPr>
            <w:r w:rsidRPr="00592E51">
              <w:rPr>
                <w:b/>
                <w:bCs/>
                <w:sz w:val="22"/>
                <w:szCs w:val="22"/>
              </w:rPr>
              <w:t>CHF 18 million</w:t>
            </w:r>
          </w:p>
        </w:tc>
      </w:tr>
      <w:tr w:rsidR="00E92BE6" w:rsidRPr="00592E51" w14:paraId="2FB3224C" w14:textId="77777777" w:rsidTr="00986953">
        <w:trPr>
          <w:trHeight w:val="969"/>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CFF7C0" w14:textId="6152EE8D" w:rsidR="00E92BE6" w:rsidRPr="00592E51" w:rsidRDefault="00E92BE6" w:rsidP="002F6D46">
            <w:pPr>
              <w:spacing w:before="60" w:after="60"/>
              <w:rPr>
                <w:sz w:val="22"/>
                <w:szCs w:val="22"/>
              </w:rPr>
            </w:pPr>
            <w:r>
              <w:rPr>
                <w:sz w:val="22"/>
                <w:szCs w:val="22"/>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6085AD" w14:textId="79C975C7" w:rsidR="00E92BE6" w:rsidRPr="00592E51" w:rsidRDefault="00E92BE6" w:rsidP="002F6D46">
            <w:pPr>
              <w:spacing w:before="60" w:after="60"/>
              <w:rPr>
                <w:sz w:val="22"/>
                <w:szCs w:val="22"/>
              </w:rPr>
            </w:pPr>
            <w:r>
              <w:rPr>
                <w:sz w:val="22"/>
                <w:szCs w:val="22"/>
              </w:rPr>
              <w:t>Allocation of KCHF </w:t>
            </w:r>
            <w:r w:rsidRPr="00592E51">
              <w:rPr>
                <w:sz w:val="22"/>
                <w:szCs w:val="22"/>
              </w:rPr>
              <w:t xml:space="preserve">100 to each </w:t>
            </w:r>
            <w:r>
              <w:rPr>
                <w:sz w:val="22"/>
                <w:szCs w:val="22"/>
              </w:rPr>
              <w:t>RI for 2018-2019 and KCHF </w:t>
            </w:r>
            <w:r w:rsidRPr="00592E51">
              <w:rPr>
                <w:sz w:val="22"/>
                <w:szCs w:val="22"/>
              </w:rPr>
              <w:t>200 for 2020-2021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4FA50" w14:textId="77777777" w:rsidR="00E92BE6" w:rsidRPr="00592E51" w:rsidRDefault="00E92BE6" w:rsidP="002F6D46">
            <w:pPr>
              <w:spacing w:before="60" w:after="60"/>
              <w:jc w:val="center"/>
              <w:rPr>
                <w:sz w:val="22"/>
                <w:szCs w:val="22"/>
              </w:rPr>
            </w:pPr>
            <w:r w:rsidRPr="00592E51">
              <w:rPr>
                <w:sz w:val="22"/>
                <w:szCs w:val="22"/>
              </w:rPr>
              <w:t>Maximum of CHF 3 million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33BF4E" w14:textId="77777777" w:rsidR="00E92BE6" w:rsidRPr="00592E51" w:rsidRDefault="00E92BE6" w:rsidP="002F6D46">
            <w:pPr>
              <w:spacing w:before="60" w:after="60"/>
              <w:jc w:val="center"/>
              <w:rPr>
                <w:sz w:val="22"/>
                <w:szCs w:val="22"/>
              </w:rPr>
            </w:pPr>
            <w:r w:rsidRPr="00592E51">
              <w:rPr>
                <w:sz w:val="22"/>
                <w:szCs w:val="22"/>
              </w:rPr>
              <w:t>CHF 6 million</w:t>
            </w:r>
          </w:p>
        </w:tc>
        <w:tc>
          <w:tcPr>
            <w:tcW w:w="2126" w:type="dxa"/>
            <w:tcBorders>
              <w:top w:val="single" w:sz="8" w:space="0" w:color="auto"/>
              <w:left w:val="nil"/>
              <w:bottom w:val="single" w:sz="8" w:space="0" w:color="auto"/>
              <w:right w:val="single" w:sz="8" w:space="0" w:color="auto"/>
            </w:tcBorders>
          </w:tcPr>
          <w:p w14:paraId="5E3EF112" w14:textId="77777777" w:rsidR="00E92BE6" w:rsidRPr="00592E51" w:rsidRDefault="00E92BE6" w:rsidP="002F6D46">
            <w:pPr>
              <w:spacing w:before="60" w:after="60"/>
              <w:jc w:val="center"/>
              <w:rPr>
                <w:b/>
                <w:bCs/>
                <w:sz w:val="22"/>
                <w:szCs w:val="22"/>
              </w:rPr>
            </w:pPr>
            <w:r w:rsidRPr="00592E51">
              <w:rPr>
                <w:b/>
                <w:bCs/>
                <w:sz w:val="22"/>
                <w:szCs w:val="22"/>
              </w:rPr>
              <w:t>CHF 9 million</w:t>
            </w:r>
          </w:p>
        </w:tc>
      </w:tr>
      <w:tr w:rsidR="00E92BE6" w:rsidRPr="00592E51" w14:paraId="0AF9A51A" w14:textId="77777777" w:rsidTr="002F6D46">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378086" w14:textId="40B83D9E" w:rsidR="00E92BE6" w:rsidRPr="00592E51" w:rsidRDefault="00E92BE6" w:rsidP="002F6D46">
            <w:pPr>
              <w:spacing w:before="60" w:after="60"/>
              <w:rPr>
                <w:sz w:val="22"/>
                <w:szCs w:val="22"/>
              </w:rPr>
            </w:pPr>
            <w:r>
              <w:rPr>
                <w:sz w:val="22"/>
                <w:szCs w:val="22"/>
              </w:rP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14:paraId="1A4A5007" w14:textId="7720A6A5" w:rsidR="00E92BE6" w:rsidRPr="00592E51" w:rsidRDefault="00E92BE6" w:rsidP="002F6D46">
            <w:pPr>
              <w:spacing w:before="60" w:after="60"/>
              <w:rPr>
                <w:sz w:val="22"/>
                <w:szCs w:val="22"/>
              </w:rPr>
            </w:pPr>
            <w:r w:rsidRPr="00592E51">
              <w:rPr>
                <w:sz w:val="22"/>
                <w:szCs w:val="22"/>
              </w:rPr>
              <w:t xml:space="preserve">Allocation of KCHF 100 to each </w:t>
            </w:r>
            <w:r>
              <w:rPr>
                <w:sz w:val="22"/>
                <w:szCs w:val="22"/>
              </w:rPr>
              <w:t>RI</w:t>
            </w:r>
            <w:r w:rsidRPr="00592E51">
              <w:rPr>
                <w:sz w:val="22"/>
                <w:szCs w:val="22"/>
              </w:rPr>
              <w:t xml:space="preserve"> for 2018-2019 and KCHF 100 for 2020-2021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ECCAA0" w14:textId="77777777" w:rsidR="00E92BE6" w:rsidRPr="00592E51" w:rsidRDefault="00E92BE6" w:rsidP="002F6D46">
            <w:pPr>
              <w:spacing w:before="60" w:after="60"/>
              <w:jc w:val="center"/>
              <w:rPr>
                <w:sz w:val="22"/>
                <w:szCs w:val="22"/>
              </w:rPr>
            </w:pPr>
            <w:r w:rsidRPr="00592E51">
              <w:rPr>
                <w:sz w:val="22"/>
                <w:szCs w:val="22"/>
              </w:rPr>
              <w:t>Maximum of CHF 3 million</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A262ACD" w14:textId="77777777" w:rsidR="00E92BE6" w:rsidRPr="00592E51" w:rsidRDefault="00E92BE6" w:rsidP="002F6D46">
            <w:pPr>
              <w:spacing w:before="60" w:after="60"/>
              <w:jc w:val="center"/>
              <w:rPr>
                <w:sz w:val="22"/>
                <w:szCs w:val="22"/>
              </w:rPr>
            </w:pPr>
            <w:r w:rsidRPr="00592E51">
              <w:rPr>
                <w:sz w:val="22"/>
                <w:szCs w:val="22"/>
              </w:rPr>
              <w:t>CHF 3 million</w:t>
            </w:r>
          </w:p>
        </w:tc>
        <w:tc>
          <w:tcPr>
            <w:tcW w:w="2126" w:type="dxa"/>
            <w:tcBorders>
              <w:top w:val="nil"/>
              <w:left w:val="nil"/>
              <w:bottom w:val="single" w:sz="8" w:space="0" w:color="auto"/>
              <w:right w:val="single" w:sz="8" w:space="0" w:color="auto"/>
            </w:tcBorders>
          </w:tcPr>
          <w:p w14:paraId="1544C9AD" w14:textId="77777777" w:rsidR="00E92BE6" w:rsidRPr="00592E51" w:rsidRDefault="00E92BE6" w:rsidP="002F6D46">
            <w:pPr>
              <w:spacing w:before="60" w:after="60"/>
              <w:jc w:val="center"/>
              <w:rPr>
                <w:b/>
                <w:bCs/>
                <w:sz w:val="22"/>
                <w:szCs w:val="22"/>
              </w:rPr>
            </w:pPr>
            <w:r w:rsidRPr="00592E51">
              <w:rPr>
                <w:b/>
                <w:bCs/>
                <w:sz w:val="22"/>
                <w:szCs w:val="22"/>
              </w:rPr>
              <w:t>CHF 6 million</w:t>
            </w:r>
          </w:p>
        </w:tc>
      </w:tr>
    </w:tbl>
    <w:p w14:paraId="263F9337" w14:textId="0BEA03EB" w:rsidR="00E92BE6" w:rsidRPr="0063336C" w:rsidRDefault="00E92BE6" w:rsidP="00E92BE6">
      <w:pPr>
        <w:keepNext/>
        <w:tabs>
          <w:tab w:val="clear" w:pos="1134"/>
          <w:tab w:val="clear" w:pos="2268"/>
        </w:tabs>
        <w:overflowPunct/>
        <w:autoSpaceDE/>
        <w:autoSpaceDN/>
        <w:adjustRightInd/>
        <w:spacing w:before="240"/>
        <w:ind w:left="567" w:hanging="567"/>
        <w:textAlignment w:val="auto"/>
        <w:rPr>
          <w:rFonts w:cstheme="minorHAnsi"/>
          <w:b/>
          <w:bCs/>
          <w:szCs w:val="24"/>
        </w:rPr>
      </w:pPr>
      <w:r w:rsidRPr="0063336C">
        <w:rPr>
          <w:rFonts w:cstheme="minorHAnsi"/>
          <w:b/>
          <w:bCs/>
          <w:szCs w:val="24"/>
        </w:rPr>
        <w:t xml:space="preserve">Explanatory </w:t>
      </w:r>
      <w:r>
        <w:rPr>
          <w:rFonts w:cstheme="minorHAnsi"/>
          <w:b/>
          <w:bCs/>
          <w:szCs w:val="24"/>
        </w:rPr>
        <w:t>n</w:t>
      </w:r>
      <w:r w:rsidRPr="0063336C">
        <w:rPr>
          <w:rFonts w:cstheme="minorHAnsi"/>
          <w:b/>
          <w:bCs/>
          <w:szCs w:val="24"/>
        </w:rPr>
        <w:t xml:space="preserve">ote on the </w:t>
      </w:r>
      <w:r>
        <w:rPr>
          <w:rFonts w:cstheme="minorHAnsi"/>
          <w:b/>
          <w:bCs/>
          <w:szCs w:val="24"/>
        </w:rPr>
        <w:t>options for p</w:t>
      </w:r>
      <w:r w:rsidRPr="00D023EC">
        <w:rPr>
          <w:rFonts w:cstheme="minorHAnsi"/>
          <w:b/>
          <w:bCs/>
          <w:szCs w:val="24"/>
        </w:rPr>
        <w:t>artial implementation</w:t>
      </w:r>
    </w:p>
    <w:p w14:paraId="6FFF645E" w14:textId="41F915DC" w:rsidR="00E92BE6" w:rsidRDefault="00E92BE6" w:rsidP="00E92BE6">
      <w:pPr>
        <w:tabs>
          <w:tab w:val="clear" w:pos="1134"/>
          <w:tab w:val="clear" w:pos="2268"/>
        </w:tabs>
        <w:overflowPunct/>
        <w:autoSpaceDE/>
        <w:autoSpaceDN/>
        <w:adjustRightInd/>
        <w:textAlignment w:val="auto"/>
        <w:rPr>
          <w:rFonts w:cstheme="minorHAnsi"/>
          <w:szCs w:val="24"/>
        </w:rPr>
      </w:pPr>
      <w:r w:rsidRPr="00BD7913">
        <w:rPr>
          <w:rFonts w:cstheme="minorHAnsi"/>
          <w:b/>
          <w:szCs w:val="24"/>
        </w:rPr>
        <w:t xml:space="preserve">Option </w:t>
      </w:r>
      <w:r>
        <w:rPr>
          <w:rFonts w:cstheme="minorHAnsi"/>
          <w:b/>
          <w:szCs w:val="24"/>
        </w:rPr>
        <w:t>1</w:t>
      </w:r>
      <w:r w:rsidRPr="00BD7913">
        <w:rPr>
          <w:rFonts w:cstheme="minorHAnsi"/>
          <w:b/>
          <w:szCs w:val="24"/>
        </w:rPr>
        <w:t>:</w:t>
      </w:r>
      <w:r>
        <w:rPr>
          <w:rFonts w:cstheme="minorHAnsi"/>
          <w:szCs w:val="24"/>
        </w:rPr>
        <w:t xml:space="preserve"> Allocation of KCHF 100 for each Regional Initiative for the first two years and then KCHF 500 over the following two years would to some extend help attract more funding with the explanation given to partners that the projects would be broken into two phases thus amplifying the total ITU contribution to the project. </w:t>
      </w:r>
    </w:p>
    <w:p w14:paraId="33BA5D9D" w14:textId="0BC8692C" w:rsidR="00E92BE6" w:rsidRDefault="00E92BE6" w:rsidP="00E92BE6">
      <w:pPr>
        <w:tabs>
          <w:tab w:val="clear" w:pos="1134"/>
          <w:tab w:val="clear" w:pos="2268"/>
        </w:tabs>
        <w:overflowPunct/>
        <w:autoSpaceDE/>
        <w:autoSpaceDN/>
        <w:adjustRightInd/>
        <w:textAlignment w:val="auto"/>
        <w:rPr>
          <w:rFonts w:cstheme="minorHAnsi"/>
          <w:szCs w:val="24"/>
        </w:rPr>
      </w:pPr>
      <w:r w:rsidRPr="00BD7913">
        <w:rPr>
          <w:rFonts w:cstheme="minorHAnsi"/>
          <w:b/>
          <w:szCs w:val="24"/>
        </w:rPr>
        <w:t xml:space="preserve">Option </w:t>
      </w:r>
      <w:r>
        <w:rPr>
          <w:rFonts w:cstheme="minorHAnsi"/>
          <w:b/>
          <w:szCs w:val="24"/>
        </w:rPr>
        <w:t>2</w:t>
      </w:r>
      <w:r w:rsidRPr="00BD7913">
        <w:rPr>
          <w:rFonts w:cstheme="minorHAnsi"/>
          <w:b/>
          <w:szCs w:val="24"/>
        </w:rPr>
        <w:t>:</w:t>
      </w:r>
      <w:r>
        <w:rPr>
          <w:rFonts w:cstheme="minorHAnsi"/>
          <w:szCs w:val="24"/>
        </w:rPr>
        <w:t xml:space="preserve"> Allocation of KCHF 100 for each Regional Initiative for the first two years and KCHF 200 in the next two years would most likely attract funding for medium-sized projects.</w:t>
      </w:r>
    </w:p>
    <w:p w14:paraId="0FA6266E" w14:textId="22778511" w:rsidR="00E92BE6" w:rsidRPr="00E37135" w:rsidRDefault="00E92BE6" w:rsidP="00E92BE6">
      <w:pPr>
        <w:tabs>
          <w:tab w:val="clear" w:pos="1134"/>
          <w:tab w:val="clear" w:pos="2268"/>
        </w:tabs>
        <w:overflowPunct/>
        <w:autoSpaceDE/>
        <w:autoSpaceDN/>
        <w:adjustRightInd/>
        <w:textAlignment w:val="auto"/>
        <w:rPr>
          <w:rFonts w:cstheme="minorHAnsi"/>
          <w:szCs w:val="24"/>
        </w:rPr>
      </w:pPr>
      <w:r w:rsidRPr="00BD7913">
        <w:rPr>
          <w:rFonts w:cstheme="minorHAnsi"/>
          <w:b/>
          <w:szCs w:val="24"/>
        </w:rPr>
        <w:t xml:space="preserve">Option </w:t>
      </w:r>
      <w:r>
        <w:rPr>
          <w:rFonts w:cstheme="minorHAnsi"/>
          <w:b/>
          <w:szCs w:val="24"/>
        </w:rPr>
        <w:t>3</w:t>
      </w:r>
      <w:r w:rsidRPr="00BD7913">
        <w:rPr>
          <w:rFonts w:cstheme="minorHAnsi"/>
          <w:b/>
          <w:szCs w:val="24"/>
        </w:rPr>
        <w:t>:</w:t>
      </w:r>
      <w:r>
        <w:rPr>
          <w:rFonts w:cstheme="minorHAnsi"/>
          <w:szCs w:val="24"/>
        </w:rPr>
        <w:t xml:space="preserve"> Allocation of KCHF 100 in the first two years and the same amount for the next two years will most likely attract financing for small-scale projects. This has the likelihood of resulting in the same experience of the last cycle where external partners will in turn either ignore the invitation to partner or put down small amounts. </w:t>
      </w:r>
    </w:p>
    <w:p w14:paraId="741D0DFE" w14:textId="77777777" w:rsidR="00E92BE6" w:rsidRPr="008C5113" w:rsidRDefault="00E92BE6" w:rsidP="00E92BE6">
      <w:pPr>
        <w:keepNext/>
        <w:spacing w:before="240" w:after="120"/>
        <w:jc w:val="center"/>
        <w:rPr>
          <w:b/>
          <w:bCs/>
          <w:szCs w:val="24"/>
          <w:lang w:val="en-US"/>
        </w:rPr>
      </w:pPr>
      <w:r w:rsidRPr="008C5113">
        <w:rPr>
          <w:b/>
          <w:bCs/>
          <w:szCs w:val="24"/>
          <w:lang w:val="en-US"/>
        </w:rPr>
        <w:lastRenderedPageBreak/>
        <w:t>Annex 1</w:t>
      </w:r>
    </w:p>
    <w:p w14:paraId="19AEC6C8" w14:textId="77777777" w:rsidR="00E92BE6" w:rsidRDefault="00E92BE6" w:rsidP="00986953">
      <w:pPr>
        <w:keepNext/>
        <w:jc w:val="both"/>
        <w:rPr>
          <w:b/>
          <w:bCs/>
          <w:szCs w:val="24"/>
          <w:lang w:val="en-US"/>
        </w:rPr>
      </w:pPr>
      <w:r w:rsidRPr="008C5113">
        <w:rPr>
          <w:b/>
          <w:bCs/>
          <w:szCs w:val="24"/>
          <w:lang w:val="en-US"/>
        </w:rPr>
        <w:t>Broad areas of focus creating synergies across regions in implementing the regional initiatives</w:t>
      </w:r>
      <w:r>
        <w:rPr>
          <w:b/>
          <w:bCs/>
          <w:szCs w:val="24"/>
          <w:lang w:val="en-US"/>
        </w:rPr>
        <w:t>.</w:t>
      </w:r>
    </w:p>
    <w:p w14:paraId="610CA3B9" w14:textId="77777777" w:rsidR="002E4283" w:rsidRDefault="002E4283" w:rsidP="00986953">
      <w:pPr>
        <w:keepNext/>
        <w:jc w:val="both"/>
        <w:rPr>
          <w:b/>
          <w:bCs/>
          <w:szCs w:val="24"/>
          <w:lang w:val="en-US"/>
        </w:rPr>
      </w:pPr>
    </w:p>
    <w:p w14:paraId="3CF1CB78" w14:textId="77777777" w:rsidR="00E92BE6" w:rsidRPr="0063336C" w:rsidRDefault="00E92BE6" w:rsidP="00986953">
      <w:pPr>
        <w:keepNext/>
        <w:tabs>
          <w:tab w:val="clear" w:pos="1134"/>
          <w:tab w:val="clear" w:pos="2268"/>
          <w:tab w:val="left" w:pos="567"/>
        </w:tabs>
        <w:rPr>
          <w:b/>
          <w:bCs/>
          <w:szCs w:val="24"/>
        </w:rPr>
      </w:pPr>
      <w:r>
        <w:rPr>
          <w:b/>
          <w:bCs/>
          <w:szCs w:val="24"/>
        </w:rPr>
        <w:t>1.</w:t>
      </w:r>
      <w:r>
        <w:rPr>
          <w:b/>
          <w:bCs/>
          <w:szCs w:val="24"/>
        </w:rPr>
        <w:tab/>
      </w:r>
      <w:r w:rsidRPr="0063336C">
        <w:rPr>
          <w:b/>
          <w:bCs/>
          <w:szCs w:val="24"/>
        </w:rPr>
        <w:t>Broadband infrastructure:</w:t>
      </w:r>
    </w:p>
    <w:p w14:paraId="23179D93" w14:textId="77777777" w:rsidR="00E92BE6" w:rsidRPr="008C5113" w:rsidRDefault="00E92BE6" w:rsidP="00986953">
      <w:pPr>
        <w:pStyle w:val="ListParagraph"/>
        <w:numPr>
          <w:ilvl w:val="0"/>
          <w:numId w:val="11"/>
        </w:numPr>
        <w:spacing w:before="80"/>
        <w:ind w:left="1145" w:hanging="578"/>
        <w:contextualSpacing w:val="0"/>
        <w:rPr>
          <w:b/>
          <w:bCs/>
          <w:szCs w:val="24"/>
        </w:rPr>
      </w:pPr>
      <w:r w:rsidRPr="008C5113">
        <w:rPr>
          <w:b/>
          <w:bCs/>
          <w:szCs w:val="24"/>
        </w:rPr>
        <w:t xml:space="preserve">AFR2: </w:t>
      </w:r>
      <w:r w:rsidRPr="008C5113">
        <w:rPr>
          <w:szCs w:val="24"/>
        </w:rPr>
        <w:t xml:space="preserve">Promotion of emerging </w:t>
      </w:r>
      <w:r w:rsidRPr="008C5113">
        <w:rPr>
          <w:b/>
          <w:bCs/>
          <w:szCs w:val="24"/>
        </w:rPr>
        <w:t>broadband technologies</w:t>
      </w:r>
      <w:r>
        <w:rPr>
          <w:b/>
          <w:bCs/>
          <w:szCs w:val="24"/>
        </w:rPr>
        <w:t>;</w:t>
      </w:r>
    </w:p>
    <w:p w14:paraId="5C04E838" w14:textId="77777777" w:rsidR="00E92BE6" w:rsidRPr="008C5113" w:rsidRDefault="00E92BE6" w:rsidP="00986953">
      <w:pPr>
        <w:pStyle w:val="ListParagraph"/>
        <w:numPr>
          <w:ilvl w:val="0"/>
          <w:numId w:val="11"/>
        </w:numPr>
        <w:spacing w:before="80"/>
        <w:ind w:left="1145" w:hanging="578"/>
        <w:contextualSpacing w:val="0"/>
        <w:rPr>
          <w:b/>
          <w:bCs/>
          <w:szCs w:val="24"/>
        </w:rPr>
      </w:pPr>
      <w:r w:rsidRPr="008C5113">
        <w:rPr>
          <w:b/>
          <w:bCs/>
          <w:szCs w:val="24"/>
        </w:rPr>
        <w:t xml:space="preserve">AMS3: </w:t>
      </w:r>
      <w:r w:rsidRPr="008C5113">
        <w:rPr>
          <w:szCs w:val="24"/>
        </w:rPr>
        <w:t xml:space="preserve">Deployment of </w:t>
      </w:r>
      <w:r w:rsidRPr="008C5113">
        <w:rPr>
          <w:b/>
          <w:bCs/>
          <w:szCs w:val="24"/>
        </w:rPr>
        <w:t>broadband infrastructure</w:t>
      </w:r>
      <w:r w:rsidRPr="008C5113">
        <w:rPr>
          <w:szCs w:val="24"/>
        </w:rPr>
        <w:t>, especially in rural and neglected areas, and strengthening of broadband access to services and applications;</w:t>
      </w:r>
    </w:p>
    <w:p w14:paraId="434D81B0" w14:textId="77777777" w:rsidR="00E92BE6" w:rsidRPr="008C5113" w:rsidRDefault="00E92BE6" w:rsidP="00986953">
      <w:pPr>
        <w:pStyle w:val="ListParagraph"/>
        <w:numPr>
          <w:ilvl w:val="0"/>
          <w:numId w:val="11"/>
        </w:numPr>
        <w:spacing w:before="80"/>
        <w:ind w:left="1145" w:hanging="578"/>
        <w:contextualSpacing w:val="0"/>
        <w:rPr>
          <w:b/>
          <w:bCs/>
          <w:szCs w:val="24"/>
        </w:rPr>
      </w:pPr>
      <w:r w:rsidRPr="008C5113">
        <w:rPr>
          <w:b/>
          <w:bCs/>
          <w:szCs w:val="24"/>
          <w:lang w:val="en-US"/>
        </w:rPr>
        <w:t xml:space="preserve">ARB4: </w:t>
      </w:r>
      <w:r w:rsidRPr="008C5113">
        <w:rPr>
          <w:b/>
          <w:bCs/>
          <w:szCs w:val="24"/>
        </w:rPr>
        <w:t>Internet of Things</w:t>
      </w:r>
      <w:r w:rsidRPr="008C5113">
        <w:rPr>
          <w:szCs w:val="24"/>
        </w:rPr>
        <w:t>, smart cities and big data;</w:t>
      </w:r>
    </w:p>
    <w:p w14:paraId="0F751282" w14:textId="77777777" w:rsidR="00E92BE6" w:rsidRPr="008C5113" w:rsidRDefault="00E92BE6" w:rsidP="00986953">
      <w:pPr>
        <w:pStyle w:val="ListParagraph"/>
        <w:numPr>
          <w:ilvl w:val="0"/>
          <w:numId w:val="11"/>
        </w:numPr>
        <w:spacing w:before="80"/>
        <w:ind w:left="1145" w:hanging="578"/>
        <w:contextualSpacing w:val="0"/>
        <w:rPr>
          <w:szCs w:val="24"/>
        </w:rPr>
      </w:pPr>
      <w:r w:rsidRPr="008C5113">
        <w:rPr>
          <w:b/>
          <w:bCs/>
          <w:szCs w:val="24"/>
        </w:rPr>
        <w:t xml:space="preserve">ASP3: </w:t>
      </w:r>
      <w:r w:rsidRPr="008C5113">
        <w:rPr>
          <w:szCs w:val="24"/>
        </w:rPr>
        <w:t xml:space="preserve">Fostering development of </w:t>
      </w:r>
      <w:r w:rsidRPr="008C5113">
        <w:rPr>
          <w:b/>
          <w:bCs/>
          <w:szCs w:val="24"/>
        </w:rPr>
        <w:t>infrastructure</w:t>
      </w:r>
      <w:r w:rsidRPr="008C5113">
        <w:rPr>
          <w:szCs w:val="24"/>
        </w:rPr>
        <w:t xml:space="preserve"> to enhance digital connectivity;</w:t>
      </w:r>
    </w:p>
    <w:p w14:paraId="1953C957" w14:textId="77777777" w:rsidR="00E92BE6" w:rsidRPr="008C5113" w:rsidRDefault="00E92BE6" w:rsidP="00986953">
      <w:pPr>
        <w:pStyle w:val="ListParagraph"/>
        <w:numPr>
          <w:ilvl w:val="0"/>
          <w:numId w:val="11"/>
        </w:numPr>
        <w:spacing w:before="80"/>
        <w:ind w:left="1145" w:hanging="578"/>
        <w:contextualSpacing w:val="0"/>
        <w:rPr>
          <w:szCs w:val="24"/>
        </w:rPr>
      </w:pPr>
      <w:r w:rsidRPr="008C5113">
        <w:rPr>
          <w:b/>
          <w:bCs/>
          <w:szCs w:val="24"/>
        </w:rPr>
        <w:t xml:space="preserve">CIS3: </w:t>
      </w:r>
      <w:r w:rsidRPr="008C5113">
        <w:rPr>
          <w:szCs w:val="24"/>
        </w:rPr>
        <w:t xml:space="preserve">Development and regulation of infocommunication </w:t>
      </w:r>
      <w:r w:rsidRPr="008C5113">
        <w:rPr>
          <w:b/>
          <w:bCs/>
          <w:szCs w:val="24"/>
        </w:rPr>
        <w:t>infrastructure</w:t>
      </w:r>
      <w:r w:rsidRPr="008C5113">
        <w:rPr>
          <w:szCs w:val="24"/>
        </w:rPr>
        <w:t xml:space="preserve"> to make cities and human settlements inclusive, safe and resilient;</w:t>
      </w:r>
    </w:p>
    <w:p w14:paraId="3E5FC65A" w14:textId="5E38ACF9" w:rsidR="00E92BE6" w:rsidRPr="008C5113" w:rsidRDefault="00E92BE6" w:rsidP="00986953">
      <w:pPr>
        <w:pStyle w:val="ListParagraph"/>
        <w:numPr>
          <w:ilvl w:val="0"/>
          <w:numId w:val="11"/>
        </w:numPr>
        <w:spacing w:before="80"/>
        <w:ind w:left="1145" w:hanging="578"/>
        <w:contextualSpacing w:val="0"/>
        <w:rPr>
          <w:b/>
          <w:bCs/>
          <w:szCs w:val="24"/>
        </w:rPr>
      </w:pPr>
      <w:r w:rsidRPr="008C5113">
        <w:rPr>
          <w:b/>
          <w:bCs/>
          <w:szCs w:val="24"/>
        </w:rPr>
        <w:t xml:space="preserve">CIS5: </w:t>
      </w:r>
      <w:r w:rsidRPr="008C5113">
        <w:rPr>
          <w:szCs w:val="24"/>
        </w:rPr>
        <w:t xml:space="preserve">Fostering innovative solutions and partnership for the implementation of Internet of Things technologies and their interaction in </w:t>
      </w:r>
      <w:r w:rsidRPr="008C5113">
        <w:rPr>
          <w:b/>
          <w:bCs/>
          <w:szCs w:val="24"/>
        </w:rPr>
        <w:t>telecommunication networks</w:t>
      </w:r>
      <w:r w:rsidRPr="008C5113">
        <w:rPr>
          <w:szCs w:val="24"/>
        </w:rPr>
        <w:t>, including 4G, IMT-2020 and next-generation networks, in the interests of sustainable development;</w:t>
      </w:r>
    </w:p>
    <w:p w14:paraId="7B4949ED" w14:textId="77777777" w:rsidR="00E92BE6" w:rsidRPr="008C5113" w:rsidRDefault="00E92BE6" w:rsidP="00E92BE6">
      <w:pPr>
        <w:pStyle w:val="ListParagraph"/>
        <w:numPr>
          <w:ilvl w:val="0"/>
          <w:numId w:val="11"/>
        </w:numPr>
        <w:ind w:left="1134" w:hanging="567"/>
        <w:contextualSpacing w:val="0"/>
        <w:rPr>
          <w:b/>
          <w:bCs/>
          <w:szCs w:val="24"/>
        </w:rPr>
      </w:pPr>
      <w:r w:rsidRPr="008C5113">
        <w:rPr>
          <w:b/>
          <w:bCs/>
          <w:szCs w:val="24"/>
        </w:rPr>
        <w:t>EUR1: Broadband infrastructure</w:t>
      </w:r>
      <w:r w:rsidRPr="008C5113">
        <w:rPr>
          <w:szCs w:val="24"/>
        </w:rPr>
        <w:t>, broadcasting and spectrum management.</w:t>
      </w:r>
    </w:p>
    <w:p w14:paraId="45A60421" w14:textId="77777777" w:rsidR="00E92BE6" w:rsidRPr="0063336C" w:rsidRDefault="00E92BE6" w:rsidP="00986953">
      <w:pPr>
        <w:keepNext/>
        <w:tabs>
          <w:tab w:val="clear" w:pos="1134"/>
          <w:tab w:val="clear" w:pos="2268"/>
          <w:tab w:val="left" w:pos="567"/>
        </w:tabs>
        <w:rPr>
          <w:b/>
          <w:bCs/>
          <w:szCs w:val="24"/>
        </w:rPr>
      </w:pPr>
      <w:r>
        <w:rPr>
          <w:b/>
          <w:bCs/>
          <w:szCs w:val="24"/>
        </w:rPr>
        <w:t>2.</w:t>
      </w:r>
      <w:r>
        <w:rPr>
          <w:b/>
          <w:bCs/>
          <w:szCs w:val="24"/>
        </w:rPr>
        <w:tab/>
      </w:r>
      <w:r w:rsidRPr="0063336C">
        <w:rPr>
          <w:b/>
          <w:bCs/>
          <w:szCs w:val="24"/>
        </w:rPr>
        <w:t>ICT applications:</w:t>
      </w:r>
    </w:p>
    <w:p w14:paraId="0CF949B9" w14:textId="3F50B774" w:rsidR="00E92BE6" w:rsidRPr="008C5113" w:rsidRDefault="00E92BE6" w:rsidP="00986953">
      <w:pPr>
        <w:pStyle w:val="ListParagraph"/>
        <w:numPr>
          <w:ilvl w:val="0"/>
          <w:numId w:val="12"/>
        </w:numPr>
        <w:spacing w:before="80"/>
        <w:ind w:left="1145" w:hanging="578"/>
        <w:contextualSpacing w:val="0"/>
        <w:rPr>
          <w:b/>
          <w:bCs/>
          <w:szCs w:val="24"/>
        </w:rPr>
      </w:pPr>
      <w:r w:rsidRPr="008C5113">
        <w:rPr>
          <w:b/>
          <w:bCs/>
          <w:szCs w:val="24"/>
        </w:rPr>
        <w:t xml:space="preserve">AFR1: </w:t>
      </w:r>
      <w:r w:rsidRPr="008C5113">
        <w:rPr>
          <w:szCs w:val="24"/>
        </w:rPr>
        <w:t xml:space="preserve">Building </w:t>
      </w:r>
      <w:r w:rsidRPr="008C5113">
        <w:rPr>
          <w:b/>
          <w:bCs/>
          <w:szCs w:val="24"/>
        </w:rPr>
        <w:t>digital economies</w:t>
      </w:r>
      <w:r w:rsidRPr="008C5113">
        <w:rPr>
          <w:szCs w:val="24"/>
        </w:rPr>
        <w:t xml:space="preserve"> and fostering innovation in Africa;</w:t>
      </w:r>
    </w:p>
    <w:p w14:paraId="528DE89E" w14:textId="77777777" w:rsidR="00E92BE6" w:rsidRPr="008C5113" w:rsidRDefault="00E92BE6" w:rsidP="00986953">
      <w:pPr>
        <w:pStyle w:val="ListParagraph"/>
        <w:numPr>
          <w:ilvl w:val="0"/>
          <w:numId w:val="12"/>
        </w:numPr>
        <w:spacing w:before="80"/>
        <w:ind w:left="1145" w:hanging="578"/>
        <w:contextualSpacing w:val="0"/>
        <w:rPr>
          <w:b/>
          <w:bCs/>
          <w:szCs w:val="24"/>
        </w:rPr>
      </w:pPr>
      <w:r w:rsidRPr="008C5113">
        <w:rPr>
          <w:b/>
          <w:bCs/>
          <w:szCs w:val="24"/>
        </w:rPr>
        <w:t xml:space="preserve">AMS5: </w:t>
      </w:r>
      <w:r w:rsidRPr="008C5113">
        <w:rPr>
          <w:szCs w:val="24"/>
        </w:rPr>
        <w:t xml:space="preserve">Development of the </w:t>
      </w:r>
      <w:r w:rsidRPr="008C5113">
        <w:rPr>
          <w:b/>
          <w:bCs/>
          <w:szCs w:val="24"/>
        </w:rPr>
        <w:t>digital economy</w:t>
      </w:r>
      <w:r w:rsidRPr="008C5113">
        <w:rPr>
          <w:szCs w:val="24"/>
        </w:rPr>
        <w:t xml:space="preserve">, </w:t>
      </w:r>
      <w:r w:rsidRPr="008C5113">
        <w:rPr>
          <w:b/>
          <w:bCs/>
          <w:szCs w:val="24"/>
        </w:rPr>
        <w:t>smart cities</w:t>
      </w:r>
      <w:r w:rsidRPr="008C5113">
        <w:rPr>
          <w:szCs w:val="24"/>
        </w:rPr>
        <w:t xml:space="preserve"> and communities and the </w:t>
      </w:r>
      <w:r w:rsidRPr="008C5113">
        <w:rPr>
          <w:b/>
          <w:bCs/>
          <w:szCs w:val="24"/>
        </w:rPr>
        <w:t>Internet of Things</w:t>
      </w:r>
      <w:r w:rsidRPr="008C5113">
        <w:rPr>
          <w:szCs w:val="24"/>
        </w:rPr>
        <w:t>, promoting innovation;</w:t>
      </w:r>
    </w:p>
    <w:p w14:paraId="2921C7E5" w14:textId="77777777" w:rsidR="00E92BE6" w:rsidRPr="008C5113" w:rsidRDefault="00E92BE6" w:rsidP="00986953">
      <w:pPr>
        <w:pStyle w:val="ListParagraph"/>
        <w:numPr>
          <w:ilvl w:val="0"/>
          <w:numId w:val="12"/>
        </w:numPr>
        <w:spacing w:before="80"/>
        <w:ind w:left="1145" w:hanging="578"/>
        <w:contextualSpacing w:val="0"/>
        <w:rPr>
          <w:b/>
          <w:bCs/>
          <w:szCs w:val="24"/>
          <w:lang w:val="en-US"/>
        </w:rPr>
      </w:pPr>
      <w:r w:rsidRPr="008C5113">
        <w:rPr>
          <w:b/>
          <w:bCs/>
          <w:szCs w:val="24"/>
          <w:lang w:val="en-US"/>
        </w:rPr>
        <w:t>ARB3: Digital financial inclusion;</w:t>
      </w:r>
    </w:p>
    <w:p w14:paraId="0FFE7582" w14:textId="77777777" w:rsidR="00E92BE6" w:rsidRPr="008C5113" w:rsidRDefault="00E92BE6" w:rsidP="00986953">
      <w:pPr>
        <w:pStyle w:val="ListParagraph"/>
        <w:numPr>
          <w:ilvl w:val="0"/>
          <w:numId w:val="12"/>
        </w:numPr>
        <w:spacing w:before="80"/>
        <w:ind w:left="1145" w:hanging="578"/>
        <w:contextualSpacing w:val="0"/>
        <w:rPr>
          <w:b/>
          <w:bCs/>
          <w:szCs w:val="24"/>
        </w:rPr>
      </w:pPr>
      <w:r w:rsidRPr="008C5113">
        <w:rPr>
          <w:b/>
          <w:bCs/>
          <w:szCs w:val="24"/>
          <w:lang w:val="en-US"/>
        </w:rPr>
        <w:t xml:space="preserve">ARB4: </w:t>
      </w:r>
      <w:r w:rsidRPr="008C5113">
        <w:rPr>
          <w:b/>
          <w:bCs/>
          <w:szCs w:val="24"/>
        </w:rPr>
        <w:t xml:space="preserve">Internet of Things, smart cities </w:t>
      </w:r>
      <w:r w:rsidRPr="008C5113">
        <w:rPr>
          <w:szCs w:val="24"/>
        </w:rPr>
        <w:t>and</w:t>
      </w:r>
      <w:r w:rsidRPr="008C5113">
        <w:rPr>
          <w:b/>
          <w:bCs/>
          <w:szCs w:val="24"/>
        </w:rPr>
        <w:t xml:space="preserve"> big data;</w:t>
      </w:r>
    </w:p>
    <w:p w14:paraId="2FEEC37C" w14:textId="77777777" w:rsidR="00E92BE6" w:rsidRPr="008C5113" w:rsidRDefault="00E92BE6" w:rsidP="00986953">
      <w:pPr>
        <w:pStyle w:val="ListParagraph"/>
        <w:numPr>
          <w:ilvl w:val="0"/>
          <w:numId w:val="12"/>
        </w:numPr>
        <w:spacing w:before="80"/>
        <w:ind w:left="1145" w:hanging="578"/>
        <w:contextualSpacing w:val="0"/>
        <w:rPr>
          <w:szCs w:val="24"/>
        </w:rPr>
      </w:pPr>
      <w:r w:rsidRPr="008C5113">
        <w:rPr>
          <w:b/>
          <w:bCs/>
          <w:szCs w:val="24"/>
        </w:rPr>
        <w:t xml:space="preserve">ASP2: </w:t>
      </w:r>
      <w:r w:rsidRPr="008C5113">
        <w:rPr>
          <w:szCs w:val="24"/>
        </w:rPr>
        <w:t xml:space="preserve">Harnessing information and communication technologies to support the </w:t>
      </w:r>
      <w:r w:rsidRPr="008C5113">
        <w:rPr>
          <w:b/>
          <w:bCs/>
          <w:szCs w:val="24"/>
        </w:rPr>
        <w:t>digital econom</w:t>
      </w:r>
      <w:r w:rsidRPr="008C5113">
        <w:rPr>
          <w:szCs w:val="24"/>
        </w:rPr>
        <w:t>y and an inclusive digital society;</w:t>
      </w:r>
    </w:p>
    <w:p w14:paraId="75CE3BEB" w14:textId="77777777" w:rsidR="00E92BE6" w:rsidRPr="008C5113" w:rsidRDefault="00E92BE6" w:rsidP="00986953">
      <w:pPr>
        <w:pStyle w:val="ListParagraph"/>
        <w:numPr>
          <w:ilvl w:val="0"/>
          <w:numId w:val="12"/>
        </w:numPr>
        <w:spacing w:before="80"/>
        <w:ind w:left="1145" w:hanging="578"/>
        <w:contextualSpacing w:val="0"/>
        <w:rPr>
          <w:szCs w:val="24"/>
        </w:rPr>
      </w:pPr>
      <w:r w:rsidRPr="008C5113">
        <w:rPr>
          <w:b/>
          <w:bCs/>
          <w:szCs w:val="24"/>
        </w:rPr>
        <w:t xml:space="preserve">CIS1: </w:t>
      </w:r>
      <w:r w:rsidRPr="008C5113">
        <w:rPr>
          <w:szCs w:val="24"/>
        </w:rPr>
        <w:t xml:space="preserve">Development of </w:t>
      </w:r>
      <w:r w:rsidRPr="008C5113">
        <w:rPr>
          <w:b/>
          <w:bCs/>
          <w:szCs w:val="24"/>
        </w:rPr>
        <w:t>e-health</w:t>
      </w:r>
      <w:r w:rsidRPr="008C5113">
        <w:rPr>
          <w:szCs w:val="24"/>
        </w:rPr>
        <w:t xml:space="preserve"> to ensure healthy lives and promote well-being for all, at all ages;</w:t>
      </w:r>
    </w:p>
    <w:p w14:paraId="03DD9857" w14:textId="169AC5AB" w:rsidR="00E92BE6" w:rsidRPr="008C5113" w:rsidRDefault="00E92BE6" w:rsidP="00986953">
      <w:pPr>
        <w:pStyle w:val="ListParagraph"/>
        <w:numPr>
          <w:ilvl w:val="0"/>
          <w:numId w:val="12"/>
        </w:numPr>
        <w:spacing w:before="80"/>
        <w:ind w:left="1145" w:hanging="578"/>
        <w:contextualSpacing w:val="0"/>
        <w:rPr>
          <w:b/>
          <w:bCs/>
          <w:szCs w:val="24"/>
        </w:rPr>
      </w:pPr>
      <w:r w:rsidRPr="008C5113">
        <w:rPr>
          <w:b/>
          <w:bCs/>
          <w:szCs w:val="24"/>
        </w:rPr>
        <w:t xml:space="preserve">CIS2: </w:t>
      </w:r>
      <w:r w:rsidRPr="008C5113">
        <w:rPr>
          <w:szCs w:val="24"/>
        </w:rPr>
        <w:t>Use of telecommunications/information and communication technology to ensure inclusive,</w:t>
      </w:r>
      <w:r w:rsidRPr="008C5113">
        <w:rPr>
          <w:b/>
          <w:bCs/>
          <w:szCs w:val="24"/>
        </w:rPr>
        <w:t xml:space="preserve"> equitable, quality and safe education</w:t>
      </w:r>
      <w:r w:rsidRPr="008C5113">
        <w:rPr>
          <w:szCs w:val="24"/>
        </w:rPr>
        <w:t xml:space="preserve">, including the enhancement of women's knowledge of information and communication technologies and </w:t>
      </w:r>
      <w:r w:rsidRPr="008C5113">
        <w:rPr>
          <w:b/>
          <w:bCs/>
          <w:szCs w:val="24"/>
        </w:rPr>
        <w:t>e-government</w:t>
      </w:r>
      <w:r w:rsidRPr="00986953">
        <w:t>;</w:t>
      </w:r>
    </w:p>
    <w:p w14:paraId="6729FFB8" w14:textId="4A9DF382" w:rsidR="00E92BE6" w:rsidRPr="008C5113" w:rsidRDefault="00E92BE6" w:rsidP="00986953">
      <w:pPr>
        <w:pStyle w:val="ListParagraph"/>
        <w:numPr>
          <w:ilvl w:val="0"/>
          <w:numId w:val="12"/>
        </w:numPr>
        <w:spacing w:before="80"/>
        <w:ind w:left="1145" w:hanging="578"/>
        <w:contextualSpacing w:val="0"/>
        <w:rPr>
          <w:b/>
          <w:bCs/>
          <w:szCs w:val="24"/>
        </w:rPr>
      </w:pPr>
      <w:r w:rsidRPr="008C5113">
        <w:rPr>
          <w:b/>
          <w:bCs/>
          <w:szCs w:val="24"/>
        </w:rPr>
        <w:t xml:space="preserve">CIS5: </w:t>
      </w:r>
      <w:r w:rsidRPr="008C5113">
        <w:rPr>
          <w:szCs w:val="24"/>
        </w:rPr>
        <w:t xml:space="preserve">Fostering innovative solutions and partnership for the implementation of </w:t>
      </w:r>
      <w:r w:rsidRPr="008C5113">
        <w:rPr>
          <w:b/>
          <w:bCs/>
          <w:szCs w:val="24"/>
        </w:rPr>
        <w:t>Internet of Things</w:t>
      </w:r>
      <w:r w:rsidRPr="008C5113">
        <w:rPr>
          <w:szCs w:val="24"/>
        </w:rPr>
        <w:t xml:space="preserve"> technologies and their interaction in telecommunication networks, including 4G, IMT-2020 and next-generation networks, in the interests of sustainable development;</w:t>
      </w:r>
    </w:p>
    <w:p w14:paraId="514425F0" w14:textId="77777777" w:rsidR="00E92BE6" w:rsidRPr="008C5113" w:rsidRDefault="00E92BE6" w:rsidP="00986953">
      <w:pPr>
        <w:pStyle w:val="ListParagraph"/>
        <w:numPr>
          <w:ilvl w:val="0"/>
          <w:numId w:val="12"/>
        </w:numPr>
        <w:spacing w:before="80"/>
        <w:ind w:left="1145" w:hanging="578"/>
        <w:contextualSpacing w:val="0"/>
        <w:rPr>
          <w:b/>
          <w:bCs/>
          <w:szCs w:val="24"/>
        </w:rPr>
      </w:pPr>
      <w:r w:rsidRPr="008C5113">
        <w:rPr>
          <w:b/>
          <w:bCs/>
          <w:szCs w:val="24"/>
        </w:rPr>
        <w:t xml:space="preserve">EUR2: </w:t>
      </w:r>
      <w:r w:rsidRPr="008C5113">
        <w:rPr>
          <w:szCs w:val="24"/>
        </w:rPr>
        <w:t xml:space="preserve">A citizen-centric approach to building </w:t>
      </w:r>
      <w:r w:rsidRPr="008C5113">
        <w:rPr>
          <w:b/>
          <w:bCs/>
          <w:szCs w:val="24"/>
        </w:rPr>
        <w:t>services for national administrations.</w:t>
      </w:r>
    </w:p>
    <w:p w14:paraId="3E7037D6" w14:textId="77777777" w:rsidR="00E92BE6" w:rsidRPr="0063336C" w:rsidRDefault="00E92BE6" w:rsidP="00986953">
      <w:pPr>
        <w:keepNext/>
        <w:tabs>
          <w:tab w:val="clear" w:pos="1134"/>
          <w:tab w:val="clear" w:pos="2268"/>
          <w:tab w:val="left" w:pos="567"/>
        </w:tabs>
        <w:rPr>
          <w:b/>
          <w:bCs/>
          <w:szCs w:val="24"/>
        </w:rPr>
      </w:pPr>
      <w:r>
        <w:rPr>
          <w:b/>
          <w:bCs/>
          <w:szCs w:val="24"/>
        </w:rPr>
        <w:t>3.</w:t>
      </w:r>
      <w:r>
        <w:rPr>
          <w:b/>
          <w:bCs/>
          <w:szCs w:val="24"/>
        </w:rPr>
        <w:tab/>
      </w:r>
      <w:r w:rsidRPr="0063336C">
        <w:rPr>
          <w:b/>
          <w:bCs/>
          <w:szCs w:val="24"/>
        </w:rPr>
        <w:t>Confidence and security in the use of telecommunications/ICTs:</w:t>
      </w:r>
    </w:p>
    <w:p w14:paraId="721AE9CD" w14:textId="77777777" w:rsidR="00E92BE6" w:rsidRPr="008C5113" w:rsidRDefault="00E92BE6" w:rsidP="00986953">
      <w:pPr>
        <w:pStyle w:val="ListParagraph"/>
        <w:numPr>
          <w:ilvl w:val="0"/>
          <w:numId w:val="13"/>
        </w:numPr>
        <w:spacing w:before="80"/>
        <w:ind w:left="1145" w:hanging="578"/>
        <w:contextualSpacing w:val="0"/>
        <w:rPr>
          <w:b/>
          <w:bCs/>
          <w:szCs w:val="24"/>
        </w:rPr>
      </w:pPr>
      <w:r w:rsidRPr="008C5113">
        <w:rPr>
          <w:b/>
          <w:bCs/>
          <w:szCs w:val="24"/>
        </w:rPr>
        <w:t xml:space="preserve">AFR3: </w:t>
      </w:r>
      <w:r w:rsidRPr="008C5113">
        <w:rPr>
          <w:szCs w:val="24"/>
        </w:rPr>
        <w:t xml:space="preserve">Building </w:t>
      </w:r>
      <w:r w:rsidRPr="008C5113">
        <w:rPr>
          <w:b/>
          <w:bCs/>
          <w:szCs w:val="24"/>
        </w:rPr>
        <w:t xml:space="preserve">trust </w:t>
      </w:r>
      <w:r w:rsidRPr="008C5113">
        <w:rPr>
          <w:szCs w:val="24"/>
        </w:rPr>
        <w:t>and</w:t>
      </w:r>
      <w:r w:rsidRPr="008C5113">
        <w:rPr>
          <w:b/>
          <w:bCs/>
          <w:szCs w:val="24"/>
        </w:rPr>
        <w:t xml:space="preserve"> security</w:t>
      </w:r>
      <w:r w:rsidRPr="008C5113">
        <w:rPr>
          <w:szCs w:val="24"/>
        </w:rPr>
        <w:t xml:space="preserve"> in the use of telecommunications/information and communication technology;</w:t>
      </w:r>
    </w:p>
    <w:p w14:paraId="0D884E3E" w14:textId="77777777" w:rsidR="00E92BE6" w:rsidRPr="008C5113" w:rsidRDefault="00E92BE6" w:rsidP="00986953">
      <w:pPr>
        <w:pStyle w:val="ListParagraph"/>
        <w:numPr>
          <w:ilvl w:val="0"/>
          <w:numId w:val="13"/>
        </w:numPr>
        <w:spacing w:before="80"/>
        <w:ind w:left="1145" w:hanging="578"/>
        <w:contextualSpacing w:val="0"/>
        <w:rPr>
          <w:b/>
          <w:bCs/>
          <w:szCs w:val="24"/>
        </w:rPr>
      </w:pPr>
      <w:r w:rsidRPr="008C5113">
        <w:rPr>
          <w:b/>
          <w:bCs/>
          <w:szCs w:val="24"/>
        </w:rPr>
        <w:t xml:space="preserve">ARB2: Confidence </w:t>
      </w:r>
      <w:r w:rsidRPr="008C5113">
        <w:rPr>
          <w:szCs w:val="24"/>
        </w:rPr>
        <w:t>and</w:t>
      </w:r>
      <w:r w:rsidRPr="008C5113">
        <w:rPr>
          <w:b/>
          <w:bCs/>
          <w:szCs w:val="24"/>
        </w:rPr>
        <w:t xml:space="preserve"> security</w:t>
      </w:r>
      <w:r w:rsidRPr="008C5113">
        <w:rPr>
          <w:szCs w:val="24"/>
        </w:rPr>
        <w:t xml:space="preserve"> in the use of telecommunications/information and communication technologies;</w:t>
      </w:r>
    </w:p>
    <w:p w14:paraId="412E623C" w14:textId="77777777" w:rsidR="00E92BE6" w:rsidRPr="008C5113" w:rsidRDefault="00E92BE6" w:rsidP="00986953">
      <w:pPr>
        <w:pStyle w:val="ListParagraph"/>
        <w:numPr>
          <w:ilvl w:val="0"/>
          <w:numId w:val="13"/>
        </w:numPr>
        <w:spacing w:before="80"/>
        <w:ind w:left="1145" w:hanging="578"/>
        <w:contextualSpacing w:val="0"/>
        <w:rPr>
          <w:b/>
          <w:bCs/>
          <w:szCs w:val="24"/>
        </w:rPr>
      </w:pPr>
      <w:r w:rsidRPr="008C5113">
        <w:rPr>
          <w:b/>
          <w:bCs/>
          <w:szCs w:val="24"/>
        </w:rPr>
        <w:lastRenderedPageBreak/>
        <w:t xml:space="preserve">ASP5: </w:t>
      </w:r>
      <w:r w:rsidRPr="008C5113">
        <w:rPr>
          <w:szCs w:val="24"/>
        </w:rPr>
        <w:t xml:space="preserve">Contributing to a </w:t>
      </w:r>
      <w:r w:rsidRPr="008C5113">
        <w:rPr>
          <w:b/>
          <w:bCs/>
          <w:szCs w:val="24"/>
        </w:rPr>
        <w:t>secure and resilient environment;</w:t>
      </w:r>
    </w:p>
    <w:p w14:paraId="2B7B7D1A" w14:textId="77777777" w:rsidR="00E92BE6" w:rsidRPr="008C5113" w:rsidRDefault="00E92BE6" w:rsidP="00986953">
      <w:pPr>
        <w:pStyle w:val="ListParagraph"/>
        <w:numPr>
          <w:ilvl w:val="0"/>
          <w:numId w:val="13"/>
        </w:numPr>
        <w:spacing w:before="80"/>
        <w:ind w:left="1145" w:hanging="578"/>
        <w:contextualSpacing w:val="0"/>
        <w:rPr>
          <w:szCs w:val="24"/>
        </w:rPr>
      </w:pPr>
      <w:r w:rsidRPr="008C5113">
        <w:rPr>
          <w:b/>
          <w:bCs/>
          <w:szCs w:val="24"/>
        </w:rPr>
        <w:t xml:space="preserve">EUR4: </w:t>
      </w:r>
      <w:r w:rsidRPr="008C5113">
        <w:rPr>
          <w:szCs w:val="24"/>
        </w:rPr>
        <w:t xml:space="preserve">Enhancing </w:t>
      </w:r>
      <w:r w:rsidRPr="008C5113">
        <w:rPr>
          <w:b/>
          <w:bCs/>
          <w:szCs w:val="24"/>
        </w:rPr>
        <w:t>trust</w:t>
      </w:r>
      <w:r w:rsidRPr="008C5113">
        <w:rPr>
          <w:szCs w:val="24"/>
        </w:rPr>
        <w:t xml:space="preserve"> and </w:t>
      </w:r>
      <w:r w:rsidRPr="008C5113">
        <w:rPr>
          <w:b/>
          <w:bCs/>
          <w:szCs w:val="24"/>
        </w:rPr>
        <w:t>confidence</w:t>
      </w:r>
      <w:r w:rsidRPr="008C5113">
        <w:rPr>
          <w:szCs w:val="24"/>
        </w:rPr>
        <w:t xml:space="preserve"> in the use of information and communication technologies.</w:t>
      </w:r>
    </w:p>
    <w:p w14:paraId="3B7B181A" w14:textId="77777777" w:rsidR="00E92BE6" w:rsidRPr="0063336C" w:rsidRDefault="00E92BE6" w:rsidP="00986953">
      <w:pPr>
        <w:keepNext/>
        <w:tabs>
          <w:tab w:val="clear" w:pos="1134"/>
          <w:tab w:val="clear" w:pos="2268"/>
          <w:tab w:val="left" w:pos="567"/>
        </w:tabs>
        <w:rPr>
          <w:b/>
          <w:bCs/>
          <w:szCs w:val="24"/>
        </w:rPr>
      </w:pPr>
      <w:r>
        <w:rPr>
          <w:b/>
          <w:bCs/>
          <w:szCs w:val="24"/>
        </w:rPr>
        <w:t>4.</w:t>
      </w:r>
      <w:r>
        <w:rPr>
          <w:b/>
          <w:bCs/>
          <w:szCs w:val="24"/>
        </w:rPr>
        <w:tab/>
      </w:r>
      <w:r w:rsidRPr="0063336C">
        <w:rPr>
          <w:b/>
          <w:bCs/>
          <w:szCs w:val="24"/>
        </w:rPr>
        <w:t>Spectrum management and transition to digital broadcasting:</w:t>
      </w:r>
    </w:p>
    <w:p w14:paraId="7C58661F" w14:textId="77777777" w:rsidR="00E92BE6" w:rsidRPr="00C30E99" w:rsidRDefault="00E92BE6" w:rsidP="00986953">
      <w:pPr>
        <w:pStyle w:val="ListParagraph"/>
        <w:numPr>
          <w:ilvl w:val="0"/>
          <w:numId w:val="14"/>
        </w:numPr>
        <w:spacing w:before="80"/>
        <w:ind w:left="1145" w:hanging="578"/>
        <w:contextualSpacing w:val="0"/>
        <w:rPr>
          <w:b/>
          <w:bCs/>
          <w:szCs w:val="24"/>
        </w:rPr>
      </w:pPr>
      <w:r w:rsidRPr="00C30E99">
        <w:rPr>
          <w:b/>
          <w:bCs/>
          <w:szCs w:val="24"/>
        </w:rPr>
        <w:t xml:space="preserve">AFR5: </w:t>
      </w:r>
      <w:r w:rsidRPr="00C30E99">
        <w:rPr>
          <w:szCs w:val="24"/>
        </w:rPr>
        <w:t xml:space="preserve">Management and monitoring of the </w:t>
      </w:r>
      <w:r w:rsidRPr="00C30E99">
        <w:rPr>
          <w:b/>
          <w:bCs/>
          <w:szCs w:val="24"/>
        </w:rPr>
        <w:t>radio-frequency spectrum</w:t>
      </w:r>
      <w:r w:rsidRPr="00C30E99">
        <w:rPr>
          <w:szCs w:val="24"/>
        </w:rPr>
        <w:t xml:space="preserve"> and </w:t>
      </w:r>
      <w:r w:rsidRPr="00C30E99">
        <w:rPr>
          <w:b/>
          <w:bCs/>
          <w:szCs w:val="24"/>
        </w:rPr>
        <w:t>transition to digital broadcasting;</w:t>
      </w:r>
    </w:p>
    <w:p w14:paraId="6652BACE" w14:textId="77777777" w:rsidR="00E92BE6" w:rsidRPr="00C30E99" w:rsidRDefault="00E92BE6" w:rsidP="00986953">
      <w:pPr>
        <w:pStyle w:val="ListParagraph"/>
        <w:numPr>
          <w:ilvl w:val="0"/>
          <w:numId w:val="14"/>
        </w:numPr>
        <w:spacing w:before="80"/>
        <w:ind w:left="1145" w:hanging="578"/>
        <w:contextualSpacing w:val="0"/>
        <w:rPr>
          <w:b/>
          <w:bCs/>
          <w:szCs w:val="24"/>
        </w:rPr>
      </w:pPr>
      <w:r w:rsidRPr="00C30E99">
        <w:rPr>
          <w:b/>
          <w:bCs/>
          <w:szCs w:val="24"/>
        </w:rPr>
        <w:t>AMS2: Spectrum management</w:t>
      </w:r>
      <w:r w:rsidRPr="00C30E99">
        <w:rPr>
          <w:szCs w:val="24"/>
        </w:rPr>
        <w:t xml:space="preserve"> and </w:t>
      </w:r>
      <w:r w:rsidRPr="00C30E99">
        <w:rPr>
          <w:b/>
          <w:bCs/>
          <w:szCs w:val="24"/>
        </w:rPr>
        <w:t>transition to digital broadcasting;</w:t>
      </w:r>
    </w:p>
    <w:p w14:paraId="0ED5614E" w14:textId="77777777" w:rsidR="00E92BE6" w:rsidRPr="00C30E99" w:rsidRDefault="00E92BE6" w:rsidP="00986953">
      <w:pPr>
        <w:pStyle w:val="ListParagraph"/>
        <w:numPr>
          <w:ilvl w:val="0"/>
          <w:numId w:val="14"/>
        </w:numPr>
        <w:spacing w:before="80"/>
        <w:ind w:left="1145" w:hanging="578"/>
        <w:contextualSpacing w:val="0"/>
        <w:rPr>
          <w:b/>
          <w:bCs/>
          <w:szCs w:val="24"/>
        </w:rPr>
      </w:pPr>
      <w:r w:rsidRPr="00C30E99">
        <w:rPr>
          <w:b/>
          <w:bCs/>
          <w:szCs w:val="24"/>
        </w:rPr>
        <w:t xml:space="preserve">EUR1: </w:t>
      </w:r>
      <w:r w:rsidRPr="00C30E99">
        <w:rPr>
          <w:szCs w:val="24"/>
        </w:rPr>
        <w:t xml:space="preserve">Broadband infrastructure, </w:t>
      </w:r>
      <w:r w:rsidRPr="00C30E99">
        <w:rPr>
          <w:b/>
          <w:bCs/>
          <w:szCs w:val="24"/>
        </w:rPr>
        <w:t>broadcasting</w:t>
      </w:r>
      <w:r w:rsidRPr="00C30E99">
        <w:rPr>
          <w:szCs w:val="24"/>
        </w:rPr>
        <w:t xml:space="preserve"> and </w:t>
      </w:r>
      <w:r w:rsidRPr="00C30E99">
        <w:rPr>
          <w:b/>
          <w:bCs/>
          <w:szCs w:val="24"/>
        </w:rPr>
        <w:t>spectrum</w:t>
      </w:r>
      <w:r w:rsidRPr="00C30E99">
        <w:rPr>
          <w:szCs w:val="24"/>
        </w:rPr>
        <w:t xml:space="preserve"> </w:t>
      </w:r>
      <w:r w:rsidRPr="00C30E99">
        <w:rPr>
          <w:b/>
          <w:bCs/>
          <w:szCs w:val="24"/>
        </w:rPr>
        <w:t>management.</w:t>
      </w:r>
    </w:p>
    <w:p w14:paraId="2B02B977" w14:textId="77777777" w:rsidR="00E92BE6" w:rsidRPr="0063336C" w:rsidRDefault="00E92BE6" w:rsidP="00986953">
      <w:pPr>
        <w:keepNext/>
        <w:tabs>
          <w:tab w:val="clear" w:pos="1134"/>
          <w:tab w:val="clear" w:pos="2268"/>
          <w:tab w:val="left" w:pos="567"/>
        </w:tabs>
        <w:rPr>
          <w:b/>
          <w:bCs/>
          <w:szCs w:val="24"/>
        </w:rPr>
      </w:pPr>
      <w:r>
        <w:rPr>
          <w:b/>
          <w:bCs/>
          <w:szCs w:val="24"/>
        </w:rPr>
        <w:t>5.</w:t>
      </w:r>
      <w:r>
        <w:rPr>
          <w:b/>
          <w:bCs/>
          <w:szCs w:val="24"/>
        </w:rPr>
        <w:tab/>
      </w:r>
      <w:r w:rsidRPr="0063336C">
        <w:rPr>
          <w:b/>
          <w:bCs/>
          <w:szCs w:val="24"/>
        </w:rPr>
        <w:t>Disaster and climate change:</w:t>
      </w:r>
    </w:p>
    <w:p w14:paraId="2291D2B0" w14:textId="77777777" w:rsidR="00E92BE6" w:rsidRPr="00C30E99" w:rsidRDefault="00E92BE6" w:rsidP="00986953">
      <w:pPr>
        <w:pStyle w:val="ListParagraph"/>
        <w:numPr>
          <w:ilvl w:val="0"/>
          <w:numId w:val="15"/>
        </w:numPr>
        <w:spacing w:before="80"/>
        <w:ind w:left="1145" w:hanging="578"/>
        <w:contextualSpacing w:val="0"/>
        <w:rPr>
          <w:b/>
          <w:bCs/>
          <w:szCs w:val="24"/>
        </w:rPr>
      </w:pPr>
      <w:r w:rsidRPr="00C30E99">
        <w:rPr>
          <w:b/>
          <w:bCs/>
          <w:szCs w:val="24"/>
        </w:rPr>
        <w:t>AMS1: Disaster risk reduction</w:t>
      </w:r>
      <w:r w:rsidRPr="00C30E99">
        <w:rPr>
          <w:szCs w:val="24"/>
        </w:rPr>
        <w:t xml:space="preserve"> and </w:t>
      </w:r>
      <w:r w:rsidRPr="00C30E99">
        <w:rPr>
          <w:b/>
          <w:bCs/>
          <w:szCs w:val="24"/>
        </w:rPr>
        <w:t>management</w:t>
      </w:r>
      <w:r w:rsidRPr="00C30E99">
        <w:rPr>
          <w:szCs w:val="24"/>
        </w:rPr>
        <w:t xml:space="preserve"> communications</w:t>
      </w:r>
      <w:r>
        <w:rPr>
          <w:szCs w:val="24"/>
        </w:rPr>
        <w:t>;</w:t>
      </w:r>
    </w:p>
    <w:p w14:paraId="4F4C7637" w14:textId="77777777" w:rsidR="00E92BE6" w:rsidRPr="00C30E99" w:rsidRDefault="00E92BE6" w:rsidP="00986953">
      <w:pPr>
        <w:pStyle w:val="ListParagraph"/>
        <w:numPr>
          <w:ilvl w:val="0"/>
          <w:numId w:val="15"/>
        </w:numPr>
        <w:spacing w:before="80"/>
        <w:ind w:left="1145" w:hanging="578"/>
        <w:contextualSpacing w:val="0"/>
        <w:rPr>
          <w:b/>
          <w:bCs/>
          <w:szCs w:val="24"/>
        </w:rPr>
      </w:pPr>
      <w:r w:rsidRPr="00C30E99">
        <w:rPr>
          <w:b/>
          <w:bCs/>
          <w:szCs w:val="24"/>
        </w:rPr>
        <w:t xml:space="preserve">ARB1: </w:t>
      </w:r>
      <w:r w:rsidRPr="00C30E99">
        <w:rPr>
          <w:szCs w:val="24"/>
        </w:rPr>
        <w:t xml:space="preserve">Environment, </w:t>
      </w:r>
      <w:r w:rsidRPr="00C30E99">
        <w:rPr>
          <w:b/>
          <w:bCs/>
          <w:szCs w:val="24"/>
        </w:rPr>
        <w:t>climate change</w:t>
      </w:r>
      <w:r w:rsidRPr="00C30E99">
        <w:rPr>
          <w:szCs w:val="24"/>
        </w:rPr>
        <w:t xml:space="preserve"> and </w:t>
      </w:r>
      <w:r w:rsidRPr="00C30E99">
        <w:rPr>
          <w:b/>
          <w:bCs/>
          <w:szCs w:val="24"/>
        </w:rPr>
        <w:t>emergency telecommunications</w:t>
      </w:r>
      <w:r w:rsidRPr="00C30E99">
        <w:rPr>
          <w:szCs w:val="24"/>
        </w:rPr>
        <w:t>;</w:t>
      </w:r>
    </w:p>
    <w:p w14:paraId="435FF25F" w14:textId="77777777" w:rsidR="00E92BE6" w:rsidRPr="00C30E99" w:rsidRDefault="00E92BE6" w:rsidP="00986953">
      <w:pPr>
        <w:pStyle w:val="ListParagraph"/>
        <w:numPr>
          <w:ilvl w:val="0"/>
          <w:numId w:val="15"/>
        </w:numPr>
        <w:spacing w:before="80"/>
        <w:ind w:left="1145" w:hanging="578"/>
        <w:contextualSpacing w:val="0"/>
        <w:rPr>
          <w:szCs w:val="24"/>
        </w:rPr>
      </w:pPr>
      <w:r w:rsidRPr="00C30E99">
        <w:rPr>
          <w:b/>
          <w:bCs/>
          <w:szCs w:val="24"/>
        </w:rPr>
        <w:t xml:space="preserve">CIS4: </w:t>
      </w:r>
      <w:r w:rsidRPr="00C30E99">
        <w:rPr>
          <w:szCs w:val="24"/>
        </w:rPr>
        <w:t xml:space="preserve">Monitoring the </w:t>
      </w:r>
      <w:r w:rsidRPr="00C30E99">
        <w:rPr>
          <w:b/>
          <w:bCs/>
          <w:szCs w:val="24"/>
        </w:rPr>
        <w:t>ecological status</w:t>
      </w:r>
      <w:r w:rsidRPr="00C30E99">
        <w:rPr>
          <w:szCs w:val="24"/>
        </w:rPr>
        <w:t xml:space="preserve"> and the presence and </w:t>
      </w:r>
      <w:r w:rsidRPr="00C30E99">
        <w:rPr>
          <w:b/>
          <w:bCs/>
          <w:szCs w:val="24"/>
        </w:rPr>
        <w:t>rational use of natural resources</w:t>
      </w:r>
      <w:r>
        <w:rPr>
          <w:b/>
          <w:bCs/>
          <w:szCs w:val="24"/>
        </w:rPr>
        <w:t>.</w:t>
      </w:r>
    </w:p>
    <w:p w14:paraId="52E210E9" w14:textId="77777777" w:rsidR="00E92BE6" w:rsidRPr="0063336C" w:rsidRDefault="00E92BE6" w:rsidP="00986953">
      <w:pPr>
        <w:keepNext/>
        <w:tabs>
          <w:tab w:val="clear" w:pos="1134"/>
          <w:tab w:val="clear" w:pos="2268"/>
          <w:tab w:val="left" w:pos="567"/>
        </w:tabs>
        <w:rPr>
          <w:b/>
          <w:bCs/>
          <w:szCs w:val="24"/>
        </w:rPr>
      </w:pPr>
      <w:r>
        <w:rPr>
          <w:b/>
          <w:bCs/>
          <w:szCs w:val="24"/>
        </w:rPr>
        <w:t>6.</w:t>
      </w:r>
      <w:r>
        <w:rPr>
          <w:b/>
          <w:bCs/>
          <w:szCs w:val="24"/>
        </w:rPr>
        <w:tab/>
      </w:r>
      <w:r w:rsidRPr="0063336C">
        <w:rPr>
          <w:b/>
          <w:bCs/>
          <w:szCs w:val="24"/>
        </w:rPr>
        <w:t>Innovation:</w:t>
      </w:r>
    </w:p>
    <w:p w14:paraId="45AF91C9" w14:textId="77777777" w:rsidR="00E92BE6" w:rsidRPr="00C30E99" w:rsidRDefault="00E92BE6" w:rsidP="00986953">
      <w:pPr>
        <w:pStyle w:val="ListParagraph"/>
        <w:numPr>
          <w:ilvl w:val="0"/>
          <w:numId w:val="16"/>
        </w:numPr>
        <w:spacing w:before="80"/>
        <w:ind w:left="1145" w:hanging="578"/>
        <w:contextualSpacing w:val="0"/>
        <w:rPr>
          <w:szCs w:val="24"/>
        </w:rPr>
      </w:pPr>
      <w:r w:rsidRPr="00C30E99">
        <w:rPr>
          <w:b/>
          <w:bCs/>
          <w:szCs w:val="24"/>
        </w:rPr>
        <w:t xml:space="preserve">AFR1: </w:t>
      </w:r>
      <w:r w:rsidRPr="00C30E99">
        <w:rPr>
          <w:szCs w:val="24"/>
        </w:rPr>
        <w:t xml:space="preserve">Building digital economies and fostering </w:t>
      </w:r>
      <w:r w:rsidRPr="00C30E99">
        <w:rPr>
          <w:b/>
          <w:bCs/>
          <w:szCs w:val="24"/>
        </w:rPr>
        <w:t>innovation</w:t>
      </w:r>
      <w:r w:rsidRPr="00C30E99">
        <w:rPr>
          <w:szCs w:val="24"/>
        </w:rPr>
        <w:t xml:space="preserve"> in Africa</w:t>
      </w:r>
      <w:r>
        <w:rPr>
          <w:szCs w:val="24"/>
        </w:rPr>
        <w:t>;</w:t>
      </w:r>
    </w:p>
    <w:p w14:paraId="7B78AF5F" w14:textId="77777777" w:rsidR="00E92BE6" w:rsidRPr="00C30E99" w:rsidRDefault="00E92BE6" w:rsidP="00986953">
      <w:pPr>
        <w:pStyle w:val="ListParagraph"/>
        <w:numPr>
          <w:ilvl w:val="0"/>
          <w:numId w:val="16"/>
        </w:numPr>
        <w:spacing w:before="80"/>
        <w:ind w:left="1145" w:hanging="578"/>
        <w:contextualSpacing w:val="0"/>
        <w:rPr>
          <w:b/>
          <w:bCs/>
          <w:szCs w:val="24"/>
        </w:rPr>
      </w:pPr>
      <w:r w:rsidRPr="00C30E99">
        <w:rPr>
          <w:b/>
          <w:bCs/>
          <w:szCs w:val="24"/>
        </w:rPr>
        <w:t xml:space="preserve">AMS5: </w:t>
      </w:r>
      <w:r w:rsidRPr="00C30E99">
        <w:rPr>
          <w:szCs w:val="24"/>
        </w:rPr>
        <w:t xml:space="preserve">Development of the digital economy, smart cities and communities and the Internet of Things, promoting </w:t>
      </w:r>
      <w:r w:rsidRPr="00C30E99">
        <w:rPr>
          <w:b/>
          <w:bCs/>
          <w:szCs w:val="24"/>
        </w:rPr>
        <w:t>innovation</w:t>
      </w:r>
      <w:r>
        <w:rPr>
          <w:b/>
          <w:bCs/>
          <w:szCs w:val="24"/>
        </w:rPr>
        <w:t>;</w:t>
      </w:r>
    </w:p>
    <w:p w14:paraId="5FECCA2B" w14:textId="77777777" w:rsidR="00E92BE6" w:rsidRPr="00C30E99" w:rsidRDefault="00E92BE6" w:rsidP="00986953">
      <w:pPr>
        <w:pStyle w:val="ListParagraph"/>
        <w:numPr>
          <w:ilvl w:val="0"/>
          <w:numId w:val="16"/>
        </w:numPr>
        <w:spacing w:before="80"/>
        <w:ind w:left="1145" w:hanging="578"/>
        <w:contextualSpacing w:val="0"/>
        <w:rPr>
          <w:szCs w:val="24"/>
        </w:rPr>
      </w:pPr>
      <w:r w:rsidRPr="00C30E99">
        <w:rPr>
          <w:b/>
          <w:bCs/>
          <w:szCs w:val="24"/>
        </w:rPr>
        <w:t>ARB5: Innovation</w:t>
      </w:r>
      <w:r w:rsidRPr="00C30E99">
        <w:rPr>
          <w:szCs w:val="24"/>
        </w:rPr>
        <w:t xml:space="preserve"> and </w:t>
      </w:r>
      <w:r w:rsidRPr="00C30E99">
        <w:rPr>
          <w:b/>
          <w:bCs/>
          <w:szCs w:val="24"/>
        </w:rPr>
        <w:t>entrepreneurship</w:t>
      </w:r>
      <w:r>
        <w:rPr>
          <w:b/>
          <w:bCs/>
          <w:szCs w:val="24"/>
        </w:rPr>
        <w:t>;</w:t>
      </w:r>
    </w:p>
    <w:p w14:paraId="1A14BACD" w14:textId="77777777" w:rsidR="00E92BE6" w:rsidRPr="00C30E99" w:rsidRDefault="00E92BE6" w:rsidP="00986953">
      <w:pPr>
        <w:pStyle w:val="ListParagraph"/>
        <w:numPr>
          <w:ilvl w:val="0"/>
          <w:numId w:val="16"/>
        </w:numPr>
        <w:spacing w:before="80"/>
        <w:ind w:left="1145" w:hanging="578"/>
        <w:contextualSpacing w:val="0"/>
        <w:rPr>
          <w:b/>
          <w:bCs/>
          <w:szCs w:val="24"/>
        </w:rPr>
      </w:pPr>
      <w:r w:rsidRPr="00C30E99">
        <w:rPr>
          <w:b/>
          <w:bCs/>
          <w:szCs w:val="24"/>
        </w:rPr>
        <w:t xml:space="preserve">EUR5: </w:t>
      </w:r>
      <w:r w:rsidRPr="00C30E99">
        <w:rPr>
          <w:szCs w:val="24"/>
        </w:rPr>
        <w:t xml:space="preserve">Information and communication technology-centric </w:t>
      </w:r>
      <w:r w:rsidRPr="00C30E99">
        <w:rPr>
          <w:b/>
          <w:bCs/>
          <w:szCs w:val="24"/>
        </w:rPr>
        <w:t>innovation ecosystems</w:t>
      </w:r>
      <w:r>
        <w:rPr>
          <w:b/>
          <w:bCs/>
          <w:szCs w:val="24"/>
        </w:rPr>
        <w:t>.</w:t>
      </w:r>
    </w:p>
    <w:p w14:paraId="284F0285" w14:textId="77777777" w:rsidR="00E92BE6" w:rsidRPr="0063336C" w:rsidRDefault="00E92BE6" w:rsidP="00986953">
      <w:pPr>
        <w:keepNext/>
        <w:tabs>
          <w:tab w:val="clear" w:pos="1134"/>
          <w:tab w:val="clear" w:pos="2268"/>
          <w:tab w:val="left" w:pos="567"/>
        </w:tabs>
        <w:rPr>
          <w:b/>
          <w:bCs/>
          <w:szCs w:val="24"/>
        </w:rPr>
      </w:pPr>
      <w:r>
        <w:rPr>
          <w:b/>
          <w:bCs/>
          <w:szCs w:val="24"/>
        </w:rPr>
        <w:t>7.</w:t>
      </w:r>
      <w:r>
        <w:rPr>
          <w:b/>
          <w:bCs/>
          <w:szCs w:val="24"/>
        </w:rPr>
        <w:tab/>
      </w:r>
      <w:r w:rsidRPr="0063336C">
        <w:rPr>
          <w:b/>
          <w:bCs/>
          <w:szCs w:val="24"/>
        </w:rPr>
        <w:t>Digital inclusion and accessibility</w:t>
      </w:r>
    </w:p>
    <w:p w14:paraId="7A207D0F" w14:textId="77777777" w:rsidR="00E92BE6" w:rsidRPr="00C30E99" w:rsidRDefault="00E92BE6" w:rsidP="00986953">
      <w:pPr>
        <w:pStyle w:val="ListParagraph"/>
        <w:numPr>
          <w:ilvl w:val="0"/>
          <w:numId w:val="17"/>
        </w:numPr>
        <w:spacing w:before="80"/>
        <w:ind w:left="1145" w:hanging="578"/>
        <w:contextualSpacing w:val="0"/>
        <w:rPr>
          <w:b/>
          <w:bCs/>
          <w:szCs w:val="24"/>
        </w:rPr>
      </w:pPr>
      <w:r w:rsidRPr="00C30E99">
        <w:rPr>
          <w:b/>
          <w:bCs/>
          <w:szCs w:val="24"/>
        </w:rPr>
        <w:t>AMS4: Accessibility</w:t>
      </w:r>
      <w:r w:rsidRPr="00C30E99">
        <w:rPr>
          <w:szCs w:val="24"/>
        </w:rPr>
        <w:t xml:space="preserve"> and </w:t>
      </w:r>
      <w:r w:rsidRPr="00C30E99">
        <w:rPr>
          <w:b/>
          <w:bCs/>
          <w:szCs w:val="24"/>
        </w:rPr>
        <w:t>affordability</w:t>
      </w:r>
      <w:r w:rsidRPr="00C30E99">
        <w:rPr>
          <w:szCs w:val="24"/>
        </w:rPr>
        <w:t xml:space="preserve"> for an inclusive and sustainable Americas region</w:t>
      </w:r>
    </w:p>
    <w:p w14:paraId="4B6A92FF" w14:textId="77777777" w:rsidR="00E92BE6" w:rsidRPr="00C30E99" w:rsidRDefault="00E92BE6" w:rsidP="00986953">
      <w:pPr>
        <w:pStyle w:val="ListParagraph"/>
        <w:numPr>
          <w:ilvl w:val="0"/>
          <w:numId w:val="17"/>
        </w:numPr>
        <w:spacing w:before="80"/>
        <w:ind w:left="1145" w:hanging="578"/>
        <w:contextualSpacing w:val="0"/>
        <w:rPr>
          <w:szCs w:val="24"/>
        </w:rPr>
      </w:pPr>
      <w:r w:rsidRPr="00C30E99">
        <w:rPr>
          <w:b/>
          <w:bCs/>
          <w:szCs w:val="24"/>
        </w:rPr>
        <w:t xml:space="preserve">ASP1: </w:t>
      </w:r>
      <w:r w:rsidRPr="00C30E99">
        <w:rPr>
          <w:szCs w:val="24"/>
        </w:rPr>
        <w:t xml:space="preserve">Addressing </w:t>
      </w:r>
      <w:r w:rsidRPr="00C30E99">
        <w:rPr>
          <w:b/>
          <w:bCs/>
          <w:szCs w:val="24"/>
        </w:rPr>
        <w:t>special needs</w:t>
      </w:r>
      <w:r w:rsidRPr="00C30E99">
        <w:rPr>
          <w:szCs w:val="24"/>
        </w:rPr>
        <w:t xml:space="preserve"> of least developed countries, small island developing states, including Pacific island countries, and landlocked developing countries;</w:t>
      </w:r>
    </w:p>
    <w:p w14:paraId="529625DD" w14:textId="77777777" w:rsidR="00E92BE6" w:rsidRPr="00C30E99" w:rsidRDefault="00E92BE6" w:rsidP="00986953">
      <w:pPr>
        <w:pStyle w:val="ListParagraph"/>
        <w:numPr>
          <w:ilvl w:val="0"/>
          <w:numId w:val="17"/>
        </w:numPr>
        <w:spacing w:before="80"/>
        <w:ind w:left="1145" w:hanging="578"/>
        <w:contextualSpacing w:val="0"/>
        <w:rPr>
          <w:szCs w:val="24"/>
        </w:rPr>
      </w:pPr>
      <w:r w:rsidRPr="00C30E99">
        <w:rPr>
          <w:b/>
          <w:bCs/>
          <w:szCs w:val="24"/>
        </w:rPr>
        <w:t xml:space="preserve">ASP2: </w:t>
      </w:r>
      <w:r w:rsidRPr="00C30E99">
        <w:rPr>
          <w:szCs w:val="24"/>
        </w:rPr>
        <w:t xml:space="preserve">Harnessing information and communication technologies to support the digital economy and an </w:t>
      </w:r>
      <w:r w:rsidRPr="00C30E99">
        <w:rPr>
          <w:b/>
          <w:bCs/>
          <w:szCs w:val="24"/>
        </w:rPr>
        <w:t>inclusive digital society</w:t>
      </w:r>
    </w:p>
    <w:p w14:paraId="65377855" w14:textId="77777777" w:rsidR="00E92BE6" w:rsidRPr="00C30E99" w:rsidRDefault="00E92BE6" w:rsidP="00986953">
      <w:pPr>
        <w:pStyle w:val="ListParagraph"/>
        <w:numPr>
          <w:ilvl w:val="0"/>
          <w:numId w:val="17"/>
        </w:numPr>
        <w:spacing w:before="80"/>
        <w:ind w:left="1145" w:hanging="578"/>
        <w:contextualSpacing w:val="0"/>
        <w:rPr>
          <w:b/>
          <w:bCs/>
          <w:szCs w:val="24"/>
        </w:rPr>
      </w:pPr>
      <w:r w:rsidRPr="00C30E99">
        <w:rPr>
          <w:b/>
          <w:bCs/>
          <w:szCs w:val="24"/>
        </w:rPr>
        <w:t xml:space="preserve">CIS2: </w:t>
      </w:r>
      <w:r w:rsidRPr="00C30E99">
        <w:rPr>
          <w:szCs w:val="24"/>
        </w:rPr>
        <w:t xml:space="preserve">Use of telecommunications/information and communication technology to ensure </w:t>
      </w:r>
      <w:r w:rsidRPr="00C30E99">
        <w:rPr>
          <w:b/>
          <w:bCs/>
          <w:szCs w:val="24"/>
        </w:rPr>
        <w:t>inclusive</w:t>
      </w:r>
      <w:r w:rsidRPr="00C30E99">
        <w:rPr>
          <w:szCs w:val="24"/>
        </w:rPr>
        <w:t>,</w:t>
      </w:r>
      <w:r w:rsidRPr="00C30E99">
        <w:rPr>
          <w:b/>
          <w:bCs/>
          <w:szCs w:val="24"/>
        </w:rPr>
        <w:t xml:space="preserve"> </w:t>
      </w:r>
      <w:r w:rsidRPr="00C30E99">
        <w:rPr>
          <w:szCs w:val="24"/>
        </w:rPr>
        <w:t xml:space="preserve">equitable, quality and safe </w:t>
      </w:r>
      <w:r w:rsidRPr="00C30E99">
        <w:rPr>
          <w:b/>
          <w:bCs/>
          <w:szCs w:val="24"/>
        </w:rPr>
        <w:t>education</w:t>
      </w:r>
      <w:r w:rsidRPr="00C30E99">
        <w:rPr>
          <w:szCs w:val="24"/>
        </w:rPr>
        <w:t>, including the enhancement of women's knowledge of information and communication technologies and e-government</w:t>
      </w:r>
    </w:p>
    <w:p w14:paraId="1C10480C" w14:textId="77777777" w:rsidR="00E92BE6" w:rsidRPr="00C30E99" w:rsidRDefault="00E92BE6" w:rsidP="00986953">
      <w:pPr>
        <w:pStyle w:val="ListParagraph"/>
        <w:numPr>
          <w:ilvl w:val="0"/>
          <w:numId w:val="17"/>
        </w:numPr>
        <w:spacing w:before="80"/>
        <w:ind w:left="1145" w:hanging="578"/>
        <w:contextualSpacing w:val="0"/>
        <w:rPr>
          <w:szCs w:val="24"/>
        </w:rPr>
      </w:pPr>
      <w:r w:rsidRPr="00C30E99">
        <w:rPr>
          <w:b/>
          <w:bCs/>
          <w:szCs w:val="24"/>
        </w:rPr>
        <w:t xml:space="preserve">EUR3: </w:t>
      </w:r>
      <w:r w:rsidRPr="00C30E99">
        <w:rPr>
          <w:szCs w:val="24"/>
        </w:rPr>
        <w:t xml:space="preserve">Accessibility, affordability and skills development for all to ensure </w:t>
      </w:r>
      <w:r w:rsidRPr="00C30E99">
        <w:rPr>
          <w:b/>
          <w:bCs/>
          <w:szCs w:val="24"/>
        </w:rPr>
        <w:t>digital inclusion</w:t>
      </w:r>
      <w:r w:rsidRPr="00C30E99">
        <w:rPr>
          <w:szCs w:val="24"/>
        </w:rPr>
        <w:t xml:space="preserve"> and sustainable development;</w:t>
      </w:r>
    </w:p>
    <w:p w14:paraId="37A8AECE" w14:textId="77777777" w:rsidR="00E92BE6" w:rsidRPr="0063336C" w:rsidRDefault="00E92BE6" w:rsidP="00986953">
      <w:pPr>
        <w:keepNext/>
        <w:tabs>
          <w:tab w:val="clear" w:pos="1134"/>
          <w:tab w:val="clear" w:pos="2268"/>
          <w:tab w:val="left" w:pos="567"/>
        </w:tabs>
        <w:rPr>
          <w:b/>
          <w:bCs/>
          <w:szCs w:val="24"/>
        </w:rPr>
      </w:pPr>
      <w:r>
        <w:rPr>
          <w:b/>
          <w:bCs/>
          <w:szCs w:val="24"/>
        </w:rPr>
        <w:t>8.</w:t>
      </w:r>
      <w:r>
        <w:rPr>
          <w:b/>
          <w:bCs/>
          <w:szCs w:val="24"/>
        </w:rPr>
        <w:tab/>
      </w:r>
      <w:r w:rsidRPr="0063336C">
        <w:rPr>
          <w:b/>
          <w:bCs/>
          <w:szCs w:val="24"/>
        </w:rPr>
        <w:t>Capacity building:</w:t>
      </w:r>
    </w:p>
    <w:p w14:paraId="5D46E263" w14:textId="77777777" w:rsidR="00E92BE6" w:rsidRPr="00C30E99" w:rsidRDefault="00E92BE6" w:rsidP="00986953">
      <w:pPr>
        <w:pStyle w:val="ListParagraph"/>
        <w:numPr>
          <w:ilvl w:val="0"/>
          <w:numId w:val="18"/>
        </w:numPr>
        <w:spacing w:before="80"/>
        <w:ind w:left="1145" w:hanging="578"/>
        <w:contextualSpacing w:val="0"/>
        <w:rPr>
          <w:b/>
          <w:bCs/>
          <w:szCs w:val="24"/>
        </w:rPr>
      </w:pPr>
      <w:r w:rsidRPr="00C30E99">
        <w:rPr>
          <w:b/>
          <w:bCs/>
          <w:szCs w:val="24"/>
        </w:rPr>
        <w:t xml:space="preserve">AFR4: </w:t>
      </w:r>
      <w:r w:rsidRPr="00C30E99">
        <w:rPr>
          <w:szCs w:val="24"/>
        </w:rPr>
        <w:t xml:space="preserve">Strengthening human and institutional </w:t>
      </w:r>
      <w:r w:rsidRPr="00C30E99">
        <w:rPr>
          <w:b/>
          <w:bCs/>
          <w:szCs w:val="24"/>
        </w:rPr>
        <w:t>capacity building</w:t>
      </w:r>
      <w:r>
        <w:rPr>
          <w:b/>
          <w:bCs/>
          <w:szCs w:val="24"/>
        </w:rPr>
        <w:t>.</w:t>
      </w:r>
    </w:p>
    <w:p w14:paraId="0367C9BC" w14:textId="77777777" w:rsidR="00E92BE6" w:rsidRPr="0063336C" w:rsidRDefault="00E92BE6" w:rsidP="00986953">
      <w:pPr>
        <w:keepNext/>
        <w:tabs>
          <w:tab w:val="clear" w:pos="1134"/>
          <w:tab w:val="clear" w:pos="2268"/>
          <w:tab w:val="left" w:pos="567"/>
        </w:tabs>
        <w:rPr>
          <w:b/>
          <w:bCs/>
          <w:szCs w:val="24"/>
        </w:rPr>
      </w:pPr>
      <w:r>
        <w:rPr>
          <w:b/>
          <w:bCs/>
          <w:szCs w:val="24"/>
        </w:rPr>
        <w:t>9.</w:t>
      </w:r>
      <w:r>
        <w:rPr>
          <w:b/>
          <w:bCs/>
          <w:szCs w:val="24"/>
        </w:rPr>
        <w:tab/>
      </w:r>
      <w:r w:rsidRPr="0063336C">
        <w:rPr>
          <w:b/>
          <w:bCs/>
          <w:szCs w:val="24"/>
        </w:rPr>
        <w:t>Policy and regulation:</w:t>
      </w:r>
    </w:p>
    <w:p w14:paraId="3FB2D5A3" w14:textId="77777777" w:rsidR="00E92BE6" w:rsidRPr="00C30E99" w:rsidRDefault="00E92BE6" w:rsidP="00986953">
      <w:pPr>
        <w:pStyle w:val="ListParagraph"/>
        <w:numPr>
          <w:ilvl w:val="0"/>
          <w:numId w:val="18"/>
        </w:numPr>
        <w:spacing w:before="80"/>
        <w:ind w:left="1145" w:hanging="578"/>
        <w:contextualSpacing w:val="0"/>
        <w:rPr>
          <w:szCs w:val="24"/>
        </w:rPr>
      </w:pPr>
      <w:r w:rsidRPr="00C30E99">
        <w:rPr>
          <w:b/>
          <w:bCs/>
          <w:szCs w:val="24"/>
        </w:rPr>
        <w:t xml:space="preserve">ASP4: </w:t>
      </w:r>
      <w:r w:rsidRPr="00C30E99">
        <w:rPr>
          <w:szCs w:val="24"/>
        </w:rPr>
        <w:t xml:space="preserve">Enabling </w:t>
      </w:r>
      <w:r w:rsidRPr="00C30E99">
        <w:rPr>
          <w:b/>
          <w:bCs/>
          <w:szCs w:val="24"/>
        </w:rPr>
        <w:t>policy and regulatory environments.</w:t>
      </w:r>
    </w:p>
    <w:p w14:paraId="4ABAABBA" w14:textId="77777777" w:rsidR="00E92BE6" w:rsidRPr="008C5113" w:rsidRDefault="00E92BE6" w:rsidP="00E92BE6">
      <w:pPr>
        <w:rPr>
          <w:szCs w:val="24"/>
          <w:lang w:val="en-US"/>
        </w:rPr>
      </w:pPr>
      <w:r w:rsidRPr="008C5113">
        <w:rPr>
          <w:szCs w:val="24"/>
          <w:lang w:val="en-US"/>
        </w:rPr>
        <w:t>Note: *This is an indicative list of broad areas of focus based on the title of each regional initiative. More detail about the regional initiatives may be found in the Buenos Aires Action Plan, Section 3.</w:t>
      </w:r>
    </w:p>
    <w:p w14:paraId="765ACC6B" w14:textId="77777777" w:rsidR="002E4283" w:rsidRDefault="002E4283" w:rsidP="0063336C">
      <w:pPr>
        <w:jc w:val="center"/>
        <w:rPr>
          <w:szCs w:val="24"/>
          <w:lang w:val="en-US"/>
        </w:rPr>
      </w:pPr>
    </w:p>
    <w:p w14:paraId="14611A83" w14:textId="77777777" w:rsidR="00014EA1" w:rsidRPr="00D749EA" w:rsidRDefault="008F3045" w:rsidP="0063336C">
      <w:pPr>
        <w:jc w:val="center"/>
        <w:rPr>
          <w:szCs w:val="24"/>
          <w:lang w:val="en-US"/>
        </w:rPr>
      </w:pPr>
      <w:r>
        <w:rPr>
          <w:szCs w:val="24"/>
          <w:lang w:val="en-US"/>
        </w:rPr>
        <w:t>________________</w:t>
      </w:r>
    </w:p>
    <w:sectPr w:rsidR="00014EA1" w:rsidRPr="00D749EA" w:rsidSect="00F07AED">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67B1" w14:textId="77777777" w:rsidR="003E0402" w:rsidRDefault="003E0402">
      <w:r>
        <w:separator/>
      </w:r>
    </w:p>
  </w:endnote>
  <w:endnote w:type="continuationSeparator" w:id="0">
    <w:p w14:paraId="0576DB0F" w14:textId="77777777" w:rsidR="003E0402" w:rsidRDefault="003E0402">
      <w:r>
        <w:continuationSeparator/>
      </w:r>
    </w:p>
  </w:endnote>
  <w:endnote w:type="continuationNotice" w:id="1">
    <w:p w14:paraId="06091255" w14:textId="77777777" w:rsidR="003E0402" w:rsidRDefault="003E04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63D3" w14:textId="77777777" w:rsidR="00FA3698" w:rsidRDefault="00FA3698">
    <w:pPr>
      <w:framePr w:wrap="around" w:vAnchor="text" w:hAnchor="margin" w:xAlign="right" w:y="1"/>
    </w:pPr>
    <w:r>
      <w:fldChar w:fldCharType="begin"/>
    </w:r>
    <w:r>
      <w:instrText xml:space="preserve">PAGE  </w:instrText>
    </w:r>
    <w:r>
      <w:fldChar w:fldCharType="end"/>
    </w:r>
  </w:p>
  <w:p w14:paraId="4D83758F" w14:textId="0304A141" w:rsidR="00FA3698" w:rsidRPr="0041348E" w:rsidRDefault="00FA3698">
    <w:pPr>
      <w:ind w:right="360"/>
      <w:rPr>
        <w:lang w:val="en-US"/>
      </w:rPr>
    </w:pPr>
    <w:r>
      <w:fldChar w:fldCharType="begin"/>
    </w:r>
    <w:r w:rsidRPr="0041348E">
      <w:rPr>
        <w:lang w:val="en-US"/>
      </w:rPr>
      <w:instrText xml:space="preserve"> FILENAME \p  \* MERGEFORMAT </w:instrText>
    </w:r>
    <w:r>
      <w:fldChar w:fldCharType="separate"/>
    </w:r>
    <w:r w:rsidR="00776539">
      <w:rPr>
        <w:noProof/>
        <w:lang w:val="en-US"/>
      </w:rPr>
      <w:t>P:\SUP\Meetings\TDAG\2018-23rd\Documents\C\008E_post-CDPG5_Council-doc-66_Financial implications of RIs.docx</w:t>
    </w:r>
    <w:r>
      <w:fldChar w:fldCharType="end"/>
    </w:r>
    <w:r w:rsidRPr="0041348E">
      <w:rPr>
        <w:lang w:val="en-US"/>
      </w:rPr>
      <w:tab/>
    </w:r>
    <w:r>
      <w:fldChar w:fldCharType="begin"/>
    </w:r>
    <w:r>
      <w:instrText xml:space="preserve"> SAVEDATE \@ DD.MM.YY </w:instrText>
    </w:r>
    <w:r>
      <w:fldChar w:fldCharType="separate"/>
    </w:r>
    <w:r w:rsidR="00A801DE">
      <w:rPr>
        <w:noProof/>
      </w:rPr>
      <w:t>12.03.18</w:t>
    </w:r>
    <w:r>
      <w:fldChar w:fldCharType="end"/>
    </w:r>
    <w:r w:rsidRPr="0041348E">
      <w:rPr>
        <w:lang w:val="en-US"/>
      </w:rPr>
      <w:tab/>
    </w:r>
    <w:r>
      <w:fldChar w:fldCharType="begin"/>
    </w:r>
    <w:r>
      <w:instrText xml:space="preserve"> PRINTDATE \@ DD.MM.YY </w:instrText>
    </w:r>
    <w:r>
      <w:fldChar w:fldCharType="separate"/>
    </w:r>
    <w:r w:rsidR="00776539">
      <w:rPr>
        <w:noProof/>
      </w:rPr>
      <w:t>09.03.18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7670" w14:textId="77777777" w:rsidR="003E0402" w:rsidRDefault="003E04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E82E" w14:textId="77777777" w:rsidR="003E0402" w:rsidRDefault="003E0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0A56" w14:textId="77777777" w:rsidR="003E0402" w:rsidRDefault="003E0402">
      <w:r>
        <w:rPr>
          <w:b/>
        </w:rPr>
        <w:t>_______________</w:t>
      </w:r>
    </w:p>
  </w:footnote>
  <w:footnote w:type="continuationSeparator" w:id="0">
    <w:p w14:paraId="6EBF4AA6" w14:textId="77777777" w:rsidR="003E0402" w:rsidRDefault="003E0402">
      <w:r>
        <w:continuationSeparator/>
      </w:r>
    </w:p>
  </w:footnote>
  <w:footnote w:type="continuationNotice" w:id="1">
    <w:p w14:paraId="32E84A9C" w14:textId="77777777" w:rsidR="003E0402" w:rsidRDefault="003E0402">
      <w:pPr>
        <w:spacing w:before="0"/>
      </w:pPr>
    </w:p>
  </w:footnote>
  <w:footnote w:id="2">
    <w:p w14:paraId="6C42CDF5" w14:textId="7CF6492C" w:rsidR="00E92BE6" w:rsidRPr="00986953" w:rsidRDefault="00E92BE6" w:rsidP="00986953">
      <w:pPr>
        <w:pStyle w:val="FootnoteText"/>
        <w:jc w:val="both"/>
        <w:rPr>
          <w:sz w:val="20"/>
          <w:lang w:val="en-US"/>
        </w:rPr>
      </w:pPr>
      <w:r>
        <w:rPr>
          <w:rStyle w:val="FootnoteReference"/>
        </w:rPr>
        <w:footnoteRef/>
      </w:r>
      <w:r>
        <w:t xml:space="preserve"> </w:t>
      </w:r>
      <w:r w:rsidRPr="00986953">
        <w:rPr>
          <w:sz w:val="20"/>
          <w:lang w:val="en-US"/>
        </w:rPr>
        <w:t xml:space="preserve">These options are based on funding for the </w:t>
      </w:r>
      <w:r>
        <w:rPr>
          <w:sz w:val="20"/>
          <w:szCs w:val="16"/>
          <w:lang w:val="en-US"/>
        </w:rPr>
        <w:t>RIs</w:t>
      </w:r>
      <w:r w:rsidRPr="00986953">
        <w:rPr>
          <w:sz w:val="20"/>
          <w:lang w:val="en-US"/>
        </w:rPr>
        <w:t xml:space="preserve"> based set of projects that are being formulated for implementation. The options are given on the basis that small allocations per </w:t>
      </w:r>
      <w:r>
        <w:rPr>
          <w:sz w:val="20"/>
          <w:szCs w:val="16"/>
          <w:lang w:val="en-US"/>
        </w:rPr>
        <w:t>RI</w:t>
      </w:r>
      <w:r w:rsidRPr="00986953">
        <w:rPr>
          <w:sz w:val="20"/>
          <w:lang w:val="en-US"/>
        </w:rPr>
        <w:t xml:space="preserve"> have tended not to attract financing from external development partners. During the last cycle, ITU allocated CHF 50,000 per </w:t>
      </w:r>
      <w:r>
        <w:rPr>
          <w:sz w:val="20"/>
          <w:szCs w:val="16"/>
          <w:lang w:val="en-US"/>
        </w:rPr>
        <w:t>RI</w:t>
      </w:r>
      <w:r w:rsidRPr="00986953">
        <w:rPr>
          <w:sz w:val="20"/>
          <w:lang w:val="en-US"/>
        </w:rPr>
        <w:t xml:space="preserve"> which made it almost impossible to attract funds from partners.</w:t>
      </w:r>
    </w:p>
  </w:footnote>
  <w:footnote w:id="3">
    <w:p w14:paraId="59E41CF3" w14:textId="77777777" w:rsidR="00E92BE6" w:rsidRPr="00986953" w:rsidRDefault="00E92BE6" w:rsidP="00986953">
      <w:pPr>
        <w:pStyle w:val="FootnoteText"/>
        <w:jc w:val="both"/>
        <w:rPr>
          <w:sz w:val="20"/>
          <w:lang w:val="en-US"/>
        </w:rPr>
      </w:pPr>
      <w:r>
        <w:rPr>
          <w:rStyle w:val="FootnoteReference"/>
        </w:rPr>
        <w:footnoteRef/>
      </w:r>
      <w:r>
        <w:t xml:space="preserve"> </w:t>
      </w:r>
      <w:r w:rsidRPr="00986953">
        <w:rPr>
          <w:sz w:val="20"/>
          <w:lang w:val="en-US"/>
        </w:rPr>
        <w:t>Medium-scale projects being those valued at CHF 500,000 to CHF 1,000,000.</w:t>
      </w:r>
    </w:p>
  </w:footnote>
  <w:footnote w:id="4">
    <w:p w14:paraId="1F377451" w14:textId="77777777" w:rsidR="00E92BE6" w:rsidRPr="00986953" w:rsidRDefault="00E92BE6" w:rsidP="00986953">
      <w:pPr>
        <w:pStyle w:val="FootnoteText"/>
        <w:jc w:val="both"/>
        <w:rPr>
          <w:sz w:val="20"/>
          <w:lang w:val="en-US"/>
        </w:rPr>
      </w:pPr>
      <w:r>
        <w:rPr>
          <w:rStyle w:val="FootnoteReference"/>
        </w:rPr>
        <w:footnoteRef/>
      </w:r>
      <w:r>
        <w:t xml:space="preserve"> </w:t>
      </w:r>
      <w:r w:rsidRPr="00986953">
        <w:rPr>
          <w:sz w:val="20"/>
          <w:lang w:val="en-US"/>
        </w:rPr>
        <w:t>Large-scale projects being those valued at more than CHF 1,000,000.</w:t>
      </w:r>
    </w:p>
  </w:footnote>
  <w:footnote w:id="5">
    <w:p w14:paraId="2D75F954" w14:textId="0F6221B0" w:rsidR="00E92BE6" w:rsidRPr="00E37135" w:rsidRDefault="00E92BE6" w:rsidP="00986953">
      <w:pPr>
        <w:pStyle w:val="FootnoteText"/>
        <w:jc w:val="both"/>
        <w:rPr>
          <w:lang w:val="en-US"/>
        </w:rPr>
      </w:pPr>
      <w:r>
        <w:rPr>
          <w:rStyle w:val="FootnoteReference"/>
        </w:rPr>
        <w:footnoteRef/>
      </w:r>
      <w:r>
        <w:t xml:space="preserve"> </w:t>
      </w:r>
      <w:r w:rsidRPr="00986953">
        <w:rPr>
          <w:sz w:val="20"/>
          <w:lang w:val="en-US"/>
        </w:rPr>
        <w:t xml:space="preserve">The experience showed that the CHF 50,000 allocated by ITU to each </w:t>
      </w:r>
      <w:r>
        <w:rPr>
          <w:sz w:val="20"/>
          <w:szCs w:val="16"/>
          <w:lang w:val="en-US"/>
        </w:rPr>
        <w:t>RI</w:t>
      </w:r>
      <w:r w:rsidRPr="00986953">
        <w:rPr>
          <w:sz w:val="20"/>
          <w:lang w:val="en-US"/>
        </w:rPr>
        <w:t xml:space="preserve"> was too small to attract funds from development partners. For that reason, reporting on the implementation of Regional Initiatives was done within the context of implementation of related Operational Plan activities.</w:t>
      </w:r>
    </w:p>
  </w:footnote>
  <w:footnote w:id="6">
    <w:p w14:paraId="21EAE44F" w14:textId="77777777" w:rsidR="00E92BE6" w:rsidRPr="00E37135" w:rsidRDefault="00E92BE6" w:rsidP="00986953">
      <w:pPr>
        <w:pStyle w:val="FootnoteText"/>
        <w:jc w:val="both"/>
        <w:rPr>
          <w:lang w:val="en-US"/>
        </w:rPr>
      </w:pPr>
      <w:r>
        <w:rPr>
          <w:rStyle w:val="FootnoteReference"/>
        </w:rPr>
        <w:footnoteRef/>
      </w:r>
      <w:r>
        <w:t xml:space="preserve"> </w:t>
      </w:r>
      <w:r w:rsidRPr="00986953">
        <w:rPr>
          <w:sz w:val="20"/>
          <w:lang w:val="en-US"/>
        </w:rPr>
        <w:t>These options on how much ITU is proposed to contribute are suggested amount that would allow BDT to start the implementation and have a potential to attract more funds from external partners.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B0EE" w14:textId="77777777" w:rsidR="003E0402" w:rsidRDefault="003E0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678A" w14:textId="77777777" w:rsidR="00FA3698" w:rsidRPr="008C2A85" w:rsidRDefault="00FA3698" w:rsidP="00986953">
    <w:pPr>
      <w:tabs>
        <w:tab w:val="clear" w:pos="1134"/>
        <w:tab w:val="clear" w:pos="1871"/>
        <w:tab w:val="clear" w:pos="2268"/>
        <w:tab w:val="center" w:pos="4820"/>
        <w:tab w:val="right" w:pos="9638"/>
        <w:tab w:val="right" w:pos="14571"/>
      </w:tabs>
      <w:spacing w:after="120"/>
      <w:ind w:right="1"/>
    </w:pPr>
    <w:r w:rsidRPr="004D495C">
      <w:rPr>
        <w:sz w:val="22"/>
        <w:szCs w:val="22"/>
      </w:rPr>
      <w:tab/>
    </w:r>
    <w:r>
      <w:rPr>
        <w:sz w:val="22"/>
        <w:szCs w:val="22"/>
        <w:lang w:val="es-ES_tradnl"/>
      </w:rPr>
      <w:t>TDAG-18</w:t>
    </w:r>
    <w:r w:rsidRPr="00FF089C">
      <w:rPr>
        <w:sz w:val="22"/>
        <w:szCs w:val="22"/>
        <w:lang w:val="es-ES_tradnl"/>
      </w:rPr>
      <w:t>/</w:t>
    </w:r>
    <w:r>
      <w:rPr>
        <w:sz w:val="22"/>
        <w:szCs w:val="22"/>
        <w:lang w:val="es-ES_tradnl"/>
      </w:rPr>
      <w:t>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801DE">
      <w:rPr>
        <w:noProof/>
        <w:sz w:val="22"/>
        <w:szCs w:val="22"/>
        <w:lang w:val="es-ES_tradnl"/>
      </w:rPr>
      <w:t>2</w:t>
    </w:r>
    <w:r w:rsidRPr="004D495C">
      <w:rPr>
        <w:sz w:val="22"/>
        <w:szCs w:val="22"/>
      </w:rPr>
      <w:fldChar w:fldCharType="end"/>
    </w:r>
  </w:p>
  <w:p w14:paraId="40A205DB" w14:textId="77777777" w:rsidR="00FA3698" w:rsidRPr="008C2A85" w:rsidRDefault="00FA3698" w:rsidP="001212AC">
    <w:pPr>
      <w:pStyle w:val="Header"/>
      <w:tabs>
        <w:tab w:val="clear" w:pos="1134"/>
        <w:tab w:val="clear" w:pos="1871"/>
        <w:tab w:val="clear" w:pos="2268"/>
        <w:tab w:val="left" w:pos="993"/>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7D77" w14:textId="77777777" w:rsidR="003E0402" w:rsidRDefault="003E0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0875B2"/>
    <w:multiLevelType w:val="hybridMultilevel"/>
    <w:tmpl w:val="EFB0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D3B3E07"/>
    <w:multiLevelType w:val="hybridMultilevel"/>
    <w:tmpl w:val="8976E5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EEB02F1"/>
    <w:multiLevelType w:val="hybridMultilevel"/>
    <w:tmpl w:val="ED4C1E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B041DE6"/>
    <w:multiLevelType w:val="hybridMultilevel"/>
    <w:tmpl w:val="7A3E0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54017F"/>
    <w:multiLevelType w:val="hybridMultilevel"/>
    <w:tmpl w:val="390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4B646A3"/>
    <w:multiLevelType w:val="hybridMultilevel"/>
    <w:tmpl w:val="3E6653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CD78AA"/>
    <w:multiLevelType w:val="hybridMultilevel"/>
    <w:tmpl w:val="BFF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50E5D"/>
    <w:multiLevelType w:val="hybridMultilevel"/>
    <w:tmpl w:val="6EC4E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FE71A16"/>
    <w:multiLevelType w:val="hybridMultilevel"/>
    <w:tmpl w:val="EC4E1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5BA46EDF"/>
    <w:multiLevelType w:val="hybridMultilevel"/>
    <w:tmpl w:val="D0F00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3"/>
  </w:num>
  <w:num w:numId="5">
    <w:abstractNumId w:val="14"/>
  </w:num>
  <w:num w:numId="6">
    <w:abstractNumId w:val="8"/>
  </w:num>
  <w:num w:numId="7">
    <w:abstractNumId w:val="9"/>
  </w:num>
  <w:num w:numId="8">
    <w:abstractNumId w:val="17"/>
  </w:num>
  <w:num w:numId="9">
    <w:abstractNumId w:val="11"/>
  </w:num>
  <w:num w:numId="10">
    <w:abstractNumId w:val="2"/>
  </w:num>
  <w:num w:numId="11">
    <w:abstractNumId w:val="12"/>
  </w:num>
  <w:num w:numId="12">
    <w:abstractNumId w:val="5"/>
  </w:num>
  <w:num w:numId="13">
    <w:abstractNumId w:val="7"/>
  </w:num>
  <w:num w:numId="14">
    <w:abstractNumId w:val="4"/>
  </w:num>
  <w:num w:numId="15">
    <w:abstractNumId w:val="6"/>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354"/>
    <w:rsid w:val="000012B6"/>
    <w:rsid w:val="00003F8D"/>
    <w:rsid w:val="000041EA"/>
    <w:rsid w:val="00014EA1"/>
    <w:rsid w:val="00016488"/>
    <w:rsid w:val="000206B0"/>
    <w:rsid w:val="00022A29"/>
    <w:rsid w:val="00031642"/>
    <w:rsid w:val="000355FD"/>
    <w:rsid w:val="00051E39"/>
    <w:rsid w:val="00055B06"/>
    <w:rsid w:val="0007166B"/>
    <w:rsid w:val="00075C63"/>
    <w:rsid w:val="00077239"/>
    <w:rsid w:val="00080905"/>
    <w:rsid w:val="000822BE"/>
    <w:rsid w:val="00084054"/>
    <w:rsid w:val="00086491"/>
    <w:rsid w:val="000906C7"/>
    <w:rsid w:val="00091346"/>
    <w:rsid w:val="000D4363"/>
    <w:rsid w:val="000D4875"/>
    <w:rsid w:val="000D54BA"/>
    <w:rsid w:val="000E0DFA"/>
    <w:rsid w:val="000F5347"/>
    <w:rsid w:val="000F73FF"/>
    <w:rsid w:val="00114CF7"/>
    <w:rsid w:val="00120536"/>
    <w:rsid w:val="001212AC"/>
    <w:rsid w:val="00123B68"/>
    <w:rsid w:val="00126F2E"/>
    <w:rsid w:val="0013666F"/>
    <w:rsid w:val="00146F63"/>
    <w:rsid w:val="00146F6F"/>
    <w:rsid w:val="00147DA1"/>
    <w:rsid w:val="00151B08"/>
    <w:rsid w:val="00151E46"/>
    <w:rsid w:val="00152957"/>
    <w:rsid w:val="001565F5"/>
    <w:rsid w:val="00160977"/>
    <w:rsid w:val="00161A86"/>
    <w:rsid w:val="00164611"/>
    <w:rsid w:val="0017042D"/>
    <w:rsid w:val="00170B43"/>
    <w:rsid w:val="0017278E"/>
    <w:rsid w:val="00187BD9"/>
    <w:rsid w:val="00190B02"/>
    <w:rsid w:val="00190B55"/>
    <w:rsid w:val="0019487A"/>
    <w:rsid w:val="00194CFB"/>
    <w:rsid w:val="001A1FCE"/>
    <w:rsid w:val="001B2ED3"/>
    <w:rsid w:val="001B7EA3"/>
    <w:rsid w:val="001C274D"/>
    <w:rsid w:val="001C3B5F"/>
    <w:rsid w:val="001D058F"/>
    <w:rsid w:val="001E0BB2"/>
    <w:rsid w:val="001E252D"/>
    <w:rsid w:val="001E2DD5"/>
    <w:rsid w:val="002009EA"/>
    <w:rsid w:val="002016D8"/>
    <w:rsid w:val="00202CA0"/>
    <w:rsid w:val="00205DA6"/>
    <w:rsid w:val="00207F06"/>
    <w:rsid w:val="00214D54"/>
    <w:rsid w:val="002154A6"/>
    <w:rsid w:val="002162CD"/>
    <w:rsid w:val="002255B3"/>
    <w:rsid w:val="002271FB"/>
    <w:rsid w:val="00230938"/>
    <w:rsid w:val="00236E8A"/>
    <w:rsid w:val="00241F75"/>
    <w:rsid w:val="002506F7"/>
    <w:rsid w:val="0026764D"/>
    <w:rsid w:val="00271316"/>
    <w:rsid w:val="00272766"/>
    <w:rsid w:val="00274760"/>
    <w:rsid w:val="002809D2"/>
    <w:rsid w:val="002809F6"/>
    <w:rsid w:val="00283279"/>
    <w:rsid w:val="002862EB"/>
    <w:rsid w:val="0029319E"/>
    <w:rsid w:val="00296313"/>
    <w:rsid w:val="002B2D28"/>
    <w:rsid w:val="002B3C2A"/>
    <w:rsid w:val="002B3C84"/>
    <w:rsid w:val="002C1501"/>
    <w:rsid w:val="002D58BE"/>
    <w:rsid w:val="002D6A60"/>
    <w:rsid w:val="002E346E"/>
    <w:rsid w:val="002E4283"/>
    <w:rsid w:val="002E7C6A"/>
    <w:rsid w:val="003013EE"/>
    <w:rsid w:val="00326F32"/>
    <w:rsid w:val="00331315"/>
    <w:rsid w:val="0035023F"/>
    <w:rsid w:val="0035064B"/>
    <w:rsid w:val="00351349"/>
    <w:rsid w:val="003524E4"/>
    <w:rsid w:val="0036516C"/>
    <w:rsid w:val="00367787"/>
    <w:rsid w:val="00372077"/>
    <w:rsid w:val="003774DA"/>
    <w:rsid w:val="00377514"/>
    <w:rsid w:val="00377BD3"/>
    <w:rsid w:val="00384088"/>
    <w:rsid w:val="0038489B"/>
    <w:rsid w:val="0039169B"/>
    <w:rsid w:val="003A7F8C"/>
    <w:rsid w:val="003B532E"/>
    <w:rsid w:val="003B6F14"/>
    <w:rsid w:val="003C4D6B"/>
    <w:rsid w:val="003D0F8B"/>
    <w:rsid w:val="003D36E5"/>
    <w:rsid w:val="003D43A0"/>
    <w:rsid w:val="003E0402"/>
    <w:rsid w:val="003E5E2F"/>
    <w:rsid w:val="003E5F5B"/>
    <w:rsid w:val="003F0D04"/>
    <w:rsid w:val="003F506B"/>
    <w:rsid w:val="004131D4"/>
    <w:rsid w:val="0041348E"/>
    <w:rsid w:val="00437ACF"/>
    <w:rsid w:val="00447308"/>
    <w:rsid w:val="004500F9"/>
    <w:rsid w:val="004543D0"/>
    <w:rsid w:val="00457215"/>
    <w:rsid w:val="00467682"/>
    <w:rsid w:val="0047057D"/>
    <w:rsid w:val="00472C17"/>
    <w:rsid w:val="004730A6"/>
    <w:rsid w:val="00474879"/>
    <w:rsid w:val="004765FF"/>
    <w:rsid w:val="004869DB"/>
    <w:rsid w:val="00492075"/>
    <w:rsid w:val="004969AD"/>
    <w:rsid w:val="004A39E5"/>
    <w:rsid w:val="004B13CB"/>
    <w:rsid w:val="004B470C"/>
    <w:rsid w:val="004B4FDF"/>
    <w:rsid w:val="004B7E0B"/>
    <w:rsid w:val="004C710B"/>
    <w:rsid w:val="004D321E"/>
    <w:rsid w:val="004D5D5C"/>
    <w:rsid w:val="004E15AD"/>
    <w:rsid w:val="0050139F"/>
    <w:rsid w:val="00501658"/>
    <w:rsid w:val="00505661"/>
    <w:rsid w:val="00505D6E"/>
    <w:rsid w:val="00514F85"/>
    <w:rsid w:val="00521223"/>
    <w:rsid w:val="00524DF1"/>
    <w:rsid w:val="00531301"/>
    <w:rsid w:val="005431E0"/>
    <w:rsid w:val="0055140B"/>
    <w:rsid w:val="00552B60"/>
    <w:rsid w:val="00553189"/>
    <w:rsid w:val="00553247"/>
    <w:rsid w:val="00554C4F"/>
    <w:rsid w:val="005577CD"/>
    <w:rsid w:val="00561D72"/>
    <w:rsid w:val="0056211D"/>
    <w:rsid w:val="00562CFC"/>
    <w:rsid w:val="00563178"/>
    <w:rsid w:val="00564C94"/>
    <w:rsid w:val="005752B2"/>
    <w:rsid w:val="00592E51"/>
    <w:rsid w:val="005964AB"/>
    <w:rsid w:val="00596EA8"/>
    <w:rsid w:val="005B100B"/>
    <w:rsid w:val="005B44F5"/>
    <w:rsid w:val="005C099A"/>
    <w:rsid w:val="005C0CC6"/>
    <w:rsid w:val="005C31A5"/>
    <w:rsid w:val="005C4EE3"/>
    <w:rsid w:val="005D75CE"/>
    <w:rsid w:val="005E10C9"/>
    <w:rsid w:val="005E61DD"/>
    <w:rsid w:val="005E6321"/>
    <w:rsid w:val="005E73C6"/>
    <w:rsid w:val="005F4025"/>
    <w:rsid w:val="006023DF"/>
    <w:rsid w:val="00605C03"/>
    <w:rsid w:val="00606464"/>
    <w:rsid w:val="0063336C"/>
    <w:rsid w:val="006349B8"/>
    <w:rsid w:val="0064322F"/>
    <w:rsid w:val="00655434"/>
    <w:rsid w:val="00657DE0"/>
    <w:rsid w:val="0067199F"/>
    <w:rsid w:val="00671DCD"/>
    <w:rsid w:val="00677048"/>
    <w:rsid w:val="00685313"/>
    <w:rsid w:val="0069015A"/>
    <w:rsid w:val="00692890"/>
    <w:rsid w:val="00692F57"/>
    <w:rsid w:val="006A6E9B"/>
    <w:rsid w:val="006B10B5"/>
    <w:rsid w:val="006B4830"/>
    <w:rsid w:val="006B547B"/>
    <w:rsid w:val="006B7C2A"/>
    <w:rsid w:val="006C23DA"/>
    <w:rsid w:val="006C76D2"/>
    <w:rsid w:val="006D0631"/>
    <w:rsid w:val="006D2A03"/>
    <w:rsid w:val="006E3D45"/>
    <w:rsid w:val="006E7511"/>
    <w:rsid w:val="0071146D"/>
    <w:rsid w:val="007149F9"/>
    <w:rsid w:val="0073279A"/>
    <w:rsid w:val="0073325D"/>
    <w:rsid w:val="00733A30"/>
    <w:rsid w:val="00745AEE"/>
    <w:rsid w:val="007479EA"/>
    <w:rsid w:val="00750F10"/>
    <w:rsid w:val="00760A87"/>
    <w:rsid w:val="00770995"/>
    <w:rsid w:val="007742CA"/>
    <w:rsid w:val="00776539"/>
    <w:rsid w:val="00793683"/>
    <w:rsid w:val="007956EB"/>
    <w:rsid w:val="007A1341"/>
    <w:rsid w:val="007B0C4E"/>
    <w:rsid w:val="007C122F"/>
    <w:rsid w:val="007C6F61"/>
    <w:rsid w:val="007D06F0"/>
    <w:rsid w:val="007D45E3"/>
    <w:rsid w:val="007D5320"/>
    <w:rsid w:val="007E54AE"/>
    <w:rsid w:val="007F655A"/>
    <w:rsid w:val="007F735C"/>
    <w:rsid w:val="00800972"/>
    <w:rsid w:val="00804475"/>
    <w:rsid w:val="0080701D"/>
    <w:rsid w:val="00811633"/>
    <w:rsid w:val="00820D51"/>
    <w:rsid w:val="00821CEF"/>
    <w:rsid w:val="00824165"/>
    <w:rsid w:val="008322F8"/>
    <w:rsid w:val="00832828"/>
    <w:rsid w:val="0083645A"/>
    <w:rsid w:val="00840B0F"/>
    <w:rsid w:val="00847109"/>
    <w:rsid w:val="00847688"/>
    <w:rsid w:val="008552ED"/>
    <w:rsid w:val="008711AE"/>
    <w:rsid w:val="00872FC8"/>
    <w:rsid w:val="008801D3"/>
    <w:rsid w:val="008808BE"/>
    <w:rsid w:val="008845D0"/>
    <w:rsid w:val="008853D0"/>
    <w:rsid w:val="0089501F"/>
    <w:rsid w:val="00896050"/>
    <w:rsid w:val="008B43F2"/>
    <w:rsid w:val="008B61EA"/>
    <w:rsid w:val="008B6CFF"/>
    <w:rsid w:val="008C07F6"/>
    <w:rsid w:val="008C195C"/>
    <w:rsid w:val="008C2A85"/>
    <w:rsid w:val="008C3A51"/>
    <w:rsid w:val="008C5113"/>
    <w:rsid w:val="008E1C2A"/>
    <w:rsid w:val="008E389E"/>
    <w:rsid w:val="008F295A"/>
    <w:rsid w:val="008F3045"/>
    <w:rsid w:val="008F568B"/>
    <w:rsid w:val="0090084D"/>
    <w:rsid w:val="00910B26"/>
    <w:rsid w:val="00921257"/>
    <w:rsid w:val="00922E39"/>
    <w:rsid w:val="0092591F"/>
    <w:rsid w:val="009274B4"/>
    <w:rsid w:val="00932A78"/>
    <w:rsid w:val="00932AD0"/>
    <w:rsid w:val="00934EA2"/>
    <w:rsid w:val="009407C8"/>
    <w:rsid w:val="00944A5C"/>
    <w:rsid w:val="00952A66"/>
    <w:rsid w:val="00954BCD"/>
    <w:rsid w:val="00983EFD"/>
    <w:rsid w:val="00986953"/>
    <w:rsid w:val="00993077"/>
    <w:rsid w:val="00993187"/>
    <w:rsid w:val="009943F1"/>
    <w:rsid w:val="009B765C"/>
    <w:rsid w:val="009C228D"/>
    <w:rsid w:val="009C3FE3"/>
    <w:rsid w:val="009C56E5"/>
    <w:rsid w:val="009C5BB5"/>
    <w:rsid w:val="009D46BE"/>
    <w:rsid w:val="009E5FC8"/>
    <w:rsid w:val="009E687A"/>
    <w:rsid w:val="00A02AA7"/>
    <w:rsid w:val="00A03C5C"/>
    <w:rsid w:val="00A066F1"/>
    <w:rsid w:val="00A141AF"/>
    <w:rsid w:val="00A16431"/>
    <w:rsid w:val="00A1691E"/>
    <w:rsid w:val="00A16D29"/>
    <w:rsid w:val="00A20E5E"/>
    <w:rsid w:val="00A30305"/>
    <w:rsid w:val="00A31D2D"/>
    <w:rsid w:val="00A36B52"/>
    <w:rsid w:val="00A421F2"/>
    <w:rsid w:val="00A4600A"/>
    <w:rsid w:val="00A4641A"/>
    <w:rsid w:val="00A538A6"/>
    <w:rsid w:val="00A548D0"/>
    <w:rsid w:val="00A54C25"/>
    <w:rsid w:val="00A61035"/>
    <w:rsid w:val="00A710E7"/>
    <w:rsid w:val="00A7372E"/>
    <w:rsid w:val="00A801DE"/>
    <w:rsid w:val="00A82DCA"/>
    <w:rsid w:val="00A92C85"/>
    <w:rsid w:val="00A93B85"/>
    <w:rsid w:val="00AA0B18"/>
    <w:rsid w:val="00AA2D50"/>
    <w:rsid w:val="00AA5B46"/>
    <w:rsid w:val="00AA666F"/>
    <w:rsid w:val="00AA7704"/>
    <w:rsid w:val="00AB4927"/>
    <w:rsid w:val="00AC034F"/>
    <w:rsid w:val="00AC0658"/>
    <w:rsid w:val="00AC2BDD"/>
    <w:rsid w:val="00AD0CE3"/>
    <w:rsid w:val="00AD49F2"/>
    <w:rsid w:val="00AD7AF6"/>
    <w:rsid w:val="00B004E5"/>
    <w:rsid w:val="00B15F9D"/>
    <w:rsid w:val="00B16908"/>
    <w:rsid w:val="00B2658D"/>
    <w:rsid w:val="00B30A2D"/>
    <w:rsid w:val="00B33791"/>
    <w:rsid w:val="00B40944"/>
    <w:rsid w:val="00B41CD4"/>
    <w:rsid w:val="00B424AF"/>
    <w:rsid w:val="00B60FA2"/>
    <w:rsid w:val="00B639E9"/>
    <w:rsid w:val="00B73AB4"/>
    <w:rsid w:val="00B74DB9"/>
    <w:rsid w:val="00B817CD"/>
    <w:rsid w:val="00B911B2"/>
    <w:rsid w:val="00B9344B"/>
    <w:rsid w:val="00B951D0"/>
    <w:rsid w:val="00B95DA2"/>
    <w:rsid w:val="00BA3051"/>
    <w:rsid w:val="00BB29C8"/>
    <w:rsid w:val="00BB3A95"/>
    <w:rsid w:val="00BC0382"/>
    <w:rsid w:val="00BD62C6"/>
    <w:rsid w:val="00BD7913"/>
    <w:rsid w:val="00BE46D1"/>
    <w:rsid w:val="00C0018F"/>
    <w:rsid w:val="00C20466"/>
    <w:rsid w:val="00C214ED"/>
    <w:rsid w:val="00C21F28"/>
    <w:rsid w:val="00C234E6"/>
    <w:rsid w:val="00C2483D"/>
    <w:rsid w:val="00C25142"/>
    <w:rsid w:val="00C2516E"/>
    <w:rsid w:val="00C30E99"/>
    <w:rsid w:val="00C314AB"/>
    <w:rsid w:val="00C324A8"/>
    <w:rsid w:val="00C54517"/>
    <w:rsid w:val="00C551C1"/>
    <w:rsid w:val="00C64CD8"/>
    <w:rsid w:val="00C7777B"/>
    <w:rsid w:val="00C814FE"/>
    <w:rsid w:val="00C840D1"/>
    <w:rsid w:val="00C97C68"/>
    <w:rsid w:val="00CA1A47"/>
    <w:rsid w:val="00CC247A"/>
    <w:rsid w:val="00CC2954"/>
    <w:rsid w:val="00CC4C9F"/>
    <w:rsid w:val="00CD3F1F"/>
    <w:rsid w:val="00CD748F"/>
    <w:rsid w:val="00CE5572"/>
    <w:rsid w:val="00CE5E47"/>
    <w:rsid w:val="00CF020F"/>
    <w:rsid w:val="00CF2B5B"/>
    <w:rsid w:val="00CF4279"/>
    <w:rsid w:val="00CF790B"/>
    <w:rsid w:val="00D04E30"/>
    <w:rsid w:val="00D14CE0"/>
    <w:rsid w:val="00D17AD2"/>
    <w:rsid w:val="00D201FD"/>
    <w:rsid w:val="00D36333"/>
    <w:rsid w:val="00D45985"/>
    <w:rsid w:val="00D53033"/>
    <w:rsid w:val="00D5651D"/>
    <w:rsid w:val="00D57DC4"/>
    <w:rsid w:val="00D60225"/>
    <w:rsid w:val="00D614D1"/>
    <w:rsid w:val="00D74898"/>
    <w:rsid w:val="00D749EA"/>
    <w:rsid w:val="00D75AC3"/>
    <w:rsid w:val="00D801ED"/>
    <w:rsid w:val="00D83BF5"/>
    <w:rsid w:val="00D925C2"/>
    <w:rsid w:val="00D936BC"/>
    <w:rsid w:val="00D9621A"/>
    <w:rsid w:val="00D96530"/>
    <w:rsid w:val="00D96B4B"/>
    <w:rsid w:val="00DA2345"/>
    <w:rsid w:val="00DA453A"/>
    <w:rsid w:val="00DA7078"/>
    <w:rsid w:val="00DB2BAC"/>
    <w:rsid w:val="00DC5E7D"/>
    <w:rsid w:val="00DD08B4"/>
    <w:rsid w:val="00DD44AF"/>
    <w:rsid w:val="00DD5E49"/>
    <w:rsid w:val="00DD70DB"/>
    <w:rsid w:val="00DE2AC3"/>
    <w:rsid w:val="00DE2ECD"/>
    <w:rsid w:val="00DE434C"/>
    <w:rsid w:val="00DE5692"/>
    <w:rsid w:val="00DF051A"/>
    <w:rsid w:val="00DF289C"/>
    <w:rsid w:val="00DF6F8E"/>
    <w:rsid w:val="00DF7945"/>
    <w:rsid w:val="00DF7B5F"/>
    <w:rsid w:val="00E037E5"/>
    <w:rsid w:val="00E03C94"/>
    <w:rsid w:val="00E05DC6"/>
    <w:rsid w:val="00E07105"/>
    <w:rsid w:val="00E14F91"/>
    <w:rsid w:val="00E174C1"/>
    <w:rsid w:val="00E26226"/>
    <w:rsid w:val="00E37135"/>
    <w:rsid w:val="00E4165C"/>
    <w:rsid w:val="00E45D05"/>
    <w:rsid w:val="00E55816"/>
    <w:rsid w:val="00E55AEF"/>
    <w:rsid w:val="00E65C48"/>
    <w:rsid w:val="00E875CE"/>
    <w:rsid w:val="00E92BE6"/>
    <w:rsid w:val="00E976C1"/>
    <w:rsid w:val="00EA12E5"/>
    <w:rsid w:val="00EA1417"/>
    <w:rsid w:val="00EA2701"/>
    <w:rsid w:val="00EA4AEA"/>
    <w:rsid w:val="00EB4962"/>
    <w:rsid w:val="00EB6497"/>
    <w:rsid w:val="00ED0D11"/>
    <w:rsid w:val="00ED7AA5"/>
    <w:rsid w:val="00F02766"/>
    <w:rsid w:val="00F04067"/>
    <w:rsid w:val="00F05BD4"/>
    <w:rsid w:val="00F07AED"/>
    <w:rsid w:val="00F11A98"/>
    <w:rsid w:val="00F147D8"/>
    <w:rsid w:val="00F21A1D"/>
    <w:rsid w:val="00F260E8"/>
    <w:rsid w:val="00F32C96"/>
    <w:rsid w:val="00F3534D"/>
    <w:rsid w:val="00F44AC8"/>
    <w:rsid w:val="00F54BFE"/>
    <w:rsid w:val="00F65C19"/>
    <w:rsid w:val="00F6651A"/>
    <w:rsid w:val="00FA2DE5"/>
    <w:rsid w:val="00FA3698"/>
    <w:rsid w:val="00FB3F74"/>
    <w:rsid w:val="00FD2546"/>
    <w:rsid w:val="00FD2633"/>
    <w:rsid w:val="00FD563F"/>
    <w:rsid w:val="00FD772E"/>
    <w:rsid w:val="00FE09B7"/>
    <w:rsid w:val="00FE33D7"/>
    <w:rsid w:val="00FE3926"/>
    <w:rsid w:val="00FE3E36"/>
    <w:rsid w:val="00FE78C7"/>
    <w:rsid w:val="00FF09D7"/>
    <w:rsid w:val="00FF155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CC59400-EE19-451C-9DCA-3E9DD141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596EA8"/>
    <w:rPr>
      <w:color w:val="auto"/>
    </w:rPr>
  </w:style>
  <w:style w:type="character" w:styleId="FollowedHyperlink">
    <w:name w:val="FollowedHyperlink"/>
    <w:basedOn w:val="DefaultParagraphFont"/>
    <w:semiHidden/>
    <w:unhideWhenUsed/>
    <w:rsid w:val="0035064B"/>
    <w:rPr>
      <w:color w:val="800080" w:themeColor="followedHyperlink"/>
      <w:u w:val="single"/>
    </w:rPr>
  </w:style>
  <w:style w:type="paragraph" w:customStyle="1" w:styleId="CEOMainDocParagraph">
    <w:name w:val="CEO_MainDoc_Paragraph"/>
    <w:basedOn w:val="Normal"/>
    <w:qFormat/>
    <w:rsid w:val="004869DB"/>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921257"/>
    <w:rPr>
      <w:rFonts w:asciiTheme="minorHAnsi" w:hAnsiTheme="minorHAnsi"/>
      <w:i/>
      <w:sz w:val="24"/>
      <w:lang w:val="en-GB" w:eastAsia="en-US"/>
    </w:rPr>
  </w:style>
  <w:style w:type="paragraph" w:customStyle="1" w:styleId="CEOAnnexTable">
    <w:name w:val="CEO_Annex_Table"/>
    <w:basedOn w:val="Normal"/>
    <w:qFormat/>
    <w:rsid w:val="00D602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0338042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WTDC17-C-0085/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18-CLCWGFHRM8-C-00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WTDC17-C-00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S18-CL-C-0066/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CLCWGFHRM8-C-0002/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http://schemas.microsoft.com/office/infopath/2007/PartnerControls"/>
    <ds:schemaRef ds:uri="http://purl.org/dc/dcmitype/"/>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7A11C0F-ED71-4202-9CF6-7F4BB438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2</cp:revision>
  <cp:lastPrinted>2018-03-09T15:09:00Z</cp:lastPrinted>
  <dcterms:created xsi:type="dcterms:W3CDTF">2018-03-12T15:19:00Z</dcterms:created>
  <dcterms:modified xsi:type="dcterms:W3CDTF">2018-03-12T15:19:00Z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