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86088A">
        <w:trPr>
          <w:cantSplit/>
          <w:trHeight w:val="1134"/>
        </w:trPr>
        <w:tc>
          <w:tcPr>
            <w:tcW w:w="6804" w:type="dxa"/>
          </w:tcPr>
          <w:p w:rsidR="001E252D" w:rsidRPr="001E252D" w:rsidRDefault="00BA5AAB" w:rsidP="00A04932">
            <w:pPr>
              <w:tabs>
                <w:tab w:val="clear" w:pos="1134"/>
              </w:tabs>
              <w:spacing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1B445D">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826991">
              <w:rPr>
                <w:rFonts w:hint="eastAsia"/>
                <w:b/>
                <w:bCs/>
                <w:szCs w:val="24"/>
                <w:lang w:val="es-ES_tradnl" w:eastAsia="zh-CN"/>
              </w:rPr>
              <w:t>7</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1B445D">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1B445D">
              <w:rPr>
                <w:b/>
                <w:bCs/>
                <w:szCs w:val="24"/>
                <w:lang w:val="fr-FR" w:eastAsia="zh-CN"/>
              </w:rPr>
              <w:t>1</w:t>
            </w:r>
            <w:r w:rsidR="00BA5AAB">
              <w:rPr>
                <w:b/>
                <w:bCs/>
                <w:szCs w:val="24"/>
                <w:lang w:val="fr-FR" w:eastAsia="zh-CN"/>
              </w:rPr>
              <w:t>月</w:t>
            </w:r>
            <w:r w:rsidR="00826991">
              <w:rPr>
                <w:rFonts w:hint="eastAsia"/>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proofErr w:type="spellStart"/>
            <w:r w:rsidRPr="00926865">
              <w:rPr>
                <w:rFonts w:hint="eastAsia"/>
              </w:rPr>
              <w:t>电</w:t>
            </w:r>
            <w:r w:rsidRPr="00926865">
              <w:t>信发展局主任</w:t>
            </w:r>
            <w:proofErr w:type="spellEnd"/>
          </w:p>
        </w:tc>
      </w:tr>
      <w:tr w:rsidR="00D83BF5" w:rsidRPr="00C324A8" w:rsidTr="007F735C">
        <w:trPr>
          <w:cantSplit/>
          <w:trHeight w:val="23"/>
        </w:trPr>
        <w:tc>
          <w:tcPr>
            <w:tcW w:w="10031" w:type="dxa"/>
            <w:gridSpan w:val="2"/>
            <w:shd w:val="clear" w:color="auto" w:fill="auto"/>
            <w:vAlign w:val="center"/>
          </w:tcPr>
          <w:p w:rsidR="00D83BF5" w:rsidRDefault="00911E01" w:rsidP="00911E01">
            <w:pPr>
              <w:pStyle w:val="Title1"/>
              <w:spacing w:before="120" w:after="120"/>
              <w:rPr>
                <w:lang w:eastAsia="zh-CN"/>
              </w:rPr>
            </w:pPr>
            <w:r w:rsidRPr="00911E01">
              <w:rPr>
                <w:lang w:eastAsia="zh-CN"/>
              </w:rPr>
              <w:t>TDAG</w:t>
            </w:r>
            <w:r w:rsidRPr="00911E01">
              <w:rPr>
                <w:rFonts w:hint="eastAsia"/>
                <w:lang w:eastAsia="zh-CN"/>
              </w:rPr>
              <w:t>的工作范围和工作方法</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Default="00911E01" w:rsidP="00911E01">
            <w:pPr>
              <w:ind w:firstLineChars="200" w:firstLine="480"/>
              <w:rPr>
                <w:rFonts w:cstheme="minorHAnsi"/>
                <w:lang w:eastAsia="zh-CN"/>
              </w:rPr>
            </w:pPr>
            <w:r>
              <w:rPr>
                <w:rFonts w:hint="eastAsia"/>
                <w:szCs w:val="24"/>
                <w:lang w:eastAsia="zh-CN"/>
              </w:rPr>
              <w:t>电</w:t>
            </w:r>
            <w:r>
              <w:rPr>
                <w:szCs w:val="24"/>
                <w:lang w:eastAsia="zh-CN"/>
              </w:rPr>
              <w:t>信发展顾问组（</w:t>
            </w:r>
            <w:r>
              <w:rPr>
                <w:rFonts w:hint="eastAsia"/>
                <w:szCs w:val="24"/>
                <w:lang w:eastAsia="zh-CN"/>
              </w:rPr>
              <w:t>TDAG</w:t>
            </w:r>
            <w:r>
              <w:rPr>
                <w:szCs w:val="24"/>
                <w:lang w:eastAsia="zh-CN"/>
              </w:rPr>
              <w:t>）</w:t>
            </w:r>
            <w:r>
              <w:rPr>
                <w:rFonts w:hint="eastAsia"/>
                <w:szCs w:val="24"/>
                <w:lang w:eastAsia="zh-CN"/>
              </w:rPr>
              <w:t>的职责</w:t>
            </w:r>
            <w:r>
              <w:rPr>
                <w:szCs w:val="24"/>
                <w:lang w:eastAsia="zh-CN"/>
              </w:rPr>
              <w:t>规定在</w:t>
            </w:r>
            <w:r>
              <w:rPr>
                <w:rFonts w:hint="eastAsia"/>
                <w:szCs w:val="24"/>
                <w:lang w:eastAsia="zh-CN"/>
              </w:rPr>
              <w:t>国</w:t>
            </w:r>
            <w:r>
              <w:rPr>
                <w:szCs w:val="24"/>
                <w:lang w:eastAsia="zh-CN"/>
              </w:rPr>
              <w:t>际电联《</w:t>
            </w:r>
            <w:r>
              <w:rPr>
                <w:rFonts w:hint="eastAsia"/>
                <w:szCs w:val="24"/>
                <w:lang w:eastAsia="zh-CN"/>
              </w:rPr>
              <w:t>公</w:t>
            </w:r>
            <w:r>
              <w:rPr>
                <w:szCs w:val="24"/>
                <w:lang w:eastAsia="zh-CN"/>
              </w:rPr>
              <w:t>约》</w:t>
            </w:r>
            <w:r>
              <w:rPr>
                <w:rFonts w:hint="eastAsia"/>
                <w:szCs w:val="24"/>
                <w:lang w:eastAsia="zh-CN"/>
              </w:rPr>
              <w:t>中</w:t>
            </w:r>
            <w:r>
              <w:rPr>
                <w:szCs w:val="24"/>
                <w:lang w:eastAsia="zh-CN"/>
              </w:rPr>
              <w:t>。</w:t>
            </w:r>
            <w:r>
              <w:rPr>
                <w:szCs w:val="24"/>
                <w:lang w:eastAsia="zh-CN"/>
              </w:rPr>
              <w:t>TDAG</w:t>
            </w:r>
            <w:r>
              <w:rPr>
                <w:rFonts w:hint="eastAsia"/>
                <w:szCs w:val="24"/>
                <w:lang w:eastAsia="zh-CN"/>
              </w:rPr>
              <w:t>的</w:t>
            </w:r>
            <w:r>
              <w:rPr>
                <w:szCs w:val="24"/>
                <w:lang w:eastAsia="zh-CN"/>
              </w:rPr>
              <w:t>工作范围见</w:t>
            </w:r>
            <w:r>
              <w:rPr>
                <w:rFonts w:hint="eastAsia"/>
                <w:szCs w:val="24"/>
                <w:lang w:eastAsia="zh-CN"/>
              </w:rPr>
              <w:t>题</w:t>
            </w:r>
            <w:r>
              <w:rPr>
                <w:szCs w:val="24"/>
                <w:lang w:eastAsia="zh-CN"/>
              </w:rPr>
              <w:t>为</w:t>
            </w:r>
            <w:bookmarkStart w:id="9" w:name="_Toc403138164"/>
            <w:r>
              <w:rPr>
                <w:rFonts w:hint="eastAsia"/>
                <w:szCs w:val="24"/>
                <w:lang w:eastAsia="zh-CN"/>
              </w:rPr>
              <w:t>“</w:t>
            </w:r>
            <w:r w:rsidRPr="004F0D73">
              <w:rPr>
                <w:rFonts w:cstheme="minorHAnsi"/>
                <w:lang w:eastAsia="zh-CN"/>
              </w:rPr>
              <w:t>授权电信发展顾问组在世界电信发展大会之间采取行动</w:t>
            </w:r>
            <w:bookmarkEnd w:id="9"/>
            <w:r>
              <w:rPr>
                <w:rFonts w:cstheme="minorHAnsi" w:hint="eastAsia"/>
                <w:lang w:eastAsia="zh-CN"/>
              </w:rPr>
              <w:t>”的</w:t>
            </w:r>
            <w:r>
              <w:rPr>
                <w:szCs w:val="24"/>
                <w:lang w:eastAsia="zh-CN"/>
              </w:rPr>
              <w:t>第</w:t>
            </w:r>
            <w:r>
              <w:rPr>
                <w:rFonts w:hint="eastAsia"/>
                <w:szCs w:val="24"/>
                <w:lang w:eastAsia="zh-CN"/>
              </w:rPr>
              <w:t>24</w:t>
            </w:r>
            <w:r>
              <w:rPr>
                <w:rFonts w:hint="eastAsia"/>
                <w:szCs w:val="24"/>
                <w:lang w:eastAsia="zh-CN"/>
              </w:rPr>
              <w:t>号决议</w:t>
            </w:r>
            <w:r>
              <w:rPr>
                <w:szCs w:val="24"/>
                <w:lang w:eastAsia="zh-CN"/>
              </w:rPr>
              <w:t>（</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w:t>
            </w:r>
            <w:r>
              <w:rPr>
                <w:szCs w:val="24"/>
                <w:lang w:eastAsia="zh-CN"/>
              </w:rPr>
              <w:t>）</w:t>
            </w:r>
            <w:r>
              <w:rPr>
                <w:rFonts w:cstheme="minorHAnsi" w:hint="eastAsia"/>
                <w:lang w:eastAsia="zh-CN"/>
              </w:rPr>
              <w:t>。</w:t>
            </w:r>
          </w:p>
          <w:p w:rsidR="00911E01" w:rsidRPr="00911E01" w:rsidRDefault="00911E01" w:rsidP="00911E01">
            <w:pPr>
              <w:ind w:firstLineChars="200" w:firstLine="480"/>
              <w:rPr>
                <w:b/>
                <w:bCs/>
                <w:lang w:eastAsia="zh-CN"/>
              </w:rPr>
            </w:pPr>
            <w:r>
              <w:rPr>
                <w:rFonts w:cstheme="minorHAnsi" w:hint="eastAsia"/>
                <w:lang w:eastAsia="zh-CN"/>
              </w:rPr>
              <w:t>该</w:t>
            </w:r>
            <w:r>
              <w:rPr>
                <w:rFonts w:cstheme="minorHAnsi"/>
                <w:lang w:eastAsia="zh-CN"/>
              </w:rPr>
              <w:t>文件总结了</w:t>
            </w:r>
            <w:r>
              <w:rPr>
                <w:rFonts w:cstheme="minorHAnsi"/>
                <w:lang w:eastAsia="zh-CN"/>
              </w:rPr>
              <w:t>TDAG</w:t>
            </w:r>
            <w:r>
              <w:rPr>
                <w:rFonts w:cstheme="minorHAnsi"/>
                <w:lang w:eastAsia="zh-CN"/>
              </w:rPr>
              <w:t>的工作范围和工作方法。</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BA5AAB" w:rsidRPr="00054016" w:rsidRDefault="00911E01" w:rsidP="001B445D">
            <w:pPr>
              <w:ind w:firstLineChars="200" w:firstLine="480"/>
              <w:rPr>
                <w:b/>
                <w:bCs/>
                <w:lang w:eastAsia="zh-CN"/>
              </w:rPr>
            </w:pPr>
            <w:r>
              <w:rPr>
                <w:rFonts w:hint="eastAsia"/>
                <w:szCs w:val="24"/>
                <w:lang w:val="en-US" w:eastAsia="zh-CN"/>
              </w:rPr>
              <w:t>请</w:t>
            </w:r>
            <w:r w:rsidRPr="00A550B6">
              <w:rPr>
                <w:szCs w:val="24"/>
                <w:lang w:val="en-US" w:eastAsia="zh-CN"/>
              </w:rPr>
              <w:t>TDAG</w:t>
            </w:r>
            <w:r>
              <w:rPr>
                <w:rFonts w:hint="eastAsia"/>
                <w:szCs w:val="24"/>
                <w:lang w:val="en-US" w:eastAsia="zh-CN"/>
              </w:rPr>
              <w:t>注意</w:t>
            </w:r>
            <w:r>
              <w:rPr>
                <w:szCs w:val="24"/>
                <w:lang w:val="en-US" w:eastAsia="zh-CN"/>
              </w:rPr>
              <w:t>本文件并酌情提供指导。</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1B445D" w:rsidRPr="00D9621A" w:rsidRDefault="00911E01" w:rsidP="002721E2">
            <w:pPr>
              <w:spacing w:after="120"/>
              <w:ind w:firstLineChars="200" w:firstLine="480"/>
              <w:rPr>
                <w:lang w:eastAsia="zh-CN"/>
              </w:rPr>
            </w:pPr>
            <w:bookmarkStart w:id="10" w:name="lt_pId025"/>
            <w:r>
              <w:rPr>
                <w:rFonts w:hint="eastAsia"/>
                <w:szCs w:val="24"/>
                <w:lang w:eastAsia="zh-CN"/>
              </w:rPr>
              <w:t>国</w:t>
            </w:r>
            <w:r>
              <w:rPr>
                <w:szCs w:val="24"/>
                <w:lang w:eastAsia="zh-CN"/>
              </w:rPr>
              <w:t>际电联</w:t>
            </w:r>
            <w:r w:rsidR="002721E2">
              <w:rPr>
                <w:rFonts w:hint="eastAsia"/>
                <w:szCs w:val="24"/>
                <w:lang w:eastAsia="zh-CN"/>
              </w:rPr>
              <w:t>《</w:t>
            </w:r>
            <w:r>
              <w:rPr>
                <w:szCs w:val="24"/>
                <w:lang w:eastAsia="zh-CN"/>
              </w:rPr>
              <w:t>公约</w:t>
            </w:r>
            <w:r w:rsidR="002721E2">
              <w:rPr>
                <w:rFonts w:hint="eastAsia"/>
                <w:szCs w:val="24"/>
                <w:lang w:eastAsia="zh-CN"/>
              </w:rPr>
              <w:t>》</w:t>
            </w:r>
            <w:r>
              <w:rPr>
                <w:szCs w:val="24"/>
                <w:lang w:eastAsia="zh-CN"/>
              </w:rPr>
              <w:t>第</w:t>
            </w:r>
            <w:r>
              <w:rPr>
                <w:szCs w:val="24"/>
                <w:lang w:eastAsia="zh-CN"/>
              </w:rPr>
              <w:t>17A</w:t>
            </w:r>
            <w:r>
              <w:rPr>
                <w:rFonts w:hint="eastAsia"/>
                <w:szCs w:val="24"/>
                <w:lang w:eastAsia="zh-CN"/>
              </w:rPr>
              <w:t>、</w:t>
            </w:r>
            <w:r>
              <w:rPr>
                <w:szCs w:val="24"/>
                <w:lang w:eastAsia="zh-CN"/>
              </w:rPr>
              <w:t>213A</w:t>
            </w:r>
            <w:r>
              <w:rPr>
                <w:rFonts w:hint="eastAsia"/>
                <w:szCs w:val="24"/>
                <w:lang w:eastAsia="zh-CN"/>
              </w:rPr>
              <w:t>、</w:t>
            </w:r>
            <w:r w:rsidRPr="007A7AFB">
              <w:rPr>
                <w:szCs w:val="24"/>
                <w:lang w:eastAsia="zh-CN"/>
              </w:rPr>
              <w:t>215C</w:t>
            </w:r>
            <w:r>
              <w:rPr>
                <w:rFonts w:hint="eastAsia"/>
                <w:szCs w:val="24"/>
                <w:lang w:eastAsia="zh-CN"/>
              </w:rPr>
              <w:t>和</w:t>
            </w:r>
            <w:r w:rsidRPr="007A7AFB">
              <w:rPr>
                <w:szCs w:val="24"/>
                <w:lang w:eastAsia="zh-CN"/>
              </w:rPr>
              <w:t>215JA</w:t>
            </w:r>
            <w:r>
              <w:rPr>
                <w:rFonts w:hint="eastAsia"/>
                <w:szCs w:val="24"/>
                <w:lang w:eastAsia="zh-CN"/>
              </w:rPr>
              <w:t>款</w:t>
            </w:r>
            <w:r>
              <w:rPr>
                <w:szCs w:val="24"/>
                <w:lang w:eastAsia="zh-CN"/>
              </w:rPr>
              <w:t>、</w:t>
            </w:r>
            <w:r w:rsidRPr="007A7AFB">
              <w:rPr>
                <w:szCs w:val="24"/>
                <w:lang w:eastAsia="zh-CN"/>
              </w:rPr>
              <w:t>WTDC</w:t>
            </w:r>
            <w:r>
              <w:rPr>
                <w:rFonts w:hint="eastAsia"/>
                <w:szCs w:val="24"/>
                <w:lang w:eastAsia="zh-CN"/>
              </w:rPr>
              <w:t>第</w:t>
            </w:r>
            <w:r>
              <w:rPr>
                <w:rFonts w:hint="eastAsia"/>
                <w:szCs w:val="24"/>
                <w:lang w:eastAsia="zh-CN"/>
              </w:rPr>
              <w:t>24</w:t>
            </w:r>
            <w:r>
              <w:rPr>
                <w:rFonts w:hint="eastAsia"/>
                <w:szCs w:val="24"/>
                <w:lang w:eastAsia="zh-CN"/>
              </w:rPr>
              <w:t>和</w:t>
            </w:r>
            <w:r>
              <w:rPr>
                <w:rFonts w:hint="eastAsia"/>
                <w:szCs w:val="24"/>
                <w:lang w:eastAsia="zh-CN"/>
              </w:rPr>
              <w:t>61</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w:t>
            </w:r>
            <w:r>
              <w:rPr>
                <w:szCs w:val="24"/>
                <w:lang w:val="en-US" w:eastAsia="zh-CN"/>
              </w:rPr>
              <w:t>和</w:t>
            </w:r>
            <w:r w:rsidRPr="007A7AFB">
              <w:rPr>
                <w:szCs w:val="24"/>
                <w:lang w:eastAsia="zh-CN"/>
              </w:rPr>
              <w:t>WTDC</w:t>
            </w:r>
            <w:r>
              <w:rPr>
                <w:rFonts w:hint="eastAsia"/>
                <w:szCs w:val="24"/>
                <w:lang w:eastAsia="zh-CN"/>
              </w:rPr>
              <w:t>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2017</w:t>
            </w:r>
            <w:r>
              <w:rPr>
                <w:rFonts w:hint="eastAsia"/>
                <w:szCs w:val="24"/>
                <w:lang w:eastAsia="zh-CN"/>
              </w:rPr>
              <w:t>年</w:t>
            </w:r>
            <w:r>
              <w:rPr>
                <w:szCs w:val="24"/>
                <w:lang w:eastAsia="zh-CN"/>
              </w:rPr>
              <w:t>，布宜诺斯艾利斯，修订</w:t>
            </w:r>
            <w:r>
              <w:rPr>
                <w:rFonts w:hint="eastAsia"/>
                <w:szCs w:val="24"/>
                <w:lang w:eastAsia="zh-CN"/>
              </w:rPr>
              <w:t>版</w:t>
            </w:r>
            <w:r>
              <w:rPr>
                <w:szCs w:val="24"/>
                <w:lang w:eastAsia="zh-CN"/>
              </w:rPr>
              <w:t>）以及</w:t>
            </w:r>
            <w:r>
              <w:rPr>
                <w:rFonts w:hint="eastAsia"/>
                <w:szCs w:val="24"/>
                <w:lang w:eastAsia="zh-CN"/>
              </w:rPr>
              <w:t>《</w:t>
            </w:r>
            <w:r>
              <w:rPr>
                <w:szCs w:val="24"/>
                <w:lang w:eastAsia="zh-CN"/>
              </w:rPr>
              <w:t>布宜诺斯艾利斯</w:t>
            </w:r>
            <w:r>
              <w:rPr>
                <w:rFonts w:hint="eastAsia"/>
                <w:szCs w:val="24"/>
                <w:lang w:eastAsia="zh-CN"/>
              </w:rPr>
              <w:t>行动</w:t>
            </w:r>
            <w:r>
              <w:rPr>
                <w:szCs w:val="24"/>
                <w:lang w:eastAsia="zh-CN"/>
              </w:rPr>
              <w:t>计划》。</w:t>
            </w:r>
            <w:bookmarkEnd w:id="10"/>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1B445D" w:rsidRDefault="001B445D" w:rsidP="00911E01">
      <w:pPr>
        <w:pStyle w:val="Heading1"/>
        <w:rPr>
          <w:szCs w:val="28"/>
          <w:lang w:eastAsia="zh-CN"/>
        </w:rPr>
      </w:pPr>
      <w:r>
        <w:rPr>
          <w:szCs w:val="28"/>
          <w:lang w:eastAsia="zh-CN"/>
        </w:rPr>
        <w:t>1</w:t>
      </w:r>
      <w:r>
        <w:rPr>
          <w:szCs w:val="28"/>
          <w:lang w:eastAsia="zh-CN"/>
        </w:rPr>
        <w:tab/>
      </w:r>
      <w:r w:rsidR="00911E01">
        <w:rPr>
          <w:rFonts w:hint="eastAsia"/>
          <w:szCs w:val="28"/>
          <w:lang w:eastAsia="zh-CN"/>
        </w:rPr>
        <w:t>引</w:t>
      </w:r>
      <w:r w:rsidR="00911E01">
        <w:rPr>
          <w:szCs w:val="28"/>
          <w:lang w:eastAsia="zh-CN"/>
        </w:rPr>
        <w:t>言</w:t>
      </w:r>
    </w:p>
    <w:p w:rsidR="00911E01" w:rsidRDefault="00911E01" w:rsidP="00FA3263">
      <w:pPr>
        <w:rPr>
          <w:szCs w:val="24"/>
          <w:lang w:val="en-US" w:eastAsia="zh-CN"/>
        </w:rPr>
      </w:pPr>
      <w:r>
        <w:rPr>
          <w:lang w:eastAsia="zh-CN"/>
        </w:rPr>
        <w:t>1.1</w:t>
      </w:r>
      <w:r>
        <w:rPr>
          <w:lang w:eastAsia="zh-CN"/>
        </w:rPr>
        <w:tab/>
      </w:r>
      <w:r w:rsidR="00FA3263">
        <w:rPr>
          <w:rFonts w:hint="eastAsia"/>
          <w:lang w:eastAsia="zh-CN"/>
        </w:rPr>
        <w:t>TDAG</w:t>
      </w:r>
      <w:r w:rsidR="00FA3263">
        <w:rPr>
          <w:lang w:eastAsia="zh-CN"/>
        </w:rPr>
        <w:t>向成员国、</w:t>
      </w:r>
      <w:r w:rsidR="00FA3263">
        <w:rPr>
          <w:rFonts w:hint="eastAsia"/>
          <w:lang w:eastAsia="zh-CN"/>
        </w:rPr>
        <w:t>ITU-D</w:t>
      </w:r>
      <w:r w:rsidR="00FA3263">
        <w:rPr>
          <w:rFonts w:hint="eastAsia"/>
          <w:lang w:val="en-US" w:eastAsia="zh-CN"/>
        </w:rPr>
        <w:t>部门成员</w:t>
      </w:r>
      <w:r w:rsidR="00FA3263">
        <w:rPr>
          <w:lang w:val="en-US" w:eastAsia="zh-CN"/>
        </w:rPr>
        <w:t>代表以及各研究组和其它各组正副主席开放。</w:t>
      </w:r>
      <w:r w:rsidR="00FA3263">
        <w:rPr>
          <w:lang w:val="en-US" w:eastAsia="zh-CN"/>
        </w:rPr>
        <w:t>TDAG</w:t>
      </w:r>
      <w:r w:rsidR="00FA3263">
        <w:rPr>
          <w:rFonts w:hint="eastAsia"/>
          <w:lang w:val="en-US" w:eastAsia="zh-CN"/>
        </w:rPr>
        <w:t>通过</w:t>
      </w:r>
      <w:r w:rsidR="00FA3263">
        <w:rPr>
          <w:lang w:val="en-US" w:eastAsia="zh-CN"/>
        </w:rPr>
        <w:t>电信发展局（</w:t>
      </w:r>
      <w:r w:rsidR="00FA3263">
        <w:rPr>
          <w:lang w:val="en-US" w:eastAsia="zh-CN"/>
        </w:rPr>
        <w:t>BDT</w:t>
      </w:r>
      <w:r w:rsidR="00FA3263">
        <w:rPr>
          <w:lang w:val="en-US" w:eastAsia="zh-CN"/>
        </w:rPr>
        <w:t>）主任</w:t>
      </w:r>
      <w:r w:rsidR="00FA3263">
        <w:rPr>
          <w:rFonts w:hint="eastAsia"/>
          <w:lang w:val="en-US" w:eastAsia="zh-CN"/>
        </w:rPr>
        <w:t>开展</w:t>
      </w:r>
      <w:r w:rsidR="00FA3263">
        <w:rPr>
          <w:lang w:val="en-US" w:eastAsia="zh-CN"/>
        </w:rPr>
        <w:t>工作。学术</w:t>
      </w:r>
      <w:r w:rsidR="00FA3263">
        <w:rPr>
          <w:rFonts w:hint="eastAsia"/>
          <w:lang w:val="en-US" w:eastAsia="zh-CN"/>
        </w:rPr>
        <w:t>界</w:t>
      </w:r>
      <w:r w:rsidR="00FA3263">
        <w:rPr>
          <w:lang w:val="en-US" w:eastAsia="zh-CN"/>
        </w:rPr>
        <w:t>可根据</w:t>
      </w:r>
      <w:r w:rsidR="00FA3263">
        <w:rPr>
          <w:rFonts w:hint="eastAsia"/>
          <w:lang w:val="en-US" w:eastAsia="zh-CN"/>
        </w:rPr>
        <w:t>全</w:t>
      </w:r>
      <w:r w:rsidR="00FA3263">
        <w:rPr>
          <w:lang w:val="en-US" w:eastAsia="zh-CN"/>
        </w:rPr>
        <w:t>权代表大会第</w:t>
      </w:r>
      <w:r w:rsidR="00FA3263">
        <w:rPr>
          <w:rFonts w:hint="eastAsia"/>
          <w:lang w:val="en-US" w:eastAsia="zh-CN"/>
        </w:rPr>
        <w:t>169</w:t>
      </w:r>
      <w:r w:rsidR="00FA3263">
        <w:rPr>
          <w:rFonts w:hint="eastAsia"/>
          <w:lang w:val="en-US" w:eastAsia="zh-CN"/>
        </w:rPr>
        <w:t>号</w:t>
      </w:r>
      <w:r w:rsidR="00FA3263">
        <w:rPr>
          <w:lang w:val="en-US" w:eastAsia="zh-CN"/>
        </w:rPr>
        <w:t>决议（</w:t>
      </w:r>
      <w:r w:rsidR="00FA3263">
        <w:rPr>
          <w:rFonts w:hint="eastAsia"/>
          <w:szCs w:val="24"/>
          <w:lang w:eastAsia="zh-CN"/>
        </w:rPr>
        <w:t>2014</w:t>
      </w:r>
      <w:r w:rsidR="00FA3263">
        <w:rPr>
          <w:rFonts w:hint="eastAsia"/>
          <w:szCs w:val="24"/>
          <w:lang w:eastAsia="zh-CN"/>
        </w:rPr>
        <w:t>年</w:t>
      </w:r>
      <w:r w:rsidR="00FA3263">
        <w:rPr>
          <w:szCs w:val="24"/>
          <w:lang w:eastAsia="zh-CN"/>
        </w:rPr>
        <w:t>，</w:t>
      </w:r>
      <w:r w:rsidR="00FA3263">
        <w:rPr>
          <w:rFonts w:hint="eastAsia"/>
          <w:szCs w:val="24"/>
          <w:lang w:eastAsia="zh-CN"/>
        </w:rPr>
        <w:t>釜山</w:t>
      </w:r>
      <w:r w:rsidR="00FA3263">
        <w:rPr>
          <w:rFonts w:hint="eastAsia"/>
          <w:szCs w:val="24"/>
          <w:lang w:val="en-US" w:eastAsia="zh-CN"/>
        </w:rPr>
        <w:t>，修订版）参加</w:t>
      </w:r>
      <w:r w:rsidR="00FA3263">
        <w:rPr>
          <w:szCs w:val="24"/>
          <w:lang w:val="en-US" w:eastAsia="zh-CN"/>
        </w:rPr>
        <w:t>会议。</w:t>
      </w:r>
      <w:r w:rsidR="00FA3263" w:rsidRPr="00FA3263">
        <w:rPr>
          <w:rFonts w:hint="eastAsia"/>
          <w:szCs w:val="24"/>
          <w:lang w:val="en-US" w:eastAsia="zh-CN"/>
        </w:rPr>
        <w:t>主任</w:t>
      </w:r>
      <w:r w:rsidR="002721E2">
        <w:rPr>
          <w:rFonts w:hint="eastAsia"/>
          <w:szCs w:val="24"/>
          <w:lang w:val="en-US" w:eastAsia="zh-CN"/>
        </w:rPr>
        <w:t>亦</w:t>
      </w:r>
      <w:r w:rsidR="00FA3263" w:rsidRPr="00FA3263">
        <w:rPr>
          <w:rFonts w:hint="eastAsia"/>
          <w:szCs w:val="24"/>
          <w:lang w:val="en-US" w:eastAsia="zh-CN"/>
        </w:rPr>
        <w:t>可邀请双边合作与发展援助机构以及多边发展机构的代表出席</w:t>
      </w:r>
      <w:r w:rsidR="002721E2">
        <w:rPr>
          <w:rFonts w:hint="eastAsia"/>
          <w:szCs w:val="24"/>
          <w:lang w:val="en-US" w:eastAsia="zh-CN"/>
        </w:rPr>
        <w:t>TDAG</w:t>
      </w:r>
      <w:r w:rsidR="002721E2">
        <w:rPr>
          <w:szCs w:val="24"/>
          <w:lang w:val="en-US" w:eastAsia="zh-CN"/>
        </w:rPr>
        <w:t>的</w:t>
      </w:r>
      <w:r w:rsidR="00FA3263" w:rsidRPr="00FA3263">
        <w:rPr>
          <w:rFonts w:hint="eastAsia"/>
          <w:szCs w:val="24"/>
          <w:lang w:val="en-US" w:eastAsia="zh-CN"/>
        </w:rPr>
        <w:t>会议。</w:t>
      </w:r>
    </w:p>
    <w:p w:rsidR="00FA3263" w:rsidRPr="00FA3263" w:rsidRDefault="00FA3263" w:rsidP="002721E2">
      <w:pPr>
        <w:rPr>
          <w:szCs w:val="24"/>
          <w:lang w:val="en-US" w:eastAsia="zh-CN"/>
        </w:rPr>
      </w:pPr>
      <w:r>
        <w:rPr>
          <w:szCs w:val="24"/>
          <w:lang w:val="en-US" w:eastAsia="zh-CN"/>
        </w:rPr>
        <w:t>1.2</w:t>
      </w:r>
      <w:r>
        <w:rPr>
          <w:szCs w:val="24"/>
          <w:lang w:val="en-US" w:eastAsia="zh-CN"/>
        </w:rPr>
        <w:tab/>
        <w:t>2017</w:t>
      </w:r>
      <w:r>
        <w:rPr>
          <w:rFonts w:hint="eastAsia"/>
          <w:szCs w:val="24"/>
          <w:lang w:val="en-US" w:eastAsia="zh-CN"/>
        </w:rPr>
        <w:t>年</w:t>
      </w:r>
      <w:r>
        <w:rPr>
          <w:szCs w:val="24"/>
          <w:lang w:val="en-US" w:eastAsia="zh-CN"/>
        </w:rPr>
        <w:t>世界电信发展大会（</w:t>
      </w:r>
      <w:r w:rsidRPr="0057053E">
        <w:rPr>
          <w:szCs w:val="24"/>
          <w:lang w:eastAsia="zh-CN"/>
        </w:rPr>
        <w:t>WTDC-17</w:t>
      </w:r>
      <w:r>
        <w:rPr>
          <w:rFonts w:hint="eastAsia"/>
          <w:szCs w:val="24"/>
          <w:lang w:eastAsia="zh-CN"/>
        </w:rPr>
        <w:t>）</w:t>
      </w:r>
      <w:r>
        <w:rPr>
          <w:szCs w:val="24"/>
          <w:lang w:eastAsia="zh-CN"/>
        </w:rPr>
        <w:t>指定了由</w:t>
      </w:r>
      <w:r>
        <w:rPr>
          <w:rFonts w:hint="eastAsia"/>
          <w:szCs w:val="24"/>
          <w:lang w:eastAsia="zh-CN"/>
        </w:rPr>
        <w:t>T</w:t>
      </w:r>
      <w:r w:rsidRPr="0057053E">
        <w:rPr>
          <w:szCs w:val="24"/>
          <w:lang w:eastAsia="zh-CN"/>
        </w:rPr>
        <w:t>DAG</w:t>
      </w:r>
      <w:r w:rsidR="002721E2">
        <w:rPr>
          <w:rFonts w:hint="eastAsia"/>
          <w:szCs w:val="24"/>
          <w:lang w:eastAsia="zh-CN"/>
        </w:rPr>
        <w:t>正副</w:t>
      </w:r>
      <w:r>
        <w:rPr>
          <w:rFonts w:hint="eastAsia"/>
          <w:szCs w:val="24"/>
          <w:lang w:eastAsia="zh-CN"/>
        </w:rPr>
        <w:t>主席</w:t>
      </w:r>
      <w:r>
        <w:rPr>
          <w:szCs w:val="24"/>
          <w:lang w:eastAsia="zh-CN"/>
        </w:rPr>
        <w:t>组成的</w:t>
      </w:r>
      <w:r w:rsidRPr="0057053E">
        <w:rPr>
          <w:szCs w:val="24"/>
          <w:lang w:eastAsia="zh-CN"/>
        </w:rPr>
        <w:t>2018-2021</w:t>
      </w:r>
      <w:r>
        <w:rPr>
          <w:rFonts w:hint="eastAsia"/>
          <w:szCs w:val="24"/>
          <w:lang w:eastAsia="zh-CN"/>
        </w:rPr>
        <w:t>年</w:t>
      </w:r>
      <w:r>
        <w:rPr>
          <w:szCs w:val="24"/>
          <w:lang w:eastAsia="zh-CN"/>
        </w:rPr>
        <w:t>TDAG</w:t>
      </w:r>
      <w:r>
        <w:rPr>
          <w:szCs w:val="24"/>
          <w:lang w:eastAsia="zh-CN"/>
        </w:rPr>
        <w:t>领导班子。</w:t>
      </w:r>
      <w:r w:rsidRPr="004F0D73">
        <w:rPr>
          <w:rFonts w:cstheme="minorHAnsi"/>
          <w:lang w:eastAsia="zh-CN"/>
        </w:rPr>
        <w:t>在任命正副主席时，着重考虑</w:t>
      </w:r>
      <w:r w:rsidR="002721E2">
        <w:rPr>
          <w:rFonts w:cstheme="minorHAnsi" w:hint="eastAsia"/>
          <w:lang w:eastAsia="zh-CN"/>
        </w:rPr>
        <w:t>到</w:t>
      </w:r>
      <w:r w:rsidRPr="004F0D73">
        <w:rPr>
          <w:rFonts w:cstheme="minorHAnsi"/>
          <w:lang w:eastAsia="zh-CN"/>
        </w:rPr>
        <w:t>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r w:rsidRPr="007A7AFB">
        <w:rPr>
          <w:szCs w:val="24"/>
          <w:lang w:eastAsia="zh-CN"/>
        </w:rPr>
        <w:t>ITU</w:t>
      </w:r>
      <w:r w:rsidRPr="007A7AFB">
        <w:rPr>
          <w:szCs w:val="24"/>
          <w:lang w:eastAsia="zh-CN"/>
        </w:rPr>
        <w:noBreakHyphen/>
        <w:t>D</w:t>
      </w:r>
      <w:r>
        <w:rPr>
          <w:rFonts w:hint="eastAsia"/>
          <w:szCs w:val="24"/>
          <w:lang w:eastAsia="zh-CN"/>
        </w:rPr>
        <w:t>各</w:t>
      </w:r>
      <w:r>
        <w:rPr>
          <w:szCs w:val="24"/>
          <w:lang w:eastAsia="zh-CN"/>
        </w:rPr>
        <w:t>研究</w:t>
      </w:r>
      <w:r>
        <w:rPr>
          <w:rFonts w:hint="eastAsia"/>
          <w:szCs w:val="24"/>
          <w:lang w:eastAsia="zh-CN"/>
        </w:rPr>
        <w:t>组</w:t>
      </w:r>
      <w:r>
        <w:rPr>
          <w:szCs w:val="24"/>
          <w:lang w:eastAsia="zh-CN"/>
        </w:rPr>
        <w:t>主席亦是</w:t>
      </w:r>
      <w:r>
        <w:rPr>
          <w:szCs w:val="24"/>
          <w:lang w:eastAsia="zh-CN"/>
        </w:rPr>
        <w:t>TDAG</w:t>
      </w:r>
      <w:r>
        <w:rPr>
          <w:szCs w:val="24"/>
          <w:lang w:eastAsia="zh-CN"/>
        </w:rPr>
        <w:t>管理班子成员。</w:t>
      </w:r>
    </w:p>
    <w:p w:rsidR="001B445D" w:rsidRDefault="001B445D" w:rsidP="00FA3263">
      <w:pPr>
        <w:pStyle w:val="Heading1"/>
        <w:rPr>
          <w:rFonts w:cs="Calibri"/>
          <w:lang w:eastAsia="zh-CN"/>
        </w:rPr>
      </w:pPr>
      <w:r>
        <w:rPr>
          <w:rFonts w:hint="eastAsia"/>
          <w:szCs w:val="28"/>
          <w:lang w:eastAsia="zh-CN"/>
        </w:rPr>
        <w:lastRenderedPageBreak/>
        <w:t>2</w:t>
      </w:r>
      <w:r>
        <w:rPr>
          <w:rFonts w:hint="eastAsia"/>
          <w:szCs w:val="28"/>
          <w:lang w:eastAsia="zh-CN"/>
        </w:rPr>
        <w:tab/>
      </w:r>
      <w:r w:rsidR="00FA3263">
        <w:rPr>
          <w:rFonts w:cs="Calibri" w:hint="eastAsia"/>
          <w:lang w:eastAsia="zh-CN"/>
        </w:rPr>
        <w:t>TDAG</w:t>
      </w:r>
      <w:r w:rsidR="00FA3263">
        <w:rPr>
          <w:rFonts w:cs="Calibri"/>
          <w:lang w:eastAsia="zh-CN"/>
        </w:rPr>
        <w:t>的范围</w:t>
      </w:r>
    </w:p>
    <w:p w:rsidR="00FA3263" w:rsidRDefault="00FA3263" w:rsidP="00EC24D5">
      <w:pPr>
        <w:rPr>
          <w:szCs w:val="24"/>
          <w:lang w:eastAsia="zh-CN"/>
        </w:rPr>
      </w:pPr>
      <w:r>
        <w:rPr>
          <w:szCs w:val="24"/>
          <w:lang w:val="en-US" w:eastAsia="zh-CN"/>
        </w:rPr>
        <w:t>2.1</w:t>
      </w:r>
      <w:r>
        <w:rPr>
          <w:szCs w:val="24"/>
          <w:lang w:val="en-US" w:eastAsia="zh-CN"/>
        </w:rPr>
        <w:tab/>
      </w:r>
      <w:r>
        <w:rPr>
          <w:rFonts w:hint="eastAsia"/>
          <w:szCs w:val="24"/>
          <w:lang w:val="en-US" w:eastAsia="zh-CN"/>
        </w:rPr>
        <w:t>根据</w:t>
      </w:r>
      <w:r>
        <w:rPr>
          <w:szCs w:val="24"/>
          <w:lang w:val="en-US" w:eastAsia="zh-CN"/>
        </w:rPr>
        <w:t>国际电联</w:t>
      </w:r>
      <w:r w:rsidR="00EC24D5">
        <w:rPr>
          <w:rFonts w:hint="eastAsia"/>
          <w:szCs w:val="24"/>
          <w:lang w:val="en-US" w:eastAsia="zh-CN"/>
        </w:rPr>
        <w:t>《</w:t>
      </w:r>
      <w:r>
        <w:rPr>
          <w:szCs w:val="24"/>
          <w:lang w:val="en-US" w:eastAsia="zh-CN"/>
        </w:rPr>
        <w:t>公约</w:t>
      </w:r>
      <w:r w:rsidR="00EC24D5">
        <w:rPr>
          <w:rFonts w:hint="eastAsia"/>
          <w:szCs w:val="24"/>
          <w:lang w:val="en-US" w:eastAsia="zh-CN"/>
        </w:rPr>
        <w:t>》</w:t>
      </w:r>
      <w:r>
        <w:rPr>
          <w:szCs w:val="24"/>
          <w:lang w:val="en-US" w:eastAsia="zh-CN"/>
        </w:rPr>
        <w:t>第</w:t>
      </w:r>
      <w:r>
        <w:rPr>
          <w:rFonts w:hint="eastAsia"/>
          <w:szCs w:val="24"/>
          <w:lang w:val="en-US" w:eastAsia="zh-CN"/>
        </w:rPr>
        <w:t>17</w:t>
      </w:r>
      <w:r>
        <w:rPr>
          <w:szCs w:val="24"/>
          <w:lang w:val="en-US" w:eastAsia="zh-CN"/>
        </w:rPr>
        <w:t>A</w:t>
      </w:r>
      <w:r>
        <w:rPr>
          <w:rFonts w:hint="eastAsia"/>
          <w:szCs w:val="24"/>
          <w:lang w:val="en-US" w:eastAsia="zh-CN"/>
        </w:rPr>
        <w:t>款</w:t>
      </w:r>
      <w:r>
        <w:rPr>
          <w:szCs w:val="24"/>
          <w:lang w:val="en-US" w:eastAsia="zh-CN"/>
        </w:rPr>
        <w:t>，</w:t>
      </w:r>
      <w:r>
        <w:rPr>
          <w:szCs w:val="24"/>
          <w:lang w:val="en-US" w:eastAsia="zh-CN"/>
        </w:rPr>
        <w:t>TDAG</w:t>
      </w:r>
      <w:r>
        <w:rPr>
          <w:szCs w:val="24"/>
          <w:lang w:val="en-US" w:eastAsia="zh-CN"/>
        </w:rPr>
        <w:t>审议电信发展部门（</w:t>
      </w:r>
      <w:r w:rsidRPr="007A7AFB">
        <w:rPr>
          <w:szCs w:val="24"/>
          <w:lang w:eastAsia="zh-CN"/>
        </w:rPr>
        <w:t>ITU-D</w:t>
      </w:r>
      <w:r>
        <w:rPr>
          <w:rFonts w:hint="eastAsia"/>
          <w:szCs w:val="24"/>
          <w:lang w:eastAsia="zh-CN"/>
        </w:rPr>
        <w:t>）</w:t>
      </w:r>
      <w:r>
        <w:rPr>
          <w:szCs w:val="24"/>
          <w:lang w:eastAsia="zh-CN"/>
        </w:rPr>
        <w:t>的工作重点、项目、</w:t>
      </w:r>
      <w:r w:rsidR="00EC24D5">
        <w:rPr>
          <w:rFonts w:hint="eastAsia"/>
          <w:szCs w:val="24"/>
          <w:lang w:eastAsia="zh-CN"/>
        </w:rPr>
        <w:t>运作</w:t>
      </w:r>
      <w:r>
        <w:rPr>
          <w:szCs w:val="24"/>
          <w:lang w:eastAsia="zh-CN"/>
        </w:rPr>
        <w:t>、财务问题和战略。</w:t>
      </w:r>
      <w:r>
        <w:rPr>
          <w:szCs w:val="24"/>
          <w:lang w:eastAsia="zh-CN"/>
        </w:rPr>
        <w:t>TDAG</w:t>
      </w:r>
      <w:r w:rsidR="00CD1761">
        <w:rPr>
          <w:rFonts w:hint="eastAsia"/>
          <w:szCs w:val="24"/>
          <w:lang w:eastAsia="zh-CN"/>
        </w:rPr>
        <w:t>亦</w:t>
      </w:r>
      <w:r w:rsidR="00CD1761">
        <w:rPr>
          <w:szCs w:val="24"/>
          <w:lang w:eastAsia="zh-CN"/>
        </w:rPr>
        <w:t>审议前一研究期</w:t>
      </w:r>
      <w:r w:rsidR="00CD1761">
        <w:rPr>
          <w:rFonts w:hint="eastAsia"/>
          <w:szCs w:val="24"/>
          <w:lang w:eastAsia="zh-CN"/>
        </w:rPr>
        <w:t>运作</w:t>
      </w:r>
      <w:r w:rsidR="00CD1761">
        <w:rPr>
          <w:szCs w:val="24"/>
          <w:lang w:eastAsia="zh-CN"/>
        </w:rPr>
        <w:t>规划的落实情况并就任何必</w:t>
      </w:r>
      <w:r w:rsidR="00CD1761">
        <w:rPr>
          <w:rFonts w:hint="eastAsia"/>
          <w:szCs w:val="24"/>
          <w:lang w:eastAsia="zh-CN"/>
        </w:rPr>
        <w:t>要</w:t>
      </w:r>
      <w:r w:rsidR="00CD1761">
        <w:rPr>
          <w:szCs w:val="24"/>
          <w:lang w:eastAsia="zh-CN"/>
        </w:rPr>
        <w:t>的措施</w:t>
      </w:r>
      <w:r w:rsidR="00EC24D5">
        <w:rPr>
          <w:rFonts w:hint="eastAsia"/>
          <w:szCs w:val="24"/>
          <w:lang w:eastAsia="zh-CN"/>
        </w:rPr>
        <w:t>向</w:t>
      </w:r>
      <w:r w:rsidR="00EC24D5">
        <w:rPr>
          <w:szCs w:val="24"/>
          <w:lang w:eastAsia="zh-CN"/>
        </w:rPr>
        <w:t>主任</w:t>
      </w:r>
      <w:r w:rsidR="00CD1761">
        <w:rPr>
          <w:szCs w:val="24"/>
          <w:lang w:eastAsia="zh-CN"/>
        </w:rPr>
        <w:t>献计献</w:t>
      </w:r>
      <w:r w:rsidR="00CD1761">
        <w:rPr>
          <w:rFonts w:hint="eastAsia"/>
          <w:szCs w:val="24"/>
          <w:lang w:eastAsia="zh-CN"/>
        </w:rPr>
        <w:t>策。</w:t>
      </w:r>
    </w:p>
    <w:p w:rsidR="00CD1761" w:rsidRDefault="00CD1761" w:rsidP="00EC24D5">
      <w:pPr>
        <w:rPr>
          <w:rFonts w:cstheme="minorHAnsi"/>
          <w:lang w:eastAsia="zh-CN"/>
        </w:rPr>
      </w:pPr>
      <w:r>
        <w:rPr>
          <w:rFonts w:hint="eastAsia"/>
          <w:szCs w:val="24"/>
          <w:lang w:eastAsia="zh-CN"/>
        </w:rPr>
        <w:t>2.2</w:t>
      </w:r>
      <w:r>
        <w:rPr>
          <w:rFonts w:hint="eastAsia"/>
          <w:szCs w:val="24"/>
          <w:lang w:eastAsia="zh-CN"/>
        </w:rPr>
        <w:tab/>
      </w:r>
      <w:r>
        <w:rPr>
          <w:rFonts w:hint="eastAsia"/>
          <w:szCs w:val="24"/>
          <w:lang w:eastAsia="zh-CN"/>
        </w:rPr>
        <w:t>此</w:t>
      </w:r>
      <w:r>
        <w:rPr>
          <w:szCs w:val="24"/>
          <w:lang w:eastAsia="zh-CN"/>
        </w:rPr>
        <w:t>外，</w:t>
      </w:r>
      <w:r>
        <w:rPr>
          <w:szCs w:val="24"/>
          <w:lang w:eastAsia="zh-CN"/>
        </w:rPr>
        <w:t>TDAG</w:t>
      </w:r>
      <w:r>
        <w:rPr>
          <w:szCs w:val="24"/>
          <w:lang w:eastAsia="zh-CN"/>
        </w:rPr>
        <w:t>审议按照《</w:t>
      </w:r>
      <w:r>
        <w:rPr>
          <w:rFonts w:hint="eastAsia"/>
          <w:szCs w:val="24"/>
          <w:lang w:eastAsia="zh-CN"/>
        </w:rPr>
        <w:t>公约</w:t>
      </w:r>
      <w:r>
        <w:rPr>
          <w:szCs w:val="24"/>
          <w:lang w:eastAsia="zh-CN"/>
        </w:rPr>
        <w:t>》</w:t>
      </w:r>
      <w:r>
        <w:rPr>
          <w:rFonts w:hint="eastAsia"/>
          <w:szCs w:val="24"/>
          <w:lang w:eastAsia="zh-CN"/>
        </w:rPr>
        <w:t>第</w:t>
      </w:r>
      <w:r>
        <w:rPr>
          <w:rFonts w:hint="eastAsia"/>
          <w:szCs w:val="24"/>
          <w:lang w:eastAsia="zh-CN"/>
        </w:rPr>
        <w:t>209</w:t>
      </w:r>
      <w:r>
        <w:rPr>
          <w:rFonts w:hint="eastAsia"/>
          <w:szCs w:val="24"/>
          <w:lang w:eastAsia="zh-CN"/>
        </w:rPr>
        <w:t>款</w:t>
      </w:r>
      <w:r>
        <w:rPr>
          <w:szCs w:val="24"/>
          <w:lang w:eastAsia="zh-CN"/>
        </w:rPr>
        <w:t>确定的工作</w:t>
      </w:r>
      <w:r w:rsidR="00EC24D5">
        <w:rPr>
          <w:rFonts w:hint="eastAsia"/>
          <w:szCs w:val="24"/>
          <w:lang w:eastAsia="zh-CN"/>
        </w:rPr>
        <w:t>计划</w:t>
      </w:r>
      <w:r w:rsidR="00EC24D5">
        <w:rPr>
          <w:szCs w:val="24"/>
          <w:lang w:eastAsia="zh-CN"/>
        </w:rPr>
        <w:t>审议</w:t>
      </w:r>
      <w:r>
        <w:rPr>
          <w:szCs w:val="24"/>
          <w:lang w:eastAsia="zh-CN"/>
        </w:rPr>
        <w:t>落实</w:t>
      </w:r>
      <w:r w:rsidR="00EC24D5">
        <w:rPr>
          <w:rFonts w:hint="eastAsia"/>
          <w:szCs w:val="24"/>
          <w:lang w:eastAsia="zh-CN"/>
        </w:rPr>
        <w:t>进展</w:t>
      </w:r>
      <w:r w:rsidR="00EC24D5">
        <w:rPr>
          <w:szCs w:val="24"/>
          <w:lang w:eastAsia="zh-CN"/>
        </w:rPr>
        <w:t>情况</w:t>
      </w:r>
      <w:r>
        <w:rPr>
          <w:szCs w:val="24"/>
          <w:lang w:eastAsia="zh-CN"/>
        </w:rPr>
        <w:t>。</w:t>
      </w:r>
      <w:r>
        <w:rPr>
          <w:rFonts w:hint="eastAsia"/>
          <w:szCs w:val="24"/>
          <w:lang w:eastAsia="zh-CN"/>
        </w:rPr>
        <w:t>它</w:t>
      </w:r>
      <w:r w:rsidRPr="004F0D73">
        <w:rPr>
          <w:rFonts w:cstheme="minorHAnsi"/>
          <w:lang w:eastAsia="zh-CN"/>
        </w:rPr>
        <w:t>为研究组的工作提供指导方针，特别在促进和影响与无线电通信部门、电信标准化部门和总秘书处以及相关发展和金融机构的合作与协调方面建议应采取的措施。</w:t>
      </w:r>
    </w:p>
    <w:p w:rsidR="00CD1761" w:rsidRDefault="00CD1761" w:rsidP="00EC24D5">
      <w:pPr>
        <w:rPr>
          <w:szCs w:val="24"/>
          <w:lang w:val="en-US" w:eastAsia="zh-CN"/>
        </w:rPr>
      </w:pPr>
      <w:r>
        <w:rPr>
          <w:rFonts w:cstheme="minorHAnsi" w:hint="eastAsia"/>
          <w:lang w:eastAsia="zh-CN"/>
        </w:rPr>
        <w:t>2.3</w:t>
      </w:r>
      <w:r>
        <w:rPr>
          <w:rFonts w:cstheme="minorHAnsi" w:hint="eastAsia"/>
          <w:lang w:eastAsia="zh-CN"/>
        </w:rPr>
        <w:tab/>
      </w:r>
      <w:r>
        <w:rPr>
          <w:rFonts w:cstheme="minorHAnsi" w:hint="eastAsia"/>
          <w:lang w:eastAsia="zh-CN"/>
        </w:rPr>
        <w:t>有</w:t>
      </w:r>
      <w:r>
        <w:rPr>
          <w:rFonts w:cstheme="minorHAnsi"/>
          <w:lang w:eastAsia="zh-CN"/>
        </w:rPr>
        <w:t>关</w:t>
      </w:r>
      <w:r>
        <w:rPr>
          <w:rFonts w:hint="eastAsia"/>
          <w:szCs w:val="24"/>
          <w:lang w:eastAsia="zh-CN"/>
        </w:rPr>
        <w:t>“</w:t>
      </w:r>
      <w:r w:rsidRPr="004F0D73">
        <w:rPr>
          <w:rFonts w:cstheme="minorHAnsi"/>
          <w:lang w:eastAsia="zh-CN"/>
        </w:rPr>
        <w:t>授权电信发展顾问组在世界电信发展大会之间采取行动</w:t>
      </w:r>
      <w:r>
        <w:rPr>
          <w:rFonts w:cstheme="minorHAnsi" w:hint="eastAsia"/>
          <w:lang w:eastAsia="zh-CN"/>
        </w:rPr>
        <w:t>”的</w:t>
      </w:r>
      <w:r>
        <w:rPr>
          <w:rFonts w:cstheme="minorHAnsi"/>
          <w:lang w:eastAsia="zh-CN"/>
        </w:rPr>
        <w:t>WTDC</w:t>
      </w:r>
      <w:r>
        <w:rPr>
          <w:rFonts w:cstheme="minorHAnsi" w:hint="eastAsia"/>
          <w:lang w:eastAsia="zh-CN"/>
        </w:rPr>
        <w:t>第</w:t>
      </w:r>
      <w:r>
        <w:rPr>
          <w:rFonts w:cstheme="minorHAnsi" w:hint="eastAsia"/>
          <w:lang w:eastAsia="zh-CN"/>
        </w:rPr>
        <w:t>24</w:t>
      </w:r>
      <w:r>
        <w:rPr>
          <w:rFonts w:cstheme="minorHAnsi" w:hint="eastAsia"/>
          <w:lang w:eastAsia="zh-CN"/>
        </w:rPr>
        <w:t>号</w:t>
      </w:r>
      <w:r>
        <w:rPr>
          <w:rFonts w:cstheme="minorHAnsi"/>
          <w:lang w:eastAsia="zh-CN"/>
        </w:rPr>
        <w:t>决议</w:t>
      </w:r>
      <w:r>
        <w:rPr>
          <w:szCs w:val="24"/>
          <w:lang w:eastAsia="zh-CN"/>
        </w:rPr>
        <w:t>（</w:t>
      </w:r>
      <w:r>
        <w:rPr>
          <w:rFonts w:hint="eastAsia"/>
          <w:szCs w:val="24"/>
          <w:lang w:eastAsia="zh-CN"/>
        </w:rPr>
        <w:t>2014</w:t>
      </w:r>
      <w:r>
        <w:rPr>
          <w:rFonts w:hint="eastAsia"/>
          <w:szCs w:val="24"/>
          <w:lang w:eastAsia="zh-CN"/>
        </w:rPr>
        <w:t>年</w:t>
      </w:r>
      <w:r>
        <w:rPr>
          <w:szCs w:val="24"/>
          <w:lang w:eastAsia="zh-CN"/>
        </w:rPr>
        <w:t>，</w:t>
      </w:r>
      <w:r>
        <w:rPr>
          <w:rFonts w:hint="eastAsia"/>
          <w:szCs w:val="24"/>
          <w:lang w:eastAsia="zh-CN"/>
        </w:rPr>
        <w:t>迪拜</w:t>
      </w:r>
      <w:r>
        <w:rPr>
          <w:rFonts w:hint="eastAsia"/>
          <w:szCs w:val="24"/>
          <w:lang w:val="en-US" w:eastAsia="zh-CN"/>
        </w:rPr>
        <w:t>，修订版）向</w:t>
      </w:r>
      <w:r>
        <w:rPr>
          <w:szCs w:val="24"/>
          <w:lang w:val="en-US" w:eastAsia="zh-CN"/>
        </w:rPr>
        <w:t>TDAG</w:t>
      </w:r>
      <w:r>
        <w:rPr>
          <w:szCs w:val="24"/>
          <w:lang w:val="en-US" w:eastAsia="zh-CN"/>
        </w:rPr>
        <w:t>分配了在两</w:t>
      </w:r>
      <w:r w:rsidR="00EC24D5">
        <w:rPr>
          <w:rFonts w:hint="eastAsia"/>
          <w:szCs w:val="24"/>
          <w:lang w:val="en-US" w:eastAsia="zh-CN"/>
        </w:rPr>
        <w:t>届</w:t>
      </w:r>
      <w:r>
        <w:rPr>
          <w:szCs w:val="24"/>
          <w:lang w:val="en-US" w:eastAsia="zh-CN"/>
        </w:rPr>
        <w:t>WTDC</w:t>
      </w:r>
      <w:r>
        <w:rPr>
          <w:szCs w:val="24"/>
          <w:lang w:val="en-US" w:eastAsia="zh-CN"/>
        </w:rPr>
        <w:t>之间进行的以下事宜</w:t>
      </w:r>
      <w:r>
        <w:rPr>
          <w:rFonts w:hint="eastAsia"/>
          <w:szCs w:val="24"/>
          <w:lang w:val="en-US" w:eastAsia="zh-CN"/>
        </w:rPr>
        <w:t>：</w:t>
      </w:r>
    </w:p>
    <w:p w:rsidR="00CD1761" w:rsidRPr="004F0D73" w:rsidRDefault="00CD1761" w:rsidP="00CD1761">
      <w:pPr>
        <w:pStyle w:val="enumlev1"/>
        <w:rPr>
          <w:rFonts w:cstheme="minorHAnsi"/>
          <w:lang w:eastAsia="zh-CN"/>
        </w:rPr>
      </w:pPr>
      <w:r w:rsidRPr="004F0D73" w:rsidDel="00BB031D">
        <w:rPr>
          <w:rFonts w:cstheme="minorHAnsi"/>
          <w:lang w:val="fr-CH" w:eastAsia="zh-CN"/>
        </w:rPr>
        <w:t>i)</w:t>
      </w:r>
      <w:r w:rsidRPr="004F0D73" w:rsidDel="00BB031D">
        <w:rPr>
          <w:rFonts w:cstheme="minorHAnsi"/>
          <w:lang w:val="fr-CH" w:eastAsia="zh-CN"/>
        </w:rPr>
        <w:tab/>
      </w:r>
      <w:r w:rsidRPr="004F0D73" w:rsidDel="00BB031D">
        <w:rPr>
          <w:rFonts w:cstheme="minorHAnsi"/>
          <w:lang w:val="fr-CH" w:eastAsia="zh-CN"/>
        </w:rPr>
        <w:t>继续保持</w:t>
      </w:r>
      <w:r w:rsidRPr="004F0D73">
        <w:rPr>
          <w:rFonts w:cstheme="minorHAnsi"/>
          <w:lang w:val="fr-CH" w:eastAsia="zh-CN"/>
        </w:rPr>
        <w:t>高</w:t>
      </w:r>
      <w:r w:rsidRPr="004F0D73" w:rsidDel="00BB031D">
        <w:rPr>
          <w:rFonts w:cstheme="minorHAnsi"/>
          <w:lang w:val="fr-CH" w:eastAsia="zh-CN"/>
        </w:rPr>
        <w:t>效灵活的工作方针，并在必要时予以更新，</w:t>
      </w:r>
      <w:r w:rsidRPr="004F0D73">
        <w:rPr>
          <w:rFonts w:cstheme="minorHAnsi"/>
          <w:lang w:eastAsia="zh-CN"/>
        </w:rPr>
        <w:t>包括提供机会，就区域性行动、举措和项目的落实进行跨区域经验共享；</w:t>
      </w:r>
    </w:p>
    <w:p w:rsidR="00CD1761" w:rsidRPr="004F0D73" w:rsidRDefault="00CD1761" w:rsidP="00CD1761">
      <w:pPr>
        <w:pStyle w:val="enumlev1"/>
        <w:rPr>
          <w:rFonts w:cstheme="minorHAnsi"/>
          <w:lang w:val="en-US" w:eastAsia="zh-CN"/>
        </w:rPr>
      </w:pPr>
      <w:r w:rsidRPr="004F0D73">
        <w:rPr>
          <w:rFonts w:cstheme="minorHAnsi"/>
          <w:lang w:val="en-US" w:eastAsia="zh-CN"/>
        </w:rPr>
        <w:t>ii)</w:t>
      </w:r>
      <w:r w:rsidRPr="004F0D73">
        <w:rPr>
          <w:rFonts w:cstheme="minorHAnsi"/>
          <w:lang w:val="en-US" w:eastAsia="zh-CN"/>
        </w:rPr>
        <w:tab/>
      </w:r>
      <w:r w:rsidRPr="004F0D73">
        <w:rPr>
          <w:rFonts w:cstheme="minorHAnsi"/>
          <w:lang w:val="en-US" w:eastAsia="zh-CN"/>
        </w:rPr>
        <w:t>持续审议国际电联《战略规划》中阐述的</w:t>
      </w:r>
      <w:r w:rsidRPr="004F0D73">
        <w:rPr>
          <w:rFonts w:cstheme="minorHAnsi"/>
          <w:lang w:val="en-US" w:eastAsia="zh-CN"/>
        </w:rPr>
        <w:t>ITU-D</w:t>
      </w:r>
      <w:r w:rsidRPr="004F0D73">
        <w:rPr>
          <w:rFonts w:cstheme="minorHAnsi"/>
          <w:lang w:val="en-US" w:eastAsia="zh-CN"/>
        </w:rPr>
        <w:t>部门目标与各项活动（特别是项目和区域性举措）可用的预算拨款之间的关系，以便提出确保本部门高效和有效地交付其主要产品及服务（输出成果）的必要措施；</w:t>
      </w:r>
    </w:p>
    <w:p w:rsidR="00CD1761" w:rsidRPr="004F0D73" w:rsidRDefault="00CD1761" w:rsidP="00CD1761">
      <w:pPr>
        <w:pStyle w:val="enumlev1"/>
        <w:rPr>
          <w:rFonts w:cstheme="minorHAnsi"/>
          <w:lang w:val="en-US" w:eastAsia="zh-CN"/>
        </w:rPr>
      </w:pPr>
      <w:r w:rsidRPr="004F0D73">
        <w:rPr>
          <w:rFonts w:cstheme="minorHAnsi"/>
          <w:lang w:val="en-US" w:eastAsia="zh-CN"/>
        </w:rPr>
        <w:t>iii)</w:t>
      </w:r>
      <w:r w:rsidRPr="004F0D73">
        <w:rPr>
          <w:rFonts w:cstheme="minorHAnsi"/>
          <w:lang w:val="en-US" w:eastAsia="zh-CN"/>
        </w:rPr>
        <w:tab/>
      </w:r>
      <w:r w:rsidRPr="004F0D73">
        <w:rPr>
          <w:rFonts w:cstheme="minorHAnsi"/>
          <w:lang w:val="en-US" w:eastAsia="zh-CN"/>
        </w:rPr>
        <w:t>根据《公约》第</w:t>
      </w:r>
      <w:r w:rsidRPr="004F0D73">
        <w:rPr>
          <w:rFonts w:cstheme="minorHAnsi"/>
          <w:lang w:val="en-US" w:eastAsia="zh-CN"/>
        </w:rPr>
        <w:t>223A</w:t>
      </w:r>
      <w:r w:rsidRPr="004F0D73">
        <w:rPr>
          <w:rFonts w:cstheme="minorHAnsi"/>
          <w:lang w:val="en-US" w:eastAsia="zh-CN"/>
        </w:rPr>
        <w:t>款，持续审议</w:t>
      </w:r>
      <w:r w:rsidRPr="004F0D73">
        <w:rPr>
          <w:rFonts w:cstheme="minorHAnsi"/>
          <w:lang w:val="en-US" w:eastAsia="zh-CN"/>
        </w:rPr>
        <w:t>ITU-D</w:t>
      </w:r>
      <w:r w:rsidRPr="004F0D73">
        <w:rPr>
          <w:rFonts w:cstheme="minorHAnsi"/>
          <w:lang w:val="en-US" w:eastAsia="zh-CN"/>
        </w:rPr>
        <w:t>四年期滚动式运作规划的执行情况，就拟定有待国际电联理事会下一届会议批准的</w:t>
      </w:r>
      <w:r w:rsidRPr="004F0D73">
        <w:rPr>
          <w:rFonts w:cstheme="minorHAnsi"/>
          <w:lang w:val="en-US" w:eastAsia="zh-CN"/>
        </w:rPr>
        <w:t>ITU-D</w:t>
      </w:r>
      <w:r w:rsidRPr="004F0D73">
        <w:rPr>
          <w:rFonts w:cstheme="minorHAnsi"/>
          <w:lang w:val="en-US" w:eastAsia="zh-CN"/>
        </w:rPr>
        <w:t>运作规划草案向电信发展局提供指导；</w:t>
      </w:r>
    </w:p>
    <w:p w:rsidR="00CD1761" w:rsidRPr="004F0D73" w:rsidRDefault="00CD1761" w:rsidP="00CD1761">
      <w:pPr>
        <w:pStyle w:val="enumlev1"/>
        <w:rPr>
          <w:rFonts w:cstheme="minorHAnsi"/>
          <w:lang w:val="en-US" w:eastAsia="zh-CN"/>
        </w:rPr>
      </w:pPr>
      <w:proofErr w:type="gramStart"/>
      <w:r w:rsidRPr="004F0D73">
        <w:rPr>
          <w:rFonts w:cstheme="minorHAnsi"/>
          <w:lang w:val="en-US" w:eastAsia="zh-CN"/>
        </w:rPr>
        <w:t>iv)</w:t>
      </w:r>
      <w:r w:rsidRPr="004F0D73">
        <w:rPr>
          <w:rFonts w:cstheme="minorHAnsi"/>
          <w:lang w:val="en-US" w:eastAsia="zh-CN"/>
        </w:rPr>
        <w:tab/>
      </w:r>
      <w:r w:rsidRPr="004F0D73">
        <w:rPr>
          <w:rFonts w:cstheme="minorHAnsi"/>
          <w:lang w:val="en-US" w:eastAsia="zh-CN"/>
        </w:rPr>
        <w:t>评估并在必要时更新工作方法和指导原则，以确保</w:t>
      </w:r>
      <w:r w:rsidRPr="004F0D73">
        <w:rPr>
          <w:rFonts w:cstheme="minorHAnsi"/>
          <w:lang w:val="fr-CH" w:eastAsia="zh-CN"/>
        </w:rPr>
        <w:t>ITU-D</w:t>
      </w:r>
      <w:r w:rsidRPr="004F0D73">
        <w:rPr>
          <w:rFonts w:cstheme="minorHAnsi"/>
          <w:lang w:val="en-US" w:eastAsia="zh-CN"/>
        </w:rPr>
        <w:t>《行动计划》的主要内容得到最高效灵活的落实；</w:t>
      </w:r>
      <w:proofErr w:type="gramEnd"/>
    </w:p>
    <w:p w:rsidR="00CD1761" w:rsidRPr="004F0D73" w:rsidRDefault="00CD1761" w:rsidP="00CD1761">
      <w:pPr>
        <w:pStyle w:val="enumlev1"/>
        <w:rPr>
          <w:rFonts w:cstheme="minorHAnsi"/>
          <w:lang w:val="fr-CH" w:eastAsia="zh-CN"/>
        </w:rPr>
      </w:pPr>
      <w:r w:rsidRPr="004F0D73">
        <w:rPr>
          <w:rFonts w:cstheme="minorHAnsi"/>
          <w:lang w:val="fr-CH" w:eastAsia="zh-CN"/>
        </w:rPr>
        <w:t>v)</w:t>
      </w:r>
      <w:r w:rsidRPr="004F0D73">
        <w:rPr>
          <w:rFonts w:cstheme="minorHAnsi"/>
          <w:lang w:val="fr-CH" w:eastAsia="zh-CN"/>
        </w:rPr>
        <w:tab/>
      </w:r>
      <w:r w:rsidRPr="004F0D73">
        <w:rPr>
          <w:rFonts w:cstheme="minorHAnsi"/>
          <w:lang w:val="fr-CH" w:eastAsia="zh-CN"/>
        </w:rPr>
        <w:t>定期评估</w:t>
      </w:r>
      <w:r w:rsidRPr="004F0D73">
        <w:rPr>
          <w:rFonts w:cstheme="minorHAnsi"/>
          <w:lang w:val="fr-CH" w:eastAsia="zh-CN"/>
        </w:rPr>
        <w:t>ITU-D</w:t>
      </w:r>
      <w:r w:rsidRPr="004F0D73">
        <w:rPr>
          <w:rFonts w:cstheme="minorHAnsi"/>
          <w:lang w:val="fr-CH" w:eastAsia="zh-CN"/>
        </w:rPr>
        <w:t>研究组的工作方法和运行，</w:t>
      </w:r>
      <w:r w:rsidRPr="004F0D73">
        <w:rPr>
          <w:rFonts w:cstheme="minorHAnsi"/>
          <w:lang w:eastAsia="zh-CN"/>
        </w:rPr>
        <w:t>确定充分体现项目交付的方案，</w:t>
      </w:r>
      <w:r w:rsidRPr="004F0D73">
        <w:rPr>
          <w:rFonts w:cstheme="minorHAnsi"/>
          <w:lang w:val="fr-CH" w:eastAsia="zh-CN"/>
        </w:rPr>
        <w:t>并在对</w:t>
      </w:r>
      <w:r w:rsidRPr="004F0D73">
        <w:rPr>
          <w:rFonts w:cstheme="minorHAnsi"/>
          <w:lang w:eastAsia="zh-CN"/>
        </w:rPr>
        <w:t>其工作计划做出评估</w:t>
      </w:r>
      <w:r w:rsidRPr="004F0D73">
        <w:rPr>
          <w:rFonts w:cstheme="minorHAnsi"/>
          <w:lang w:val="fr-CH" w:eastAsia="zh-CN"/>
        </w:rPr>
        <w:t>后，批准其中适当的改变，</w:t>
      </w:r>
      <w:r w:rsidRPr="004F0D73">
        <w:rPr>
          <w:rFonts w:cstheme="minorHAnsi"/>
          <w:lang w:eastAsia="zh-CN"/>
        </w:rPr>
        <w:t>包括加强课题、项目</w:t>
      </w:r>
      <w:r w:rsidRPr="004F0D73">
        <w:rPr>
          <w:rFonts w:cstheme="minorHAnsi"/>
          <w:lang w:val="fr-CH" w:eastAsia="zh-CN"/>
        </w:rPr>
        <w:t>和区域性举措</w:t>
      </w:r>
      <w:r w:rsidRPr="004F0D73">
        <w:rPr>
          <w:rFonts w:cstheme="minorHAnsi"/>
          <w:lang w:eastAsia="zh-CN"/>
        </w:rPr>
        <w:t>之间的合力</w:t>
      </w:r>
      <w:r w:rsidRPr="004F0D73">
        <w:rPr>
          <w:rFonts w:cstheme="minorHAnsi"/>
          <w:lang w:val="fr-CH" w:eastAsia="zh-CN"/>
        </w:rPr>
        <w:t>；</w:t>
      </w:r>
    </w:p>
    <w:p w:rsidR="00CD1761" w:rsidRPr="004F0D73" w:rsidRDefault="00CD1761" w:rsidP="00CD1761">
      <w:pPr>
        <w:pStyle w:val="enumlev1"/>
        <w:rPr>
          <w:rFonts w:cstheme="minorHAnsi"/>
          <w:lang w:val="fr-CH" w:eastAsia="zh-CN"/>
        </w:rPr>
      </w:pPr>
      <w:r w:rsidRPr="004F0D73">
        <w:rPr>
          <w:rFonts w:cstheme="minorHAnsi"/>
          <w:lang w:val="fr-CH" w:eastAsia="zh-CN"/>
        </w:rPr>
        <w:t>vi)</w:t>
      </w:r>
      <w:r w:rsidRPr="004F0D73">
        <w:rPr>
          <w:rFonts w:cstheme="minorHAnsi"/>
          <w:lang w:val="fr-CH" w:eastAsia="zh-CN"/>
        </w:rPr>
        <w:tab/>
      </w:r>
      <w:r w:rsidRPr="004F0D73">
        <w:rPr>
          <w:rFonts w:cstheme="minorHAnsi"/>
          <w:lang w:val="fr-CH" w:eastAsia="zh-CN"/>
        </w:rPr>
        <w:t>按照上述</w:t>
      </w:r>
      <w:r w:rsidRPr="004F0D73">
        <w:rPr>
          <w:rFonts w:cstheme="minorHAnsi"/>
          <w:lang w:val="fr-CH" w:eastAsia="zh-CN"/>
        </w:rPr>
        <w:t>v</w:t>
      </w:r>
      <w:proofErr w:type="gramStart"/>
      <w:r w:rsidRPr="004F0D73">
        <w:rPr>
          <w:rFonts w:cstheme="minorHAnsi"/>
          <w:lang w:val="fr-CH" w:eastAsia="zh-CN"/>
        </w:rPr>
        <w:t>)</w:t>
      </w:r>
      <w:r w:rsidRPr="004F0D73">
        <w:rPr>
          <w:rFonts w:cstheme="minorHAnsi"/>
          <w:lang w:val="fr-CH" w:eastAsia="zh-CN"/>
        </w:rPr>
        <w:t>点开展评估</w:t>
      </w:r>
      <w:proofErr w:type="gramEnd"/>
      <w:r w:rsidRPr="004F0D73">
        <w:rPr>
          <w:rFonts w:cstheme="minorHAnsi"/>
          <w:lang w:val="fr-CH" w:eastAsia="zh-CN"/>
        </w:rPr>
        <w:t>，</w:t>
      </w:r>
      <w:r w:rsidRPr="004F0D73">
        <w:rPr>
          <w:rFonts w:cstheme="minorHAnsi"/>
          <w:lang w:eastAsia="zh-CN"/>
        </w:rPr>
        <w:t>同时在必要时针对研究组的当前工作计划</w:t>
      </w:r>
      <w:r w:rsidRPr="004F0D73">
        <w:rPr>
          <w:rFonts w:cstheme="minorHAnsi"/>
          <w:lang w:val="fr-CH" w:eastAsia="zh-CN"/>
        </w:rPr>
        <w:t>考虑</w:t>
      </w:r>
      <w:r w:rsidRPr="004F0D73">
        <w:rPr>
          <w:rFonts w:cstheme="minorHAnsi"/>
          <w:lang w:eastAsia="zh-CN"/>
        </w:rPr>
        <w:t>采取下列行动</w:t>
      </w:r>
      <w:r w:rsidRPr="004F0D73">
        <w:rPr>
          <w:rFonts w:cstheme="minorHAnsi"/>
          <w:lang w:val="fr-CH" w:eastAsia="zh-CN"/>
        </w:rPr>
        <w:t>：</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重新定义课题的职责范围，以确定研究重点并消除工作重叠；</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酌情删除或合并课题；</w:t>
      </w:r>
    </w:p>
    <w:p w:rsidR="00CD1761" w:rsidRPr="004F0D73" w:rsidRDefault="00CD1761" w:rsidP="00CD1761">
      <w:pPr>
        <w:pStyle w:val="enumlev2"/>
        <w:rPr>
          <w:rFonts w:cstheme="minorHAnsi"/>
          <w:lang w:val="fr-CH" w:eastAsia="zh-CN"/>
        </w:rPr>
      </w:pPr>
      <w:r w:rsidRPr="004F0D73">
        <w:rPr>
          <w:rFonts w:cstheme="minorHAnsi"/>
          <w:lang w:eastAsia="zh-CN"/>
        </w:rPr>
        <w:t>•</w:t>
      </w:r>
      <w:r w:rsidRPr="004F0D73">
        <w:rPr>
          <w:rFonts w:cstheme="minorHAnsi"/>
          <w:lang w:eastAsia="zh-CN"/>
        </w:rPr>
        <w:tab/>
      </w:r>
      <w:r w:rsidRPr="004F0D73">
        <w:rPr>
          <w:rFonts w:cstheme="minorHAnsi"/>
          <w:lang w:eastAsia="zh-CN"/>
        </w:rPr>
        <w:t>对衡量课题研究效果的标准进行定性和定量评价，包括根据</w:t>
      </w:r>
      <w:r w:rsidRPr="004F0D73">
        <w:rPr>
          <w:rFonts w:cstheme="minorHAnsi"/>
          <w:lang w:eastAsia="zh-CN"/>
        </w:rPr>
        <w:t>ITU-D</w:t>
      </w:r>
      <w:r w:rsidRPr="004F0D73">
        <w:rPr>
          <w:rFonts w:cstheme="minorHAnsi"/>
          <w:lang w:eastAsia="zh-CN"/>
        </w:rPr>
        <w:t>战略规划进行定期审议，以便进一步探讨绩效措施，从而更有效地实施上述</w:t>
      </w:r>
      <w:r w:rsidRPr="004F0D73">
        <w:rPr>
          <w:rFonts w:cstheme="minorHAnsi"/>
          <w:lang w:eastAsia="zh-CN"/>
        </w:rPr>
        <w:t>v</w:t>
      </w:r>
      <w:proofErr w:type="gramStart"/>
      <w:r w:rsidRPr="004F0D73">
        <w:rPr>
          <w:rFonts w:cstheme="minorHAnsi"/>
          <w:lang w:eastAsia="zh-CN"/>
        </w:rPr>
        <w:t>)</w:t>
      </w:r>
      <w:r w:rsidRPr="004F0D73">
        <w:rPr>
          <w:rFonts w:cstheme="minorHAnsi"/>
          <w:lang w:eastAsia="zh-CN"/>
        </w:rPr>
        <w:t>点规定的行动</w:t>
      </w:r>
      <w:proofErr w:type="gramEnd"/>
      <w:r w:rsidRPr="004F0D73">
        <w:rPr>
          <w:rFonts w:cstheme="minorHAnsi"/>
          <w:lang w:eastAsia="zh-CN"/>
        </w:rPr>
        <w:t>；</w:t>
      </w:r>
    </w:p>
    <w:p w:rsidR="00CD1761" w:rsidRPr="004F0D73" w:rsidRDefault="00CD1761" w:rsidP="00CD1761">
      <w:pPr>
        <w:pStyle w:val="enumlev1"/>
        <w:rPr>
          <w:rFonts w:cstheme="minorHAnsi"/>
          <w:lang w:val="fr-CH" w:eastAsia="zh-CN"/>
        </w:rPr>
      </w:pPr>
      <w:r w:rsidRPr="004F0D73">
        <w:rPr>
          <w:rFonts w:cstheme="minorHAnsi"/>
          <w:lang w:val="fr-CH" w:eastAsia="zh-CN"/>
        </w:rPr>
        <w:t>vii)</w:t>
      </w:r>
      <w:r w:rsidRPr="004F0D73">
        <w:rPr>
          <w:rFonts w:cstheme="minorHAnsi"/>
          <w:lang w:val="fr-CH" w:eastAsia="zh-CN"/>
        </w:rPr>
        <w:tab/>
      </w:r>
      <w:r w:rsidRPr="004F0D73">
        <w:rPr>
          <w:rFonts w:cstheme="minorHAnsi"/>
          <w:lang w:val="fr-CH" w:eastAsia="zh-CN"/>
        </w:rPr>
        <w:t>必要时重组</w:t>
      </w:r>
      <w:r w:rsidRPr="004F0D73">
        <w:rPr>
          <w:rFonts w:cstheme="minorHAnsi"/>
          <w:lang w:val="fr-CH" w:eastAsia="zh-CN"/>
        </w:rPr>
        <w:t>ITU-D</w:t>
      </w:r>
      <w:r w:rsidRPr="004F0D73">
        <w:rPr>
          <w:rFonts w:cstheme="minorHAnsi"/>
          <w:lang w:val="fr-CH" w:eastAsia="zh-CN"/>
        </w:rPr>
        <w:t>研究组，并</w:t>
      </w:r>
      <w:r w:rsidRPr="004F0D73">
        <w:rPr>
          <w:rFonts w:cstheme="minorHAnsi"/>
          <w:lang w:eastAsia="zh-CN"/>
        </w:rPr>
        <w:t>因</w:t>
      </w:r>
      <w:r w:rsidRPr="004F0D73">
        <w:rPr>
          <w:rFonts w:cstheme="minorHAnsi"/>
          <w:lang w:eastAsia="zh-CN"/>
        </w:rPr>
        <w:t>ITU-D</w:t>
      </w:r>
      <w:r w:rsidRPr="004F0D73">
        <w:rPr>
          <w:rFonts w:cstheme="minorHAnsi"/>
          <w:lang w:eastAsia="zh-CN"/>
        </w:rPr>
        <w:t>研究组的重组或设立而</w:t>
      </w:r>
      <w:r w:rsidRPr="004F0D73">
        <w:rPr>
          <w:rFonts w:cstheme="minorHAnsi"/>
          <w:lang w:val="fr-CH" w:eastAsia="zh-CN"/>
        </w:rPr>
        <w:t>任命其正副主席，直到下届</w:t>
      </w:r>
      <w:r w:rsidRPr="004F0D73">
        <w:rPr>
          <w:rFonts w:cstheme="minorHAnsi"/>
          <w:lang w:val="fr-CH" w:eastAsia="zh-CN"/>
        </w:rPr>
        <w:t>WTDC</w:t>
      </w:r>
      <w:r w:rsidRPr="004F0D73">
        <w:rPr>
          <w:rFonts w:cstheme="minorHAnsi"/>
          <w:lang w:val="fr-CH" w:eastAsia="zh-CN"/>
        </w:rPr>
        <w:t>为止，以便在已达成一致的预算限制范围内满足成员国的需要，并对其关心的问题做出反应；</w:t>
      </w:r>
    </w:p>
    <w:p w:rsidR="00CD1761" w:rsidRPr="004F0D73" w:rsidRDefault="00CD1761" w:rsidP="00CD1761">
      <w:pPr>
        <w:pStyle w:val="enumlev1"/>
        <w:rPr>
          <w:rFonts w:cstheme="minorHAnsi"/>
          <w:lang w:val="fr-CH" w:eastAsia="zh-CN"/>
        </w:rPr>
      </w:pPr>
      <w:r w:rsidRPr="004F0D73">
        <w:rPr>
          <w:rFonts w:cstheme="minorHAnsi"/>
          <w:lang w:val="fr-CH" w:eastAsia="zh-CN"/>
        </w:rPr>
        <w:t>viii)</w:t>
      </w:r>
      <w:r w:rsidRPr="004F0D73">
        <w:rPr>
          <w:rFonts w:cstheme="minorHAnsi"/>
          <w:lang w:val="fr-CH" w:eastAsia="zh-CN"/>
        </w:rPr>
        <w:tab/>
      </w:r>
      <w:r w:rsidRPr="004F0D73">
        <w:rPr>
          <w:rFonts w:cstheme="minorHAnsi"/>
          <w:lang w:val="fr-CH" w:eastAsia="zh-CN"/>
        </w:rPr>
        <w:t>对研究组能够满足优先发展工作的进程表提出建议；</w:t>
      </w:r>
    </w:p>
    <w:p w:rsidR="00CD1761" w:rsidRPr="004F0D73" w:rsidRDefault="00CD1761" w:rsidP="00CD1761">
      <w:pPr>
        <w:pStyle w:val="enumlev1"/>
        <w:rPr>
          <w:rFonts w:cstheme="minorHAnsi"/>
          <w:lang w:val="fr-CH" w:eastAsia="zh-CN"/>
        </w:rPr>
      </w:pPr>
      <w:r w:rsidRPr="004F0D73">
        <w:rPr>
          <w:rFonts w:cstheme="minorHAnsi"/>
          <w:lang w:val="fr-CH" w:eastAsia="zh-CN"/>
        </w:rPr>
        <w:t>ix)</w:t>
      </w:r>
      <w:r w:rsidRPr="004F0D73">
        <w:rPr>
          <w:rFonts w:cstheme="minorHAnsi"/>
          <w:lang w:val="fr-CH" w:eastAsia="zh-CN"/>
        </w:rPr>
        <w:tab/>
      </w:r>
      <w:r w:rsidRPr="004F0D73">
        <w:rPr>
          <w:rFonts w:cstheme="minorHAnsi"/>
          <w:lang w:val="fr-CH" w:eastAsia="zh-CN"/>
        </w:rPr>
        <w:t>就相关财务和其它问题向</w:t>
      </w:r>
      <w:r w:rsidRPr="004F0D73">
        <w:rPr>
          <w:rFonts w:cstheme="minorHAnsi"/>
          <w:lang w:val="fr-CH" w:eastAsia="zh-CN"/>
        </w:rPr>
        <w:t>BDT</w:t>
      </w:r>
      <w:r w:rsidRPr="004F0D73">
        <w:rPr>
          <w:rFonts w:cstheme="minorHAnsi"/>
          <w:lang w:val="fr-CH" w:eastAsia="zh-CN"/>
        </w:rPr>
        <w:t>主任提出建议；</w:t>
      </w:r>
    </w:p>
    <w:p w:rsidR="00CD1761" w:rsidRPr="004F0D73" w:rsidRDefault="00CD1761" w:rsidP="00CD1761">
      <w:pPr>
        <w:pStyle w:val="enumlev1"/>
        <w:rPr>
          <w:rFonts w:cstheme="minorHAnsi"/>
          <w:lang w:val="fr-CH" w:eastAsia="zh-CN"/>
        </w:rPr>
      </w:pPr>
      <w:r w:rsidRPr="004F0D73">
        <w:rPr>
          <w:rFonts w:cstheme="minorHAnsi"/>
          <w:lang w:val="fr-CH" w:eastAsia="zh-CN"/>
        </w:rPr>
        <w:t>x)</w:t>
      </w:r>
      <w:r w:rsidRPr="004F0D73">
        <w:rPr>
          <w:rFonts w:cstheme="minorHAnsi"/>
          <w:lang w:val="fr-CH" w:eastAsia="zh-CN"/>
        </w:rPr>
        <w:tab/>
      </w:r>
      <w:r w:rsidRPr="004F0D73">
        <w:rPr>
          <w:rFonts w:cstheme="minorHAnsi"/>
          <w:lang w:val="fr-CH" w:eastAsia="zh-CN"/>
        </w:rPr>
        <w:t>批准由于审议现有的及新课题而产生的工作计划，决定其优先顺序及紧迫程度，预计的财务影响及完成这些研究的时间表；</w:t>
      </w:r>
    </w:p>
    <w:p w:rsidR="00CD1761" w:rsidRPr="004F0D73" w:rsidRDefault="00CD1761" w:rsidP="00CD1761">
      <w:pPr>
        <w:pStyle w:val="enumlev1"/>
        <w:rPr>
          <w:rFonts w:cstheme="minorHAnsi"/>
          <w:lang w:val="fr-CH" w:eastAsia="zh-CN"/>
        </w:rPr>
      </w:pPr>
      <w:r w:rsidRPr="004F0D73">
        <w:rPr>
          <w:rFonts w:cstheme="minorHAnsi"/>
          <w:lang w:val="fr-CH" w:eastAsia="zh-CN"/>
        </w:rPr>
        <w:t>xi)</w:t>
      </w:r>
      <w:r w:rsidRPr="004F0D73">
        <w:rPr>
          <w:rFonts w:cstheme="minorHAnsi"/>
          <w:lang w:val="fr-CH" w:eastAsia="zh-CN"/>
        </w:rPr>
        <w:tab/>
      </w:r>
      <w:r w:rsidRPr="004F0D73">
        <w:rPr>
          <w:rFonts w:cstheme="minorHAnsi"/>
          <w:lang w:val="fr-CH" w:eastAsia="zh-CN"/>
        </w:rPr>
        <w:t>为提高对最为优先关注的</w:t>
      </w:r>
      <w:r w:rsidRPr="004F0D73">
        <w:rPr>
          <w:rFonts w:cstheme="minorHAnsi"/>
          <w:lang w:eastAsia="zh-CN"/>
        </w:rPr>
        <w:t>事宜</w:t>
      </w:r>
      <w:r w:rsidRPr="004F0D73">
        <w:rPr>
          <w:rFonts w:cstheme="minorHAnsi"/>
          <w:lang w:val="fr-CH" w:eastAsia="zh-CN"/>
        </w:rPr>
        <w:t>进行快</w:t>
      </w:r>
      <w:r w:rsidRPr="004F0D73">
        <w:rPr>
          <w:rFonts w:cstheme="minorHAnsi"/>
          <w:lang w:eastAsia="zh-CN"/>
        </w:rPr>
        <w:t>速响应的灵活性</w:t>
      </w:r>
      <w:r w:rsidRPr="004F0D73">
        <w:rPr>
          <w:rFonts w:cstheme="minorHAnsi"/>
          <w:lang w:val="fr-CH" w:eastAsia="zh-CN"/>
        </w:rPr>
        <w:t>，必要时按照《公约》第</w:t>
      </w:r>
      <w:r w:rsidRPr="004F0D73">
        <w:rPr>
          <w:rFonts w:cstheme="minorHAnsi"/>
          <w:lang w:val="fr-CH" w:eastAsia="zh-CN"/>
        </w:rPr>
        <w:t>209A</w:t>
      </w:r>
      <w:r w:rsidRPr="004F0D73">
        <w:rPr>
          <w:rFonts w:cstheme="minorHAnsi"/>
          <w:lang w:val="fr-CH" w:eastAsia="zh-CN"/>
        </w:rPr>
        <w:t>和</w:t>
      </w:r>
      <w:r w:rsidRPr="004F0D73">
        <w:rPr>
          <w:rFonts w:cstheme="minorHAnsi"/>
          <w:lang w:val="fr-CH" w:eastAsia="zh-CN"/>
        </w:rPr>
        <w:t>209B</w:t>
      </w:r>
      <w:r w:rsidRPr="004F0D73">
        <w:rPr>
          <w:rFonts w:cstheme="minorHAnsi"/>
          <w:lang w:val="fr-CH" w:eastAsia="zh-CN"/>
        </w:rPr>
        <w:t>款</w:t>
      </w:r>
      <w:r w:rsidRPr="004F0D73">
        <w:rPr>
          <w:rFonts w:cstheme="minorHAnsi"/>
          <w:lang w:eastAsia="zh-CN"/>
        </w:rPr>
        <w:t>并考虑各研究组在研究这些问题上的主导作用</w:t>
      </w:r>
      <w:r w:rsidRPr="004F0D73">
        <w:rPr>
          <w:rFonts w:cstheme="minorHAnsi"/>
          <w:lang w:val="fr-CH" w:eastAsia="zh-CN"/>
        </w:rPr>
        <w:t>，建立、终止或保留其它小组，任命其主席和副主席并确定其职责范围，明确其任期，但此类其它组不得通过课题或建议书；</w:t>
      </w:r>
    </w:p>
    <w:p w:rsidR="00CD1761" w:rsidRDefault="00CD1761" w:rsidP="00CD1761">
      <w:pPr>
        <w:rPr>
          <w:rFonts w:cstheme="minorHAnsi"/>
          <w:lang w:eastAsia="zh-CN"/>
        </w:rPr>
      </w:pPr>
      <w:r w:rsidRPr="004F0D73">
        <w:rPr>
          <w:rFonts w:cstheme="minorHAnsi"/>
          <w:lang w:eastAsia="zh-CN"/>
        </w:rPr>
        <w:lastRenderedPageBreak/>
        <w:t>xii)</w:t>
      </w:r>
      <w:r w:rsidRPr="004F0D73">
        <w:rPr>
          <w:rFonts w:cstheme="minorHAnsi"/>
          <w:lang w:eastAsia="zh-CN"/>
        </w:rPr>
        <w:tab/>
      </w:r>
      <w:r w:rsidRPr="004F0D73">
        <w:rPr>
          <w:rFonts w:cstheme="minorHAnsi"/>
          <w:lang w:eastAsia="zh-CN"/>
        </w:rPr>
        <w:t>就制定和实施有关电子工作方法行动计划以及今后电子会议方面的程序和规定（包括法律方面问题）的事宜征求</w:t>
      </w:r>
      <w:r w:rsidRPr="004F0D73">
        <w:rPr>
          <w:rFonts w:cstheme="minorHAnsi"/>
          <w:lang w:val="fr-CH" w:eastAsia="zh-CN"/>
        </w:rPr>
        <w:t>BDT</w:t>
      </w:r>
      <w:r w:rsidRPr="004F0D73">
        <w:rPr>
          <w:rFonts w:cstheme="minorHAnsi"/>
          <w:lang w:eastAsia="zh-CN"/>
        </w:rPr>
        <w:t>主任的意见，同时考虑到发展中国家，尤其是最不发达国家的需要和手段；</w:t>
      </w:r>
    </w:p>
    <w:p w:rsidR="00393931" w:rsidRDefault="00393931" w:rsidP="00CD1761">
      <w:pPr>
        <w:rPr>
          <w:rFonts w:cstheme="minorHAnsi"/>
          <w:lang w:eastAsia="zh-CN"/>
        </w:rPr>
      </w:pPr>
      <w:r>
        <w:rPr>
          <w:rFonts w:cstheme="minorHAnsi" w:hint="eastAsia"/>
          <w:lang w:eastAsia="zh-CN"/>
        </w:rPr>
        <w:t>2.4</w:t>
      </w:r>
      <w:r>
        <w:rPr>
          <w:rFonts w:cstheme="minorHAnsi" w:hint="eastAsia"/>
          <w:lang w:eastAsia="zh-CN"/>
        </w:rPr>
        <w:tab/>
      </w:r>
      <w:r w:rsidRPr="004F0D73">
        <w:rPr>
          <w:rFonts w:cstheme="minorHAnsi"/>
          <w:lang w:eastAsia="zh-CN"/>
        </w:rPr>
        <w:t>TDAG</w:t>
      </w:r>
      <w:r w:rsidR="00EC24D5">
        <w:rPr>
          <w:rFonts w:cstheme="minorHAnsi" w:hint="eastAsia"/>
          <w:lang w:eastAsia="zh-CN"/>
        </w:rPr>
        <w:t>需</w:t>
      </w:r>
      <w:r w:rsidRPr="004F0D73">
        <w:rPr>
          <w:rFonts w:cstheme="minorHAnsi"/>
          <w:lang w:eastAsia="zh-CN"/>
        </w:rPr>
        <w:t>在其会议上及时</w:t>
      </w:r>
      <w:r w:rsidR="00EC24D5">
        <w:rPr>
          <w:rFonts w:cstheme="minorHAnsi" w:hint="eastAsia"/>
          <w:lang w:eastAsia="zh-CN"/>
        </w:rPr>
        <w:t>迅速</w:t>
      </w:r>
      <w:r w:rsidRPr="004F0D73">
        <w:rPr>
          <w:rFonts w:cstheme="minorHAnsi"/>
          <w:lang w:eastAsia="zh-CN"/>
        </w:rPr>
        <w:t>审议国际电联全权代表大会和其它大会及全会所做各项决定中有关</w:t>
      </w:r>
      <w:r w:rsidRPr="004F0D73">
        <w:rPr>
          <w:rFonts w:cstheme="minorHAnsi"/>
          <w:lang w:eastAsia="zh-CN"/>
        </w:rPr>
        <w:t>ITU-D</w:t>
      </w:r>
      <w:r w:rsidRPr="004F0D73">
        <w:rPr>
          <w:rFonts w:cstheme="minorHAnsi"/>
          <w:lang w:eastAsia="zh-CN"/>
        </w:rPr>
        <w:t>工作的内容</w:t>
      </w:r>
      <w:r>
        <w:rPr>
          <w:rFonts w:cstheme="minorHAnsi" w:hint="eastAsia"/>
          <w:lang w:eastAsia="zh-CN"/>
        </w:rPr>
        <w:t>。</w:t>
      </w:r>
    </w:p>
    <w:p w:rsidR="00393931" w:rsidRDefault="00393931" w:rsidP="00EC24D5">
      <w:pPr>
        <w:rPr>
          <w:szCs w:val="24"/>
          <w:lang w:val="en-US" w:eastAsia="zh-CN"/>
        </w:rPr>
      </w:pPr>
      <w:r>
        <w:rPr>
          <w:rFonts w:cstheme="minorHAnsi"/>
          <w:lang w:eastAsia="zh-CN"/>
        </w:rPr>
        <w:t>2.5</w:t>
      </w:r>
      <w:r>
        <w:rPr>
          <w:rFonts w:cstheme="minorHAnsi"/>
          <w:lang w:eastAsia="zh-CN"/>
        </w:rPr>
        <w:tab/>
        <w:t>WTDC</w:t>
      </w:r>
      <w:r>
        <w:rPr>
          <w:rFonts w:cstheme="minorHAnsi"/>
          <w:lang w:eastAsia="zh-CN"/>
        </w:rPr>
        <w:t>可</w:t>
      </w:r>
      <w:r w:rsidRPr="004F0D73">
        <w:rPr>
          <w:rFonts w:cstheme="minorHAnsi"/>
          <w:lang w:val="fr-CH" w:eastAsia="zh-CN"/>
        </w:rPr>
        <w:t>根据《公约》第</w:t>
      </w:r>
      <w:r w:rsidRPr="004F0D73">
        <w:rPr>
          <w:rFonts w:cstheme="minorHAnsi"/>
          <w:lang w:val="fr-CH" w:eastAsia="zh-CN"/>
        </w:rPr>
        <w:t>213A</w:t>
      </w:r>
      <w:r w:rsidRPr="004F0D73">
        <w:rPr>
          <w:rFonts w:cstheme="minorHAnsi"/>
          <w:lang w:val="fr-CH" w:eastAsia="zh-CN"/>
        </w:rPr>
        <w:t>款在其权限范围内分配</w:t>
      </w:r>
      <w:r w:rsidRPr="004F0D73">
        <w:rPr>
          <w:rFonts w:cstheme="minorHAnsi"/>
          <w:lang w:val="fr-CH" w:eastAsia="zh-CN"/>
        </w:rPr>
        <w:t>TDAG</w:t>
      </w:r>
      <w:r w:rsidRPr="004F0D73">
        <w:rPr>
          <w:rFonts w:cstheme="minorHAnsi"/>
          <w:lang w:val="fr-CH" w:eastAsia="zh-CN"/>
        </w:rPr>
        <w:t>解决具体问题，并就建议针对这些问题采取的行动做出说明</w:t>
      </w:r>
      <w:r>
        <w:rPr>
          <w:rFonts w:cstheme="minorHAnsi" w:hint="eastAsia"/>
          <w:lang w:val="fr-CH" w:eastAsia="zh-CN"/>
        </w:rPr>
        <w:t>。</w:t>
      </w:r>
    </w:p>
    <w:p w:rsidR="001B445D" w:rsidRDefault="001B445D" w:rsidP="00393931">
      <w:pPr>
        <w:pStyle w:val="Heading1"/>
        <w:rPr>
          <w:szCs w:val="28"/>
          <w:lang w:eastAsia="zh-CN"/>
        </w:rPr>
      </w:pPr>
      <w:r>
        <w:rPr>
          <w:szCs w:val="28"/>
          <w:lang w:eastAsia="zh-CN"/>
        </w:rPr>
        <w:t>3</w:t>
      </w:r>
      <w:r>
        <w:rPr>
          <w:szCs w:val="28"/>
          <w:lang w:eastAsia="zh-CN"/>
        </w:rPr>
        <w:tab/>
      </w:r>
      <w:r w:rsidR="00393931">
        <w:rPr>
          <w:rFonts w:hint="eastAsia"/>
          <w:szCs w:val="28"/>
          <w:lang w:eastAsia="zh-CN"/>
        </w:rPr>
        <w:t>工作</w:t>
      </w:r>
      <w:r w:rsidR="00393931">
        <w:rPr>
          <w:szCs w:val="28"/>
          <w:lang w:eastAsia="zh-CN"/>
        </w:rPr>
        <w:t>方法</w:t>
      </w:r>
    </w:p>
    <w:p w:rsidR="00393931" w:rsidRDefault="00393931" w:rsidP="005F01D3">
      <w:pPr>
        <w:rPr>
          <w:szCs w:val="24"/>
          <w:lang w:eastAsia="zh-CN"/>
        </w:rPr>
      </w:pPr>
      <w:bookmarkStart w:id="11" w:name="lt_pId039"/>
      <w:r>
        <w:rPr>
          <w:rFonts w:cs="Calibri"/>
          <w:szCs w:val="24"/>
          <w:lang w:val="en-US" w:eastAsia="zh-CN"/>
        </w:rPr>
        <w:t>3.1</w:t>
      </w:r>
      <w:r>
        <w:rPr>
          <w:rFonts w:cs="Calibri"/>
          <w:szCs w:val="24"/>
          <w:lang w:val="en-US" w:eastAsia="zh-CN"/>
        </w:rPr>
        <w:tab/>
      </w:r>
      <w:r>
        <w:rPr>
          <w:rFonts w:cs="Calibri" w:hint="eastAsia"/>
          <w:szCs w:val="24"/>
          <w:lang w:val="en-US" w:eastAsia="zh-CN"/>
        </w:rPr>
        <w:t>有</w:t>
      </w:r>
      <w:r>
        <w:rPr>
          <w:rFonts w:cs="Calibri"/>
          <w:szCs w:val="24"/>
          <w:lang w:val="en-US" w:eastAsia="zh-CN"/>
        </w:rPr>
        <w:t>关工作方法，</w:t>
      </w:r>
      <w:r>
        <w:rPr>
          <w:rFonts w:cs="Calibri"/>
          <w:szCs w:val="24"/>
          <w:lang w:val="en-US" w:eastAsia="zh-CN"/>
        </w:rPr>
        <w:t>WTDC</w:t>
      </w:r>
      <w:r>
        <w:rPr>
          <w:rFonts w:cs="Calibri"/>
          <w:szCs w:val="24"/>
          <w:lang w:val="en-US" w:eastAsia="zh-CN"/>
        </w:rPr>
        <w:t>第</w:t>
      </w:r>
      <w:r>
        <w:rPr>
          <w:rFonts w:cs="Calibri" w:hint="eastAsia"/>
          <w:szCs w:val="24"/>
          <w:lang w:val="en-US" w:eastAsia="zh-CN"/>
        </w:rPr>
        <w:t>1</w:t>
      </w:r>
      <w:r>
        <w:rPr>
          <w:rFonts w:cs="Calibri" w:hint="eastAsia"/>
          <w:szCs w:val="24"/>
          <w:lang w:val="en-US" w:eastAsia="zh-CN"/>
        </w:rPr>
        <w:t>号</w:t>
      </w:r>
      <w:r>
        <w:rPr>
          <w:rFonts w:cs="Calibri"/>
          <w:szCs w:val="24"/>
          <w:lang w:val="en-US" w:eastAsia="zh-CN"/>
        </w:rPr>
        <w:t>决议</w:t>
      </w:r>
      <w:r>
        <w:rPr>
          <w:szCs w:val="24"/>
          <w:lang w:eastAsia="zh-CN"/>
        </w:rPr>
        <w:t>（</w:t>
      </w:r>
      <w:r>
        <w:rPr>
          <w:rFonts w:hint="eastAsia"/>
          <w:szCs w:val="24"/>
          <w:lang w:eastAsia="zh-CN"/>
        </w:rPr>
        <w:t>2017</w:t>
      </w:r>
      <w:r>
        <w:rPr>
          <w:rFonts w:hint="eastAsia"/>
          <w:szCs w:val="24"/>
          <w:lang w:eastAsia="zh-CN"/>
        </w:rPr>
        <w:t>年</w:t>
      </w:r>
      <w:r>
        <w:rPr>
          <w:szCs w:val="24"/>
          <w:lang w:eastAsia="zh-CN"/>
        </w:rPr>
        <w:t>，布宜诺斯艾利斯，修订</w:t>
      </w:r>
      <w:r>
        <w:rPr>
          <w:rFonts w:hint="eastAsia"/>
          <w:szCs w:val="24"/>
          <w:lang w:eastAsia="zh-CN"/>
        </w:rPr>
        <w:t>版</w:t>
      </w:r>
      <w:r>
        <w:rPr>
          <w:szCs w:val="24"/>
          <w:lang w:eastAsia="zh-CN"/>
        </w:rPr>
        <w:t>）</w:t>
      </w:r>
      <w:r>
        <w:rPr>
          <w:rFonts w:hint="eastAsia"/>
          <w:szCs w:val="24"/>
          <w:lang w:eastAsia="zh-CN"/>
        </w:rPr>
        <w:t>规定</w:t>
      </w:r>
      <w:r>
        <w:rPr>
          <w:szCs w:val="24"/>
          <w:lang w:eastAsia="zh-CN"/>
        </w:rPr>
        <w:t>了各项导则，其中一些概括如下</w:t>
      </w:r>
      <w:r w:rsidR="005F01D3">
        <w:rPr>
          <w:rFonts w:hint="eastAsia"/>
          <w:szCs w:val="24"/>
          <w:lang w:eastAsia="zh-CN"/>
        </w:rPr>
        <w:t>：</w:t>
      </w:r>
    </w:p>
    <w:p w:rsidR="00393931" w:rsidRDefault="00393931" w:rsidP="005F01D3">
      <w:pPr>
        <w:rPr>
          <w:szCs w:val="24"/>
          <w:lang w:eastAsia="zh-CN"/>
        </w:rPr>
      </w:pPr>
      <w:r>
        <w:rPr>
          <w:szCs w:val="24"/>
          <w:lang w:eastAsia="zh-CN"/>
        </w:rPr>
        <w:t>3.2</w:t>
      </w:r>
      <w:r>
        <w:rPr>
          <w:szCs w:val="24"/>
          <w:lang w:eastAsia="zh-CN"/>
        </w:rPr>
        <w:tab/>
        <w:t>TDAG</w:t>
      </w:r>
      <w:r>
        <w:rPr>
          <w:rFonts w:hint="eastAsia"/>
          <w:szCs w:val="24"/>
          <w:lang w:eastAsia="zh-CN"/>
        </w:rPr>
        <w:t>定期</w:t>
      </w:r>
      <w:r>
        <w:rPr>
          <w:szCs w:val="24"/>
          <w:lang w:eastAsia="zh-CN"/>
        </w:rPr>
        <w:t>举办会议，这些会议</w:t>
      </w:r>
      <w:r>
        <w:rPr>
          <w:rFonts w:hint="eastAsia"/>
          <w:szCs w:val="24"/>
          <w:lang w:eastAsia="zh-CN"/>
        </w:rPr>
        <w:t>包含在</w:t>
      </w:r>
      <w:r w:rsidRPr="003833B6">
        <w:rPr>
          <w:szCs w:val="24"/>
          <w:lang w:eastAsia="zh-CN"/>
        </w:rPr>
        <w:t>ITU</w:t>
      </w:r>
      <w:r w:rsidRPr="003833B6">
        <w:rPr>
          <w:szCs w:val="24"/>
          <w:lang w:eastAsia="zh-CN"/>
        </w:rPr>
        <w:noBreakHyphen/>
        <w:t>D</w:t>
      </w:r>
      <w:r>
        <w:rPr>
          <w:rFonts w:hint="eastAsia"/>
          <w:szCs w:val="24"/>
          <w:lang w:eastAsia="zh-CN"/>
        </w:rPr>
        <w:t>活动</w:t>
      </w:r>
      <w:r>
        <w:rPr>
          <w:szCs w:val="24"/>
          <w:lang w:eastAsia="zh-CN"/>
        </w:rPr>
        <w:t>日历中。每年</w:t>
      </w:r>
      <w:r>
        <w:rPr>
          <w:rFonts w:hint="eastAsia"/>
          <w:szCs w:val="24"/>
          <w:lang w:eastAsia="zh-CN"/>
        </w:rPr>
        <w:t>至少</w:t>
      </w:r>
      <w:r>
        <w:rPr>
          <w:szCs w:val="24"/>
          <w:lang w:eastAsia="zh-CN"/>
        </w:rPr>
        <w:t>召开一次面对面的会议。</w:t>
      </w:r>
      <w:r w:rsidR="005F01D3">
        <w:rPr>
          <w:rFonts w:hint="eastAsia"/>
          <w:szCs w:val="24"/>
          <w:lang w:eastAsia="zh-CN"/>
        </w:rPr>
        <w:t>这些</w:t>
      </w:r>
      <w:r w:rsidR="005F01D3">
        <w:rPr>
          <w:szCs w:val="24"/>
          <w:lang w:eastAsia="zh-CN"/>
        </w:rPr>
        <w:t>年度</w:t>
      </w:r>
      <w:r w:rsidRPr="004F0D73">
        <w:rPr>
          <w:rFonts w:cstheme="minorHAnsi"/>
          <w:lang w:eastAsia="zh-CN"/>
        </w:rPr>
        <w:t>会议召开的时间应为</w:t>
      </w:r>
      <w:r w:rsidRPr="004F0D73">
        <w:rPr>
          <w:rFonts w:cstheme="minorHAnsi"/>
          <w:lang w:eastAsia="zh-CN"/>
        </w:rPr>
        <w:t>TDAG</w:t>
      </w:r>
      <w:r w:rsidRPr="004F0D73">
        <w:rPr>
          <w:rFonts w:cstheme="minorHAnsi"/>
          <w:lang w:eastAsia="zh-CN"/>
        </w:rPr>
        <w:t>有效审议</w:t>
      </w:r>
      <w:r w:rsidR="005F01D3">
        <w:rPr>
          <w:rFonts w:cstheme="minorHAnsi" w:hint="eastAsia"/>
          <w:lang w:eastAsia="zh-CN"/>
        </w:rPr>
        <w:t>需国际电联</w:t>
      </w:r>
      <w:r w:rsidR="005F01D3">
        <w:rPr>
          <w:rFonts w:cstheme="minorHAnsi"/>
          <w:lang w:eastAsia="zh-CN"/>
        </w:rPr>
        <w:t>理事会</w:t>
      </w:r>
      <w:r w:rsidRPr="004F0D73">
        <w:rPr>
          <w:rFonts w:cstheme="minorHAnsi"/>
          <w:lang w:eastAsia="zh-CN"/>
        </w:rPr>
        <w:t>通过并</w:t>
      </w:r>
      <w:r w:rsidR="005F01D3">
        <w:rPr>
          <w:rFonts w:cstheme="minorHAnsi" w:hint="eastAsia"/>
          <w:lang w:eastAsia="zh-CN"/>
        </w:rPr>
        <w:t>由</w:t>
      </w:r>
      <w:r w:rsidR="005F01D3">
        <w:rPr>
          <w:rFonts w:cstheme="minorHAnsi"/>
          <w:lang w:eastAsia="zh-CN"/>
        </w:rPr>
        <w:t>电信发展局</w:t>
      </w:r>
      <w:r w:rsidRPr="004F0D73">
        <w:rPr>
          <w:rFonts w:cstheme="minorHAnsi"/>
          <w:lang w:eastAsia="zh-CN"/>
        </w:rPr>
        <w:t>实施的运作规划草案留有余地。</w:t>
      </w:r>
      <w:r>
        <w:rPr>
          <w:rFonts w:cstheme="minorHAnsi" w:hint="eastAsia"/>
          <w:lang w:eastAsia="zh-CN"/>
        </w:rPr>
        <w:t>在</w:t>
      </w:r>
      <w:r>
        <w:rPr>
          <w:rFonts w:cstheme="minorHAnsi"/>
          <w:lang w:eastAsia="zh-CN"/>
        </w:rPr>
        <w:t>规划阶段，</w:t>
      </w:r>
      <w:r w:rsidR="005F01D3">
        <w:rPr>
          <w:rFonts w:cstheme="minorHAnsi" w:hint="eastAsia"/>
          <w:lang w:eastAsia="zh-CN"/>
        </w:rPr>
        <w:t>还</w:t>
      </w:r>
      <w:r>
        <w:rPr>
          <w:rFonts w:cstheme="minorHAnsi"/>
          <w:lang w:eastAsia="zh-CN"/>
        </w:rPr>
        <w:t>必须竭尽全力确保</w:t>
      </w:r>
      <w:r>
        <w:rPr>
          <w:rFonts w:cstheme="minorHAnsi"/>
          <w:lang w:eastAsia="zh-CN"/>
        </w:rPr>
        <w:t>TDAG</w:t>
      </w:r>
      <w:r>
        <w:rPr>
          <w:rFonts w:cstheme="minorHAnsi"/>
          <w:lang w:eastAsia="zh-CN"/>
        </w:rPr>
        <w:t>会议不与各研究组会议冲突。</w:t>
      </w:r>
      <w:r>
        <w:rPr>
          <w:rFonts w:cstheme="minorHAnsi" w:hint="eastAsia"/>
          <w:lang w:eastAsia="zh-CN"/>
        </w:rPr>
        <w:t>可</w:t>
      </w:r>
      <w:r>
        <w:rPr>
          <w:rFonts w:cstheme="minorHAnsi"/>
          <w:lang w:eastAsia="zh-CN"/>
        </w:rPr>
        <w:t>能</w:t>
      </w:r>
      <w:r>
        <w:rPr>
          <w:rFonts w:cstheme="minorHAnsi" w:hint="eastAsia"/>
          <w:lang w:eastAsia="zh-CN"/>
        </w:rPr>
        <w:t>时，</w:t>
      </w:r>
      <w:r w:rsidRPr="007A7AFB">
        <w:rPr>
          <w:szCs w:val="24"/>
          <w:lang w:eastAsia="zh-CN"/>
        </w:rPr>
        <w:t>TDAG</w:t>
      </w:r>
      <w:r>
        <w:rPr>
          <w:rFonts w:hint="eastAsia"/>
          <w:szCs w:val="24"/>
          <w:lang w:eastAsia="zh-CN"/>
        </w:rPr>
        <w:t>、</w:t>
      </w:r>
      <w:r>
        <w:rPr>
          <w:szCs w:val="24"/>
          <w:lang w:eastAsia="zh-CN"/>
        </w:rPr>
        <w:t>RAG</w:t>
      </w:r>
      <w:r>
        <w:rPr>
          <w:rFonts w:hint="eastAsia"/>
          <w:szCs w:val="24"/>
          <w:lang w:eastAsia="zh-CN"/>
        </w:rPr>
        <w:t>和</w:t>
      </w:r>
      <w:r w:rsidRPr="007A7AFB">
        <w:rPr>
          <w:szCs w:val="24"/>
          <w:lang w:eastAsia="zh-CN"/>
        </w:rPr>
        <w:t>TSAG</w:t>
      </w:r>
      <w:r>
        <w:rPr>
          <w:rFonts w:hint="eastAsia"/>
          <w:szCs w:val="24"/>
          <w:lang w:eastAsia="zh-CN"/>
        </w:rPr>
        <w:t>会议</w:t>
      </w:r>
      <w:r w:rsidR="005F01D3">
        <w:rPr>
          <w:rFonts w:hint="eastAsia"/>
          <w:szCs w:val="24"/>
          <w:lang w:eastAsia="zh-CN"/>
        </w:rPr>
        <w:t>接续</w:t>
      </w:r>
      <w:r>
        <w:rPr>
          <w:szCs w:val="24"/>
          <w:lang w:eastAsia="zh-CN"/>
        </w:rPr>
        <w:t>召开。</w:t>
      </w:r>
    </w:p>
    <w:p w:rsidR="00393931" w:rsidRDefault="00393931" w:rsidP="005F01D3">
      <w:pPr>
        <w:rPr>
          <w:rFonts w:cstheme="minorHAnsi"/>
          <w:lang w:eastAsia="zh-CN"/>
        </w:rPr>
      </w:pPr>
      <w:r>
        <w:rPr>
          <w:szCs w:val="24"/>
          <w:lang w:eastAsia="zh-CN"/>
        </w:rPr>
        <w:t>3.3</w:t>
      </w:r>
      <w:r>
        <w:rPr>
          <w:szCs w:val="24"/>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005F01D3">
        <w:rPr>
          <w:rFonts w:cstheme="minorHAnsi" w:hint="eastAsia"/>
          <w:lang w:eastAsia="zh-CN"/>
        </w:rPr>
        <w:t>电信发展局</w:t>
      </w:r>
      <w:r w:rsidRPr="004F0D73">
        <w:rPr>
          <w:rFonts w:cstheme="minorHAnsi"/>
          <w:lang w:eastAsia="zh-CN"/>
        </w:rPr>
        <w:t>主任合作，事先做好准备，确定重大议题等。</w:t>
      </w:r>
    </w:p>
    <w:p w:rsidR="00393931" w:rsidRDefault="00393931" w:rsidP="005F01D3">
      <w:pPr>
        <w:rPr>
          <w:rFonts w:cstheme="minorHAnsi"/>
          <w:lang w:eastAsia="zh-CN"/>
        </w:rPr>
      </w:pPr>
      <w:r>
        <w:rPr>
          <w:rFonts w:cstheme="minorHAnsi" w:hint="eastAsia"/>
          <w:lang w:eastAsia="zh-CN"/>
        </w:rPr>
        <w:t>3.5</w:t>
      </w:r>
      <w:r>
        <w:rPr>
          <w:rFonts w:cstheme="minorHAnsi" w:hint="eastAsia"/>
          <w:lang w:eastAsia="zh-CN"/>
        </w:rPr>
        <w:tab/>
      </w:r>
      <w:r w:rsidR="007C2807" w:rsidRPr="004F0D73">
        <w:rPr>
          <w:rFonts w:cstheme="minorHAnsi"/>
          <w:lang w:eastAsia="zh-CN"/>
        </w:rPr>
        <w:t>总之，</w:t>
      </w:r>
      <w:r w:rsidR="005F01D3">
        <w:rPr>
          <w:rFonts w:cstheme="minorHAnsi" w:hint="eastAsia"/>
          <w:lang w:eastAsia="zh-CN"/>
        </w:rPr>
        <w:t>WTDC</w:t>
      </w:r>
      <w:r w:rsidR="005F01D3">
        <w:rPr>
          <w:rFonts w:cstheme="minorHAnsi"/>
          <w:lang w:eastAsia="zh-CN"/>
        </w:rPr>
        <w:t>第</w:t>
      </w:r>
      <w:r w:rsidR="005F01D3">
        <w:rPr>
          <w:rFonts w:cstheme="minorHAnsi" w:hint="eastAsia"/>
          <w:lang w:eastAsia="zh-CN"/>
        </w:rPr>
        <w:t>1</w:t>
      </w:r>
      <w:r w:rsidR="005F01D3">
        <w:rPr>
          <w:rFonts w:cstheme="minorHAnsi" w:hint="eastAsia"/>
          <w:lang w:eastAsia="zh-CN"/>
        </w:rPr>
        <w:t>号</w:t>
      </w:r>
      <w:r w:rsidR="007C2807" w:rsidRPr="004F0D73">
        <w:rPr>
          <w:rFonts w:cstheme="minorHAnsi"/>
          <w:lang w:eastAsia="zh-CN"/>
        </w:rPr>
        <w:t>决议</w:t>
      </w:r>
      <w:r w:rsidR="005F01D3">
        <w:rPr>
          <w:szCs w:val="24"/>
          <w:lang w:eastAsia="zh-CN"/>
        </w:rPr>
        <w:t>（</w:t>
      </w:r>
      <w:r w:rsidR="005F01D3">
        <w:rPr>
          <w:rFonts w:hint="eastAsia"/>
          <w:szCs w:val="24"/>
          <w:lang w:eastAsia="zh-CN"/>
        </w:rPr>
        <w:t>2017</w:t>
      </w:r>
      <w:r w:rsidR="005F01D3">
        <w:rPr>
          <w:rFonts w:hint="eastAsia"/>
          <w:szCs w:val="24"/>
          <w:lang w:eastAsia="zh-CN"/>
        </w:rPr>
        <w:t>年</w:t>
      </w:r>
      <w:r w:rsidR="005F01D3">
        <w:rPr>
          <w:szCs w:val="24"/>
          <w:lang w:eastAsia="zh-CN"/>
        </w:rPr>
        <w:t>，布宜诺斯艾利斯，修订</w:t>
      </w:r>
      <w:r w:rsidR="005F01D3">
        <w:rPr>
          <w:rFonts w:hint="eastAsia"/>
          <w:szCs w:val="24"/>
          <w:lang w:eastAsia="zh-CN"/>
        </w:rPr>
        <w:t>版</w:t>
      </w:r>
      <w:r w:rsidR="005F01D3">
        <w:rPr>
          <w:szCs w:val="24"/>
          <w:lang w:eastAsia="zh-CN"/>
        </w:rPr>
        <w:t>）</w:t>
      </w:r>
      <w:r w:rsidR="007C2807" w:rsidRPr="004F0D73">
        <w:rPr>
          <w:rFonts w:cstheme="minorHAnsi"/>
          <w:lang w:eastAsia="zh-CN"/>
        </w:rPr>
        <w:t>为研究组规定的程序规则也同样适用于</w:t>
      </w:r>
      <w:r w:rsidR="007C2807" w:rsidRPr="004F0D73">
        <w:rPr>
          <w:rFonts w:cstheme="minorHAnsi"/>
          <w:lang w:eastAsia="zh-CN"/>
        </w:rPr>
        <w:t>TDAG</w:t>
      </w:r>
      <w:r w:rsidR="007C2807" w:rsidRPr="004F0D73">
        <w:rPr>
          <w:rFonts w:cstheme="minorHAnsi"/>
          <w:lang w:eastAsia="zh-CN"/>
        </w:rPr>
        <w:t>及其会议，例如适用于其文稿的提交。</w:t>
      </w:r>
      <w:bookmarkStart w:id="12" w:name="_GoBack"/>
      <w:bookmarkEnd w:id="12"/>
    </w:p>
    <w:p w:rsidR="007C2807" w:rsidRDefault="007C2807" w:rsidP="005F01D3">
      <w:pPr>
        <w:rPr>
          <w:rFonts w:cstheme="minorHAnsi"/>
          <w:lang w:eastAsia="zh-CN"/>
        </w:rPr>
      </w:pPr>
      <w:r>
        <w:rPr>
          <w:rFonts w:cstheme="minorHAnsi" w:hint="eastAsia"/>
          <w:lang w:eastAsia="zh-CN"/>
        </w:rPr>
        <w:t>3.6</w:t>
      </w:r>
      <w:r>
        <w:rPr>
          <w:rFonts w:cstheme="minorHAnsi"/>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管理团队内部及其与电信发展局之间应尽可能以电子方式保持联系，每年至少召开一次会议，以便妥善组织即将召开的会议，包括时间管理计划的审议和批准。</w:t>
      </w:r>
    </w:p>
    <w:p w:rsidR="007C2807" w:rsidRDefault="007C2807" w:rsidP="005F01D3">
      <w:pPr>
        <w:rPr>
          <w:rFonts w:cstheme="minorHAnsi"/>
          <w:lang w:eastAsia="zh-CN"/>
        </w:rPr>
      </w:pPr>
      <w:r>
        <w:rPr>
          <w:rFonts w:cstheme="minorHAnsi" w:hint="eastAsia"/>
          <w:lang w:eastAsia="zh-CN"/>
        </w:rPr>
        <w:t>3.7</w:t>
      </w:r>
      <w:r>
        <w:rPr>
          <w:rFonts w:cstheme="minorHAnsi" w:hint="eastAsia"/>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w:t>
      </w:r>
      <w:r w:rsidR="005F01D3">
        <w:rPr>
          <w:rFonts w:cstheme="minorHAnsi" w:hint="eastAsia"/>
          <w:lang w:eastAsia="zh-CN"/>
        </w:rPr>
        <w:t>WTDC</w:t>
      </w:r>
      <w:r w:rsidR="005F01D3">
        <w:rPr>
          <w:rFonts w:cstheme="minorHAnsi"/>
          <w:lang w:eastAsia="zh-CN"/>
        </w:rPr>
        <w:t>第</w:t>
      </w:r>
      <w:r w:rsidR="005F01D3">
        <w:rPr>
          <w:rFonts w:cstheme="minorHAnsi" w:hint="eastAsia"/>
          <w:lang w:eastAsia="zh-CN"/>
        </w:rPr>
        <w:t>1</w:t>
      </w:r>
      <w:r w:rsidR="005F01D3">
        <w:rPr>
          <w:rFonts w:cstheme="minorHAnsi" w:hint="eastAsia"/>
          <w:lang w:eastAsia="zh-CN"/>
        </w:rPr>
        <w:t>号</w:t>
      </w:r>
      <w:r w:rsidR="005F01D3">
        <w:rPr>
          <w:rFonts w:cstheme="minorHAnsi"/>
          <w:lang w:eastAsia="zh-CN"/>
        </w:rPr>
        <w:t>决议</w:t>
      </w:r>
      <w:r w:rsidR="005F01D3">
        <w:rPr>
          <w:szCs w:val="24"/>
          <w:lang w:eastAsia="zh-CN"/>
        </w:rPr>
        <w:t>（</w:t>
      </w:r>
      <w:r w:rsidR="005F01D3">
        <w:rPr>
          <w:rFonts w:hint="eastAsia"/>
          <w:szCs w:val="24"/>
          <w:lang w:eastAsia="zh-CN"/>
        </w:rPr>
        <w:t>2017</w:t>
      </w:r>
      <w:r w:rsidR="005F01D3">
        <w:rPr>
          <w:rFonts w:hint="eastAsia"/>
          <w:szCs w:val="24"/>
          <w:lang w:eastAsia="zh-CN"/>
        </w:rPr>
        <w:t>年</w:t>
      </w:r>
      <w:r w:rsidR="005F01D3">
        <w:rPr>
          <w:szCs w:val="24"/>
          <w:lang w:eastAsia="zh-CN"/>
        </w:rPr>
        <w:t>，布宜诺斯艾利斯，修订</w:t>
      </w:r>
      <w:r w:rsidR="005F01D3">
        <w:rPr>
          <w:rFonts w:hint="eastAsia"/>
          <w:szCs w:val="24"/>
          <w:lang w:eastAsia="zh-CN"/>
        </w:rPr>
        <w:t>版</w:t>
      </w:r>
      <w:r w:rsidR="005F01D3">
        <w:rPr>
          <w:szCs w:val="24"/>
          <w:lang w:eastAsia="zh-CN"/>
        </w:rPr>
        <w:t>）</w:t>
      </w:r>
      <w:r w:rsidRPr="004F0D73">
        <w:rPr>
          <w:rFonts w:cstheme="minorHAnsi"/>
          <w:lang w:eastAsia="zh-CN"/>
        </w:rPr>
        <w:t>工作程序</w:t>
      </w:r>
      <w:r w:rsidR="005F01D3">
        <w:rPr>
          <w:rFonts w:cstheme="minorHAnsi" w:hint="eastAsia"/>
          <w:lang w:eastAsia="zh-CN"/>
        </w:rPr>
        <w:t>中</w:t>
      </w:r>
      <w:r w:rsidR="005F01D3">
        <w:rPr>
          <w:rFonts w:cstheme="minorHAnsi"/>
          <w:lang w:eastAsia="zh-CN"/>
        </w:rPr>
        <w:t>的</w:t>
      </w:r>
      <w:r w:rsidRPr="004F0D73">
        <w:rPr>
          <w:rFonts w:cstheme="minorHAnsi"/>
          <w:lang w:eastAsia="zh-CN"/>
        </w:rPr>
        <w:t>程序</w:t>
      </w:r>
      <w:r w:rsidR="005F01D3">
        <w:rPr>
          <w:rFonts w:cstheme="minorHAnsi" w:hint="eastAsia"/>
          <w:lang w:eastAsia="zh-CN"/>
        </w:rPr>
        <w:t>或</w:t>
      </w:r>
      <w:r w:rsidR="005F01D3">
        <w:rPr>
          <w:rFonts w:cstheme="minorHAnsi"/>
          <w:lang w:eastAsia="zh-CN"/>
        </w:rPr>
        <w:t>修订程序</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号决议并在现有财务资源范围内酌情成立研究某项议题的其他组。</w:t>
      </w:r>
    </w:p>
    <w:p w:rsidR="007C2807" w:rsidRDefault="007C2807" w:rsidP="0040703D">
      <w:pPr>
        <w:rPr>
          <w:rFonts w:cstheme="minorHAnsi"/>
          <w:lang w:eastAsia="zh-CN"/>
        </w:rPr>
      </w:pPr>
      <w:r>
        <w:rPr>
          <w:rFonts w:cstheme="minorHAnsi" w:hint="eastAsia"/>
          <w:lang w:eastAsia="zh-CN"/>
        </w:rPr>
        <w:t>3.8</w:t>
      </w:r>
      <w:r>
        <w:rPr>
          <w:rFonts w:cstheme="minorHAnsi" w:hint="eastAsia"/>
          <w:lang w:eastAsia="zh-CN"/>
        </w:rPr>
        <w:tab/>
      </w:r>
      <w:r>
        <w:rPr>
          <w:rFonts w:cstheme="minorHAnsi" w:hint="eastAsia"/>
          <w:lang w:eastAsia="zh-CN"/>
        </w:rPr>
        <w:t>除</w:t>
      </w:r>
      <w:r>
        <w:rPr>
          <w:rFonts w:cstheme="minorHAnsi"/>
          <w:lang w:eastAsia="zh-CN"/>
        </w:rPr>
        <w:t>其它职责外，</w:t>
      </w:r>
      <w:r>
        <w:rPr>
          <w:rFonts w:cstheme="minorHAnsi"/>
          <w:lang w:eastAsia="zh-CN"/>
        </w:rPr>
        <w:t>TDAG</w:t>
      </w:r>
      <w:r>
        <w:rPr>
          <w:rFonts w:cstheme="minorHAnsi"/>
          <w:lang w:eastAsia="zh-CN"/>
        </w:rPr>
        <w:t>应与相关区域代表处和地区办事处</w:t>
      </w:r>
      <w:r w:rsidR="0040703D">
        <w:rPr>
          <w:rFonts w:cstheme="minorHAnsi" w:hint="eastAsia"/>
          <w:lang w:eastAsia="zh-CN"/>
        </w:rPr>
        <w:t>以及当地</w:t>
      </w:r>
      <w:r>
        <w:rPr>
          <w:rFonts w:cstheme="minorHAnsi"/>
          <w:lang w:eastAsia="zh-CN"/>
        </w:rPr>
        <w:t>的成员</w:t>
      </w:r>
      <w:r w:rsidR="0040703D">
        <w:rPr>
          <w:rFonts w:cstheme="minorHAnsi" w:hint="eastAsia"/>
          <w:lang w:eastAsia="zh-CN"/>
        </w:rPr>
        <w:t>接触</w:t>
      </w:r>
      <w:r w:rsidR="0040703D">
        <w:rPr>
          <w:rFonts w:cstheme="minorHAnsi"/>
          <w:lang w:eastAsia="zh-CN"/>
        </w:rPr>
        <w:t>，</w:t>
      </w:r>
      <w:r>
        <w:rPr>
          <w:rFonts w:cstheme="minorHAnsi"/>
          <w:lang w:eastAsia="zh-CN"/>
        </w:rPr>
        <w:t>以便</w:t>
      </w:r>
      <w:r>
        <w:rPr>
          <w:rFonts w:cstheme="minorHAnsi" w:hint="eastAsia"/>
          <w:lang w:eastAsia="zh-CN"/>
        </w:rPr>
        <w:t>跟进</w:t>
      </w:r>
      <w:r>
        <w:rPr>
          <w:rFonts w:cstheme="minorHAnsi"/>
          <w:lang w:eastAsia="zh-CN"/>
        </w:rPr>
        <w:t>区域性举措的进展情况。</w:t>
      </w:r>
    </w:p>
    <w:p w:rsidR="007C2807" w:rsidRPr="007C2807" w:rsidRDefault="007C2807" w:rsidP="0040703D">
      <w:pPr>
        <w:rPr>
          <w:rFonts w:cs="Calibri"/>
          <w:szCs w:val="24"/>
          <w:lang w:eastAsia="zh-CN"/>
        </w:rPr>
      </w:pPr>
      <w:r>
        <w:rPr>
          <w:rFonts w:cs="Calibri"/>
          <w:szCs w:val="24"/>
          <w:lang w:eastAsia="zh-CN"/>
        </w:rPr>
        <w:t>3.9</w:t>
      </w:r>
      <w:r>
        <w:rPr>
          <w:rFonts w:cs="Calibri"/>
          <w:szCs w:val="24"/>
          <w:lang w:eastAsia="zh-CN"/>
        </w:rPr>
        <w:tab/>
      </w:r>
      <w:r w:rsidRPr="004F0D73">
        <w:rPr>
          <w:rFonts w:cstheme="minorHAnsi"/>
          <w:lang w:eastAsia="zh-CN"/>
        </w:rPr>
        <w:t>秘书处在每次</w:t>
      </w:r>
      <w:r w:rsidRPr="004F0D73">
        <w:rPr>
          <w:rFonts w:cstheme="minorHAnsi"/>
          <w:lang w:eastAsia="zh-CN"/>
        </w:rPr>
        <w:t>TDAG</w:t>
      </w:r>
      <w:r w:rsidRPr="004F0D73">
        <w:rPr>
          <w:rFonts w:cstheme="minorHAnsi"/>
          <w:lang w:eastAsia="zh-CN"/>
        </w:rPr>
        <w:t>会议之后</w:t>
      </w:r>
      <w:r w:rsidR="0040703D">
        <w:rPr>
          <w:rFonts w:cstheme="minorHAnsi" w:hint="eastAsia"/>
          <w:lang w:eastAsia="zh-CN"/>
        </w:rPr>
        <w:t>，</w:t>
      </w:r>
      <w:r w:rsidR="0040703D">
        <w:rPr>
          <w:rFonts w:cstheme="minorHAnsi"/>
          <w:lang w:eastAsia="zh-CN"/>
        </w:rPr>
        <w:t>与</w:t>
      </w:r>
      <w:r w:rsidR="0040703D">
        <w:rPr>
          <w:rFonts w:cstheme="minorHAnsi"/>
          <w:lang w:eastAsia="zh-CN"/>
        </w:rPr>
        <w:t>TDAG</w:t>
      </w:r>
      <w:r w:rsidR="0040703D">
        <w:rPr>
          <w:rFonts w:cstheme="minorHAnsi"/>
          <w:lang w:eastAsia="zh-CN"/>
        </w:rPr>
        <w:t>主席合作</w:t>
      </w:r>
      <w:r w:rsidRPr="004F0D73">
        <w:rPr>
          <w:rFonts w:cstheme="minorHAnsi"/>
          <w:lang w:eastAsia="zh-CN"/>
        </w:rPr>
        <w:t>起草一份有关会议结论的简明摘要。摘要应仅包括与</w:t>
      </w:r>
      <w:r w:rsidR="0040703D">
        <w:rPr>
          <w:rFonts w:cstheme="minorHAnsi" w:hint="eastAsia"/>
          <w:lang w:eastAsia="zh-CN"/>
        </w:rPr>
        <w:t>议程</w:t>
      </w:r>
      <w:r w:rsidRPr="004F0D73">
        <w:rPr>
          <w:rFonts w:cstheme="minorHAnsi"/>
          <w:lang w:eastAsia="zh-CN"/>
        </w:rPr>
        <w:t>相关的</w:t>
      </w:r>
      <w:r w:rsidRPr="004F0D73">
        <w:rPr>
          <w:rFonts w:cstheme="minorHAnsi"/>
          <w:lang w:eastAsia="zh-CN"/>
        </w:rPr>
        <w:t>TDAG</w:t>
      </w:r>
      <w:r w:rsidRPr="004F0D73">
        <w:rPr>
          <w:rFonts w:cstheme="minorHAnsi"/>
          <w:lang w:eastAsia="zh-CN"/>
        </w:rPr>
        <w:t>提案、建议和结论。</w:t>
      </w:r>
    </w:p>
    <w:p w:rsidR="009F30AD" w:rsidRDefault="009F30AD" w:rsidP="0040703D">
      <w:pPr>
        <w:pStyle w:val="Heading1"/>
        <w:rPr>
          <w:lang w:eastAsia="zh-CN"/>
        </w:rPr>
      </w:pPr>
      <w:bookmarkStart w:id="13" w:name="lt_pId044"/>
      <w:bookmarkEnd w:id="11"/>
      <w:r>
        <w:rPr>
          <w:lang w:eastAsia="zh-CN"/>
        </w:rPr>
        <w:t>4</w:t>
      </w:r>
      <w:r>
        <w:rPr>
          <w:lang w:eastAsia="zh-CN"/>
        </w:rPr>
        <w:tab/>
      </w:r>
      <w:bookmarkEnd w:id="13"/>
      <w:r w:rsidR="007C2807">
        <w:rPr>
          <w:rFonts w:hint="eastAsia"/>
          <w:lang w:eastAsia="zh-CN"/>
        </w:rPr>
        <w:t>TDAG</w:t>
      </w:r>
      <w:r w:rsidR="007C2807">
        <w:rPr>
          <w:lang w:eastAsia="zh-CN"/>
        </w:rPr>
        <w:t>输出成果：</w:t>
      </w:r>
      <w:r w:rsidR="0040703D">
        <w:rPr>
          <w:rFonts w:hint="eastAsia"/>
          <w:lang w:eastAsia="zh-CN"/>
        </w:rPr>
        <w:t>提交</w:t>
      </w:r>
      <w:r w:rsidR="007C2807">
        <w:rPr>
          <w:lang w:eastAsia="zh-CN"/>
        </w:rPr>
        <w:t>电信发展局主任和</w:t>
      </w:r>
      <w:r w:rsidR="007C2807">
        <w:rPr>
          <w:lang w:eastAsia="zh-CN"/>
        </w:rPr>
        <w:t>WTDC</w:t>
      </w:r>
      <w:r w:rsidR="0040703D">
        <w:rPr>
          <w:lang w:eastAsia="zh-CN"/>
        </w:rPr>
        <w:t>的报告</w:t>
      </w:r>
    </w:p>
    <w:p w:rsidR="007C2807" w:rsidRDefault="007C2807" w:rsidP="007C2807">
      <w:pPr>
        <w:rPr>
          <w:lang w:eastAsia="zh-CN"/>
        </w:rPr>
      </w:pPr>
      <w:r>
        <w:rPr>
          <w:lang w:eastAsia="zh-CN"/>
        </w:rPr>
        <w:t>4.1</w:t>
      </w:r>
      <w:r>
        <w:rPr>
          <w:lang w:eastAsia="zh-CN"/>
        </w:rPr>
        <w:tab/>
      </w:r>
      <w:r w:rsidRPr="00923084">
        <w:rPr>
          <w:szCs w:val="24"/>
          <w:lang w:eastAsia="zh-CN"/>
        </w:rPr>
        <w:t>WTDC-17</w:t>
      </w:r>
      <w:r>
        <w:rPr>
          <w:rFonts w:hint="eastAsia"/>
          <w:szCs w:val="24"/>
          <w:lang w:eastAsia="zh-CN"/>
        </w:rPr>
        <w:t>通过</w:t>
      </w:r>
      <w:r>
        <w:rPr>
          <w:szCs w:val="24"/>
          <w:lang w:eastAsia="zh-CN"/>
        </w:rPr>
        <w:t>的《</w:t>
      </w:r>
      <w:r>
        <w:rPr>
          <w:rFonts w:hint="eastAsia"/>
          <w:szCs w:val="24"/>
          <w:lang w:eastAsia="zh-CN"/>
        </w:rPr>
        <w:t>布</w:t>
      </w:r>
      <w:r>
        <w:rPr>
          <w:szCs w:val="24"/>
          <w:lang w:eastAsia="zh-CN"/>
        </w:rPr>
        <w:t>宜诺斯艾利斯行动计划》</w:t>
      </w:r>
      <w:r>
        <w:rPr>
          <w:rFonts w:hint="eastAsia"/>
          <w:szCs w:val="24"/>
          <w:lang w:eastAsia="zh-CN"/>
        </w:rPr>
        <w:t>规定</w:t>
      </w:r>
      <w:r>
        <w:rPr>
          <w:szCs w:val="24"/>
          <w:lang w:eastAsia="zh-CN"/>
        </w:rPr>
        <w:t>了</w:t>
      </w:r>
      <w:r w:rsidRPr="00923084">
        <w:rPr>
          <w:szCs w:val="24"/>
          <w:lang w:eastAsia="zh-CN"/>
        </w:rPr>
        <w:t>ITU-D</w:t>
      </w:r>
      <w:r>
        <w:rPr>
          <w:rFonts w:hint="eastAsia"/>
          <w:szCs w:val="24"/>
          <w:lang w:eastAsia="zh-CN"/>
        </w:rPr>
        <w:t>在</w:t>
      </w:r>
      <w:r w:rsidRPr="00923084">
        <w:rPr>
          <w:szCs w:val="24"/>
          <w:lang w:eastAsia="zh-CN"/>
        </w:rPr>
        <w:t>2018</w:t>
      </w:r>
      <w:r w:rsidRPr="00923084">
        <w:rPr>
          <w:szCs w:val="24"/>
          <w:lang w:eastAsia="zh-CN"/>
        </w:rPr>
        <w:noBreakHyphen/>
        <w:t>2021</w:t>
      </w:r>
      <w:r>
        <w:rPr>
          <w:rFonts w:hint="eastAsia"/>
          <w:szCs w:val="24"/>
          <w:lang w:eastAsia="zh-CN"/>
        </w:rPr>
        <w:t>年</w:t>
      </w:r>
      <w:r>
        <w:rPr>
          <w:szCs w:val="24"/>
          <w:lang w:eastAsia="zh-CN"/>
        </w:rPr>
        <w:t>周期内的职责。</w:t>
      </w:r>
      <w:r w:rsidR="00827283">
        <w:rPr>
          <w:rFonts w:hint="eastAsia"/>
          <w:szCs w:val="24"/>
          <w:lang w:eastAsia="zh-CN"/>
        </w:rPr>
        <w:t>然而</w:t>
      </w:r>
      <w:r w:rsidR="00827283">
        <w:rPr>
          <w:szCs w:val="24"/>
          <w:lang w:eastAsia="zh-CN"/>
        </w:rPr>
        <w:t>，</w:t>
      </w:r>
      <w:r w:rsidR="00827283" w:rsidRPr="000F3BC3">
        <w:rPr>
          <w:rFonts w:hint="eastAsia"/>
          <w:lang w:eastAsia="zh-CN"/>
        </w:rPr>
        <w:t>电信发展顾问组（</w:t>
      </w:r>
      <w:r w:rsidR="00827283" w:rsidRPr="000F3BC3">
        <w:rPr>
          <w:lang w:eastAsia="zh-CN"/>
        </w:rPr>
        <w:t>TDAG</w:t>
      </w:r>
      <w:r w:rsidR="00827283" w:rsidRPr="000F3BC3">
        <w:rPr>
          <w:rFonts w:hint="eastAsia"/>
          <w:lang w:eastAsia="zh-CN"/>
        </w:rPr>
        <w:t>）可对此进行更新或修改，以</w:t>
      </w:r>
      <w:r w:rsidR="00827283">
        <w:rPr>
          <w:rFonts w:hint="eastAsia"/>
          <w:lang w:eastAsia="zh-CN"/>
        </w:rPr>
        <w:t>反映出</w:t>
      </w:r>
      <w:r w:rsidR="00827283" w:rsidRPr="000F3BC3">
        <w:rPr>
          <w:rFonts w:hint="eastAsia"/>
          <w:lang w:eastAsia="zh-CN"/>
        </w:rPr>
        <w:t>电信</w:t>
      </w:r>
      <w:r w:rsidR="00827283" w:rsidRPr="000F3BC3">
        <w:rPr>
          <w:lang w:eastAsia="zh-CN"/>
        </w:rPr>
        <w:t>/</w:t>
      </w:r>
      <w:r w:rsidR="00827283" w:rsidRPr="000F3BC3">
        <w:rPr>
          <w:rFonts w:hint="eastAsia"/>
          <w:lang w:eastAsia="zh-CN"/>
        </w:rPr>
        <w:t>信息通信技术（</w:t>
      </w:r>
      <w:r w:rsidR="00827283" w:rsidRPr="000F3BC3">
        <w:rPr>
          <w:lang w:eastAsia="zh-CN"/>
        </w:rPr>
        <w:t>ICT</w:t>
      </w:r>
      <w:r w:rsidR="00827283" w:rsidRPr="000F3BC3">
        <w:rPr>
          <w:rFonts w:hint="eastAsia"/>
          <w:lang w:eastAsia="zh-CN"/>
        </w:rPr>
        <w:t>）环境的变化以及</w:t>
      </w:r>
      <w:r w:rsidR="00827283" w:rsidRPr="000F3BC3">
        <w:rPr>
          <w:lang w:eastAsia="zh-CN"/>
        </w:rPr>
        <w:t>/</w:t>
      </w:r>
      <w:r w:rsidR="00827283" w:rsidRPr="000F3BC3">
        <w:rPr>
          <w:rFonts w:hint="eastAsia"/>
          <w:lang w:eastAsia="zh-CN"/>
        </w:rPr>
        <w:t>或每年进行的绩效评估结果。</w:t>
      </w:r>
    </w:p>
    <w:p w:rsidR="00827283" w:rsidRDefault="00827283" w:rsidP="0040703D">
      <w:pPr>
        <w:pStyle w:val="enumlev1"/>
        <w:tabs>
          <w:tab w:val="clear" w:pos="1871"/>
          <w:tab w:val="clear" w:pos="2608"/>
        </w:tabs>
        <w:ind w:left="0" w:firstLine="0"/>
        <w:rPr>
          <w:lang w:eastAsia="zh-CN"/>
        </w:rPr>
      </w:pPr>
      <w:r>
        <w:rPr>
          <w:rFonts w:hint="eastAsia"/>
          <w:lang w:eastAsia="zh-CN"/>
        </w:rPr>
        <w:t>4.2</w:t>
      </w:r>
      <w:r>
        <w:rPr>
          <w:rFonts w:hint="eastAsia"/>
          <w:lang w:eastAsia="zh-CN"/>
        </w:rPr>
        <w:tab/>
      </w:r>
      <w:r>
        <w:rPr>
          <w:rFonts w:hint="eastAsia"/>
          <w:lang w:eastAsia="zh-CN"/>
        </w:rPr>
        <w:t>有</w:t>
      </w:r>
      <w:r>
        <w:rPr>
          <w:lang w:eastAsia="zh-CN"/>
        </w:rPr>
        <w:t>关输出成果，</w:t>
      </w:r>
      <w:r>
        <w:rPr>
          <w:lang w:eastAsia="zh-CN"/>
        </w:rPr>
        <w:t>TDAG</w:t>
      </w:r>
      <w:r>
        <w:rPr>
          <w:rFonts w:hint="eastAsia"/>
          <w:lang w:eastAsia="zh-CN"/>
        </w:rPr>
        <w:t>拟定</w:t>
      </w:r>
      <w:r w:rsidR="0040703D">
        <w:rPr>
          <w:rFonts w:hint="eastAsia"/>
          <w:lang w:eastAsia="zh-CN"/>
        </w:rPr>
        <w:t>提交</w:t>
      </w:r>
      <w:r>
        <w:rPr>
          <w:lang w:eastAsia="zh-CN"/>
        </w:rPr>
        <w:t>电信发展局主任的报告，</w:t>
      </w:r>
      <w:r w:rsidR="0040703D">
        <w:rPr>
          <w:rFonts w:hint="eastAsia"/>
          <w:lang w:eastAsia="zh-CN"/>
        </w:rPr>
        <w:t>阐述</w:t>
      </w:r>
      <w:r>
        <w:rPr>
          <w:lang w:eastAsia="zh-CN"/>
        </w:rPr>
        <w:t>有关工作程序的行动；</w:t>
      </w:r>
      <w:r w:rsidRPr="000F3BC3">
        <w:rPr>
          <w:rFonts w:hint="eastAsia"/>
          <w:lang w:eastAsia="zh-CN"/>
        </w:rPr>
        <w:t>与国际电联无线电通信部门（</w:t>
      </w:r>
      <w:r w:rsidRPr="000F3BC3">
        <w:rPr>
          <w:lang w:eastAsia="zh-CN"/>
        </w:rPr>
        <w:t>ITU-R</w:t>
      </w:r>
      <w:r w:rsidRPr="000F3BC3">
        <w:rPr>
          <w:rFonts w:hint="eastAsia"/>
          <w:lang w:eastAsia="zh-CN"/>
        </w:rPr>
        <w:t>）、国际电联电信标准化部门（</w:t>
      </w:r>
      <w:r w:rsidRPr="000F3BC3">
        <w:rPr>
          <w:lang w:eastAsia="zh-CN"/>
        </w:rPr>
        <w:t>ITU-T</w:t>
      </w:r>
      <w:r w:rsidRPr="000F3BC3">
        <w:rPr>
          <w:rFonts w:hint="eastAsia"/>
          <w:lang w:eastAsia="zh-CN"/>
        </w:rPr>
        <w:t>）和总秘书处的合作与协调；研究组工作的</w:t>
      </w:r>
      <w:r>
        <w:rPr>
          <w:rFonts w:hint="eastAsia"/>
          <w:lang w:eastAsia="zh-CN"/>
        </w:rPr>
        <w:t>指导原则</w:t>
      </w:r>
      <w:r w:rsidRPr="000F3BC3">
        <w:rPr>
          <w:rFonts w:hint="eastAsia"/>
          <w:lang w:eastAsia="zh-CN"/>
        </w:rPr>
        <w:t>；工作</w:t>
      </w:r>
      <w:r w:rsidR="0040703D">
        <w:rPr>
          <w:rFonts w:hint="eastAsia"/>
          <w:lang w:eastAsia="zh-CN"/>
        </w:rPr>
        <w:t>计划</w:t>
      </w:r>
      <w:r w:rsidRPr="000F3BC3">
        <w:rPr>
          <w:rFonts w:hint="eastAsia"/>
          <w:lang w:eastAsia="zh-CN"/>
        </w:rPr>
        <w:t>的落实进度；</w:t>
      </w:r>
      <w:r w:rsidR="0040703D" w:rsidRPr="000F3BC3">
        <w:rPr>
          <w:rFonts w:hint="eastAsia"/>
          <w:lang w:eastAsia="zh-CN"/>
        </w:rPr>
        <w:t>前一</w:t>
      </w:r>
      <w:r w:rsidR="0040703D">
        <w:rPr>
          <w:rFonts w:hint="eastAsia"/>
          <w:lang w:eastAsia="zh-CN"/>
        </w:rPr>
        <w:t>周期</w:t>
      </w:r>
      <w:r w:rsidRPr="000F3BC3">
        <w:rPr>
          <w:rFonts w:hint="eastAsia"/>
          <w:lang w:eastAsia="zh-CN"/>
        </w:rPr>
        <w:t>运作规划的实施</w:t>
      </w:r>
      <w:r w:rsidR="0040703D">
        <w:rPr>
          <w:rFonts w:hint="eastAsia"/>
          <w:lang w:eastAsia="zh-CN"/>
        </w:rPr>
        <w:t>。</w:t>
      </w:r>
    </w:p>
    <w:p w:rsidR="00827283" w:rsidRDefault="00827283" w:rsidP="0040703D">
      <w:pPr>
        <w:rPr>
          <w:lang w:eastAsia="zh-CN"/>
        </w:rPr>
      </w:pPr>
      <w:r>
        <w:rPr>
          <w:rFonts w:hint="eastAsia"/>
          <w:lang w:eastAsia="zh-CN"/>
        </w:rPr>
        <w:t>4.3</w:t>
      </w:r>
      <w:r>
        <w:rPr>
          <w:rFonts w:hint="eastAsia"/>
          <w:lang w:eastAsia="zh-CN"/>
        </w:rPr>
        <w:tab/>
      </w:r>
      <w:r w:rsidRPr="000F3BC3">
        <w:rPr>
          <w:rFonts w:hint="eastAsia"/>
          <w:lang w:eastAsia="zh-CN"/>
        </w:rPr>
        <w:t>此外，根据</w:t>
      </w:r>
      <w:r>
        <w:rPr>
          <w:rFonts w:hint="eastAsia"/>
          <w:lang w:eastAsia="zh-CN"/>
        </w:rPr>
        <w:t>国</w:t>
      </w:r>
      <w:r>
        <w:rPr>
          <w:lang w:eastAsia="zh-CN"/>
        </w:rPr>
        <w:t>际电联</w:t>
      </w:r>
      <w:r w:rsidRPr="000F3BC3">
        <w:rPr>
          <w:rFonts w:hint="eastAsia"/>
          <w:lang w:eastAsia="zh-CN"/>
        </w:rPr>
        <w:t>《公约》第</w:t>
      </w:r>
      <w:r w:rsidRPr="000F3BC3">
        <w:rPr>
          <w:lang w:eastAsia="zh-CN"/>
        </w:rPr>
        <w:t>213A</w:t>
      </w:r>
      <w:r w:rsidRPr="000F3BC3">
        <w:rPr>
          <w:rFonts w:hint="eastAsia"/>
          <w:lang w:eastAsia="zh-CN"/>
        </w:rPr>
        <w:t>款的规定，</w:t>
      </w:r>
      <w:r w:rsidRPr="000F3BC3">
        <w:rPr>
          <w:lang w:eastAsia="zh-CN"/>
        </w:rPr>
        <w:t>TDAG</w:t>
      </w:r>
      <w:r w:rsidRPr="000F3BC3">
        <w:rPr>
          <w:rFonts w:hint="eastAsia"/>
          <w:lang w:eastAsia="zh-CN"/>
        </w:rPr>
        <w:t>为</w:t>
      </w:r>
      <w:r w:rsidRPr="000F3BC3">
        <w:rPr>
          <w:lang w:eastAsia="zh-CN"/>
        </w:rPr>
        <w:t>WTDC</w:t>
      </w:r>
      <w:r>
        <w:rPr>
          <w:rFonts w:hint="eastAsia"/>
          <w:lang w:eastAsia="zh-CN"/>
        </w:rPr>
        <w:t>起草</w:t>
      </w:r>
      <w:r w:rsidRPr="000F3BC3">
        <w:rPr>
          <w:rFonts w:hint="eastAsia"/>
          <w:lang w:eastAsia="zh-CN"/>
        </w:rPr>
        <w:t>一份</w:t>
      </w:r>
      <w:r>
        <w:rPr>
          <w:rFonts w:hint="eastAsia"/>
          <w:lang w:eastAsia="zh-CN"/>
        </w:rPr>
        <w:t>有</w:t>
      </w:r>
      <w:r w:rsidRPr="000F3BC3">
        <w:rPr>
          <w:rFonts w:hint="eastAsia"/>
          <w:lang w:eastAsia="zh-CN"/>
        </w:rPr>
        <w:t>关分配</w:t>
      </w:r>
      <w:r>
        <w:rPr>
          <w:rFonts w:hint="eastAsia"/>
          <w:lang w:eastAsia="zh-CN"/>
        </w:rPr>
        <w:t>给该顾问组事项</w:t>
      </w:r>
      <w:r w:rsidRPr="000F3BC3">
        <w:rPr>
          <w:rFonts w:hint="eastAsia"/>
          <w:lang w:eastAsia="zh-CN"/>
        </w:rPr>
        <w:t>的报告，并由主任</w:t>
      </w:r>
      <w:r w:rsidRPr="000F3BC3">
        <w:rPr>
          <w:lang w:eastAsia="zh-CN"/>
        </w:rPr>
        <w:t>提交</w:t>
      </w:r>
      <w:r w:rsidR="0040703D">
        <w:rPr>
          <w:rFonts w:hint="eastAsia"/>
          <w:lang w:eastAsia="zh-CN"/>
        </w:rPr>
        <w:t>WTDC</w:t>
      </w:r>
      <w:r w:rsidRPr="000F3BC3">
        <w:rPr>
          <w:lang w:eastAsia="zh-CN"/>
        </w:rPr>
        <w:t>。</w:t>
      </w:r>
    </w:p>
    <w:p w:rsidR="00827283" w:rsidRDefault="00827283" w:rsidP="00827283">
      <w:pPr>
        <w:rPr>
          <w:szCs w:val="24"/>
          <w:lang w:val="en-US" w:eastAsia="zh-CN"/>
        </w:rPr>
      </w:pPr>
      <w:r>
        <w:rPr>
          <w:rFonts w:hint="eastAsia"/>
          <w:lang w:eastAsia="zh-CN"/>
        </w:rPr>
        <w:lastRenderedPageBreak/>
        <w:t>4.4</w:t>
      </w:r>
      <w:r>
        <w:rPr>
          <w:rFonts w:hint="eastAsia"/>
          <w:lang w:eastAsia="zh-CN"/>
        </w:rPr>
        <w:tab/>
      </w:r>
      <w:r w:rsidRPr="00E67E72">
        <w:rPr>
          <w:rFonts w:cs="Calibri"/>
          <w:lang w:val="en-US" w:eastAsia="zh-CN"/>
        </w:rPr>
        <w:t>TDAG</w:t>
      </w:r>
      <w:r>
        <w:rPr>
          <w:rFonts w:cs="Calibri" w:hint="eastAsia"/>
          <w:lang w:val="en-US" w:eastAsia="zh-CN"/>
        </w:rPr>
        <w:t>可</w:t>
      </w:r>
      <w:r>
        <w:rPr>
          <w:rFonts w:cs="Calibri"/>
          <w:lang w:val="en-US" w:eastAsia="zh-CN"/>
        </w:rPr>
        <w:t>确定优先领域，包括</w:t>
      </w:r>
      <w:r>
        <w:rPr>
          <w:rFonts w:hint="eastAsia"/>
          <w:lang w:eastAsia="zh-CN"/>
        </w:rPr>
        <w:t>《</w:t>
      </w:r>
      <w:r>
        <w:rPr>
          <w:rFonts w:hint="eastAsia"/>
          <w:lang w:eastAsia="zh-CN"/>
        </w:rPr>
        <w:t>WTDC</w:t>
      </w:r>
      <w:r>
        <w:rPr>
          <w:lang w:eastAsia="zh-CN"/>
        </w:rPr>
        <w:t>宣言》草案、</w:t>
      </w:r>
      <w:r>
        <w:rPr>
          <w:rFonts w:hint="eastAsia"/>
          <w:lang w:eastAsia="zh-CN"/>
        </w:rPr>
        <w:t>WTDC</w:t>
      </w:r>
      <w:r>
        <w:rPr>
          <w:rFonts w:hint="eastAsia"/>
          <w:lang w:eastAsia="zh-CN"/>
        </w:rPr>
        <w:t>向《</w:t>
      </w:r>
      <w:r>
        <w:rPr>
          <w:lang w:eastAsia="zh-CN"/>
        </w:rPr>
        <w:t>国际电联战略</w:t>
      </w:r>
      <w:r>
        <w:rPr>
          <w:rFonts w:hint="eastAsia"/>
          <w:lang w:eastAsia="zh-CN"/>
        </w:rPr>
        <w:t>规划》</w:t>
      </w:r>
      <w:r>
        <w:rPr>
          <w:lang w:eastAsia="zh-CN"/>
        </w:rPr>
        <w:t>提交的</w:t>
      </w:r>
      <w:r>
        <w:rPr>
          <w:rFonts w:hint="eastAsia"/>
          <w:lang w:eastAsia="zh-CN"/>
        </w:rPr>
        <w:t>输入内容</w:t>
      </w:r>
      <w:r>
        <w:rPr>
          <w:lang w:eastAsia="zh-CN"/>
        </w:rPr>
        <w:t>草案、</w:t>
      </w:r>
      <w:r>
        <w:rPr>
          <w:rFonts w:hint="eastAsia"/>
          <w:lang w:eastAsia="zh-CN"/>
        </w:rPr>
        <w:t>《</w:t>
      </w:r>
      <w:r w:rsidRPr="0026076F">
        <w:rPr>
          <w:szCs w:val="24"/>
          <w:lang w:val="en-US" w:eastAsia="zh-CN"/>
        </w:rPr>
        <w:t>WTDC</w:t>
      </w:r>
      <w:r>
        <w:rPr>
          <w:rFonts w:hint="eastAsia"/>
          <w:szCs w:val="24"/>
          <w:lang w:val="en-US" w:eastAsia="zh-CN"/>
        </w:rPr>
        <w:t>行动</w:t>
      </w:r>
      <w:r>
        <w:rPr>
          <w:szCs w:val="24"/>
          <w:lang w:val="en-US" w:eastAsia="zh-CN"/>
        </w:rPr>
        <w:t>计划</w:t>
      </w:r>
      <w:r>
        <w:rPr>
          <w:rFonts w:hint="eastAsia"/>
          <w:szCs w:val="24"/>
          <w:lang w:val="en-US" w:eastAsia="zh-CN"/>
        </w:rPr>
        <w:t>》</w:t>
      </w:r>
      <w:r>
        <w:rPr>
          <w:szCs w:val="24"/>
          <w:lang w:val="en-US" w:eastAsia="zh-CN"/>
        </w:rPr>
        <w:t>草案和各研究组</w:t>
      </w:r>
      <w:r>
        <w:rPr>
          <w:rFonts w:hint="eastAsia"/>
          <w:szCs w:val="24"/>
          <w:lang w:val="en-US" w:eastAsia="zh-CN"/>
        </w:rPr>
        <w:t>等方面。</w:t>
      </w:r>
    </w:p>
    <w:p w:rsidR="00667A0E" w:rsidRDefault="00667A0E" w:rsidP="0040703D">
      <w:pPr>
        <w:rPr>
          <w:szCs w:val="24"/>
          <w:lang w:val="en-US" w:eastAsia="zh-CN"/>
        </w:rPr>
      </w:pPr>
      <w:r>
        <w:rPr>
          <w:rFonts w:hint="eastAsia"/>
          <w:szCs w:val="24"/>
          <w:lang w:val="en-US" w:eastAsia="zh-CN"/>
        </w:rPr>
        <w:t>4.5</w:t>
      </w:r>
      <w:r>
        <w:rPr>
          <w:szCs w:val="24"/>
          <w:lang w:val="en-US" w:eastAsia="zh-CN"/>
        </w:rPr>
        <w:tab/>
      </w:r>
      <w:r w:rsidR="00DF2E2E">
        <w:rPr>
          <w:rFonts w:hint="eastAsia"/>
          <w:szCs w:val="24"/>
          <w:lang w:val="en-US" w:eastAsia="zh-CN"/>
        </w:rPr>
        <w:t>在</w:t>
      </w:r>
      <w:r w:rsidR="00DF2E2E">
        <w:rPr>
          <w:szCs w:val="24"/>
          <w:lang w:val="en-US" w:eastAsia="zh-CN"/>
        </w:rPr>
        <w:t>WTDC</w:t>
      </w:r>
      <w:r w:rsidR="00DF2E2E">
        <w:rPr>
          <w:szCs w:val="24"/>
          <w:lang w:val="en-US" w:eastAsia="zh-CN"/>
        </w:rPr>
        <w:t>之</w:t>
      </w:r>
      <w:r w:rsidR="00DF2E2E">
        <w:rPr>
          <w:rFonts w:hint="eastAsia"/>
          <w:szCs w:val="24"/>
          <w:lang w:val="en-US" w:eastAsia="zh-CN"/>
        </w:rPr>
        <w:t>前</w:t>
      </w:r>
      <w:r w:rsidR="00DF2E2E">
        <w:rPr>
          <w:szCs w:val="24"/>
          <w:lang w:val="en-US" w:eastAsia="zh-CN"/>
        </w:rPr>
        <w:t>召开的最后一次会议上，</w:t>
      </w:r>
      <w:r w:rsidR="00DF2E2E">
        <w:rPr>
          <w:szCs w:val="24"/>
          <w:lang w:val="en-US" w:eastAsia="zh-CN"/>
        </w:rPr>
        <w:t>TDAG</w:t>
      </w:r>
      <w:r w:rsidR="00DF2E2E">
        <w:rPr>
          <w:rFonts w:hint="eastAsia"/>
          <w:szCs w:val="24"/>
          <w:lang w:val="en-US" w:eastAsia="zh-CN"/>
        </w:rPr>
        <w:t>须拟定一</w:t>
      </w:r>
      <w:r w:rsidR="00DF2E2E">
        <w:rPr>
          <w:szCs w:val="24"/>
          <w:lang w:val="en-US" w:eastAsia="zh-CN"/>
        </w:rPr>
        <w:t>份报告，总结</w:t>
      </w:r>
      <w:r w:rsidR="00DF2E2E">
        <w:rPr>
          <w:rFonts w:hint="eastAsia"/>
          <w:szCs w:val="24"/>
          <w:lang w:val="en-US" w:eastAsia="zh-CN"/>
        </w:rPr>
        <w:t>为</w:t>
      </w:r>
      <w:r w:rsidR="00DF2E2E">
        <w:rPr>
          <w:szCs w:val="24"/>
          <w:lang w:val="en-US" w:eastAsia="zh-CN"/>
        </w:rPr>
        <w:t>WTDC</w:t>
      </w:r>
      <w:r w:rsidR="00DF2E2E">
        <w:rPr>
          <w:szCs w:val="24"/>
          <w:lang w:val="en-US" w:eastAsia="zh-CN"/>
        </w:rPr>
        <w:t>分配的各项</w:t>
      </w:r>
      <w:r w:rsidR="00DF2E2E">
        <w:rPr>
          <w:rFonts w:hint="eastAsia"/>
          <w:szCs w:val="24"/>
          <w:lang w:val="en-US" w:eastAsia="zh-CN"/>
        </w:rPr>
        <w:t>事宜</w:t>
      </w:r>
      <w:r w:rsidR="00DF2E2E">
        <w:rPr>
          <w:szCs w:val="24"/>
          <w:lang w:val="en-US" w:eastAsia="zh-CN"/>
        </w:rPr>
        <w:t>开展的活动，其中包括为促进国际电联战略与</w:t>
      </w:r>
      <w:r w:rsidR="00DF2E2E" w:rsidRPr="007A7AFB">
        <w:rPr>
          <w:szCs w:val="24"/>
          <w:lang w:eastAsia="zh-CN"/>
        </w:rPr>
        <w:t>ITU</w:t>
      </w:r>
      <w:r w:rsidR="00DF2E2E" w:rsidRPr="007A7AFB">
        <w:rPr>
          <w:szCs w:val="24"/>
          <w:lang w:eastAsia="zh-CN"/>
        </w:rPr>
        <w:noBreakHyphen/>
        <w:t>D</w:t>
      </w:r>
      <w:r w:rsidR="00DF2E2E">
        <w:rPr>
          <w:rFonts w:hint="eastAsia"/>
          <w:szCs w:val="24"/>
          <w:lang w:eastAsia="zh-CN"/>
        </w:rPr>
        <w:t>滚动</w:t>
      </w:r>
      <w:r w:rsidR="00DF2E2E">
        <w:rPr>
          <w:szCs w:val="24"/>
          <w:lang w:eastAsia="zh-CN"/>
        </w:rPr>
        <w:t>式</w:t>
      </w:r>
      <w:r w:rsidR="00DF2E2E">
        <w:rPr>
          <w:rFonts w:hint="eastAsia"/>
          <w:szCs w:val="24"/>
          <w:lang w:eastAsia="zh-CN"/>
        </w:rPr>
        <w:t>四年期运作</w:t>
      </w:r>
      <w:r w:rsidR="00DF2E2E">
        <w:rPr>
          <w:szCs w:val="24"/>
          <w:lang w:eastAsia="zh-CN"/>
        </w:rPr>
        <w:t>规划的结合所开展的工作、有关工作分配的建议、有关</w:t>
      </w:r>
      <w:r w:rsidR="00DF2E2E" w:rsidRPr="007A7AFB">
        <w:rPr>
          <w:szCs w:val="24"/>
          <w:lang w:eastAsia="zh-CN"/>
        </w:rPr>
        <w:t>ITU</w:t>
      </w:r>
      <w:r w:rsidR="00DF2E2E" w:rsidRPr="007A7AFB">
        <w:rPr>
          <w:szCs w:val="24"/>
          <w:lang w:eastAsia="zh-CN"/>
        </w:rPr>
        <w:noBreakHyphen/>
        <w:t>D</w:t>
      </w:r>
      <w:r w:rsidR="00DF2E2E">
        <w:rPr>
          <w:rFonts w:hint="eastAsia"/>
          <w:szCs w:val="24"/>
          <w:lang w:eastAsia="zh-CN"/>
        </w:rPr>
        <w:t>工作</w:t>
      </w:r>
      <w:r w:rsidR="00DF2E2E">
        <w:rPr>
          <w:szCs w:val="24"/>
          <w:lang w:eastAsia="zh-CN"/>
        </w:rPr>
        <w:t>方法和战略</w:t>
      </w:r>
      <w:r w:rsidR="0040703D">
        <w:rPr>
          <w:szCs w:val="24"/>
          <w:lang w:eastAsia="zh-CN"/>
        </w:rPr>
        <w:t>的建议</w:t>
      </w:r>
      <w:r w:rsidR="00DF2E2E">
        <w:rPr>
          <w:szCs w:val="24"/>
          <w:lang w:eastAsia="zh-CN"/>
        </w:rPr>
        <w:t>以及与其它国际电联内</w:t>
      </w:r>
      <w:r w:rsidR="00DF2E2E">
        <w:rPr>
          <w:rFonts w:hint="eastAsia"/>
          <w:szCs w:val="24"/>
          <w:lang w:eastAsia="zh-CN"/>
        </w:rPr>
        <w:t>外</w:t>
      </w:r>
      <w:r w:rsidR="00DF2E2E">
        <w:rPr>
          <w:szCs w:val="24"/>
          <w:lang w:eastAsia="zh-CN"/>
        </w:rPr>
        <w:t>相关机构的关系、区域性行动、举措和项目的落实。这</w:t>
      </w:r>
      <w:r w:rsidR="00DF2E2E">
        <w:rPr>
          <w:rFonts w:hint="eastAsia"/>
          <w:szCs w:val="24"/>
          <w:lang w:eastAsia="zh-CN"/>
        </w:rPr>
        <w:t>份</w:t>
      </w:r>
      <w:r w:rsidR="00DF2E2E">
        <w:rPr>
          <w:szCs w:val="24"/>
          <w:lang w:eastAsia="zh-CN"/>
        </w:rPr>
        <w:t>报告亦将通过主任</w:t>
      </w:r>
      <w:r w:rsidR="00DF2E2E">
        <w:rPr>
          <w:rFonts w:hint="eastAsia"/>
          <w:szCs w:val="24"/>
          <w:lang w:eastAsia="zh-CN"/>
        </w:rPr>
        <w:t>转呈</w:t>
      </w:r>
      <w:r w:rsidR="00DF2E2E">
        <w:rPr>
          <w:szCs w:val="24"/>
          <w:lang w:eastAsia="zh-CN"/>
        </w:rPr>
        <w:t>世界电信发展大会。</w:t>
      </w:r>
    </w:p>
    <w:p w:rsidR="00667A0E" w:rsidRPr="007C2807" w:rsidRDefault="00667A0E" w:rsidP="00972A65">
      <w:pPr>
        <w:rPr>
          <w:lang w:eastAsia="zh-CN"/>
        </w:rPr>
      </w:pPr>
      <w:r>
        <w:rPr>
          <w:szCs w:val="24"/>
          <w:lang w:val="en-US" w:eastAsia="zh-CN"/>
        </w:rPr>
        <w:t>4.6</w:t>
      </w:r>
      <w:r>
        <w:rPr>
          <w:szCs w:val="24"/>
          <w:lang w:val="en-US" w:eastAsia="zh-CN"/>
        </w:rPr>
        <w:tab/>
      </w:r>
      <w:r w:rsidR="0040703D" w:rsidRPr="004F0D73">
        <w:rPr>
          <w:snapToGrid w:val="0"/>
          <w:lang w:eastAsia="zh-CN"/>
        </w:rPr>
        <w:t>最后一次</w:t>
      </w:r>
      <w:r w:rsidR="0040703D" w:rsidRPr="004F0D73">
        <w:rPr>
          <w:snapToGrid w:val="0"/>
          <w:lang w:eastAsia="zh-CN"/>
        </w:rPr>
        <w:t>TDAG</w:t>
      </w:r>
      <w:r w:rsidR="0040703D">
        <w:rPr>
          <w:snapToGrid w:val="0"/>
          <w:lang w:eastAsia="zh-CN"/>
        </w:rPr>
        <w:t>会议</w:t>
      </w:r>
      <w:r w:rsidR="00DF2E2E" w:rsidRPr="004F0D73">
        <w:rPr>
          <w:snapToGrid w:val="0"/>
          <w:lang w:eastAsia="zh-CN"/>
        </w:rPr>
        <w:t>至少在世界电信发展大会召开</w:t>
      </w:r>
      <w:r w:rsidR="00DF2E2E">
        <w:rPr>
          <w:rFonts w:hint="eastAsia"/>
          <w:snapToGrid w:val="0"/>
          <w:lang w:eastAsia="zh-CN"/>
        </w:rPr>
        <w:t>的三</w:t>
      </w:r>
      <w:r w:rsidR="00DF2E2E" w:rsidRPr="004F0D73">
        <w:rPr>
          <w:snapToGrid w:val="0"/>
          <w:lang w:eastAsia="zh-CN"/>
        </w:rPr>
        <w:t>个月</w:t>
      </w:r>
      <w:r w:rsidR="00DF2E2E">
        <w:rPr>
          <w:rFonts w:hint="eastAsia"/>
          <w:snapToGrid w:val="0"/>
          <w:lang w:eastAsia="zh-CN"/>
        </w:rPr>
        <w:t>且不超过四个月</w:t>
      </w:r>
      <w:r w:rsidR="0040703D">
        <w:rPr>
          <w:rFonts w:hint="eastAsia"/>
          <w:snapToGrid w:val="0"/>
          <w:lang w:eastAsia="zh-CN"/>
        </w:rPr>
        <w:t>之前</w:t>
      </w:r>
      <w:r w:rsidR="0040703D" w:rsidRPr="004F0D73">
        <w:rPr>
          <w:snapToGrid w:val="0"/>
          <w:lang w:eastAsia="zh-CN"/>
        </w:rPr>
        <w:t>召开</w:t>
      </w:r>
      <w:r w:rsidR="00DF2E2E">
        <w:rPr>
          <w:snapToGrid w:val="0"/>
          <w:lang w:eastAsia="zh-CN"/>
        </w:rPr>
        <w:t>，以便</w:t>
      </w:r>
      <w:r w:rsidR="00972A65">
        <w:rPr>
          <w:rFonts w:hint="eastAsia"/>
          <w:snapToGrid w:val="0"/>
          <w:lang w:eastAsia="zh-CN"/>
        </w:rPr>
        <w:t>研究</w:t>
      </w:r>
      <w:r w:rsidR="00972A65">
        <w:rPr>
          <w:snapToGrid w:val="0"/>
          <w:lang w:eastAsia="zh-CN"/>
        </w:rPr>
        <w:t>、讨论和通过</w:t>
      </w:r>
      <w:r w:rsidR="00972A65">
        <w:rPr>
          <w:rFonts w:hint="eastAsia"/>
          <w:snapToGrid w:val="0"/>
          <w:lang w:eastAsia="zh-CN"/>
        </w:rPr>
        <w:t>将向</w:t>
      </w:r>
      <w:r w:rsidR="00972A65">
        <w:rPr>
          <w:snapToGrid w:val="0"/>
          <w:lang w:eastAsia="zh-CN"/>
        </w:rPr>
        <w:t>WTDC</w:t>
      </w:r>
      <w:r w:rsidR="00972A65">
        <w:rPr>
          <w:snapToGrid w:val="0"/>
          <w:lang w:eastAsia="zh-CN"/>
        </w:rPr>
        <w:t>提交的、综合六个区域性筹备会议输出成果的最终报告</w:t>
      </w:r>
      <w:r w:rsidR="00972A65">
        <w:rPr>
          <w:rFonts w:hint="eastAsia"/>
          <w:snapToGrid w:val="0"/>
          <w:lang w:eastAsia="zh-CN"/>
        </w:rPr>
        <w:t>。</w:t>
      </w:r>
    </w:p>
    <w:p w:rsidR="009F30AD" w:rsidRDefault="009F30AD" w:rsidP="000B74FB">
      <w:pPr>
        <w:rPr>
          <w:rFonts w:cstheme="minorHAnsi"/>
          <w:szCs w:val="24"/>
          <w:lang w:val="en-US" w:eastAsia="zh-CN"/>
        </w:rPr>
      </w:pPr>
    </w:p>
    <w:p w:rsidR="009F30AD" w:rsidRPr="00B55BFB" w:rsidRDefault="009F30AD" w:rsidP="000B74FB">
      <w:pPr>
        <w:rPr>
          <w:szCs w:val="24"/>
          <w:lang w:val="en-US" w:eastAsia="zh-CN"/>
        </w:rPr>
      </w:pPr>
    </w:p>
    <w:p w:rsidR="00325D93" w:rsidRPr="00022392" w:rsidRDefault="001F2CC2" w:rsidP="000B74FB">
      <w:pPr>
        <w:jc w:val="center"/>
        <w:rPr>
          <w:lang w:eastAsia="zh-CN"/>
        </w:rPr>
      </w:pPr>
      <w:r>
        <w:rPr>
          <w:lang w:eastAsia="zh-CN"/>
        </w:rPr>
        <w:t>______________</w:t>
      </w:r>
    </w:p>
    <w:sectPr w:rsidR="00325D93" w:rsidRPr="0002239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8B" w:rsidRDefault="003F238B">
      <w:r>
        <w:separator/>
      </w:r>
    </w:p>
  </w:endnote>
  <w:endnote w:type="continuationSeparator" w:id="0">
    <w:p w:rsidR="003F238B" w:rsidRDefault="003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Default="003F238B">
    <w:pPr>
      <w:framePr w:wrap="around" w:vAnchor="text" w:hAnchor="margin" w:xAlign="right" w:y="1"/>
    </w:pPr>
    <w:r>
      <w:fldChar w:fldCharType="begin"/>
    </w:r>
    <w:r>
      <w:instrText xml:space="preserve">PAGE  </w:instrText>
    </w:r>
    <w:r>
      <w:fldChar w:fldCharType="end"/>
    </w:r>
  </w:p>
  <w:p w:rsidR="003F238B" w:rsidRPr="0041348E" w:rsidRDefault="003F238B">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560095">
      <w:rPr>
        <w:noProof/>
      </w:rPr>
      <w:t>06.02.18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Default="002E0A33" w:rsidP="00911E01">
    <w:pPr>
      <w:pStyle w:val="Footer"/>
    </w:pPr>
    <w:r>
      <w:fldChar w:fldCharType="begin"/>
    </w:r>
    <w:r>
      <w:instrText xml:space="preserve"> FILENAME \p  \* MERGEFORMAT </w:instrText>
    </w:r>
    <w:r>
      <w:fldChar w:fldCharType="separate"/>
    </w:r>
    <w:r w:rsidR="000B74FB">
      <w:t>P:\CHI\ITU-D\CONF-D\TDAG18\000\007C.docx</w:t>
    </w:r>
    <w:r>
      <w:fldChar w:fldCharType="end"/>
    </w:r>
    <w:r w:rsidR="003F238B">
      <w:t xml:space="preserve"> (428</w:t>
    </w:r>
    <w:r w:rsidR="00911E01">
      <w:t>695</w:t>
    </w:r>
    <w:r w:rsidR="003F238B">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A7431" w:rsidRPr="004D495C" w:rsidTr="00FA7431">
      <w:tc>
        <w:tcPr>
          <w:tcW w:w="1526" w:type="dxa"/>
          <w:tcBorders>
            <w:top w:val="single" w:sz="4" w:space="0" w:color="000000"/>
          </w:tcBorders>
          <w:shd w:val="clear" w:color="auto" w:fill="auto"/>
        </w:tcPr>
        <w:p w:rsidR="00FA7431" w:rsidRPr="004D495C" w:rsidRDefault="00FA7431" w:rsidP="00FA743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FA7431" w:rsidRPr="004D495C" w:rsidRDefault="00FA7431" w:rsidP="00FA743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FA7431" w:rsidRPr="00E41CCE" w:rsidRDefault="00911E01" w:rsidP="00911E01">
          <w:pPr>
            <w:pStyle w:val="FirstFooter"/>
            <w:tabs>
              <w:tab w:val="left" w:pos="1201"/>
            </w:tabs>
            <w:rPr>
              <w:sz w:val="18"/>
              <w:szCs w:val="18"/>
              <w:lang w:val="en-US" w:eastAsia="zh-CN"/>
            </w:rPr>
          </w:pPr>
          <w:r>
            <w:rPr>
              <w:rFonts w:hint="eastAsia"/>
              <w:sz w:val="18"/>
              <w:szCs w:val="18"/>
              <w:lang w:val="en-US" w:eastAsia="zh-CN"/>
            </w:rPr>
            <w:t>电</w:t>
          </w:r>
          <w:r>
            <w:rPr>
              <w:sz w:val="18"/>
              <w:szCs w:val="18"/>
              <w:lang w:val="en-US" w:eastAsia="zh-CN"/>
            </w:rPr>
            <w:t>信发展局副主任</w:t>
          </w:r>
          <w:proofErr w:type="spellStart"/>
          <w:r w:rsidRPr="00DF6262">
            <w:rPr>
              <w:sz w:val="18"/>
              <w:szCs w:val="18"/>
              <w:lang w:val="en-US"/>
            </w:rPr>
            <w:t>Yushi</w:t>
          </w:r>
          <w:proofErr w:type="spellEnd"/>
          <w:r w:rsidRPr="00DF6262">
            <w:rPr>
              <w:sz w:val="18"/>
              <w:szCs w:val="18"/>
              <w:lang w:val="en-US"/>
            </w:rPr>
            <w:t xml:space="preserve"> </w:t>
          </w:r>
          <w:proofErr w:type="spellStart"/>
          <w:r w:rsidRPr="00DF6262">
            <w:rPr>
              <w:sz w:val="18"/>
              <w:szCs w:val="18"/>
              <w:lang w:val="en-US"/>
            </w:rPr>
            <w:t>Torigoe</w:t>
          </w:r>
          <w:proofErr w:type="spellEnd"/>
          <w:r w:rsidR="002721E2">
            <w:rPr>
              <w:rFonts w:hint="eastAsia"/>
              <w:sz w:val="18"/>
              <w:szCs w:val="18"/>
              <w:lang w:val="en-US" w:eastAsia="zh-CN"/>
            </w:rPr>
            <w:t>先生</w:t>
          </w:r>
        </w:p>
      </w:tc>
      <w:bookmarkStart w:id="15" w:name="OrgName"/>
      <w:bookmarkEnd w:id="15"/>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eastAsia="zh-CN"/>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FA7431" w:rsidRPr="00E41CCE" w:rsidRDefault="00FA7431" w:rsidP="00911E01">
          <w:pPr>
            <w:pStyle w:val="FirstFooter"/>
            <w:tabs>
              <w:tab w:val="left" w:pos="2302"/>
            </w:tabs>
            <w:rPr>
              <w:sz w:val="18"/>
              <w:szCs w:val="18"/>
              <w:lang w:val="en-US"/>
            </w:rPr>
          </w:pPr>
          <w:r w:rsidRPr="00E41CCE">
            <w:rPr>
              <w:sz w:val="18"/>
              <w:szCs w:val="18"/>
              <w:lang w:val="en-US"/>
            </w:rPr>
            <w:t>+41 22 730 5</w:t>
          </w:r>
          <w:r w:rsidR="00911E01">
            <w:rPr>
              <w:sz w:val="18"/>
              <w:szCs w:val="18"/>
              <w:lang w:val="en-US"/>
            </w:rPr>
            <w:t>784</w:t>
          </w:r>
        </w:p>
      </w:tc>
      <w:bookmarkStart w:id="16" w:name="PhoneNo"/>
      <w:bookmarkEnd w:id="16"/>
    </w:tr>
    <w:tr w:rsidR="00FA7431" w:rsidRPr="004D495C" w:rsidTr="00FA7431">
      <w:tc>
        <w:tcPr>
          <w:tcW w:w="1526" w:type="dxa"/>
          <w:shd w:val="clear" w:color="auto" w:fill="auto"/>
        </w:tcPr>
        <w:p w:rsidR="00FA7431" w:rsidRPr="004D495C" w:rsidRDefault="00FA7431" w:rsidP="00FA7431">
          <w:pPr>
            <w:pStyle w:val="FirstFooter"/>
            <w:tabs>
              <w:tab w:val="left" w:pos="1559"/>
              <w:tab w:val="left" w:pos="3828"/>
            </w:tabs>
            <w:rPr>
              <w:sz w:val="20"/>
              <w:lang w:val="en-US"/>
            </w:rPr>
          </w:pPr>
        </w:p>
      </w:tc>
      <w:tc>
        <w:tcPr>
          <w:tcW w:w="2410" w:type="dxa"/>
          <w:shd w:val="clear" w:color="auto" w:fill="auto"/>
        </w:tcPr>
        <w:p w:rsidR="00FA7431" w:rsidRPr="004D495C" w:rsidRDefault="00FA7431" w:rsidP="00FA743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FA7431" w:rsidRPr="00E41CCE" w:rsidRDefault="002E0A33" w:rsidP="00FA7431">
          <w:pPr>
            <w:pStyle w:val="FirstFooter"/>
            <w:tabs>
              <w:tab w:val="left" w:pos="2302"/>
            </w:tabs>
            <w:rPr>
              <w:sz w:val="18"/>
              <w:szCs w:val="18"/>
              <w:lang w:val="en-US"/>
            </w:rPr>
          </w:pPr>
          <w:hyperlink r:id="rId1" w:history="1">
            <w:r w:rsidR="00911E01" w:rsidRPr="00DF6262">
              <w:rPr>
                <w:rStyle w:val="Hyperlink"/>
                <w:sz w:val="18"/>
                <w:szCs w:val="18"/>
                <w:lang w:val="en-US"/>
              </w:rPr>
              <w:t>yushi.torigoe@itu.int</w:t>
            </w:r>
          </w:hyperlink>
        </w:p>
      </w:tc>
      <w:bookmarkStart w:id="17" w:name="Email"/>
      <w:bookmarkEnd w:id="17"/>
    </w:tr>
  </w:tbl>
  <w:p w:rsidR="003F238B" w:rsidRPr="00D83BF5" w:rsidRDefault="002E0A33" w:rsidP="001E252D">
    <w:pPr>
      <w:jc w:val="center"/>
    </w:pPr>
    <w:hyperlink r:id="rId2" w:history="1">
      <w:r w:rsidR="003F238B"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8B" w:rsidRDefault="003F238B">
      <w:r>
        <w:rPr>
          <w:b/>
        </w:rPr>
        <w:t>_______________</w:t>
      </w:r>
    </w:p>
  </w:footnote>
  <w:footnote w:type="continuationSeparator" w:id="0">
    <w:p w:rsidR="003F238B" w:rsidRDefault="003F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8B" w:rsidRPr="00325D93" w:rsidRDefault="003F238B" w:rsidP="00911E01">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14" w:name="DocNo2"/>
    <w:bookmarkEnd w:id="14"/>
    <w:r w:rsidR="00911E01">
      <w:rPr>
        <w:sz w:val="18"/>
        <w:szCs w:val="18"/>
        <w:lang w:val="es-ES_tradnl"/>
      </w:rPr>
      <w:t>7</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2E0A33">
      <w:rPr>
        <w:noProof/>
        <w:sz w:val="18"/>
        <w:szCs w:val="18"/>
        <w:lang w:val="es-ES_tradnl"/>
      </w:rPr>
      <w:t>2</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4"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6"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9"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2"/>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392"/>
    <w:rsid w:val="00022A29"/>
    <w:rsid w:val="000355FD"/>
    <w:rsid w:val="00051E39"/>
    <w:rsid w:val="00075C63"/>
    <w:rsid w:val="00077239"/>
    <w:rsid w:val="00080905"/>
    <w:rsid w:val="000822BE"/>
    <w:rsid w:val="00086491"/>
    <w:rsid w:val="00091346"/>
    <w:rsid w:val="000B74FB"/>
    <w:rsid w:val="000D4875"/>
    <w:rsid w:val="000F033A"/>
    <w:rsid w:val="000F73FF"/>
    <w:rsid w:val="00114CF7"/>
    <w:rsid w:val="00123B68"/>
    <w:rsid w:val="00126F2E"/>
    <w:rsid w:val="00146F6F"/>
    <w:rsid w:val="00147DA1"/>
    <w:rsid w:val="00150E91"/>
    <w:rsid w:val="00152957"/>
    <w:rsid w:val="00187BD9"/>
    <w:rsid w:val="00190B55"/>
    <w:rsid w:val="00194CFB"/>
    <w:rsid w:val="001B2ED3"/>
    <w:rsid w:val="001B445D"/>
    <w:rsid w:val="001B7EA3"/>
    <w:rsid w:val="001C3B5F"/>
    <w:rsid w:val="001D058F"/>
    <w:rsid w:val="001E252D"/>
    <w:rsid w:val="001F2CC2"/>
    <w:rsid w:val="001F7E49"/>
    <w:rsid w:val="002009EA"/>
    <w:rsid w:val="00202CA0"/>
    <w:rsid w:val="002043F1"/>
    <w:rsid w:val="002154A6"/>
    <w:rsid w:val="002162CD"/>
    <w:rsid w:val="002255B3"/>
    <w:rsid w:val="00236E8A"/>
    <w:rsid w:val="00271316"/>
    <w:rsid w:val="002721E2"/>
    <w:rsid w:val="00296313"/>
    <w:rsid w:val="002B3C84"/>
    <w:rsid w:val="002D58BE"/>
    <w:rsid w:val="002E0A33"/>
    <w:rsid w:val="003013EE"/>
    <w:rsid w:val="0030171E"/>
    <w:rsid w:val="00325D93"/>
    <w:rsid w:val="00354E8D"/>
    <w:rsid w:val="00372521"/>
    <w:rsid w:val="00377BD3"/>
    <w:rsid w:val="00384088"/>
    <w:rsid w:val="0038489B"/>
    <w:rsid w:val="0039169B"/>
    <w:rsid w:val="00393931"/>
    <w:rsid w:val="003A7F8C"/>
    <w:rsid w:val="003B532E"/>
    <w:rsid w:val="003B6F14"/>
    <w:rsid w:val="003C7480"/>
    <w:rsid w:val="003D0F8B"/>
    <w:rsid w:val="003E1B6B"/>
    <w:rsid w:val="003F238B"/>
    <w:rsid w:val="0040703D"/>
    <w:rsid w:val="004131D4"/>
    <w:rsid w:val="0041348E"/>
    <w:rsid w:val="00445A33"/>
    <w:rsid w:val="00447308"/>
    <w:rsid w:val="004765FF"/>
    <w:rsid w:val="004766CD"/>
    <w:rsid w:val="00492075"/>
    <w:rsid w:val="00492ACB"/>
    <w:rsid w:val="004969AD"/>
    <w:rsid w:val="004B13CB"/>
    <w:rsid w:val="004B4FDF"/>
    <w:rsid w:val="004D5D5C"/>
    <w:rsid w:val="0050139F"/>
    <w:rsid w:val="00521223"/>
    <w:rsid w:val="00524DF1"/>
    <w:rsid w:val="005455CE"/>
    <w:rsid w:val="0055140B"/>
    <w:rsid w:val="00554C4F"/>
    <w:rsid w:val="00560095"/>
    <w:rsid w:val="00561D72"/>
    <w:rsid w:val="005964AB"/>
    <w:rsid w:val="005B44F5"/>
    <w:rsid w:val="005C099A"/>
    <w:rsid w:val="005C31A5"/>
    <w:rsid w:val="005C3DD7"/>
    <w:rsid w:val="005E10C9"/>
    <w:rsid w:val="005E61DD"/>
    <w:rsid w:val="005E6321"/>
    <w:rsid w:val="005F01D3"/>
    <w:rsid w:val="005F5F32"/>
    <w:rsid w:val="006023DF"/>
    <w:rsid w:val="00602C32"/>
    <w:rsid w:val="0064322F"/>
    <w:rsid w:val="006511D4"/>
    <w:rsid w:val="00657DE0"/>
    <w:rsid w:val="006629AE"/>
    <w:rsid w:val="00667A0E"/>
    <w:rsid w:val="0067199F"/>
    <w:rsid w:val="00677048"/>
    <w:rsid w:val="00685313"/>
    <w:rsid w:val="006953D4"/>
    <w:rsid w:val="006A6E9B"/>
    <w:rsid w:val="006B7C2A"/>
    <w:rsid w:val="006C23DA"/>
    <w:rsid w:val="006E3D45"/>
    <w:rsid w:val="006F7FAE"/>
    <w:rsid w:val="00700EA2"/>
    <w:rsid w:val="007149F9"/>
    <w:rsid w:val="00733A30"/>
    <w:rsid w:val="00745AEE"/>
    <w:rsid w:val="007479EA"/>
    <w:rsid w:val="00750F10"/>
    <w:rsid w:val="00754879"/>
    <w:rsid w:val="007742CA"/>
    <w:rsid w:val="007A17E5"/>
    <w:rsid w:val="007A7A70"/>
    <w:rsid w:val="007C2807"/>
    <w:rsid w:val="007C6749"/>
    <w:rsid w:val="007D06F0"/>
    <w:rsid w:val="007D45E3"/>
    <w:rsid w:val="007D5320"/>
    <w:rsid w:val="007D5C9D"/>
    <w:rsid w:val="007E061C"/>
    <w:rsid w:val="007F47B5"/>
    <w:rsid w:val="007F5D1A"/>
    <w:rsid w:val="007F735C"/>
    <w:rsid w:val="00800972"/>
    <w:rsid w:val="00804475"/>
    <w:rsid w:val="00811633"/>
    <w:rsid w:val="00821CEF"/>
    <w:rsid w:val="00826991"/>
    <w:rsid w:val="00827283"/>
    <w:rsid w:val="00832828"/>
    <w:rsid w:val="0083645A"/>
    <w:rsid w:val="00840B0F"/>
    <w:rsid w:val="0086088A"/>
    <w:rsid w:val="008711AE"/>
    <w:rsid w:val="00872FC8"/>
    <w:rsid w:val="00877FC1"/>
    <w:rsid w:val="008801D3"/>
    <w:rsid w:val="008845D0"/>
    <w:rsid w:val="008A3933"/>
    <w:rsid w:val="008B43F2"/>
    <w:rsid w:val="008B61EA"/>
    <w:rsid w:val="008B6CFF"/>
    <w:rsid w:val="008B7245"/>
    <w:rsid w:val="008C03EA"/>
    <w:rsid w:val="00910B26"/>
    <w:rsid w:val="00911E01"/>
    <w:rsid w:val="00917D6B"/>
    <w:rsid w:val="009274B4"/>
    <w:rsid w:val="00934EA2"/>
    <w:rsid w:val="00944A5C"/>
    <w:rsid w:val="00952A66"/>
    <w:rsid w:val="00972A65"/>
    <w:rsid w:val="009A08D2"/>
    <w:rsid w:val="009B75FF"/>
    <w:rsid w:val="009C56E5"/>
    <w:rsid w:val="009E5FC8"/>
    <w:rsid w:val="009E687A"/>
    <w:rsid w:val="009F30AD"/>
    <w:rsid w:val="00A03C5C"/>
    <w:rsid w:val="00A04932"/>
    <w:rsid w:val="00A066F1"/>
    <w:rsid w:val="00A141AF"/>
    <w:rsid w:val="00A16D29"/>
    <w:rsid w:val="00A20E5E"/>
    <w:rsid w:val="00A25174"/>
    <w:rsid w:val="00A30305"/>
    <w:rsid w:val="00A31D2D"/>
    <w:rsid w:val="00A4600A"/>
    <w:rsid w:val="00A538A6"/>
    <w:rsid w:val="00A54C25"/>
    <w:rsid w:val="00A710E7"/>
    <w:rsid w:val="00A7372E"/>
    <w:rsid w:val="00A93B85"/>
    <w:rsid w:val="00A954D4"/>
    <w:rsid w:val="00AA0B18"/>
    <w:rsid w:val="00AA666F"/>
    <w:rsid w:val="00AB4927"/>
    <w:rsid w:val="00AB6F07"/>
    <w:rsid w:val="00AC034F"/>
    <w:rsid w:val="00AD192B"/>
    <w:rsid w:val="00B004E5"/>
    <w:rsid w:val="00B12B78"/>
    <w:rsid w:val="00B15F9D"/>
    <w:rsid w:val="00B639E9"/>
    <w:rsid w:val="00B817CD"/>
    <w:rsid w:val="00B90710"/>
    <w:rsid w:val="00B911B2"/>
    <w:rsid w:val="00B951D0"/>
    <w:rsid w:val="00B95DA2"/>
    <w:rsid w:val="00BA5AAB"/>
    <w:rsid w:val="00BB29C8"/>
    <w:rsid w:val="00BB3A95"/>
    <w:rsid w:val="00BC0382"/>
    <w:rsid w:val="00BD0504"/>
    <w:rsid w:val="00BD62C6"/>
    <w:rsid w:val="00BE4CB7"/>
    <w:rsid w:val="00BF66AB"/>
    <w:rsid w:val="00C0018F"/>
    <w:rsid w:val="00C20466"/>
    <w:rsid w:val="00C214ED"/>
    <w:rsid w:val="00C234E6"/>
    <w:rsid w:val="00C324A8"/>
    <w:rsid w:val="00C467DD"/>
    <w:rsid w:val="00C54517"/>
    <w:rsid w:val="00C56CC5"/>
    <w:rsid w:val="00C64CD8"/>
    <w:rsid w:val="00C76A6D"/>
    <w:rsid w:val="00C94C59"/>
    <w:rsid w:val="00C97C68"/>
    <w:rsid w:val="00CA1A47"/>
    <w:rsid w:val="00CB2208"/>
    <w:rsid w:val="00CC247A"/>
    <w:rsid w:val="00CD1761"/>
    <w:rsid w:val="00CE5E47"/>
    <w:rsid w:val="00CF020F"/>
    <w:rsid w:val="00CF2B5B"/>
    <w:rsid w:val="00D14CE0"/>
    <w:rsid w:val="00D25C8A"/>
    <w:rsid w:val="00D36333"/>
    <w:rsid w:val="00D5651D"/>
    <w:rsid w:val="00D56564"/>
    <w:rsid w:val="00D72F83"/>
    <w:rsid w:val="00D74898"/>
    <w:rsid w:val="00D801ED"/>
    <w:rsid w:val="00D83BF5"/>
    <w:rsid w:val="00D867B3"/>
    <w:rsid w:val="00D925C2"/>
    <w:rsid w:val="00D936BC"/>
    <w:rsid w:val="00D9621A"/>
    <w:rsid w:val="00D96530"/>
    <w:rsid w:val="00D96B4B"/>
    <w:rsid w:val="00DA2345"/>
    <w:rsid w:val="00DA2659"/>
    <w:rsid w:val="00DA453A"/>
    <w:rsid w:val="00DA7078"/>
    <w:rsid w:val="00DC7A97"/>
    <w:rsid w:val="00DD08B4"/>
    <w:rsid w:val="00DD44AF"/>
    <w:rsid w:val="00DE2AC3"/>
    <w:rsid w:val="00DE434C"/>
    <w:rsid w:val="00DE5692"/>
    <w:rsid w:val="00DF2E2E"/>
    <w:rsid w:val="00DF51EE"/>
    <w:rsid w:val="00DF6F8E"/>
    <w:rsid w:val="00E03C94"/>
    <w:rsid w:val="00E07105"/>
    <w:rsid w:val="00E24A64"/>
    <w:rsid w:val="00E26226"/>
    <w:rsid w:val="00E35A44"/>
    <w:rsid w:val="00E37CDD"/>
    <w:rsid w:val="00E4165C"/>
    <w:rsid w:val="00E45D05"/>
    <w:rsid w:val="00E55816"/>
    <w:rsid w:val="00E55AEF"/>
    <w:rsid w:val="00E642A5"/>
    <w:rsid w:val="00E73D76"/>
    <w:rsid w:val="00E84E0B"/>
    <w:rsid w:val="00E976C1"/>
    <w:rsid w:val="00EA12E5"/>
    <w:rsid w:val="00EA169A"/>
    <w:rsid w:val="00EC24D5"/>
    <w:rsid w:val="00F02766"/>
    <w:rsid w:val="00F04067"/>
    <w:rsid w:val="00F05BD4"/>
    <w:rsid w:val="00F11A98"/>
    <w:rsid w:val="00F21A1D"/>
    <w:rsid w:val="00F65C19"/>
    <w:rsid w:val="00FA3263"/>
    <w:rsid w:val="00FA74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99"/>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99"/>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 w:type="character" w:customStyle="1" w:styleId="enumlev2Char">
    <w:name w:val="enumlev2 Char"/>
    <w:link w:val="enumlev2"/>
    <w:locked/>
    <w:rsid w:val="00CD176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10bb021d-947f-43a0-81ba-2a21b0d60df9"/>
    <ds:schemaRef ds:uri="bc0480e9-89b5-4e04-9897-b8ef005e5e50"/>
    <ds:schemaRef ds:uri="http://purl.org/dc/dcmitype/"/>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0FC31FF-BD5B-4E7F-AFCC-C53E85C7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2840</Words>
  <Characters>569</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Kong, Hongli</cp:lastModifiedBy>
  <cp:revision>4</cp:revision>
  <cp:lastPrinted>2011-08-24T07:41:00Z</cp:lastPrinted>
  <dcterms:created xsi:type="dcterms:W3CDTF">2018-02-06T09:03:00Z</dcterms:created>
  <dcterms:modified xsi:type="dcterms:W3CDTF">2018-02-06T09:12:00Z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