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8D434B" w:rsidTr="00F45A0D">
        <w:trPr>
          <w:cantSplit/>
          <w:trHeight w:val="1134"/>
        </w:trPr>
        <w:tc>
          <w:tcPr>
            <w:tcW w:w="6663" w:type="dxa"/>
            <w:tcBorders>
              <w:bottom w:val="single" w:sz="12" w:space="0" w:color="auto"/>
            </w:tcBorders>
          </w:tcPr>
          <w:p w:rsidR="00D372A5" w:rsidRPr="00FD3713" w:rsidRDefault="00D372A5" w:rsidP="00BC7208">
            <w:pPr>
              <w:rPr>
                <w:b/>
                <w:bCs/>
                <w:sz w:val="32"/>
                <w:szCs w:val="32"/>
                <w:lang w:val="es-ES_tradnl"/>
              </w:rPr>
            </w:pPr>
            <w:r w:rsidRPr="00FD3713">
              <w:rPr>
                <w:rFonts w:cstheme="minorHAnsi"/>
                <w:b/>
                <w:bCs/>
                <w:sz w:val="32"/>
                <w:szCs w:val="32"/>
                <w:lang w:val="es-ES_tradnl"/>
              </w:rPr>
              <w:t>Grupo Asesor de Desarrollo de las Telecomunicaciones (</w:t>
            </w:r>
            <w:proofErr w:type="spellStart"/>
            <w:r w:rsidRPr="00FD3713">
              <w:rPr>
                <w:rFonts w:cstheme="minorHAnsi"/>
                <w:b/>
                <w:bCs/>
                <w:sz w:val="32"/>
                <w:szCs w:val="32"/>
                <w:lang w:val="es-ES_tradnl"/>
              </w:rPr>
              <w:t>GADT</w:t>
            </w:r>
            <w:proofErr w:type="spellEnd"/>
            <w:r w:rsidRPr="00FD3713">
              <w:rPr>
                <w:b/>
                <w:bCs/>
                <w:sz w:val="32"/>
                <w:szCs w:val="32"/>
                <w:lang w:val="es-ES_tradnl"/>
              </w:rPr>
              <w:t>)</w:t>
            </w:r>
          </w:p>
          <w:p w:rsidR="00D372A5" w:rsidRPr="00FD3713" w:rsidRDefault="00D372A5" w:rsidP="000725A1">
            <w:pPr>
              <w:spacing w:before="100" w:after="120"/>
              <w:rPr>
                <w:rFonts w:ascii="Verdana" w:hAnsi="Verdana"/>
                <w:sz w:val="28"/>
                <w:szCs w:val="28"/>
                <w:lang w:val="es-ES_tradnl"/>
              </w:rPr>
            </w:pPr>
            <w:r w:rsidRPr="00FD3713">
              <w:rPr>
                <w:b/>
                <w:bCs/>
                <w:sz w:val="26"/>
                <w:szCs w:val="26"/>
                <w:lang w:val="es-ES_tradnl"/>
              </w:rPr>
              <w:t>23ª reunión, Ginebra, 9-11 de abril de 2018</w:t>
            </w:r>
          </w:p>
        </w:tc>
        <w:tc>
          <w:tcPr>
            <w:tcW w:w="3225" w:type="dxa"/>
            <w:tcBorders>
              <w:bottom w:val="single" w:sz="12" w:space="0" w:color="auto"/>
            </w:tcBorders>
          </w:tcPr>
          <w:p w:rsidR="00D372A5" w:rsidRPr="00FD3713" w:rsidRDefault="00D372A5" w:rsidP="004B7893">
            <w:pPr>
              <w:spacing w:before="40" w:after="80"/>
              <w:ind w:right="142"/>
              <w:rPr>
                <w:lang w:val="es-ES_tradnl"/>
              </w:rPr>
            </w:pPr>
            <w:r w:rsidRPr="00FD3713">
              <w:rPr>
                <w:noProof/>
                <w:color w:val="3399FF"/>
                <w:lang w:val="en-US"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8D434B" w:rsidTr="004B7893">
        <w:trPr>
          <w:cantSplit/>
        </w:trPr>
        <w:tc>
          <w:tcPr>
            <w:tcW w:w="6663" w:type="dxa"/>
            <w:tcBorders>
              <w:top w:val="single" w:sz="12" w:space="0" w:color="auto"/>
            </w:tcBorders>
          </w:tcPr>
          <w:p w:rsidR="004B7893" w:rsidRPr="00FD3713" w:rsidRDefault="004B7893" w:rsidP="004B7893">
            <w:pPr>
              <w:spacing w:before="0"/>
              <w:rPr>
                <w:rFonts w:cs="Arial"/>
                <w:b/>
                <w:bCs/>
                <w:sz w:val="20"/>
                <w:lang w:val="es-ES_tradnl"/>
              </w:rPr>
            </w:pPr>
          </w:p>
        </w:tc>
        <w:tc>
          <w:tcPr>
            <w:tcW w:w="3225" w:type="dxa"/>
            <w:tcBorders>
              <w:top w:val="single" w:sz="12" w:space="0" w:color="auto"/>
            </w:tcBorders>
          </w:tcPr>
          <w:p w:rsidR="004B7893" w:rsidRPr="00FD3713" w:rsidRDefault="004B7893" w:rsidP="004B7893">
            <w:pPr>
              <w:spacing w:before="0"/>
              <w:rPr>
                <w:b/>
                <w:bCs/>
                <w:sz w:val="20"/>
                <w:lang w:val="es-ES_tradnl"/>
              </w:rPr>
            </w:pPr>
          </w:p>
        </w:tc>
      </w:tr>
      <w:tr w:rsidR="004B7893" w:rsidRPr="00FD3713" w:rsidTr="004B7893">
        <w:trPr>
          <w:cantSplit/>
        </w:trPr>
        <w:tc>
          <w:tcPr>
            <w:tcW w:w="6663" w:type="dxa"/>
          </w:tcPr>
          <w:p w:rsidR="004B7893" w:rsidRPr="00FD3713" w:rsidRDefault="004B7893" w:rsidP="004B7893">
            <w:pPr>
              <w:pStyle w:val="Committee"/>
              <w:spacing w:before="0"/>
              <w:rPr>
                <w:b w:val="0"/>
                <w:lang w:val="es-ES_tradnl"/>
              </w:rPr>
            </w:pPr>
          </w:p>
        </w:tc>
        <w:tc>
          <w:tcPr>
            <w:tcW w:w="3225" w:type="dxa"/>
          </w:tcPr>
          <w:p w:rsidR="004B7893" w:rsidRPr="00FD3713" w:rsidRDefault="005637B9" w:rsidP="00F45A0D">
            <w:pPr>
              <w:spacing w:before="0"/>
              <w:rPr>
                <w:bCs/>
                <w:lang w:val="es-ES_tradnl"/>
              </w:rPr>
            </w:pPr>
            <w:r w:rsidRPr="00FD3713">
              <w:rPr>
                <w:b/>
                <w:bCs/>
                <w:lang w:val="es-ES_tradnl"/>
              </w:rPr>
              <w:t xml:space="preserve">Documento </w:t>
            </w:r>
            <w:bookmarkStart w:id="0" w:name="DocRef1"/>
            <w:bookmarkEnd w:id="0"/>
            <w:proofErr w:type="spellStart"/>
            <w:r w:rsidRPr="00FD3713">
              <w:rPr>
                <w:b/>
                <w:bCs/>
                <w:lang w:val="es-ES_tradnl"/>
              </w:rPr>
              <w:t>TDAG</w:t>
            </w:r>
            <w:proofErr w:type="spellEnd"/>
            <w:r w:rsidR="00602B27" w:rsidRPr="00FD3713">
              <w:rPr>
                <w:b/>
                <w:bCs/>
                <w:lang w:val="es-ES_tradnl"/>
              </w:rPr>
              <w:t>-</w:t>
            </w:r>
            <w:r w:rsidRPr="00FD3713">
              <w:rPr>
                <w:b/>
                <w:bCs/>
                <w:lang w:val="es-ES_tradnl"/>
              </w:rPr>
              <w:t>1</w:t>
            </w:r>
            <w:r w:rsidR="000725A1" w:rsidRPr="00FD3713">
              <w:rPr>
                <w:b/>
                <w:bCs/>
                <w:lang w:val="es-ES_tradnl"/>
              </w:rPr>
              <w:t>8</w:t>
            </w:r>
            <w:r w:rsidRPr="00FD3713">
              <w:rPr>
                <w:b/>
                <w:bCs/>
                <w:lang w:val="es-ES_tradnl"/>
              </w:rPr>
              <w:t>/</w:t>
            </w:r>
            <w:bookmarkStart w:id="1" w:name="DocNo1"/>
            <w:bookmarkEnd w:id="1"/>
            <w:r w:rsidR="00F45A0D" w:rsidRPr="00FD3713">
              <w:rPr>
                <w:b/>
                <w:bCs/>
                <w:lang w:val="es-ES_tradnl"/>
              </w:rPr>
              <w:t>2</w:t>
            </w:r>
            <w:r w:rsidRPr="00FD3713">
              <w:rPr>
                <w:b/>
                <w:bCs/>
                <w:lang w:val="es-ES_tradnl"/>
              </w:rPr>
              <w:t>-S</w:t>
            </w:r>
          </w:p>
        </w:tc>
      </w:tr>
      <w:tr w:rsidR="004B7893" w:rsidRPr="00FD3713" w:rsidTr="004B7893">
        <w:trPr>
          <w:cantSplit/>
        </w:trPr>
        <w:tc>
          <w:tcPr>
            <w:tcW w:w="6663" w:type="dxa"/>
          </w:tcPr>
          <w:p w:rsidR="004B7893" w:rsidRPr="00FD3713" w:rsidRDefault="004B7893" w:rsidP="004B7893">
            <w:pPr>
              <w:spacing w:before="0"/>
              <w:rPr>
                <w:b/>
                <w:bCs/>
                <w:smallCaps/>
                <w:lang w:val="es-ES_tradnl"/>
              </w:rPr>
            </w:pPr>
          </w:p>
        </w:tc>
        <w:tc>
          <w:tcPr>
            <w:tcW w:w="3225" w:type="dxa"/>
          </w:tcPr>
          <w:p w:rsidR="004B7893" w:rsidRPr="00FD3713" w:rsidRDefault="00F45A0D" w:rsidP="000725A1">
            <w:pPr>
              <w:spacing w:before="0"/>
              <w:rPr>
                <w:b/>
                <w:lang w:val="es-ES_tradnl"/>
              </w:rPr>
            </w:pPr>
            <w:bookmarkStart w:id="2" w:name="CreationDate"/>
            <w:bookmarkEnd w:id="2"/>
            <w:r w:rsidRPr="00FD3713">
              <w:rPr>
                <w:b/>
                <w:bCs/>
                <w:szCs w:val="28"/>
                <w:lang w:val="es-ES_tradnl"/>
              </w:rPr>
              <w:t xml:space="preserve">31 de enero de </w:t>
            </w:r>
            <w:r w:rsidR="00BC7208" w:rsidRPr="00FD3713">
              <w:rPr>
                <w:b/>
                <w:bCs/>
                <w:szCs w:val="28"/>
                <w:lang w:val="es-ES_tradnl"/>
              </w:rPr>
              <w:t>201</w:t>
            </w:r>
            <w:r w:rsidR="000725A1" w:rsidRPr="00FD3713">
              <w:rPr>
                <w:b/>
                <w:bCs/>
                <w:szCs w:val="28"/>
                <w:lang w:val="es-ES_tradnl"/>
              </w:rPr>
              <w:t>8</w:t>
            </w:r>
          </w:p>
        </w:tc>
      </w:tr>
      <w:tr w:rsidR="004B7893" w:rsidRPr="00FD3713" w:rsidTr="004B7893">
        <w:trPr>
          <w:cantSplit/>
        </w:trPr>
        <w:tc>
          <w:tcPr>
            <w:tcW w:w="6663" w:type="dxa"/>
          </w:tcPr>
          <w:p w:rsidR="004B7893" w:rsidRPr="00FD3713" w:rsidRDefault="004B7893" w:rsidP="004B7893">
            <w:pPr>
              <w:spacing w:before="0"/>
              <w:rPr>
                <w:b/>
                <w:bCs/>
                <w:smallCaps/>
                <w:lang w:val="es-ES_tradnl"/>
              </w:rPr>
            </w:pPr>
          </w:p>
        </w:tc>
        <w:tc>
          <w:tcPr>
            <w:tcW w:w="3225" w:type="dxa"/>
          </w:tcPr>
          <w:p w:rsidR="004B7893" w:rsidRPr="00FD3713" w:rsidRDefault="005637B9" w:rsidP="004B7893">
            <w:pPr>
              <w:spacing w:before="0"/>
              <w:rPr>
                <w:szCs w:val="24"/>
                <w:lang w:val="es-ES_tradnl"/>
              </w:rPr>
            </w:pPr>
            <w:r w:rsidRPr="00FD3713">
              <w:rPr>
                <w:b/>
                <w:lang w:val="es-ES_tradnl"/>
              </w:rPr>
              <w:t>Original:</w:t>
            </w:r>
            <w:bookmarkStart w:id="3" w:name="Original"/>
            <w:bookmarkEnd w:id="3"/>
            <w:r w:rsidRPr="00FD3713">
              <w:rPr>
                <w:b/>
                <w:lang w:val="es-ES_tradnl"/>
              </w:rPr>
              <w:t xml:space="preserve"> </w:t>
            </w:r>
            <w:r w:rsidR="00F45A0D" w:rsidRPr="00FD3713">
              <w:rPr>
                <w:b/>
                <w:lang w:val="es-ES_tradnl"/>
              </w:rPr>
              <w:t>inglés</w:t>
            </w:r>
          </w:p>
        </w:tc>
      </w:tr>
      <w:tr w:rsidR="004B7893" w:rsidRPr="008D434B" w:rsidTr="004B7893">
        <w:trPr>
          <w:cantSplit/>
          <w:trHeight w:val="852"/>
        </w:trPr>
        <w:tc>
          <w:tcPr>
            <w:tcW w:w="9888" w:type="dxa"/>
            <w:gridSpan w:val="2"/>
          </w:tcPr>
          <w:p w:rsidR="004B7893" w:rsidRPr="00FD3713" w:rsidRDefault="00F45A0D" w:rsidP="004B7893">
            <w:pPr>
              <w:pStyle w:val="Source"/>
              <w:rPr>
                <w:szCs w:val="28"/>
                <w:lang w:val="es-ES_tradnl"/>
              </w:rPr>
            </w:pPr>
            <w:bookmarkStart w:id="4" w:name="Source"/>
            <w:bookmarkEnd w:id="4"/>
            <w:r w:rsidRPr="00FD3713">
              <w:rPr>
                <w:rFonts w:ascii="Calibri" w:hAnsi="Calibri"/>
                <w:lang w:val="es-ES_tradnl"/>
              </w:rPr>
              <w:t>Director de la Oficina de Desarrollo de las Telecomunicaciones</w:t>
            </w:r>
          </w:p>
        </w:tc>
      </w:tr>
      <w:tr w:rsidR="004B7893" w:rsidRPr="008D434B" w:rsidTr="004B7893">
        <w:trPr>
          <w:cantSplit/>
        </w:trPr>
        <w:tc>
          <w:tcPr>
            <w:tcW w:w="9888" w:type="dxa"/>
            <w:gridSpan w:val="2"/>
          </w:tcPr>
          <w:p w:rsidR="004B7893" w:rsidRPr="00FD3713" w:rsidRDefault="00F45A0D" w:rsidP="004B7893">
            <w:pPr>
              <w:pStyle w:val="Title1"/>
              <w:rPr>
                <w:bCs/>
                <w:szCs w:val="28"/>
                <w:lang w:val="es-ES_tradnl"/>
              </w:rPr>
            </w:pPr>
            <w:bookmarkStart w:id="5" w:name="Title"/>
            <w:bookmarkEnd w:id="5"/>
            <w:r w:rsidRPr="00FD3713">
              <w:rPr>
                <w:bCs/>
                <w:szCs w:val="28"/>
                <w:lang w:val="es-ES_tradnl"/>
              </w:rPr>
              <w:t>INFORME SOBRE EL RENDIMIENTO DE 2017</w:t>
            </w:r>
          </w:p>
        </w:tc>
      </w:tr>
      <w:tr w:rsidR="004B7893" w:rsidRPr="008D434B" w:rsidTr="004B7893">
        <w:trPr>
          <w:cantSplit/>
        </w:trPr>
        <w:tc>
          <w:tcPr>
            <w:tcW w:w="9888" w:type="dxa"/>
            <w:gridSpan w:val="2"/>
            <w:tcBorders>
              <w:bottom w:val="single" w:sz="4" w:space="0" w:color="auto"/>
            </w:tcBorders>
          </w:tcPr>
          <w:p w:rsidR="004B7893" w:rsidRPr="00FD3713" w:rsidRDefault="004B7893" w:rsidP="00BC7208">
            <w:pPr>
              <w:rPr>
                <w:lang w:val="es-ES_tradnl"/>
              </w:rPr>
            </w:pPr>
          </w:p>
        </w:tc>
      </w:tr>
      <w:tr w:rsidR="004B7893" w:rsidRPr="008D434B"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FD3713" w:rsidRDefault="004B7893" w:rsidP="004B7893">
            <w:pPr>
              <w:spacing w:before="240"/>
              <w:rPr>
                <w:b/>
                <w:bCs/>
                <w:lang w:val="es-ES_tradnl"/>
              </w:rPr>
            </w:pPr>
            <w:r w:rsidRPr="00FD3713">
              <w:rPr>
                <w:b/>
                <w:bCs/>
                <w:lang w:val="es-ES_tradnl"/>
              </w:rPr>
              <w:t>Resumen:</w:t>
            </w:r>
          </w:p>
          <w:p w:rsidR="00F45A0D" w:rsidRPr="00FD3713" w:rsidRDefault="00F45A0D" w:rsidP="00F45A0D">
            <w:pPr>
              <w:rPr>
                <w:b/>
                <w:bCs/>
                <w:lang w:val="es-ES_tradnl"/>
              </w:rPr>
            </w:pPr>
            <w:r w:rsidRPr="00FD3713">
              <w:rPr>
                <w:rFonts w:ascii="Calibri" w:hAnsi="Calibri"/>
                <w:szCs w:val="24"/>
                <w:lang w:val="es-ES_tradnl"/>
              </w:rPr>
              <w:t xml:space="preserve">En el Informe sobre el rendimiento en 2017 se examina el grado de ejecución de los objetivos, resultados y productos definidos en el Plan Operacional del </w:t>
            </w:r>
            <w:proofErr w:type="spellStart"/>
            <w:r w:rsidRPr="00FD3713">
              <w:rPr>
                <w:rFonts w:ascii="Calibri" w:hAnsi="Calibri"/>
                <w:szCs w:val="24"/>
                <w:lang w:val="es-ES_tradnl"/>
              </w:rPr>
              <w:t>UIT</w:t>
            </w:r>
            <w:proofErr w:type="spellEnd"/>
            <w:r w:rsidRPr="00FD3713">
              <w:rPr>
                <w:rFonts w:ascii="Calibri" w:hAnsi="Calibri"/>
                <w:szCs w:val="24"/>
                <w:lang w:val="es-ES_tradnl"/>
              </w:rPr>
              <w:t>-D. Se destacan los resultados obtenidos durante la ejecución de los objetivos, resultados y productos del Sector y los indicadores de rendimiento.</w:t>
            </w:r>
          </w:p>
          <w:p w:rsidR="004B7893" w:rsidRPr="00FD3713" w:rsidRDefault="00F45A0D" w:rsidP="00F45A0D">
            <w:pPr>
              <w:rPr>
                <w:rFonts w:ascii="Calibri" w:hAnsi="Calibri"/>
                <w:color w:val="0000FF" w:themeColor="hyperlink"/>
                <w:szCs w:val="24"/>
                <w:u w:val="single"/>
                <w:lang w:val="es-ES_tradnl"/>
              </w:rPr>
            </w:pPr>
            <w:r w:rsidRPr="00FD3713">
              <w:rPr>
                <w:rFonts w:ascii="Calibri" w:hAnsi="Calibri"/>
                <w:szCs w:val="24"/>
                <w:lang w:val="es-ES_tradnl"/>
              </w:rPr>
              <w:t xml:space="preserve">El informe completo está disponible en: </w:t>
            </w:r>
            <w:r w:rsidRPr="00FD3713">
              <w:rPr>
                <w:rFonts w:ascii="Calibri" w:hAnsi="Calibri"/>
                <w:szCs w:val="24"/>
                <w:lang w:val="es-ES_tradnl"/>
              </w:rPr>
              <w:br/>
            </w:r>
            <w:hyperlink r:id="rId9" w:history="1">
              <w:r w:rsidRPr="00FD3713">
                <w:rPr>
                  <w:rStyle w:val="Hyperlink"/>
                  <w:szCs w:val="24"/>
                  <w:lang w:val="es-ES_tradnl"/>
                </w:rPr>
                <w:t>https://</w:t>
              </w:r>
              <w:proofErr w:type="spellStart"/>
              <w:r w:rsidRPr="00FD3713">
                <w:rPr>
                  <w:rStyle w:val="Hyperlink"/>
                  <w:szCs w:val="24"/>
                  <w:lang w:val="es-ES_tradnl"/>
                </w:rPr>
                <w:t>www.itu.int</w:t>
              </w:r>
              <w:proofErr w:type="spellEnd"/>
              <w:r w:rsidRPr="00FD3713">
                <w:rPr>
                  <w:rStyle w:val="Hyperlink"/>
                  <w:szCs w:val="24"/>
                  <w:lang w:val="es-ES_tradnl"/>
                </w:rPr>
                <w:t>/en/ITU-D/</w:t>
              </w:r>
              <w:proofErr w:type="spellStart"/>
              <w:r w:rsidRPr="00FD3713">
                <w:rPr>
                  <w:rStyle w:val="Hyperlink"/>
                  <w:szCs w:val="24"/>
                  <w:lang w:val="es-ES_tradnl"/>
                </w:rPr>
                <w:t>TIES_Protected</w:t>
              </w:r>
              <w:proofErr w:type="spellEnd"/>
              <w:r w:rsidRPr="00FD3713">
                <w:rPr>
                  <w:rStyle w:val="Hyperlink"/>
                  <w:szCs w:val="24"/>
                  <w:lang w:val="es-ES_tradnl"/>
                </w:rPr>
                <w:t>/</w:t>
              </w:r>
              <w:proofErr w:type="spellStart"/>
              <w:r w:rsidRPr="00FD3713">
                <w:rPr>
                  <w:rStyle w:val="Hyperlink"/>
                  <w:szCs w:val="24"/>
                  <w:lang w:val="es-ES_tradnl"/>
                </w:rPr>
                <w:t>PerfReport2017.pdf</w:t>
              </w:r>
              <w:proofErr w:type="spellEnd"/>
            </w:hyperlink>
          </w:p>
          <w:p w:rsidR="004B7893" w:rsidRPr="00FD3713" w:rsidRDefault="004B7893" w:rsidP="004B7893">
            <w:pPr>
              <w:rPr>
                <w:b/>
                <w:bCs/>
                <w:lang w:val="es-ES_tradnl"/>
              </w:rPr>
            </w:pPr>
            <w:r w:rsidRPr="00FD3713">
              <w:rPr>
                <w:b/>
                <w:bCs/>
                <w:lang w:val="es-ES_tradnl"/>
              </w:rPr>
              <w:t xml:space="preserve">Acción solicitada: </w:t>
            </w:r>
          </w:p>
          <w:p w:rsidR="004B7893" w:rsidRPr="00FD3713" w:rsidRDefault="00F45A0D" w:rsidP="004B7893">
            <w:pPr>
              <w:rPr>
                <w:b/>
                <w:bCs/>
                <w:lang w:val="es-ES_tradnl"/>
              </w:rPr>
            </w:pPr>
            <w:r w:rsidRPr="00FD3713">
              <w:rPr>
                <w:rFonts w:cstheme="minorHAnsi"/>
                <w:color w:val="000000"/>
                <w:szCs w:val="24"/>
                <w:lang w:val="es-ES_tradnl"/>
              </w:rPr>
              <w:t xml:space="preserve">Se invita al </w:t>
            </w:r>
            <w:proofErr w:type="spellStart"/>
            <w:r w:rsidRPr="00FD3713">
              <w:rPr>
                <w:rFonts w:cstheme="minorHAnsi"/>
                <w:color w:val="000000"/>
                <w:szCs w:val="24"/>
                <w:lang w:val="es-ES_tradnl"/>
              </w:rPr>
              <w:t>GADT</w:t>
            </w:r>
            <w:proofErr w:type="spellEnd"/>
            <w:r w:rsidRPr="00FD3713">
              <w:rPr>
                <w:rFonts w:cstheme="minorHAnsi"/>
                <w:color w:val="000000"/>
                <w:szCs w:val="24"/>
                <w:lang w:val="es-ES_tradnl"/>
              </w:rPr>
              <w:t xml:space="preserve"> a que tome nota del presente informe y formule los comentarios que estime oportunos.</w:t>
            </w:r>
          </w:p>
          <w:p w:rsidR="004B7893" w:rsidRPr="00FD3713" w:rsidRDefault="004B7893" w:rsidP="004B7893">
            <w:pPr>
              <w:rPr>
                <w:b/>
                <w:bCs/>
                <w:lang w:val="es-ES_tradnl"/>
              </w:rPr>
            </w:pPr>
            <w:r w:rsidRPr="00FD3713">
              <w:rPr>
                <w:b/>
                <w:bCs/>
                <w:lang w:val="es-ES_tradnl"/>
              </w:rPr>
              <w:t>Referencias:</w:t>
            </w:r>
          </w:p>
          <w:p w:rsidR="004B7893" w:rsidRPr="00FD3713" w:rsidRDefault="00F45A0D" w:rsidP="004B7893">
            <w:pPr>
              <w:rPr>
                <w:b/>
                <w:bCs/>
                <w:lang w:val="es-ES_tradnl"/>
              </w:rPr>
            </w:pPr>
            <w:r w:rsidRPr="00FD3713">
              <w:rPr>
                <w:szCs w:val="24"/>
                <w:lang w:val="es-ES_tradnl"/>
              </w:rPr>
              <w:t xml:space="preserve">Número </w:t>
            </w:r>
            <w:proofErr w:type="spellStart"/>
            <w:r w:rsidRPr="00FD3713">
              <w:rPr>
                <w:szCs w:val="24"/>
                <w:lang w:val="es-ES_tradnl"/>
              </w:rPr>
              <w:t>215EA</w:t>
            </w:r>
            <w:proofErr w:type="spellEnd"/>
            <w:r w:rsidRPr="00FD3713">
              <w:rPr>
                <w:szCs w:val="24"/>
                <w:lang w:val="es-ES_tradnl"/>
              </w:rPr>
              <w:t xml:space="preserve"> del Convenio</w:t>
            </w:r>
          </w:p>
        </w:tc>
      </w:tr>
    </w:tbl>
    <w:p w:rsidR="00835A77" w:rsidRPr="00FD3713" w:rsidRDefault="00835A77" w:rsidP="00BC7208">
      <w:pPr>
        <w:rPr>
          <w:lang w:val="es-ES_tradnl"/>
        </w:rPr>
      </w:pPr>
    </w:p>
    <w:p w:rsidR="00991B13" w:rsidRPr="00FD3713" w:rsidRDefault="00991B13" w:rsidP="00991B13">
      <w:pPr>
        <w:rPr>
          <w:lang w:val="es-ES_tradnl"/>
        </w:rPr>
      </w:pPr>
    </w:p>
    <w:p w:rsidR="00F45A0D" w:rsidRPr="00FD3713" w:rsidRDefault="00F45A0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FD3713">
        <w:rPr>
          <w:lang w:val="es-ES_tradnl"/>
        </w:rPr>
        <w:br w:type="page"/>
      </w:r>
    </w:p>
    <w:p w:rsidR="00F45A0D" w:rsidRPr="00FD3713" w:rsidRDefault="00F45A0D" w:rsidP="00C207F6">
      <w:pPr>
        <w:pStyle w:val="Headingb"/>
        <w:rPr>
          <w:lang w:val="es-ES_tradnl"/>
        </w:rPr>
      </w:pPr>
      <w:r w:rsidRPr="00FD3713">
        <w:rPr>
          <w:lang w:val="es-ES_tradnl"/>
        </w:rPr>
        <w:lastRenderedPageBreak/>
        <w:t>Resumen del Informe sobre el rendimiento en 2017</w:t>
      </w:r>
    </w:p>
    <w:p w:rsidR="00F45A0D" w:rsidRPr="00FD3713" w:rsidRDefault="00F45A0D" w:rsidP="00F45A0D">
      <w:pPr>
        <w:rPr>
          <w:szCs w:val="24"/>
          <w:lang w:val="es-ES_tradnl"/>
        </w:rPr>
      </w:pPr>
      <w:r w:rsidRPr="00FD3713">
        <w:rPr>
          <w:szCs w:val="24"/>
          <w:lang w:val="es-ES_tradnl"/>
        </w:rPr>
        <w:t xml:space="preserve">En el informe sobre el rendimiento en 2017 se comparan los resultados y los logros y los resultados previstos y los alcanzados, junto con los respectivos indicadores de rendimiento. También se evalúan las amenazas y riesgos para 2017 que se especifican para cada objetivo y producto correspondiente. El informe completo está disponible en </w:t>
      </w:r>
      <w:r w:rsidRPr="00FD3713">
        <w:rPr>
          <w:szCs w:val="24"/>
          <w:lang w:val="es-ES_tradnl"/>
        </w:rPr>
        <w:br/>
      </w:r>
      <w:hyperlink r:id="rId10" w:history="1">
        <w:r w:rsidRPr="00FD3713">
          <w:rPr>
            <w:rStyle w:val="Hyperlink"/>
            <w:lang w:val="es-ES_tradnl"/>
          </w:rPr>
          <w:t>https://</w:t>
        </w:r>
        <w:proofErr w:type="spellStart"/>
        <w:r w:rsidRPr="00FD3713">
          <w:rPr>
            <w:rStyle w:val="Hyperlink"/>
            <w:lang w:val="es-ES_tradnl"/>
          </w:rPr>
          <w:t>www.itu.int</w:t>
        </w:r>
        <w:proofErr w:type="spellEnd"/>
        <w:r w:rsidRPr="00FD3713">
          <w:rPr>
            <w:rStyle w:val="Hyperlink"/>
            <w:lang w:val="es-ES_tradnl"/>
          </w:rPr>
          <w:t>/en/ITU-D/</w:t>
        </w:r>
        <w:proofErr w:type="spellStart"/>
        <w:r w:rsidRPr="00FD3713">
          <w:rPr>
            <w:rStyle w:val="Hyperlink"/>
            <w:lang w:val="es-ES_tradnl"/>
          </w:rPr>
          <w:t>TIES_Protected</w:t>
        </w:r>
        <w:proofErr w:type="spellEnd"/>
        <w:r w:rsidRPr="00FD3713">
          <w:rPr>
            <w:rStyle w:val="Hyperlink"/>
            <w:lang w:val="es-ES_tradnl"/>
          </w:rPr>
          <w:t>/</w:t>
        </w:r>
        <w:proofErr w:type="spellStart"/>
        <w:r w:rsidRPr="00FD3713">
          <w:rPr>
            <w:rStyle w:val="Hyperlink"/>
            <w:lang w:val="es-ES_tradnl"/>
          </w:rPr>
          <w:t>PerfReport2017.pdf</w:t>
        </w:r>
        <w:proofErr w:type="spellEnd"/>
      </w:hyperlink>
      <w:r w:rsidRPr="00FD3713">
        <w:rPr>
          <w:szCs w:val="24"/>
          <w:lang w:val="es-ES_tradnl"/>
        </w:rPr>
        <w:t xml:space="preserve"> </w:t>
      </w:r>
    </w:p>
    <w:p w:rsidR="00F45A0D" w:rsidRPr="00FD3713" w:rsidRDefault="00F45A0D">
      <w:pPr>
        <w:rPr>
          <w:szCs w:val="24"/>
          <w:lang w:val="es-ES_tradnl"/>
        </w:rPr>
      </w:pPr>
      <w:r w:rsidRPr="00FD3713">
        <w:rPr>
          <w:szCs w:val="24"/>
          <w:lang w:val="es-ES_tradnl"/>
        </w:rPr>
        <w:t xml:space="preserve">A continuación se describen los principales resultados logrados por la </w:t>
      </w:r>
      <w:proofErr w:type="spellStart"/>
      <w:r w:rsidRPr="00FD3713">
        <w:rPr>
          <w:szCs w:val="24"/>
          <w:lang w:val="es-ES_tradnl"/>
        </w:rPr>
        <w:t>BDT</w:t>
      </w:r>
      <w:proofErr w:type="spellEnd"/>
      <w:r w:rsidRPr="00FD3713">
        <w:rPr>
          <w:szCs w:val="24"/>
          <w:lang w:val="es-ES_tradnl"/>
        </w:rPr>
        <w:t xml:space="preserve"> en 2017 para cada objetivo.</w:t>
      </w:r>
    </w:p>
    <w:p w:rsidR="00F45A0D" w:rsidRPr="00FD3713" w:rsidRDefault="00F45A0D" w:rsidP="00C207F6">
      <w:pPr>
        <w:pStyle w:val="Heading1"/>
        <w:rPr>
          <w:i/>
          <w:iCs/>
          <w:lang w:val="es-ES_tradnl"/>
        </w:rPr>
      </w:pPr>
      <w:r w:rsidRPr="00FD3713">
        <w:rPr>
          <w:bCs/>
          <w:lang w:val="es-ES_tradnl"/>
        </w:rPr>
        <w:t>1</w:t>
      </w:r>
      <w:r w:rsidRPr="00FD3713">
        <w:rPr>
          <w:bCs/>
          <w:lang w:val="es-ES_tradnl"/>
        </w:rPr>
        <w:tab/>
        <w:t>Objetivo 1:</w:t>
      </w:r>
      <w:r w:rsidRPr="00FD3713">
        <w:rPr>
          <w:bCs/>
          <w:i/>
          <w:iCs/>
          <w:lang w:val="es-ES_tradnl"/>
        </w:rPr>
        <w:t xml:space="preserve"> "Fomentar la cooperación internacional en cuestiones de</w:t>
      </w:r>
      <w:r w:rsidRPr="00FD3713">
        <w:rPr>
          <w:b w:val="0"/>
          <w:i/>
          <w:iCs/>
          <w:lang w:val="es-ES_tradnl"/>
        </w:rPr>
        <w:t xml:space="preserve"> </w:t>
      </w:r>
      <w:r w:rsidRPr="00FD3713">
        <w:rPr>
          <w:i/>
          <w:iCs/>
          <w:lang w:val="es-ES_tradnl"/>
        </w:rPr>
        <w:t>desarrollo</w:t>
      </w:r>
      <w:r w:rsidRPr="00FD3713">
        <w:rPr>
          <w:b w:val="0"/>
          <w:i/>
          <w:iCs/>
          <w:lang w:val="es-ES_tradnl"/>
        </w:rPr>
        <w:t xml:space="preserve"> </w:t>
      </w:r>
      <w:r w:rsidRPr="00FD3713">
        <w:rPr>
          <w:i/>
          <w:iCs/>
          <w:lang w:val="es-ES_tradnl"/>
        </w:rPr>
        <w:t>de telecomunicaciones/TIC"</w:t>
      </w:r>
    </w:p>
    <w:p w:rsidR="00F45A0D" w:rsidRPr="00FD3713" w:rsidRDefault="00F45A0D" w:rsidP="00C207F6">
      <w:pPr>
        <w:pStyle w:val="Heading2"/>
        <w:spacing w:after="120"/>
        <w:rPr>
          <w:lang w:val="es-ES_tradnl"/>
        </w:rPr>
      </w:pPr>
      <w:r w:rsidRPr="00FD3713">
        <w:rPr>
          <w:lang w:val="es-ES_tradnl"/>
        </w:rPr>
        <w:t>1.1</w:t>
      </w:r>
      <w:r w:rsidRPr="00FD3713">
        <w:rPr>
          <w:lang w:val="es-ES_tradnl"/>
        </w:rPr>
        <w:tab/>
        <w:t>Conferencia Mundial de Desarrollo de las Telecomunicaciones (</w:t>
      </w:r>
      <w:proofErr w:type="spellStart"/>
      <w:r w:rsidRPr="00FD3713">
        <w:rPr>
          <w:lang w:val="es-ES_tradnl"/>
        </w:rPr>
        <w:t>CMDT</w:t>
      </w:r>
      <w:proofErr w:type="spellEnd"/>
      <w:r w:rsidRPr="00FD3713">
        <w:rPr>
          <w:lang w:val="es-ES_tradnl"/>
        </w:rPr>
        <w:t>)</w:t>
      </w:r>
    </w:p>
    <w:tbl>
      <w:tblPr>
        <w:tblStyle w:val="TableGrid"/>
        <w:tblW w:w="9640" w:type="dxa"/>
        <w:tblLook w:val="04A0" w:firstRow="1" w:lastRow="0" w:firstColumn="1" w:lastColumn="0" w:noHBand="0" w:noVBand="1"/>
      </w:tblPr>
      <w:tblGrid>
        <w:gridCol w:w="2830"/>
        <w:gridCol w:w="6810"/>
      </w:tblGrid>
      <w:tr w:rsidR="00F45A0D" w:rsidRPr="008D434B" w:rsidTr="00A669C3">
        <w:tc>
          <w:tcPr>
            <w:tcW w:w="9640" w:type="dxa"/>
            <w:gridSpan w:val="2"/>
          </w:tcPr>
          <w:p w:rsidR="00F45A0D" w:rsidRPr="00FD3713" w:rsidRDefault="00F45A0D" w:rsidP="00F45A0D">
            <w:pPr>
              <w:rPr>
                <w:rFonts w:ascii="Calibri" w:hAnsi="Calibri"/>
                <w:szCs w:val="24"/>
                <w:lang w:val="es-ES_tradnl"/>
              </w:rPr>
            </w:pPr>
            <w:r w:rsidRPr="00FD3713">
              <w:rPr>
                <w:rFonts w:asciiTheme="minorHAnsi" w:hAnsiTheme="minorHAnsi"/>
                <w:szCs w:val="24"/>
                <w:lang w:val="es-ES_tradnl"/>
              </w:rPr>
              <w:t>La séptima Conferencia Mundial de Desarrollo de las Telecomunicaciones (</w:t>
            </w:r>
            <w:proofErr w:type="spellStart"/>
            <w:r w:rsidRPr="00FD3713">
              <w:rPr>
                <w:rFonts w:asciiTheme="minorHAnsi" w:hAnsiTheme="minorHAnsi"/>
                <w:szCs w:val="24"/>
                <w:lang w:val="es-ES_tradnl"/>
              </w:rPr>
              <w:t>CMDT</w:t>
            </w:r>
            <w:proofErr w:type="spellEnd"/>
            <w:r w:rsidRPr="00FD3713">
              <w:rPr>
                <w:rFonts w:asciiTheme="minorHAnsi" w:hAnsiTheme="minorHAnsi"/>
                <w:szCs w:val="24"/>
                <w:lang w:val="es-ES_tradnl"/>
              </w:rPr>
              <w:t xml:space="preserve">) tuvo lugar en Buenos Aires, Argentina, del 9 al 20 de octubre de 2017 y estuvo dedicada a </w:t>
            </w:r>
            <w:r w:rsidRPr="00FD3713">
              <w:rPr>
                <w:rStyle w:val="Strong"/>
                <w:rFonts w:ascii="Calibri" w:hAnsi="Calibri" w:cs="Segoe UI"/>
                <w:b w:val="0"/>
                <w:bCs w:val="0"/>
                <w:color w:val="000000"/>
                <w:lang w:val="es-ES_tradnl"/>
              </w:rPr>
              <w:t>"Las TIC para los Objetivos de Desarrollo Sostenible"</w:t>
            </w:r>
            <w:r w:rsidRPr="00FD3713">
              <w:rPr>
                <w:rFonts w:ascii="Calibri" w:hAnsi="Calibri"/>
                <w:szCs w:val="24"/>
                <w:lang w:val="es-ES_tradnl"/>
              </w:rPr>
              <w:t xml:space="preserve">. </w:t>
            </w:r>
            <w:bookmarkStart w:id="6" w:name="lt_pId041"/>
            <w:r w:rsidRPr="00FD3713">
              <w:rPr>
                <w:rFonts w:ascii="Calibri" w:hAnsi="Calibri"/>
                <w:szCs w:val="24"/>
                <w:lang w:val="es-ES_tradnl"/>
              </w:rPr>
              <w:t xml:space="preserve">La Conferencia reunió a 1368 participantes de 134 Estados Miembros, 62 Miembros del Sector </w:t>
            </w:r>
            <w:proofErr w:type="spellStart"/>
            <w:r w:rsidRPr="00FD3713">
              <w:rPr>
                <w:rFonts w:ascii="Calibri" w:hAnsi="Calibri"/>
                <w:szCs w:val="24"/>
                <w:lang w:val="es-ES_tradnl"/>
              </w:rPr>
              <w:t>UIT</w:t>
            </w:r>
            <w:proofErr w:type="spellEnd"/>
            <w:r w:rsidRPr="00FD3713">
              <w:rPr>
                <w:rFonts w:ascii="Calibri" w:hAnsi="Calibri"/>
                <w:szCs w:val="24"/>
                <w:lang w:val="es-ES_tradnl"/>
              </w:rPr>
              <w:t xml:space="preserve">-D, 10 Instituciones Académicas, observadores y las Naciones Unidas y sus organismos especializados. Al inicio de la Conferencia se presentó un vídeo en el que el Sr. </w:t>
            </w:r>
            <w:proofErr w:type="spellStart"/>
            <w:r w:rsidRPr="00FD3713">
              <w:rPr>
                <w:rFonts w:ascii="Calibri" w:hAnsi="Calibri"/>
                <w:szCs w:val="24"/>
                <w:lang w:val="es-ES_tradnl"/>
              </w:rPr>
              <w:t>António</w:t>
            </w:r>
            <w:proofErr w:type="spellEnd"/>
            <w:r w:rsidRPr="00FD3713">
              <w:rPr>
                <w:rFonts w:ascii="Calibri" w:hAnsi="Calibri"/>
                <w:szCs w:val="24"/>
                <w:lang w:val="es-ES_tradnl"/>
              </w:rPr>
              <w:t xml:space="preserve"> </w:t>
            </w:r>
            <w:proofErr w:type="spellStart"/>
            <w:r w:rsidRPr="00FD3713">
              <w:rPr>
                <w:rFonts w:ascii="Calibri" w:hAnsi="Calibri"/>
                <w:szCs w:val="24"/>
                <w:lang w:val="es-ES_tradnl"/>
              </w:rPr>
              <w:t>Guterres</w:t>
            </w:r>
            <w:proofErr w:type="spellEnd"/>
            <w:r w:rsidRPr="00FD3713">
              <w:rPr>
                <w:rFonts w:ascii="Calibri" w:hAnsi="Calibri"/>
                <w:szCs w:val="24"/>
                <w:lang w:val="es-ES_tradnl"/>
              </w:rPr>
              <w:t xml:space="preserve">, Secretario General de las Naciones Unidas, daba la bienvenida a los participantes. Durante los tres primeros días de la </w:t>
            </w:r>
            <w:proofErr w:type="spellStart"/>
            <w:r w:rsidRPr="00FD3713">
              <w:rPr>
                <w:rFonts w:ascii="Calibri" w:hAnsi="Calibri"/>
                <w:szCs w:val="24"/>
                <w:lang w:val="es-ES_tradnl"/>
              </w:rPr>
              <w:t>CMDT</w:t>
            </w:r>
            <w:bookmarkStart w:id="7" w:name="lt_pId043"/>
            <w:bookmarkEnd w:id="6"/>
            <w:proofErr w:type="spellEnd"/>
            <w:r w:rsidRPr="00FD3713">
              <w:rPr>
                <w:rFonts w:ascii="Calibri" w:hAnsi="Calibri"/>
                <w:szCs w:val="24"/>
                <w:lang w:val="es-ES_tradnl"/>
              </w:rPr>
              <w:t xml:space="preserve">-17 se dedicaron cuatro Sesiones Plenarias al Segmento de Alto Nivel en el que 53 oradores se dirigieron a los participantes y un representante de la OMS en Buenos Aires pronunció el discurso del Dr. </w:t>
            </w:r>
            <w:proofErr w:type="spellStart"/>
            <w:r w:rsidRPr="00FD3713">
              <w:rPr>
                <w:rFonts w:ascii="Calibri" w:hAnsi="Calibri"/>
                <w:szCs w:val="24"/>
                <w:lang w:val="es-ES_tradnl"/>
              </w:rPr>
              <w:t>Tedros</w:t>
            </w:r>
            <w:proofErr w:type="spellEnd"/>
            <w:r w:rsidRPr="00FD3713">
              <w:rPr>
                <w:rFonts w:ascii="Calibri" w:hAnsi="Calibri"/>
                <w:szCs w:val="24"/>
                <w:lang w:val="es-ES_tradnl"/>
              </w:rPr>
              <w:t xml:space="preserve">, Director General de la OMS. A lo largo de la Conferencia se celebraron eventos paralelos sobre 10 temas de relevancia. Además, se organizaron dos Mesas Redondas Ministeriales y una Gala para celebrar el 25 aniversario del </w:t>
            </w:r>
            <w:proofErr w:type="spellStart"/>
            <w:r w:rsidRPr="00FD3713">
              <w:rPr>
                <w:rFonts w:ascii="Calibri" w:hAnsi="Calibri"/>
                <w:szCs w:val="24"/>
                <w:lang w:val="es-ES_tradnl"/>
              </w:rPr>
              <w:t>UIT</w:t>
            </w:r>
            <w:proofErr w:type="spellEnd"/>
            <w:r w:rsidRPr="00FD3713">
              <w:rPr>
                <w:rFonts w:ascii="Calibri" w:hAnsi="Calibri"/>
                <w:szCs w:val="24"/>
                <w:lang w:val="es-ES_tradnl"/>
              </w:rPr>
              <w:t>-D. Todos los antiguos Directores de la Oficina de Desarrollo de las Telecomunicaciones</w:t>
            </w:r>
            <w:bookmarkStart w:id="8" w:name="lt_pId046"/>
            <w:bookmarkEnd w:id="7"/>
            <w:r w:rsidRPr="00FD3713">
              <w:rPr>
                <w:rFonts w:ascii="Calibri" w:hAnsi="Calibri"/>
                <w:szCs w:val="24"/>
                <w:lang w:val="es-ES_tradnl"/>
              </w:rPr>
              <w:t xml:space="preserve"> (</w:t>
            </w:r>
            <w:proofErr w:type="spellStart"/>
            <w:r w:rsidRPr="00FD3713">
              <w:rPr>
                <w:rFonts w:ascii="Calibri" w:hAnsi="Calibri"/>
                <w:szCs w:val="24"/>
                <w:lang w:val="es-ES_tradnl"/>
              </w:rPr>
              <w:t>BDT</w:t>
            </w:r>
            <w:proofErr w:type="spellEnd"/>
            <w:r w:rsidRPr="00FD3713">
              <w:rPr>
                <w:rFonts w:ascii="Calibri" w:hAnsi="Calibri"/>
                <w:szCs w:val="24"/>
                <w:lang w:val="es-ES_tradnl"/>
              </w:rPr>
              <w:t xml:space="preserve">) participaron en la celebración. En la </w:t>
            </w:r>
            <w:proofErr w:type="spellStart"/>
            <w:r w:rsidRPr="00FD3713">
              <w:rPr>
                <w:rFonts w:ascii="Calibri" w:hAnsi="Calibri"/>
                <w:szCs w:val="24"/>
                <w:lang w:val="es-ES_tradnl"/>
              </w:rPr>
              <w:t>CMDT</w:t>
            </w:r>
            <w:proofErr w:type="spellEnd"/>
            <w:r w:rsidRPr="00FD3713">
              <w:rPr>
                <w:rFonts w:ascii="Calibri" w:hAnsi="Calibri"/>
                <w:szCs w:val="24"/>
                <w:lang w:val="es-ES_tradnl"/>
              </w:rPr>
              <w:t xml:space="preserve">-17 se definió el camino que deben seguir el </w:t>
            </w:r>
            <w:proofErr w:type="spellStart"/>
            <w:r w:rsidRPr="00FD3713">
              <w:rPr>
                <w:rFonts w:ascii="Calibri" w:hAnsi="Calibri"/>
                <w:szCs w:val="24"/>
                <w:lang w:val="es-ES_tradnl"/>
              </w:rPr>
              <w:t>UIT</w:t>
            </w:r>
            <w:proofErr w:type="spellEnd"/>
            <w:r w:rsidRPr="00FD3713">
              <w:rPr>
                <w:rFonts w:ascii="Calibri" w:hAnsi="Calibri"/>
                <w:szCs w:val="24"/>
                <w:lang w:val="es-ES_tradnl"/>
              </w:rPr>
              <w:t xml:space="preserve">-D y la </w:t>
            </w:r>
            <w:proofErr w:type="spellStart"/>
            <w:r w:rsidRPr="00FD3713">
              <w:rPr>
                <w:rFonts w:ascii="Calibri" w:hAnsi="Calibri"/>
                <w:szCs w:val="24"/>
                <w:lang w:val="es-ES_tradnl"/>
              </w:rPr>
              <w:t>BDT</w:t>
            </w:r>
            <w:proofErr w:type="spellEnd"/>
            <w:r w:rsidRPr="00FD3713">
              <w:rPr>
                <w:rFonts w:ascii="Calibri" w:hAnsi="Calibri"/>
                <w:szCs w:val="24"/>
                <w:lang w:val="es-ES_tradnl"/>
              </w:rPr>
              <w:t xml:space="preserve"> durante el próximo periodo</w:t>
            </w:r>
            <w:bookmarkStart w:id="9" w:name="lt_pId047"/>
            <w:bookmarkEnd w:id="8"/>
            <w:r w:rsidRPr="00FD3713">
              <w:rPr>
                <w:rFonts w:ascii="Calibri" w:hAnsi="Calibri"/>
                <w:szCs w:val="24"/>
                <w:lang w:val="es-ES_tradnl"/>
              </w:rPr>
              <w:t>.</w:t>
            </w:r>
            <w:bookmarkEnd w:id="9"/>
          </w:p>
          <w:p w:rsidR="00F45A0D" w:rsidRPr="00FD3713" w:rsidRDefault="00F45A0D" w:rsidP="00F45A0D">
            <w:pPr>
              <w:rPr>
                <w:rFonts w:ascii="Calibri" w:hAnsi="Calibri"/>
                <w:szCs w:val="24"/>
                <w:lang w:val="es-ES_tradnl"/>
              </w:rPr>
            </w:pPr>
            <w:bookmarkStart w:id="10" w:name="lt_pId048"/>
            <w:r w:rsidRPr="00FD3713">
              <w:rPr>
                <w:rFonts w:ascii="Calibri" w:hAnsi="Calibri"/>
                <w:szCs w:val="24"/>
                <w:lang w:val="es-ES_tradnl"/>
              </w:rPr>
              <w:t>Los principales resultados de la Conferencia fueron los siguientes:</w:t>
            </w:r>
            <w:bookmarkEnd w:id="10"/>
          </w:p>
          <w:p w:rsidR="00F45A0D" w:rsidRPr="00FD3713" w:rsidRDefault="009174B9" w:rsidP="00F45A0D">
            <w:pPr>
              <w:pStyle w:val="enumlev1"/>
              <w:rPr>
                <w:rFonts w:ascii="Calibri" w:hAnsi="Calibri"/>
                <w:lang w:val="es-ES_tradnl"/>
              </w:rPr>
            </w:pPr>
            <w:r w:rsidRPr="008D434B">
              <w:rPr>
                <w:rFonts w:ascii="Calibri" w:hAnsi="Calibri"/>
                <w:color w:val="4A442A"/>
                <w:lang w:val="es-ES_tradnl"/>
              </w:rPr>
              <w:t>•</w:t>
            </w:r>
            <w:r w:rsidR="00F45A0D" w:rsidRPr="00FD3713">
              <w:rPr>
                <w:rFonts w:ascii="Calibri" w:hAnsi="Calibri"/>
                <w:color w:val="4A442A"/>
                <w:lang w:val="es-ES_tradnl"/>
              </w:rPr>
              <w:tab/>
            </w:r>
            <w:r w:rsidR="00F45A0D" w:rsidRPr="00FD3713">
              <w:rPr>
                <w:rFonts w:ascii="Calibri" w:hAnsi="Calibri"/>
                <w:lang w:val="es-ES_tradnl"/>
              </w:rPr>
              <w:t>Adopción de la Declaración de Buenos Aires, en la que se destacan las principales conclusiones y prioridades establecidas por la Conferencia y se refuerza el apoyo político a la misión de desarrollo y los objetivos estratégicos de la </w:t>
            </w:r>
            <w:proofErr w:type="spellStart"/>
            <w:r w:rsidR="00F45A0D" w:rsidRPr="00FD3713">
              <w:rPr>
                <w:rFonts w:ascii="Calibri" w:hAnsi="Calibri"/>
                <w:lang w:val="es-ES_tradnl"/>
              </w:rPr>
              <w:t>UIT</w:t>
            </w:r>
            <w:proofErr w:type="spellEnd"/>
            <w:r w:rsidR="00F45A0D" w:rsidRPr="00FD3713">
              <w:rPr>
                <w:rFonts w:ascii="Calibri" w:hAnsi="Calibri"/>
                <w:lang w:val="es-ES_tradnl"/>
              </w:rPr>
              <w:t>.</w:t>
            </w:r>
          </w:p>
          <w:p w:rsidR="00F45A0D" w:rsidRPr="00FD3713" w:rsidRDefault="009174B9" w:rsidP="00F45A0D">
            <w:pPr>
              <w:pStyle w:val="enumlev1"/>
              <w:rPr>
                <w:rFonts w:ascii="Calibri" w:hAnsi="Calibri"/>
                <w:lang w:val="es-ES_tradnl"/>
              </w:rPr>
            </w:pPr>
            <w:r w:rsidRPr="00FD3713">
              <w:rPr>
                <w:rFonts w:ascii="Calibri" w:hAnsi="Calibri"/>
                <w:color w:val="4A442A"/>
                <w:lang w:val="es-ES_tradnl"/>
              </w:rPr>
              <w:t>•</w:t>
            </w:r>
            <w:r w:rsidR="00F45A0D" w:rsidRPr="00FD3713">
              <w:rPr>
                <w:rFonts w:ascii="Calibri" w:hAnsi="Calibri"/>
                <w:lang w:val="es-ES_tradnl"/>
              </w:rPr>
              <w:tab/>
              <w:t xml:space="preserve">Acuerdo de la contribución del </w:t>
            </w:r>
            <w:proofErr w:type="spellStart"/>
            <w:r w:rsidR="00F45A0D" w:rsidRPr="00FD3713">
              <w:rPr>
                <w:rFonts w:ascii="Calibri" w:hAnsi="Calibri"/>
                <w:lang w:val="es-ES_tradnl"/>
              </w:rPr>
              <w:t>UIT</w:t>
            </w:r>
            <w:proofErr w:type="spellEnd"/>
            <w:r w:rsidR="00F45A0D" w:rsidRPr="00FD3713">
              <w:rPr>
                <w:rFonts w:ascii="Calibri" w:hAnsi="Calibri"/>
                <w:lang w:val="es-ES_tradnl"/>
              </w:rPr>
              <w:t>-D al plan estratégico</w:t>
            </w:r>
            <w:r w:rsidR="00345908" w:rsidRPr="00FD3713">
              <w:rPr>
                <w:rFonts w:ascii="Calibri" w:hAnsi="Calibri"/>
                <w:lang w:val="es-ES_tradnl"/>
              </w:rPr>
              <w:t xml:space="preserve"> de la </w:t>
            </w:r>
            <w:proofErr w:type="spellStart"/>
            <w:r w:rsidR="00345908" w:rsidRPr="00FD3713">
              <w:rPr>
                <w:rFonts w:ascii="Calibri" w:hAnsi="Calibri"/>
                <w:lang w:val="es-ES_tradnl"/>
              </w:rPr>
              <w:t>UIT</w:t>
            </w:r>
            <w:proofErr w:type="spellEnd"/>
            <w:r w:rsidR="00345908" w:rsidRPr="00FD3713">
              <w:rPr>
                <w:rFonts w:ascii="Calibri" w:hAnsi="Calibri"/>
                <w:lang w:val="es-ES_tradnl"/>
              </w:rPr>
              <w:t xml:space="preserve"> para el periodo 2020</w:t>
            </w:r>
            <w:r w:rsidR="00345908" w:rsidRPr="00FD3713">
              <w:rPr>
                <w:rFonts w:ascii="Calibri" w:hAnsi="Calibri"/>
                <w:lang w:val="es-ES_tradnl"/>
              </w:rPr>
              <w:noBreakHyphen/>
            </w:r>
            <w:r w:rsidR="00F45A0D" w:rsidRPr="00FD3713">
              <w:rPr>
                <w:rFonts w:ascii="Calibri" w:hAnsi="Calibri"/>
                <w:lang w:val="es-ES_tradnl"/>
              </w:rPr>
              <w:t>2023, que habrá de examinar la próxima Conferencia de Plenipotenciarios que se celebrará en Dubái (Emiratos Árabes Unidos) en 2018.</w:t>
            </w:r>
          </w:p>
          <w:p w:rsidR="00F45A0D" w:rsidRPr="00FD3713" w:rsidRDefault="009174B9" w:rsidP="00F45A0D">
            <w:pPr>
              <w:pStyle w:val="enumlev1"/>
              <w:rPr>
                <w:lang w:val="es-ES_tradnl"/>
              </w:rPr>
            </w:pPr>
            <w:r w:rsidRPr="00FD3713">
              <w:rPr>
                <w:rFonts w:ascii="Calibri" w:hAnsi="Calibri"/>
                <w:color w:val="4A442A"/>
                <w:lang w:val="es-ES_tradnl"/>
              </w:rPr>
              <w:t>•</w:t>
            </w:r>
            <w:r w:rsidR="00F45A0D" w:rsidRPr="00FD3713">
              <w:rPr>
                <w:rFonts w:ascii="Calibri" w:hAnsi="Calibri"/>
                <w:lang w:val="es-ES_tradnl"/>
              </w:rPr>
              <w:tab/>
              <w:t>Adopción del Plan de Acción de Buenos Aires (</w:t>
            </w:r>
            <w:proofErr w:type="spellStart"/>
            <w:r w:rsidR="00F45A0D" w:rsidRPr="00FD3713">
              <w:rPr>
                <w:rFonts w:ascii="Calibri" w:hAnsi="Calibri"/>
                <w:lang w:val="es-ES_tradnl"/>
              </w:rPr>
              <w:t>PABA</w:t>
            </w:r>
            <w:proofErr w:type="spellEnd"/>
            <w:r w:rsidR="00F45A0D" w:rsidRPr="00FD3713">
              <w:rPr>
                <w:rFonts w:ascii="Calibri" w:hAnsi="Calibri"/>
                <w:lang w:val="es-ES_tradnl"/>
              </w:rPr>
              <w:t xml:space="preserve">), que armoniza la labor del </w:t>
            </w:r>
            <w:proofErr w:type="spellStart"/>
            <w:r w:rsidR="00F45A0D" w:rsidRPr="00FD3713">
              <w:rPr>
                <w:rFonts w:ascii="Calibri" w:hAnsi="Calibri"/>
                <w:lang w:val="es-ES_tradnl"/>
              </w:rPr>
              <w:t>UIT</w:t>
            </w:r>
            <w:proofErr w:type="spellEnd"/>
            <w:r w:rsidR="00F45A0D" w:rsidRPr="00FD3713">
              <w:rPr>
                <w:rFonts w:ascii="Calibri" w:hAnsi="Calibri"/>
                <w:lang w:val="es-ES_tradnl"/>
              </w:rPr>
              <w:t xml:space="preserve">-D con los objetivos estratégicos de la </w:t>
            </w:r>
            <w:proofErr w:type="spellStart"/>
            <w:r w:rsidR="00F45A0D" w:rsidRPr="00FD3713">
              <w:rPr>
                <w:rFonts w:ascii="Calibri" w:hAnsi="Calibri"/>
                <w:lang w:val="es-ES_tradnl"/>
              </w:rPr>
              <w:t>UIT</w:t>
            </w:r>
            <w:proofErr w:type="spellEnd"/>
            <w:r w:rsidR="00F45A0D" w:rsidRPr="00FD3713">
              <w:rPr>
                <w:rFonts w:ascii="Calibri" w:hAnsi="Calibri"/>
                <w:lang w:val="es-ES_tradnl"/>
              </w:rPr>
              <w:t>, a fin de prestar asistencia a los países en desarrollo para que puedan aprovechar plenamente las ventajas de las TIC.</w:t>
            </w:r>
          </w:p>
          <w:p w:rsidR="00F45A0D" w:rsidRPr="00FD3713" w:rsidRDefault="00F45A0D" w:rsidP="00F45A0D">
            <w:pPr>
              <w:spacing w:after="120"/>
              <w:rPr>
                <w:rFonts w:asciiTheme="minorHAnsi" w:hAnsiTheme="minorHAnsi"/>
                <w:szCs w:val="24"/>
                <w:lang w:val="es-ES_tradnl"/>
              </w:rPr>
            </w:pPr>
            <w:bookmarkStart w:id="11" w:name="lt_pId052"/>
            <w:r w:rsidRPr="00FD3713">
              <w:rPr>
                <w:rFonts w:asciiTheme="minorHAnsi" w:hAnsiTheme="minorHAnsi"/>
                <w:szCs w:val="24"/>
                <w:lang w:val="es-ES_tradnl"/>
              </w:rPr>
              <w:t xml:space="preserve">Además, en la </w:t>
            </w:r>
            <w:proofErr w:type="spellStart"/>
            <w:r w:rsidRPr="00FD3713">
              <w:rPr>
                <w:rFonts w:asciiTheme="minorHAnsi" w:hAnsiTheme="minorHAnsi"/>
                <w:szCs w:val="24"/>
                <w:lang w:val="es-ES_tradnl"/>
              </w:rPr>
              <w:t>CMDT</w:t>
            </w:r>
            <w:proofErr w:type="spellEnd"/>
            <w:r w:rsidRPr="00FD3713">
              <w:rPr>
                <w:rFonts w:asciiTheme="minorHAnsi" w:hAnsiTheme="minorHAnsi"/>
                <w:szCs w:val="24"/>
                <w:lang w:val="es-ES_tradnl"/>
              </w:rPr>
              <w:t xml:space="preserve">-17 se adoptaron cinco Iniciativas Regionales para cada una de las regiones de desarrollo. También se definió la composición del </w:t>
            </w:r>
            <w:proofErr w:type="spellStart"/>
            <w:r w:rsidRPr="00FD3713">
              <w:rPr>
                <w:rFonts w:asciiTheme="minorHAnsi" w:hAnsiTheme="minorHAnsi"/>
                <w:szCs w:val="24"/>
                <w:lang w:val="es-ES_tradnl"/>
              </w:rPr>
              <w:t>GADT</w:t>
            </w:r>
            <w:proofErr w:type="spellEnd"/>
            <w:r w:rsidRPr="00FD3713">
              <w:rPr>
                <w:rFonts w:asciiTheme="minorHAnsi" w:hAnsiTheme="minorHAnsi"/>
                <w:szCs w:val="24"/>
                <w:lang w:val="es-ES_tradnl"/>
              </w:rPr>
              <w:t xml:space="preserve"> y se designaron su Presidente y Vicepresidentes. La Conferencia aprobó 42 Resoluciones revisadas y 4 nuevas, y suprimió seis Resoluciones, cinco de las cuales se fusionaron con otras Resoluciones existentes. La </w:t>
            </w:r>
            <w:proofErr w:type="spellStart"/>
            <w:r w:rsidRPr="00FD3713">
              <w:rPr>
                <w:rFonts w:asciiTheme="minorHAnsi" w:hAnsiTheme="minorHAnsi"/>
                <w:szCs w:val="24"/>
                <w:lang w:val="es-ES_tradnl"/>
              </w:rPr>
              <w:t>CMDT</w:t>
            </w:r>
            <w:bookmarkStart w:id="12" w:name="lt_pId055"/>
            <w:bookmarkEnd w:id="11"/>
            <w:proofErr w:type="spellEnd"/>
            <w:r w:rsidRPr="00FD3713">
              <w:rPr>
                <w:rFonts w:asciiTheme="minorHAnsi" w:hAnsiTheme="minorHAnsi"/>
                <w:szCs w:val="24"/>
                <w:lang w:val="es-ES_tradnl"/>
              </w:rPr>
              <w:t xml:space="preserve">-17 adoptó siete Cuestiones para cada una de las Comisiones de Estudio 1 y 2. Por último, la Conferencia tomó nota del Informe de la Comisión 2 sobre control del presupuesto, que </w:t>
            </w:r>
            <w:r w:rsidRPr="00FD3713">
              <w:rPr>
                <w:rFonts w:asciiTheme="minorHAnsi" w:hAnsiTheme="minorHAnsi"/>
                <w:szCs w:val="24"/>
                <w:lang w:val="es-ES_tradnl"/>
              </w:rPr>
              <w:lastRenderedPageBreak/>
              <w:t>comprende las repercusiones financieras de la aplicación de las Iniciativas Regionales durante el periodo</w:t>
            </w:r>
            <w:bookmarkEnd w:id="12"/>
            <w:r w:rsidRPr="00FD3713">
              <w:rPr>
                <w:rFonts w:asciiTheme="minorHAnsi" w:hAnsiTheme="minorHAnsi"/>
                <w:szCs w:val="24"/>
                <w:lang w:val="es-ES_tradnl"/>
              </w:rPr>
              <w:t xml:space="preserve"> 2018-2021</w:t>
            </w:r>
            <w:r w:rsidR="00A669C3">
              <w:rPr>
                <w:rFonts w:asciiTheme="minorHAnsi" w:hAnsiTheme="minorHAnsi"/>
                <w:szCs w:val="24"/>
                <w:lang w:val="es-ES_tradnl"/>
              </w:rPr>
              <w:t>.</w:t>
            </w:r>
          </w:p>
        </w:tc>
      </w:tr>
      <w:tr w:rsidR="00F45A0D" w:rsidRPr="00FD3713" w:rsidTr="00A669C3">
        <w:tc>
          <w:tcPr>
            <w:tcW w:w="2830" w:type="dxa"/>
          </w:tcPr>
          <w:p w:rsidR="00F45A0D" w:rsidRPr="00FD3713" w:rsidRDefault="00F45A0D" w:rsidP="00A75780">
            <w:pPr>
              <w:spacing w:before="60" w:after="60"/>
              <w:rPr>
                <w:rFonts w:ascii="Calibri" w:hAnsi="Calibri"/>
                <w:i/>
                <w:iCs/>
                <w:szCs w:val="24"/>
                <w:lang w:val="es-ES_tradnl"/>
              </w:rPr>
            </w:pPr>
            <w:proofErr w:type="spellStart"/>
            <w:r w:rsidRPr="00FD3713">
              <w:rPr>
                <w:rFonts w:ascii="Calibri" w:hAnsi="Calibri"/>
                <w:i/>
                <w:iCs/>
                <w:szCs w:val="24"/>
                <w:lang w:val="es-ES_tradnl"/>
              </w:rPr>
              <w:lastRenderedPageBreak/>
              <w:t>CMDT</w:t>
            </w:r>
            <w:proofErr w:type="spellEnd"/>
          </w:p>
        </w:tc>
        <w:tc>
          <w:tcPr>
            <w:tcW w:w="6810" w:type="dxa"/>
          </w:tcPr>
          <w:p w:rsidR="00F45A0D" w:rsidRPr="00FD3713" w:rsidRDefault="00F45A0D" w:rsidP="00A75780">
            <w:pPr>
              <w:spacing w:before="60" w:after="60"/>
              <w:rPr>
                <w:rFonts w:ascii="Calibri" w:hAnsi="Calibri"/>
                <w:szCs w:val="24"/>
                <w:lang w:val="es-ES_tradnl"/>
              </w:rPr>
            </w:pPr>
            <w:bookmarkStart w:id="13" w:name="lt_pId058"/>
            <w:r w:rsidRPr="00FD3713">
              <w:rPr>
                <w:rFonts w:ascii="Calibri" w:hAnsi="Calibri"/>
                <w:szCs w:val="24"/>
                <w:lang w:val="es-ES_tradnl"/>
              </w:rPr>
              <w:t>Resoluciones 1, 2, 5, 30, 33, 37, 50, 53, 59, 81, 82</w:t>
            </w:r>
            <w:bookmarkEnd w:id="13"/>
          </w:p>
        </w:tc>
      </w:tr>
      <w:tr w:rsidR="00F45A0D" w:rsidRPr="00FD3713" w:rsidTr="00A669C3">
        <w:trPr>
          <w:trHeight w:val="397"/>
        </w:trPr>
        <w:tc>
          <w:tcPr>
            <w:tcW w:w="2830" w:type="dxa"/>
          </w:tcPr>
          <w:p w:rsidR="00F45A0D" w:rsidRPr="00FD3713" w:rsidRDefault="00F45A0D" w:rsidP="00A75780">
            <w:pPr>
              <w:spacing w:before="60" w:after="60"/>
              <w:rPr>
                <w:rFonts w:ascii="Calibri" w:hAnsi="Calibri"/>
                <w:i/>
                <w:szCs w:val="24"/>
                <w:lang w:val="es-ES_tradnl"/>
              </w:rPr>
            </w:pPr>
            <w:r w:rsidRPr="00FD3713">
              <w:rPr>
                <w:rFonts w:asciiTheme="minorHAnsi" w:eastAsiaTheme="minorHAnsi" w:hAnsiTheme="minorHAnsi" w:cstheme="minorBidi"/>
                <w:i/>
                <w:szCs w:val="24"/>
                <w:lang w:val="es-ES_tradnl"/>
              </w:rPr>
              <w:t xml:space="preserve">Conferencia de </w:t>
            </w:r>
            <w:r w:rsidRPr="00FD3713">
              <w:rPr>
                <w:rFonts w:ascii="Calibri" w:hAnsi="Calibri"/>
                <w:i/>
                <w:iCs/>
                <w:szCs w:val="24"/>
                <w:lang w:val="es-ES_tradnl"/>
              </w:rPr>
              <w:t>Plenipotenciarios</w:t>
            </w:r>
          </w:p>
        </w:tc>
        <w:tc>
          <w:tcPr>
            <w:tcW w:w="6810" w:type="dxa"/>
          </w:tcPr>
          <w:p w:rsidR="00F45A0D" w:rsidRPr="00FD3713" w:rsidRDefault="00F45A0D" w:rsidP="00A75780">
            <w:pPr>
              <w:spacing w:before="60" w:after="60"/>
              <w:rPr>
                <w:rFonts w:asciiTheme="minorHAnsi" w:eastAsiaTheme="minorHAnsi" w:hAnsiTheme="minorHAnsi" w:cstheme="minorBidi"/>
                <w:iCs/>
                <w:szCs w:val="24"/>
                <w:lang w:val="es-ES_tradnl"/>
              </w:rPr>
            </w:pPr>
            <w:r w:rsidRPr="00FD3713">
              <w:rPr>
                <w:rFonts w:asciiTheme="minorHAnsi" w:eastAsiaTheme="minorHAnsi" w:hAnsiTheme="minorHAnsi" w:cstheme="minorBidi"/>
                <w:iCs/>
                <w:szCs w:val="24"/>
                <w:lang w:val="es-ES_tradnl"/>
              </w:rPr>
              <w:t>Decisiones de la PP: 5 y 13</w:t>
            </w:r>
          </w:p>
          <w:p w:rsidR="00F45A0D" w:rsidRPr="00FD3713" w:rsidRDefault="00F45A0D" w:rsidP="00A75780">
            <w:pPr>
              <w:spacing w:before="60" w:after="60"/>
              <w:rPr>
                <w:rFonts w:ascii="Calibri" w:hAnsi="Calibri"/>
                <w:szCs w:val="24"/>
                <w:lang w:val="es-ES_tradnl"/>
              </w:rPr>
            </w:pPr>
            <w:r w:rsidRPr="00FD3713">
              <w:rPr>
                <w:rFonts w:asciiTheme="minorHAnsi" w:eastAsiaTheme="minorHAnsi" w:hAnsiTheme="minorHAnsi" w:cstheme="minorBidi"/>
                <w:iCs/>
                <w:szCs w:val="24"/>
                <w:lang w:val="es-ES_tradnl"/>
              </w:rPr>
              <w:t>Resoluciones de la PP: 25, 71, 72, 77, 111, 131, 133, 135, 139, 140, 151, 154, 165, 167</w:t>
            </w:r>
            <w:r w:rsidRPr="00FD3713">
              <w:rPr>
                <w:rFonts w:asciiTheme="minorHAnsi" w:hAnsiTheme="minorHAnsi"/>
                <w:szCs w:val="24"/>
                <w:lang w:val="es-ES_tradnl"/>
              </w:rPr>
              <w:t xml:space="preserve"> </w:t>
            </w:r>
          </w:p>
        </w:tc>
      </w:tr>
      <w:tr w:rsidR="00F45A0D" w:rsidRPr="00FD3713" w:rsidTr="00A669C3">
        <w:tc>
          <w:tcPr>
            <w:tcW w:w="2830" w:type="dxa"/>
          </w:tcPr>
          <w:p w:rsidR="00F45A0D" w:rsidRPr="008D434B" w:rsidRDefault="00F45A0D" w:rsidP="00713059">
            <w:pPr>
              <w:tabs>
                <w:tab w:val="clear" w:pos="794"/>
                <w:tab w:val="clear" w:pos="1191"/>
                <w:tab w:val="clear" w:pos="1588"/>
                <w:tab w:val="clear" w:pos="1985"/>
              </w:tabs>
              <w:overflowPunct/>
              <w:autoSpaceDE/>
              <w:autoSpaceDN/>
              <w:adjustRightInd/>
              <w:spacing w:before="60" w:after="60"/>
              <w:jc w:val="both"/>
              <w:textAlignment w:val="auto"/>
              <w:rPr>
                <w:rFonts w:ascii="Calibri" w:hAnsi="Calibri"/>
                <w:i/>
                <w:szCs w:val="24"/>
                <w:lang w:val="es-ES_tradnl"/>
              </w:rPr>
            </w:pPr>
            <w:bookmarkStart w:id="14" w:name="lt_pId062"/>
            <w:r w:rsidRPr="008D434B">
              <w:rPr>
                <w:rFonts w:asciiTheme="minorHAnsi" w:eastAsiaTheme="minorHAnsi" w:hAnsiTheme="minorHAnsi" w:cstheme="minorBidi"/>
                <w:i/>
                <w:szCs w:val="24"/>
                <w:lang w:val="es-ES_tradnl"/>
              </w:rPr>
              <w:t>Consejo</w:t>
            </w:r>
            <w:bookmarkEnd w:id="14"/>
          </w:p>
        </w:tc>
        <w:tc>
          <w:tcPr>
            <w:tcW w:w="6810" w:type="dxa"/>
          </w:tcPr>
          <w:p w:rsidR="00F45A0D" w:rsidRPr="00FD3713" w:rsidRDefault="00F45A0D" w:rsidP="00713059">
            <w:pPr>
              <w:tabs>
                <w:tab w:val="clear" w:pos="794"/>
                <w:tab w:val="clear" w:pos="1191"/>
                <w:tab w:val="clear" w:pos="1588"/>
                <w:tab w:val="clear" w:pos="1985"/>
              </w:tabs>
              <w:overflowPunct/>
              <w:autoSpaceDE/>
              <w:autoSpaceDN/>
              <w:adjustRightInd/>
              <w:spacing w:before="60" w:after="60"/>
              <w:jc w:val="both"/>
              <w:textAlignment w:val="auto"/>
              <w:rPr>
                <w:rFonts w:ascii="Calibri" w:hAnsi="Calibri"/>
                <w:szCs w:val="24"/>
                <w:lang w:val="es-ES_tradnl"/>
              </w:rPr>
            </w:pPr>
            <w:bookmarkStart w:id="15" w:name="lt_pId063"/>
            <w:r w:rsidRPr="00FD3713">
              <w:rPr>
                <w:rFonts w:asciiTheme="minorHAnsi" w:eastAsiaTheme="minorHAnsi" w:hAnsiTheme="minorHAnsi" w:cstheme="minorBidi"/>
                <w:iCs/>
                <w:szCs w:val="24"/>
                <w:lang w:val="es-ES_tradnl"/>
              </w:rPr>
              <w:t>Resolución</w:t>
            </w:r>
            <w:r w:rsidRPr="00FD3713">
              <w:rPr>
                <w:rFonts w:ascii="Calibri" w:hAnsi="Calibri"/>
                <w:szCs w:val="24"/>
                <w:lang w:val="es-ES_tradnl"/>
              </w:rPr>
              <w:t xml:space="preserve"> 1372</w:t>
            </w:r>
            <w:bookmarkEnd w:id="15"/>
          </w:p>
        </w:tc>
      </w:tr>
      <w:tr w:rsidR="00F45A0D" w:rsidRPr="008D434B" w:rsidTr="00A669C3">
        <w:tc>
          <w:tcPr>
            <w:tcW w:w="2830" w:type="dxa"/>
          </w:tcPr>
          <w:p w:rsidR="00F45A0D" w:rsidRPr="00FD3713" w:rsidRDefault="00F45A0D" w:rsidP="00A75780">
            <w:pPr>
              <w:spacing w:before="60" w:after="60"/>
              <w:rPr>
                <w:rFonts w:ascii="Calibri" w:hAnsi="Calibri"/>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810" w:type="dxa"/>
          </w:tcPr>
          <w:p w:rsidR="00F45A0D" w:rsidRPr="00FD3713" w:rsidRDefault="00F45A0D" w:rsidP="00A75780">
            <w:pPr>
              <w:spacing w:before="60" w:after="60"/>
              <w:rPr>
                <w:rFonts w:ascii="Calibri" w:hAnsi="Calibri"/>
                <w:szCs w:val="24"/>
                <w:lang w:val="es-ES_tradnl"/>
              </w:rPr>
            </w:pPr>
            <w:r w:rsidRPr="00FD3713">
              <w:rPr>
                <w:rFonts w:asciiTheme="minorHAnsi" w:eastAsiaTheme="minorHAnsi" w:hAnsiTheme="minorHAnsi" w:cstheme="minorBidi"/>
                <w:iCs/>
                <w:szCs w:val="24"/>
                <w:lang w:val="es-ES_tradnl"/>
              </w:rPr>
              <w:t>Líneas</w:t>
            </w:r>
            <w:r w:rsidRPr="00FD3713">
              <w:rPr>
                <w:rFonts w:asciiTheme="minorHAnsi" w:hAnsiTheme="minorHAnsi"/>
                <w:szCs w:val="24"/>
                <w:lang w:val="es-ES_tradnl"/>
              </w:rPr>
              <w:t xml:space="preserve">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C1</w:t>
            </w:r>
            <w:proofErr w:type="spellEnd"/>
            <w:r w:rsidRPr="00FD3713">
              <w:rPr>
                <w:rFonts w:asciiTheme="minorHAnsi" w:hAnsiTheme="minorHAnsi"/>
                <w:szCs w:val="24"/>
                <w:lang w:val="es-ES_tradnl"/>
              </w:rPr>
              <w:t xml:space="preserve"> y </w:t>
            </w:r>
            <w:proofErr w:type="spellStart"/>
            <w:r w:rsidRPr="00FD3713">
              <w:rPr>
                <w:rFonts w:asciiTheme="minorHAnsi" w:hAnsiTheme="minorHAnsi"/>
                <w:szCs w:val="24"/>
                <w:lang w:val="es-ES_tradnl"/>
              </w:rPr>
              <w:t>C11</w:t>
            </w:r>
            <w:proofErr w:type="spellEnd"/>
          </w:p>
        </w:tc>
      </w:tr>
      <w:tr w:rsidR="00F45A0D" w:rsidRPr="008D434B" w:rsidTr="00A669C3">
        <w:tc>
          <w:tcPr>
            <w:tcW w:w="2830" w:type="dxa"/>
          </w:tcPr>
          <w:p w:rsidR="00F45A0D" w:rsidRPr="00FD3713" w:rsidRDefault="00F45A0D" w:rsidP="00A75780">
            <w:pPr>
              <w:spacing w:before="60" w:after="60"/>
              <w:rPr>
                <w:rFonts w:ascii="Calibri" w:hAnsi="Calibri"/>
                <w:szCs w:val="24"/>
                <w:lang w:val="es-ES_tradnl"/>
              </w:rPr>
            </w:pPr>
            <w:r w:rsidRPr="00FD3713">
              <w:rPr>
                <w:rFonts w:asciiTheme="minorHAnsi" w:hAnsiTheme="minorHAnsi"/>
                <w:i/>
                <w:iCs/>
                <w:szCs w:val="24"/>
                <w:lang w:val="es-ES_tradnl"/>
              </w:rPr>
              <w:t xml:space="preserve">Contribución a las </w:t>
            </w:r>
            <w:r w:rsidRPr="00FD3713">
              <w:rPr>
                <w:rFonts w:asciiTheme="minorHAnsi" w:eastAsiaTheme="minorHAnsi" w:hAnsiTheme="minorHAnsi" w:cstheme="minorBidi"/>
                <w:iCs/>
                <w:szCs w:val="24"/>
                <w:lang w:val="es-ES_tradnl"/>
              </w:rPr>
              <w:t>metas</w:t>
            </w:r>
            <w:r w:rsidRPr="00FD3713">
              <w:rPr>
                <w:rFonts w:asciiTheme="minorHAnsi" w:hAnsiTheme="minorHAnsi"/>
                <w:i/>
                <w:iCs/>
                <w:szCs w:val="24"/>
                <w:lang w:val="es-ES_tradnl"/>
              </w:rPr>
              <w:t xml:space="preserve"> de los </w:t>
            </w:r>
            <w:proofErr w:type="spellStart"/>
            <w:r w:rsidRPr="00FD3713">
              <w:rPr>
                <w:rFonts w:asciiTheme="minorHAnsi" w:hAnsiTheme="minorHAnsi"/>
                <w:i/>
                <w:iCs/>
                <w:szCs w:val="24"/>
                <w:lang w:val="es-ES_tradnl"/>
              </w:rPr>
              <w:t>ODS</w:t>
            </w:r>
            <w:proofErr w:type="spellEnd"/>
          </w:p>
        </w:tc>
        <w:tc>
          <w:tcPr>
            <w:tcW w:w="6810" w:type="dxa"/>
          </w:tcPr>
          <w:p w:rsidR="00F45A0D" w:rsidRPr="00FD3713" w:rsidRDefault="00F45A0D" w:rsidP="00A75780">
            <w:pPr>
              <w:spacing w:before="60" w:after="60"/>
              <w:rPr>
                <w:rFonts w:asciiTheme="minorHAnsi" w:hAnsiTheme="minorHAnsi"/>
                <w:szCs w:val="24"/>
                <w:lang w:val="es-ES_tradnl"/>
              </w:rPr>
            </w:pPr>
            <w:proofErr w:type="spellStart"/>
            <w:r w:rsidRPr="00FD3713">
              <w:rPr>
                <w:rFonts w:asciiTheme="minorHAnsi" w:eastAsiaTheme="minorHAnsi" w:hAnsiTheme="minorHAnsi" w:cstheme="minorBidi"/>
                <w:iCs/>
                <w:szCs w:val="24"/>
                <w:lang w:val="es-ES_tradnl"/>
              </w:rPr>
              <w:t>ODS</w:t>
            </w:r>
            <w:proofErr w:type="spellEnd"/>
            <w:r w:rsidRPr="00FD3713">
              <w:rPr>
                <w:rFonts w:asciiTheme="minorHAnsi" w:hAnsiTheme="minorHAnsi"/>
                <w:szCs w:val="24"/>
                <w:lang w:val="es-ES_tradnl"/>
              </w:rPr>
              <w:t xml:space="preserve">: 1, 3 (meta </w:t>
            </w:r>
            <w:proofErr w:type="spellStart"/>
            <w:r w:rsidRPr="00FD3713">
              <w:rPr>
                <w:rFonts w:asciiTheme="minorHAnsi" w:hAnsiTheme="minorHAnsi"/>
                <w:szCs w:val="24"/>
                <w:lang w:val="es-ES_tradnl"/>
              </w:rPr>
              <w:t>3.d</w:t>
            </w:r>
            <w:proofErr w:type="spellEnd"/>
            <w:r w:rsidRPr="00FD3713">
              <w:rPr>
                <w:rFonts w:asciiTheme="minorHAnsi" w:hAnsiTheme="minorHAnsi"/>
                <w:szCs w:val="24"/>
                <w:lang w:val="es-ES_tradnl"/>
              </w:rPr>
              <w:t>), 5, 10, 16 (metas 16.5, 16.6, 16.8), 17 (metas</w:t>
            </w:r>
            <w:r w:rsidR="00A669C3">
              <w:rPr>
                <w:rFonts w:asciiTheme="minorHAnsi" w:hAnsiTheme="minorHAnsi"/>
                <w:szCs w:val="24"/>
                <w:lang w:val="es-ES_tradnl"/>
              </w:rPr>
              <w:t> </w:t>
            </w:r>
            <w:r w:rsidRPr="00FD3713">
              <w:rPr>
                <w:rFonts w:asciiTheme="minorHAnsi" w:hAnsiTheme="minorHAnsi"/>
                <w:szCs w:val="24"/>
                <w:lang w:val="es-ES_tradnl"/>
              </w:rPr>
              <w:t>17.9, 17.16, 17.17, 17.18, 17.19)</w:t>
            </w:r>
          </w:p>
        </w:tc>
      </w:tr>
    </w:tbl>
    <w:p w:rsidR="00F45A0D" w:rsidRPr="00FD3713" w:rsidRDefault="00F45A0D" w:rsidP="009174B9">
      <w:pPr>
        <w:pStyle w:val="Heading2"/>
        <w:spacing w:after="120"/>
        <w:rPr>
          <w:lang w:val="es-ES_tradnl"/>
        </w:rPr>
      </w:pPr>
      <w:r w:rsidRPr="00FD3713">
        <w:rPr>
          <w:lang w:val="es-ES_tradnl"/>
        </w:rPr>
        <w:t>1.2</w:t>
      </w:r>
      <w:r w:rsidRPr="00FD3713">
        <w:rPr>
          <w:lang w:val="es-ES_tradnl"/>
        </w:rPr>
        <w:tab/>
        <w:t>Reuniones Preparatorias Regionales (</w:t>
      </w:r>
      <w:proofErr w:type="spellStart"/>
      <w:r w:rsidRPr="00FD3713">
        <w:rPr>
          <w:lang w:val="es-ES_tradnl"/>
        </w:rPr>
        <w:t>RPR</w:t>
      </w:r>
      <w:proofErr w:type="spellEnd"/>
      <w:r w:rsidRPr="00FD3713">
        <w:rPr>
          <w:lang w:val="es-ES_tradnl"/>
        </w:rPr>
        <w:t>)</w:t>
      </w:r>
    </w:p>
    <w:tbl>
      <w:tblPr>
        <w:tblStyle w:val="TableGrid"/>
        <w:tblW w:w="0" w:type="auto"/>
        <w:tblLook w:val="04A0" w:firstRow="1" w:lastRow="0" w:firstColumn="1" w:lastColumn="0" w:noHBand="0" w:noVBand="1"/>
      </w:tblPr>
      <w:tblGrid>
        <w:gridCol w:w="2830"/>
        <w:gridCol w:w="6798"/>
      </w:tblGrid>
      <w:tr w:rsidR="00F45A0D" w:rsidRPr="008D434B" w:rsidTr="00C207F6">
        <w:tc>
          <w:tcPr>
            <w:tcW w:w="9628" w:type="dxa"/>
            <w:gridSpan w:val="2"/>
          </w:tcPr>
          <w:p w:rsidR="00F45A0D" w:rsidRPr="00FD3713" w:rsidRDefault="00F45A0D" w:rsidP="00F45A0D">
            <w:pPr>
              <w:tabs>
                <w:tab w:val="clear" w:pos="794"/>
                <w:tab w:val="clear" w:pos="1191"/>
                <w:tab w:val="clear" w:pos="1588"/>
                <w:tab w:val="clear" w:pos="1985"/>
              </w:tabs>
              <w:overflowPunct/>
              <w:autoSpaceDE/>
              <w:autoSpaceDN/>
              <w:adjustRightInd/>
              <w:spacing w:after="120" w:line="259" w:lineRule="auto"/>
              <w:textAlignment w:val="auto"/>
              <w:rPr>
                <w:rFonts w:asciiTheme="minorHAnsi" w:eastAsia="Calibri" w:hAnsiTheme="minorHAnsi" w:cs="Arial"/>
                <w:szCs w:val="24"/>
                <w:lang w:val="es-ES_tradnl"/>
              </w:rPr>
            </w:pPr>
            <w:bookmarkStart w:id="16" w:name="lt_pId071"/>
            <w:r w:rsidRPr="00FD3713">
              <w:rPr>
                <w:rFonts w:asciiTheme="minorHAnsi" w:eastAsia="Calibri" w:hAnsiTheme="minorHAnsi" w:cs="Arial"/>
                <w:szCs w:val="24"/>
                <w:lang w:val="es-ES_tradnl"/>
              </w:rPr>
              <w:t xml:space="preserve">De conformidad con la Resolución 31 (Rev. Dubái, 2014) de la </w:t>
            </w:r>
            <w:proofErr w:type="spellStart"/>
            <w:r w:rsidRPr="00FD3713">
              <w:rPr>
                <w:rFonts w:asciiTheme="minorHAnsi" w:eastAsia="Calibri" w:hAnsiTheme="minorHAnsi" w:cs="Arial"/>
                <w:szCs w:val="24"/>
                <w:lang w:val="es-ES_tradnl"/>
              </w:rPr>
              <w:t>CMDT</w:t>
            </w:r>
            <w:proofErr w:type="spellEnd"/>
            <w:r w:rsidRPr="00FD3713">
              <w:rPr>
                <w:rFonts w:asciiTheme="minorHAnsi" w:eastAsia="Calibri" w:hAnsiTheme="minorHAnsi" w:cs="Arial"/>
                <w:szCs w:val="24"/>
                <w:lang w:val="es-ES_tradnl"/>
              </w:rPr>
              <w:t xml:space="preserve">, la </w:t>
            </w:r>
            <w:proofErr w:type="spellStart"/>
            <w:r w:rsidRPr="00FD3713">
              <w:rPr>
                <w:rFonts w:asciiTheme="minorHAnsi" w:eastAsia="Calibri" w:hAnsiTheme="minorHAnsi" w:cs="Arial"/>
                <w:szCs w:val="24"/>
                <w:lang w:val="es-ES_tradnl"/>
              </w:rPr>
              <w:t>BDT</w:t>
            </w:r>
            <w:proofErr w:type="spellEnd"/>
            <w:r w:rsidRPr="00FD3713">
              <w:rPr>
                <w:rFonts w:asciiTheme="minorHAnsi" w:eastAsia="Calibri" w:hAnsiTheme="minorHAnsi" w:cs="Arial"/>
                <w:szCs w:val="24"/>
                <w:lang w:val="es-ES_tradnl"/>
              </w:rPr>
              <w:t xml:space="preserve"> organizó una Reunión Preparatoria Regional (</w:t>
            </w:r>
            <w:proofErr w:type="spellStart"/>
            <w:r w:rsidRPr="00FD3713">
              <w:rPr>
                <w:rFonts w:asciiTheme="minorHAnsi" w:eastAsia="Calibri" w:hAnsiTheme="minorHAnsi" w:cs="Arial"/>
                <w:szCs w:val="24"/>
                <w:lang w:val="es-ES_tradnl"/>
              </w:rPr>
              <w:t>RPR</w:t>
            </w:r>
            <w:proofErr w:type="spellEnd"/>
            <w:r w:rsidRPr="00FD3713">
              <w:rPr>
                <w:rFonts w:asciiTheme="minorHAnsi" w:eastAsia="Calibri" w:hAnsiTheme="minorHAnsi" w:cs="Arial"/>
                <w:szCs w:val="24"/>
                <w:lang w:val="es-ES_tradnl"/>
              </w:rPr>
              <w:t xml:space="preserve">) de la </w:t>
            </w:r>
            <w:proofErr w:type="spellStart"/>
            <w:r w:rsidRPr="00FD3713">
              <w:rPr>
                <w:rFonts w:asciiTheme="minorHAnsi" w:eastAsia="Calibri" w:hAnsiTheme="minorHAnsi" w:cs="Arial"/>
                <w:szCs w:val="24"/>
                <w:lang w:val="es-ES_tradnl"/>
              </w:rPr>
              <w:t>CMDT</w:t>
            </w:r>
            <w:proofErr w:type="spellEnd"/>
            <w:r w:rsidRPr="00FD3713">
              <w:rPr>
                <w:rFonts w:asciiTheme="minorHAnsi" w:eastAsia="Calibri" w:hAnsiTheme="minorHAnsi" w:cs="Arial"/>
                <w:szCs w:val="24"/>
                <w:lang w:val="es-ES_tradnl"/>
              </w:rPr>
              <w:t xml:space="preserve"> en cada región, cada una de ellas precedida por un Foro Regional de Desarrollo (</w:t>
            </w:r>
            <w:proofErr w:type="spellStart"/>
            <w:r w:rsidRPr="00FD3713">
              <w:rPr>
                <w:rFonts w:asciiTheme="minorHAnsi" w:eastAsia="Calibri" w:hAnsiTheme="minorHAnsi" w:cs="Arial"/>
                <w:szCs w:val="24"/>
                <w:lang w:val="es-ES_tradnl"/>
              </w:rPr>
              <w:t>FRD</w:t>
            </w:r>
            <w:proofErr w:type="spellEnd"/>
            <w:r w:rsidRPr="00FD3713">
              <w:rPr>
                <w:rFonts w:asciiTheme="minorHAnsi" w:eastAsia="Calibri" w:hAnsiTheme="minorHAnsi" w:cs="Arial"/>
                <w:szCs w:val="24"/>
                <w:lang w:val="es-ES_tradnl"/>
              </w:rPr>
              <w:t xml:space="preserve">) de un día. En </w:t>
            </w:r>
            <w:bookmarkStart w:id="17" w:name="lt_pId072"/>
            <w:bookmarkEnd w:id="16"/>
            <w:r w:rsidRPr="00FD3713">
              <w:rPr>
                <w:rFonts w:asciiTheme="minorHAnsi" w:eastAsia="Calibri" w:hAnsiTheme="minorHAnsi" w:cs="Arial"/>
                <w:szCs w:val="24"/>
                <w:lang w:val="es-ES_tradnl"/>
              </w:rPr>
              <w:t xml:space="preserve">2016, se celebraron </w:t>
            </w:r>
            <w:proofErr w:type="spellStart"/>
            <w:r w:rsidRPr="00FD3713">
              <w:rPr>
                <w:rFonts w:asciiTheme="minorHAnsi" w:eastAsia="Calibri" w:hAnsiTheme="minorHAnsi" w:cs="Arial"/>
                <w:szCs w:val="24"/>
                <w:lang w:val="es-ES_tradnl"/>
              </w:rPr>
              <w:t>RPR</w:t>
            </w:r>
            <w:proofErr w:type="spellEnd"/>
            <w:r w:rsidRPr="00FD3713">
              <w:rPr>
                <w:rFonts w:asciiTheme="minorHAnsi" w:eastAsia="Calibri" w:hAnsiTheme="minorHAnsi" w:cs="Arial"/>
                <w:szCs w:val="24"/>
                <w:lang w:val="es-ES_tradnl"/>
              </w:rPr>
              <w:t xml:space="preserve"> en la República Kirguisa para la Comunidad de Estados Independientes (</w:t>
            </w:r>
            <w:proofErr w:type="spellStart"/>
            <w:r w:rsidRPr="00FD3713">
              <w:rPr>
                <w:rFonts w:asciiTheme="minorHAnsi" w:eastAsia="Calibri" w:hAnsiTheme="minorHAnsi" w:cs="Arial"/>
                <w:szCs w:val="24"/>
                <w:lang w:val="es-ES_tradnl"/>
              </w:rPr>
              <w:t>CEI</w:t>
            </w:r>
            <w:proofErr w:type="spellEnd"/>
            <w:r w:rsidRPr="00FD3713">
              <w:rPr>
                <w:rFonts w:asciiTheme="minorHAnsi" w:eastAsia="Calibri" w:hAnsiTheme="minorHAnsi" w:cs="Arial"/>
                <w:szCs w:val="24"/>
                <w:lang w:val="es-ES_tradnl"/>
              </w:rPr>
              <w:t xml:space="preserve">) y en </w:t>
            </w:r>
            <w:proofErr w:type="spellStart"/>
            <w:r w:rsidRPr="00FD3713">
              <w:rPr>
                <w:rFonts w:asciiTheme="minorHAnsi" w:eastAsia="Calibri" w:hAnsiTheme="minorHAnsi" w:cs="Arial"/>
                <w:szCs w:val="24"/>
                <w:lang w:val="es-ES_tradnl"/>
              </w:rPr>
              <w:t>Rwanda</w:t>
            </w:r>
            <w:proofErr w:type="spellEnd"/>
            <w:r w:rsidRPr="00FD3713">
              <w:rPr>
                <w:rFonts w:asciiTheme="minorHAnsi" w:eastAsia="Calibri" w:hAnsiTheme="minorHAnsi" w:cs="Arial"/>
                <w:szCs w:val="24"/>
                <w:lang w:val="es-ES_tradnl"/>
              </w:rPr>
              <w:t xml:space="preserve"> para África. En 2017, se organizaron </w:t>
            </w:r>
            <w:proofErr w:type="spellStart"/>
            <w:r w:rsidRPr="00FD3713">
              <w:rPr>
                <w:rFonts w:asciiTheme="minorHAnsi" w:eastAsia="Calibri" w:hAnsiTheme="minorHAnsi" w:cs="Arial"/>
                <w:szCs w:val="24"/>
                <w:lang w:val="es-ES_tradnl"/>
              </w:rPr>
              <w:t>RPR</w:t>
            </w:r>
            <w:proofErr w:type="spellEnd"/>
            <w:r w:rsidRPr="00FD3713">
              <w:rPr>
                <w:rFonts w:asciiTheme="minorHAnsi" w:eastAsia="Calibri" w:hAnsiTheme="minorHAnsi" w:cs="Arial"/>
                <w:szCs w:val="24"/>
                <w:lang w:val="es-ES_tradnl"/>
              </w:rPr>
              <w:t xml:space="preserve"> en Sudán para los Estados Árabes, en Paraguay para las Américas, en Indonesia para Asia y el Pacífico y en Lituania para Europa</w:t>
            </w:r>
            <w:bookmarkStart w:id="18" w:name="lt_pId073"/>
            <w:bookmarkEnd w:id="17"/>
            <w:r w:rsidRPr="00FD3713">
              <w:rPr>
                <w:rFonts w:asciiTheme="minorHAnsi" w:eastAsia="Calibri" w:hAnsiTheme="minorHAnsi" w:cs="Arial"/>
                <w:szCs w:val="24"/>
                <w:lang w:val="es-ES_tradnl"/>
              </w:rPr>
              <w:t>.</w:t>
            </w:r>
            <w:bookmarkEnd w:id="18"/>
          </w:p>
          <w:p w:rsidR="00F45A0D" w:rsidRPr="00FD3713" w:rsidRDefault="00F45A0D" w:rsidP="00FD3713">
            <w:pPr>
              <w:tabs>
                <w:tab w:val="clear" w:pos="794"/>
                <w:tab w:val="clear" w:pos="1191"/>
                <w:tab w:val="clear" w:pos="1588"/>
                <w:tab w:val="clear" w:pos="1985"/>
              </w:tabs>
              <w:overflowPunct/>
              <w:autoSpaceDE/>
              <w:autoSpaceDN/>
              <w:adjustRightInd/>
              <w:spacing w:after="120" w:line="259" w:lineRule="auto"/>
              <w:textAlignment w:val="auto"/>
              <w:rPr>
                <w:szCs w:val="24"/>
                <w:lang w:val="es-ES_tradnl"/>
              </w:rPr>
            </w:pPr>
            <w:r w:rsidRPr="00FD3713">
              <w:rPr>
                <w:rFonts w:ascii="Calibri" w:hAnsi="Calibri" w:cstheme="minorHAnsi"/>
                <w:szCs w:val="24"/>
                <w:lang w:val="es-ES_tradnl"/>
              </w:rPr>
              <w:t xml:space="preserve">Las seis </w:t>
            </w:r>
            <w:proofErr w:type="spellStart"/>
            <w:r w:rsidRPr="00FD3713">
              <w:rPr>
                <w:rFonts w:ascii="Calibri" w:hAnsi="Calibri" w:cstheme="minorHAnsi"/>
                <w:szCs w:val="24"/>
                <w:lang w:val="es-ES_tradnl"/>
              </w:rPr>
              <w:t>RPR</w:t>
            </w:r>
            <w:proofErr w:type="spellEnd"/>
            <w:r w:rsidRPr="00FD3713">
              <w:rPr>
                <w:rFonts w:ascii="Calibri" w:hAnsi="Calibri" w:cstheme="minorHAnsi"/>
                <w:szCs w:val="24"/>
                <w:lang w:val="es-ES_tradnl"/>
              </w:rPr>
              <w:t xml:space="preserve"> se celebraron para identificar las prioridades regionales en materia de desarrollo de las telecomunicaciones y las tecnologías de la información y la comunicación (TIC). Se examinaron detalladamente los resultados de la aplicación del Plan de Acción de Dubái desde</w:t>
            </w:r>
            <w:r w:rsidR="00FD3713" w:rsidRPr="00FD3713">
              <w:rPr>
                <w:rFonts w:ascii="Calibri" w:hAnsi="Calibri" w:cstheme="minorHAnsi"/>
                <w:szCs w:val="24"/>
                <w:lang w:val="es-ES_tradnl"/>
              </w:rPr>
              <w:t> </w:t>
            </w:r>
            <w:r w:rsidRPr="00FD3713">
              <w:rPr>
                <w:rFonts w:ascii="Calibri" w:hAnsi="Calibri" w:cstheme="minorHAnsi"/>
                <w:szCs w:val="24"/>
                <w:lang w:val="es-ES_tradnl"/>
              </w:rPr>
              <w:t>2014, centrando principalmente las discusiones en los asuntos prioritarios, los temas y Cuestiones y las Iniciativas Regionales que debían incluirse en el Plan de Acción de Buenos Aires (</w:t>
            </w:r>
            <w:proofErr w:type="spellStart"/>
            <w:r w:rsidRPr="00FD3713">
              <w:rPr>
                <w:rFonts w:ascii="Calibri" w:hAnsi="Calibri" w:cstheme="minorHAnsi"/>
                <w:szCs w:val="24"/>
                <w:lang w:val="es-ES_tradnl"/>
              </w:rPr>
              <w:t>BAAP</w:t>
            </w:r>
            <w:proofErr w:type="spellEnd"/>
            <w:r w:rsidRPr="00FD3713">
              <w:rPr>
                <w:rFonts w:ascii="Calibri" w:hAnsi="Calibri" w:cstheme="minorHAnsi"/>
                <w:szCs w:val="24"/>
                <w:lang w:val="es-ES_tradnl"/>
              </w:rPr>
              <w:t>).</w:t>
            </w:r>
            <w:r w:rsidRPr="00FD3713">
              <w:rPr>
                <w:rFonts w:ascii="Calibri" w:hAnsi="Calibri"/>
                <w:b/>
                <w:color w:val="800000"/>
                <w:szCs w:val="24"/>
                <w:lang w:val="es-ES_tradnl"/>
              </w:rPr>
              <w:t xml:space="preserve"> </w:t>
            </w:r>
            <w:r w:rsidRPr="00FD3713">
              <w:rPr>
                <w:rFonts w:ascii="Calibri" w:hAnsi="Calibri" w:cstheme="minorHAnsi"/>
                <w:szCs w:val="24"/>
                <w:lang w:val="es-ES_tradnl"/>
              </w:rPr>
              <w:t xml:space="preserve">Todas las RPM reconocieron que las Iniciativas Regionales </w:t>
            </w:r>
            <w:r w:rsidRPr="00FD3713">
              <w:rPr>
                <w:rFonts w:ascii="Calibri" w:eastAsia="Calibri" w:hAnsi="Calibri" w:cs="Arial"/>
                <w:szCs w:val="24"/>
                <w:lang w:val="es-ES_tradnl"/>
              </w:rPr>
              <w:t>del</w:t>
            </w:r>
            <w:r w:rsidRPr="00FD3713">
              <w:rPr>
                <w:rFonts w:ascii="Calibri" w:hAnsi="Calibri" w:cstheme="minorHAnsi"/>
                <w:szCs w:val="24"/>
                <w:lang w:val="es-ES_tradnl"/>
              </w:rPr>
              <w:t xml:space="preserve"> </w:t>
            </w:r>
            <w:proofErr w:type="spellStart"/>
            <w:r w:rsidRPr="00FD3713">
              <w:rPr>
                <w:rFonts w:ascii="Calibri" w:hAnsi="Calibri" w:cstheme="minorHAnsi"/>
                <w:szCs w:val="24"/>
                <w:lang w:val="es-ES_tradnl"/>
              </w:rPr>
              <w:t>UIT</w:t>
            </w:r>
            <w:proofErr w:type="spellEnd"/>
            <w:r w:rsidRPr="00FD3713">
              <w:rPr>
                <w:rFonts w:ascii="Calibri" w:hAnsi="Calibri" w:cstheme="minorHAnsi"/>
                <w:szCs w:val="24"/>
                <w:lang w:val="es-ES_tradnl"/>
              </w:rPr>
              <w:t xml:space="preserve">-D constituyen un mecanismo eficaz para fomentar la implementación de los resultados de </w:t>
            </w:r>
            <w:r w:rsidRPr="00FD3713">
              <w:rPr>
                <w:rFonts w:ascii="Calibri" w:eastAsia="Calibri" w:hAnsi="Calibri" w:cs="Arial"/>
                <w:szCs w:val="24"/>
                <w:lang w:val="es-ES_tradnl"/>
              </w:rPr>
              <w:t>la</w:t>
            </w:r>
            <w:r w:rsidR="00FD3713" w:rsidRPr="00FD3713">
              <w:rPr>
                <w:rFonts w:ascii="Calibri" w:hAnsi="Calibri" w:cstheme="minorHAnsi"/>
                <w:szCs w:val="24"/>
                <w:lang w:val="es-ES_tradnl"/>
              </w:rPr>
              <w:t xml:space="preserve"> </w:t>
            </w:r>
            <w:proofErr w:type="spellStart"/>
            <w:r w:rsidR="00FD3713" w:rsidRPr="00FD3713">
              <w:rPr>
                <w:rFonts w:ascii="Calibri" w:hAnsi="Calibri" w:cstheme="minorHAnsi"/>
                <w:szCs w:val="24"/>
                <w:lang w:val="es-ES_tradnl"/>
              </w:rPr>
              <w:t>CMSI</w:t>
            </w:r>
            <w:proofErr w:type="spellEnd"/>
            <w:r w:rsidR="00FD3713" w:rsidRPr="00FD3713">
              <w:rPr>
                <w:rFonts w:ascii="Calibri" w:hAnsi="Calibri" w:cstheme="minorHAnsi"/>
                <w:szCs w:val="24"/>
                <w:lang w:val="es-ES_tradnl"/>
              </w:rPr>
              <w:t xml:space="preserve"> y la Agenda </w:t>
            </w:r>
            <w:r w:rsidRPr="00FD3713">
              <w:rPr>
                <w:rFonts w:ascii="Calibri" w:hAnsi="Calibri" w:cstheme="minorHAnsi"/>
                <w:szCs w:val="24"/>
                <w:lang w:val="es-ES_tradnl"/>
              </w:rPr>
              <w:t xml:space="preserve">2030 para el Desarrollo Sostenible, incluido el logro de los Objetivos de Desarrollo </w:t>
            </w:r>
            <w:r w:rsidRPr="009412D4">
              <w:rPr>
                <w:rFonts w:ascii="Calibri" w:hAnsi="Calibri" w:cstheme="minorHAnsi"/>
                <w:szCs w:val="24"/>
                <w:lang w:val="es-ES_tradnl"/>
              </w:rPr>
              <w:t>Sostenible.</w:t>
            </w:r>
          </w:p>
          <w:p w:rsidR="00F45A0D" w:rsidRPr="00FD3713" w:rsidRDefault="00F45A0D" w:rsidP="00F45A0D">
            <w:pPr>
              <w:tabs>
                <w:tab w:val="clear" w:pos="794"/>
                <w:tab w:val="clear" w:pos="1191"/>
                <w:tab w:val="clear" w:pos="1588"/>
                <w:tab w:val="clear" w:pos="1985"/>
              </w:tabs>
              <w:overflowPunct/>
              <w:autoSpaceDE/>
              <w:autoSpaceDN/>
              <w:adjustRightInd/>
              <w:spacing w:after="120" w:line="259" w:lineRule="auto"/>
              <w:textAlignment w:val="auto"/>
              <w:rPr>
                <w:rFonts w:ascii="Calibri" w:eastAsia="Calibri" w:hAnsi="Calibri" w:cs="Arial"/>
                <w:szCs w:val="24"/>
                <w:lang w:val="es-ES_tradnl"/>
              </w:rPr>
            </w:pPr>
            <w:bookmarkStart w:id="19" w:name="lt_pId077"/>
            <w:r w:rsidRPr="00FD3713">
              <w:rPr>
                <w:rFonts w:ascii="Calibri" w:eastAsia="Calibri" w:hAnsi="Calibri" w:cs="Arial"/>
                <w:szCs w:val="24"/>
                <w:lang w:val="es-ES_tradnl"/>
              </w:rPr>
              <w:t xml:space="preserve">Además, en todas las </w:t>
            </w:r>
            <w:proofErr w:type="spellStart"/>
            <w:r w:rsidRPr="00FD3713">
              <w:rPr>
                <w:rFonts w:ascii="Calibri" w:eastAsia="Calibri" w:hAnsi="Calibri" w:cs="Arial"/>
                <w:szCs w:val="24"/>
                <w:lang w:val="es-ES_tradnl"/>
              </w:rPr>
              <w:t>RPR</w:t>
            </w:r>
            <w:proofErr w:type="spellEnd"/>
            <w:r w:rsidRPr="00FD3713">
              <w:rPr>
                <w:rFonts w:ascii="Calibri" w:eastAsia="Calibri" w:hAnsi="Calibri" w:cs="Arial"/>
                <w:szCs w:val="24"/>
                <w:lang w:val="es-ES_tradnl"/>
              </w:rPr>
              <w:t xml:space="preserve"> se formularon conjuntos de propuestas sobre temas prioritarios para cada región que sirvieron de base para las contribuciones presentadas a la </w:t>
            </w:r>
            <w:proofErr w:type="spellStart"/>
            <w:r w:rsidRPr="00FD3713">
              <w:rPr>
                <w:rFonts w:ascii="Calibri" w:eastAsia="Calibri" w:hAnsi="Calibri" w:cs="Arial"/>
                <w:szCs w:val="24"/>
                <w:lang w:val="es-ES_tradnl"/>
              </w:rPr>
              <w:t>CMDT</w:t>
            </w:r>
            <w:proofErr w:type="spellEnd"/>
            <w:r w:rsidRPr="00FD3713">
              <w:rPr>
                <w:rFonts w:ascii="Calibri" w:eastAsia="Calibri" w:hAnsi="Calibri" w:cs="Arial"/>
                <w:szCs w:val="24"/>
                <w:lang w:val="es-ES_tradnl"/>
              </w:rPr>
              <w:t>-17.</w:t>
            </w:r>
            <w:bookmarkEnd w:id="19"/>
          </w:p>
          <w:p w:rsidR="00F45A0D" w:rsidRPr="00FD3713" w:rsidRDefault="00F45A0D" w:rsidP="00F45A0D">
            <w:pPr>
              <w:spacing w:after="120"/>
              <w:rPr>
                <w:lang w:val="es-ES_tradnl"/>
              </w:rPr>
            </w:pPr>
            <w:r w:rsidRPr="00BC07A8">
              <w:rPr>
                <w:rFonts w:ascii="Calibri" w:hAnsi="Calibri" w:cstheme="minorHAnsi"/>
                <w:szCs w:val="24"/>
                <w:lang w:val="es-ES_tradnl"/>
              </w:rPr>
              <w:t xml:space="preserve">Se presentaron y examinaron en las </w:t>
            </w:r>
            <w:proofErr w:type="spellStart"/>
            <w:r w:rsidRPr="00BC07A8">
              <w:rPr>
                <w:rFonts w:ascii="Calibri" w:hAnsi="Calibri" w:cstheme="minorHAnsi"/>
                <w:szCs w:val="24"/>
                <w:lang w:val="es-ES_tradnl"/>
              </w:rPr>
              <w:t>RPR</w:t>
            </w:r>
            <w:proofErr w:type="spellEnd"/>
            <w:r w:rsidRPr="00BC07A8">
              <w:rPr>
                <w:rFonts w:ascii="Calibri" w:hAnsi="Calibri" w:cstheme="minorHAnsi"/>
                <w:szCs w:val="24"/>
                <w:lang w:val="es-ES_tradnl"/>
              </w:rPr>
              <w:t xml:space="preserve"> los siguientes documentos clave</w:t>
            </w:r>
            <w:r w:rsidRPr="00BC07A8">
              <w:rPr>
                <w:lang w:val="es-ES_tradnl"/>
              </w:rPr>
              <w:t>:</w:t>
            </w:r>
            <w:r w:rsidRPr="00FD3713">
              <w:rPr>
                <w:lang w:val="es-ES_tradnl"/>
              </w:rPr>
              <w:t xml:space="preserve"> </w:t>
            </w:r>
          </w:p>
          <w:p w:rsidR="00F45A0D" w:rsidRPr="00FD3713" w:rsidRDefault="009174B9" w:rsidP="009174B9">
            <w:pPr>
              <w:pStyle w:val="enumlev1"/>
              <w:rPr>
                <w:rFonts w:asciiTheme="minorHAnsi" w:hAnsiTheme="minorHAnsi"/>
                <w:shd w:val="clear" w:color="auto" w:fill="FFFFFF"/>
                <w:lang w:val="es-ES_tradnl"/>
              </w:rPr>
            </w:pPr>
            <w:r w:rsidRPr="008D434B">
              <w:rPr>
                <w:rFonts w:asciiTheme="minorHAnsi" w:hAnsiTheme="minorHAnsi"/>
                <w:lang w:val="es-ES_tradnl"/>
              </w:rPr>
              <w:t>•</w:t>
            </w:r>
            <w:r w:rsidRPr="00FD3713">
              <w:rPr>
                <w:lang w:val="es-ES_tradnl"/>
              </w:rPr>
              <w:tab/>
            </w:r>
            <w:r w:rsidR="00F45A0D" w:rsidRPr="00FD3713">
              <w:rPr>
                <w:rFonts w:asciiTheme="minorHAnsi" w:hAnsiTheme="minorHAnsi"/>
                <w:shd w:val="clear" w:color="auto" w:fill="FFFFFF"/>
                <w:lang w:val="es-ES_tradnl"/>
              </w:rPr>
              <w:t xml:space="preserve">Anteproyecto de Contribución del </w:t>
            </w:r>
            <w:proofErr w:type="spellStart"/>
            <w:r w:rsidR="00F45A0D" w:rsidRPr="00FD3713">
              <w:rPr>
                <w:rFonts w:asciiTheme="minorHAnsi" w:hAnsiTheme="minorHAnsi"/>
                <w:shd w:val="clear" w:color="auto" w:fill="FFFFFF"/>
                <w:lang w:val="es-ES_tradnl"/>
              </w:rPr>
              <w:t>UIT</w:t>
            </w:r>
            <w:proofErr w:type="spellEnd"/>
            <w:r w:rsidR="00F45A0D" w:rsidRPr="00FD3713">
              <w:rPr>
                <w:rFonts w:asciiTheme="minorHAnsi" w:hAnsiTheme="minorHAnsi"/>
                <w:shd w:val="clear" w:color="auto" w:fill="FFFFFF"/>
                <w:lang w:val="es-ES_tradnl"/>
              </w:rPr>
              <w:t xml:space="preserve">-D al Plan Estratégico de la </w:t>
            </w:r>
            <w:proofErr w:type="spellStart"/>
            <w:r w:rsidR="00F45A0D" w:rsidRPr="00FD3713">
              <w:rPr>
                <w:rFonts w:asciiTheme="minorHAnsi" w:hAnsiTheme="minorHAnsi"/>
                <w:shd w:val="clear" w:color="auto" w:fill="FFFFFF"/>
                <w:lang w:val="es-ES_tradnl"/>
              </w:rPr>
              <w:t>UIT</w:t>
            </w:r>
            <w:proofErr w:type="spellEnd"/>
            <w:r w:rsidR="00F45A0D" w:rsidRPr="00FD3713">
              <w:rPr>
                <w:rFonts w:asciiTheme="minorHAnsi" w:hAnsiTheme="minorHAnsi"/>
                <w:shd w:val="clear" w:color="auto" w:fill="FFFFFF"/>
                <w:lang w:val="es-ES_tradnl"/>
              </w:rPr>
              <w:t xml:space="preserve"> para 2020-2023.</w:t>
            </w:r>
          </w:p>
          <w:p w:rsidR="00F45A0D" w:rsidRPr="00FD3713" w:rsidRDefault="009174B9" w:rsidP="009174B9">
            <w:pPr>
              <w:pStyle w:val="enumlev1"/>
              <w:rPr>
                <w:rFonts w:asciiTheme="minorHAnsi" w:hAnsiTheme="minorHAnsi"/>
                <w:shd w:val="clear" w:color="auto" w:fill="FFFFFF"/>
                <w:lang w:val="es-ES_tradnl"/>
              </w:rPr>
            </w:pPr>
            <w:r w:rsidRPr="008D434B">
              <w:rPr>
                <w:rFonts w:asciiTheme="minorHAnsi" w:hAnsiTheme="minorHAnsi"/>
                <w:shd w:val="clear" w:color="auto" w:fill="FFFFFF"/>
                <w:lang w:val="es-ES_tradnl"/>
              </w:rPr>
              <w:t>•</w:t>
            </w:r>
            <w:r w:rsidRPr="00FD3713">
              <w:rPr>
                <w:rFonts w:asciiTheme="minorHAnsi" w:hAnsiTheme="minorHAnsi"/>
                <w:shd w:val="clear" w:color="auto" w:fill="FFFFFF"/>
                <w:lang w:val="es-ES_tradnl"/>
              </w:rPr>
              <w:tab/>
            </w:r>
            <w:r w:rsidR="00F45A0D" w:rsidRPr="00FD3713">
              <w:rPr>
                <w:rFonts w:asciiTheme="minorHAnsi" w:hAnsiTheme="minorHAnsi"/>
                <w:shd w:val="clear" w:color="auto" w:fill="FFFFFF"/>
                <w:lang w:val="es-ES_tradnl"/>
              </w:rPr>
              <w:t xml:space="preserve">Anteproyecto de Plan de Acción del </w:t>
            </w:r>
            <w:proofErr w:type="spellStart"/>
            <w:r w:rsidR="00F45A0D" w:rsidRPr="00FD3713">
              <w:rPr>
                <w:rFonts w:asciiTheme="minorHAnsi" w:hAnsiTheme="minorHAnsi"/>
                <w:shd w:val="clear" w:color="auto" w:fill="FFFFFF"/>
                <w:lang w:val="es-ES_tradnl"/>
              </w:rPr>
              <w:t>UIT</w:t>
            </w:r>
            <w:proofErr w:type="spellEnd"/>
            <w:r w:rsidR="00F45A0D" w:rsidRPr="00FD3713">
              <w:rPr>
                <w:rFonts w:asciiTheme="minorHAnsi" w:hAnsiTheme="minorHAnsi"/>
                <w:shd w:val="clear" w:color="auto" w:fill="FFFFFF"/>
                <w:lang w:val="es-ES_tradnl"/>
              </w:rPr>
              <w:t>-D.</w:t>
            </w:r>
          </w:p>
          <w:p w:rsidR="00F45A0D" w:rsidRPr="00FD3713" w:rsidRDefault="009174B9" w:rsidP="009174B9">
            <w:pPr>
              <w:pStyle w:val="enumlev1"/>
              <w:rPr>
                <w:rFonts w:asciiTheme="minorHAnsi" w:hAnsiTheme="minorHAnsi"/>
                <w:shd w:val="clear" w:color="auto" w:fill="FFFFFF"/>
                <w:lang w:val="es-ES_tradnl"/>
              </w:rPr>
            </w:pPr>
            <w:r w:rsidRPr="008D434B">
              <w:rPr>
                <w:rFonts w:asciiTheme="majorHAnsi" w:hAnsiTheme="majorHAnsi"/>
                <w:shd w:val="clear" w:color="auto" w:fill="FFFFFF"/>
                <w:lang w:val="es-ES_tradnl"/>
              </w:rPr>
              <w:t>•</w:t>
            </w:r>
            <w:r w:rsidRPr="00FD3713">
              <w:rPr>
                <w:rFonts w:asciiTheme="minorHAnsi" w:hAnsiTheme="minorHAnsi"/>
                <w:shd w:val="clear" w:color="auto" w:fill="FFFFFF"/>
                <w:lang w:val="es-ES_tradnl"/>
              </w:rPr>
              <w:tab/>
            </w:r>
            <w:r w:rsidR="00F45A0D" w:rsidRPr="00FD3713">
              <w:rPr>
                <w:rFonts w:asciiTheme="minorHAnsi" w:hAnsiTheme="minorHAnsi"/>
                <w:shd w:val="clear" w:color="auto" w:fill="FFFFFF"/>
                <w:lang w:val="es-ES_tradnl"/>
              </w:rPr>
              <w:t xml:space="preserve">Anteproyecto de Declaración de la </w:t>
            </w:r>
            <w:proofErr w:type="spellStart"/>
            <w:r w:rsidR="00F45A0D" w:rsidRPr="00FD3713">
              <w:rPr>
                <w:rFonts w:asciiTheme="minorHAnsi" w:hAnsiTheme="minorHAnsi"/>
                <w:shd w:val="clear" w:color="auto" w:fill="FFFFFF"/>
                <w:lang w:val="es-ES_tradnl"/>
              </w:rPr>
              <w:t>CMDT</w:t>
            </w:r>
            <w:proofErr w:type="spellEnd"/>
            <w:r w:rsidR="00F45A0D" w:rsidRPr="00FD3713">
              <w:rPr>
                <w:rFonts w:asciiTheme="minorHAnsi" w:hAnsiTheme="minorHAnsi"/>
                <w:shd w:val="clear" w:color="auto" w:fill="FFFFFF"/>
                <w:lang w:val="es-ES_tradnl"/>
              </w:rPr>
              <w:t>-17.</w:t>
            </w:r>
          </w:p>
          <w:p w:rsidR="00F45A0D" w:rsidRPr="00FD3713" w:rsidRDefault="009174B9" w:rsidP="009174B9">
            <w:pPr>
              <w:pStyle w:val="enumlev1"/>
              <w:rPr>
                <w:rFonts w:asciiTheme="minorHAnsi" w:hAnsiTheme="minorHAnsi"/>
                <w:shd w:val="clear" w:color="auto" w:fill="FFFFFF"/>
                <w:lang w:val="es-ES_tradnl"/>
              </w:rPr>
            </w:pPr>
            <w:r w:rsidRPr="008D434B">
              <w:rPr>
                <w:rFonts w:asciiTheme="minorHAnsi" w:hAnsiTheme="minorHAnsi"/>
                <w:shd w:val="clear" w:color="auto" w:fill="FFFFFF"/>
                <w:lang w:val="es-ES_tradnl"/>
              </w:rPr>
              <w:t>•</w:t>
            </w:r>
            <w:r w:rsidRPr="00FD3713">
              <w:rPr>
                <w:rFonts w:asciiTheme="minorHAnsi" w:hAnsiTheme="minorHAnsi"/>
                <w:shd w:val="clear" w:color="auto" w:fill="FFFFFF"/>
                <w:lang w:val="es-ES_tradnl"/>
              </w:rPr>
              <w:tab/>
            </w:r>
            <w:r w:rsidR="00F45A0D" w:rsidRPr="00FD3713">
              <w:rPr>
                <w:rFonts w:asciiTheme="minorHAnsi" w:hAnsiTheme="minorHAnsi"/>
                <w:shd w:val="clear" w:color="auto" w:fill="FFFFFF"/>
                <w:lang w:val="es-ES_tradnl"/>
              </w:rPr>
              <w:t xml:space="preserve">Reglamento interno del </w:t>
            </w:r>
            <w:proofErr w:type="spellStart"/>
            <w:r w:rsidR="00F45A0D" w:rsidRPr="00FD3713">
              <w:rPr>
                <w:rFonts w:asciiTheme="minorHAnsi" w:hAnsiTheme="minorHAnsi"/>
                <w:shd w:val="clear" w:color="auto" w:fill="FFFFFF"/>
                <w:lang w:val="es-ES_tradnl"/>
              </w:rPr>
              <w:t>UIT</w:t>
            </w:r>
            <w:proofErr w:type="spellEnd"/>
            <w:r w:rsidR="00F45A0D" w:rsidRPr="00FD3713">
              <w:rPr>
                <w:rFonts w:asciiTheme="minorHAnsi" w:hAnsiTheme="minorHAnsi"/>
                <w:shd w:val="clear" w:color="auto" w:fill="FFFFFF"/>
                <w:lang w:val="es-ES_tradnl"/>
              </w:rPr>
              <w:t xml:space="preserve">-D (Resolución 1 de la </w:t>
            </w:r>
            <w:proofErr w:type="spellStart"/>
            <w:r w:rsidR="00F45A0D" w:rsidRPr="00FD3713">
              <w:rPr>
                <w:rFonts w:asciiTheme="minorHAnsi" w:hAnsiTheme="minorHAnsi"/>
                <w:shd w:val="clear" w:color="auto" w:fill="FFFFFF"/>
                <w:lang w:val="es-ES_tradnl"/>
              </w:rPr>
              <w:t>CMDT</w:t>
            </w:r>
            <w:proofErr w:type="spellEnd"/>
            <w:r w:rsidR="00F45A0D" w:rsidRPr="00FD3713">
              <w:rPr>
                <w:rFonts w:asciiTheme="minorHAnsi" w:hAnsiTheme="minorHAnsi"/>
                <w:shd w:val="clear" w:color="auto" w:fill="FFFFFF"/>
                <w:lang w:val="es-ES_tradnl"/>
              </w:rPr>
              <w:t>).</w:t>
            </w:r>
          </w:p>
          <w:p w:rsidR="00F45A0D" w:rsidRPr="00FD3713" w:rsidRDefault="009174B9" w:rsidP="009174B9">
            <w:pPr>
              <w:pStyle w:val="enumlev1"/>
              <w:rPr>
                <w:rFonts w:asciiTheme="minorHAnsi" w:hAnsiTheme="minorHAnsi"/>
                <w:shd w:val="clear" w:color="auto" w:fill="FFFFFF"/>
                <w:lang w:val="es-ES_tradnl"/>
              </w:rPr>
            </w:pPr>
            <w:r w:rsidRPr="008D434B">
              <w:rPr>
                <w:rFonts w:asciiTheme="minorHAnsi" w:hAnsiTheme="minorHAnsi"/>
                <w:shd w:val="clear" w:color="auto" w:fill="FFFFFF"/>
                <w:lang w:val="es-ES_tradnl"/>
              </w:rPr>
              <w:t>•</w:t>
            </w:r>
            <w:r w:rsidRPr="00FD3713">
              <w:rPr>
                <w:rFonts w:asciiTheme="minorHAnsi" w:hAnsiTheme="minorHAnsi"/>
                <w:shd w:val="clear" w:color="auto" w:fill="FFFFFF"/>
                <w:lang w:val="es-ES_tradnl"/>
              </w:rPr>
              <w:tab/>
            </w:r>
            <w:r w:rsidR="00F45A0D" w:rsidRPr="00FD3713">
              <w:rPr>
                <w:rFonts w:asciiTheme="minorHAnsi" w:hAnsiTheme="minorHAnsi"/>
                <w:shd w:val="clear" w:color="auto" w:fill="FFFFFF"/>
                <w:lang w:val="es-ES_tradnl"/>
              </w:rPr>
              <w:t>Informe sobre la racionalización de las Resoluciones de la CMDT.</w:t>
            </w:r>
          </w:p>
          <w:p w:rsidR="00F45A0D" w:rsidRPr="00BC07A8" w:rsidRDefault="00F45A0D" w:rsidP="00BC07A8">
            <w:pPr>
              <w:spacing w:after="120"/>
              <w:rPr>
                <w:lang w:val="es-ES_tradnl"/>
              </w:rPr>
            </w:pPr>
            <w:bookmarkStart w:id="20" w:name="lt_pId084"/>
            <w:r w:rsidRPr="00FD3713">
              <w:rPr>
                <w:rFonts w:ascii="Calibri" w:hAnsi="Calibri"/>
                <w:szCs w:val="24"/>
                <w:lang w:val="es-ES_tradnl"/>
              </w:rPr>
              <w:t xml:space="preserve">Tras la celebración del </w:t>
            </w:r>
            <w:proofErr w:type="spellStart"/>
            <w:r w:rsidRPr="00FD3713">
              <w:rPr>
                <w:rFonts w:ascii="Calibri" w:hAnsi="Calibri"/>
                <w:szCs w:val="24"/>
                <w:lang w:val="es-ES_tradnl"/>
              </w:rPr>
              <w:t>GADT</w:t>
            </w:r>
            <w:proofErr w:type="spellEnd"/>
            <w:r w:rsidRPr="00FD3713">
              <w:rPr>
                <w:rFonts w:ascii="Calibri" w:hAnsi="Calibri"/>
                <w:szCs w:val="24"/>
                <w:lang w:val="es-ES_tradnl"/>
              </w:rPr>
              <w:t xml:space="preserve">-17, los siguientes grupos regionales organizaron reuniones preparatorias para la </w:t>
            </w:r>
            <w:proofErr w:type="spellStart"/>
            <w:r w:rsidRPr="00FD3713">
              <w:rPr>
                <w:rFonts w:ascii="Calibri" w:hAnsi="Calibri"/>
                <w:szCs w:val="24"/>
                <w:lang w:val="es-ES_tradnl"/>
              </w:rPr>
              <w:t>CMDT</w:t>
            </w:r>
            <w:proofErr w:type="spellEnd"/>
            <w:r w:rsidRPr="00FD3713">
              <w:rPr>
                <w:rFonts w:ascii="Calibri" w:hAnsi="Calibri"/>
                <w:szCs w:val="24"/>
                <w:lang w:val="es-ES_tradnl"/>
              </w:rPr>
              <w:t>-17</w:t>
            </w:r>
            <w:r w:rsidRPr="00BC07A8">
              <w:rPr>
                <w:rFonts w:ascii="Calibri" w:hAnsi="Calibri"/>
                <w:szCs w:val="24"/>
                <w:lang w:val="es-ES_tradnl"/>
              </w:rPr>
              <w:t>:</w:t>
            </w:r>
            <w:bookmarkEnd w:id="20"/>
            <w:r w:rsidRPr="00BC07A8">
              <w:rPr>
                <w:rFonts w:ascii="Calibri" w:hAnsi="Calibri"/>
                <w:szCs w:val="24"/>
                <w:lang w:val="es-ES_tradnl"/>
              </w:rPr>
              <w:t xml:space="preserve"> </w:t>
            </w:r>
            <w:bookmarkStart w:id="21" w:name="lt_pId085"/>
            <w:r w:rsidRPr="00BC07A8">
              <w:rPr>
                <w:rFonts w:ascii="Calibri" w:hAnsi="Calibri"/>
                <w:szCs w:val="24"/>
                <w:lang w:val="es-ES_tradnl"/>
              </w:rPr>
              <w:fldChar w:fldCharType="begin"/>
            </w:r>
            <w:r w:rsidRPr="00BC07A8">
              <w:rPr>
                <w:rFonts w:ascii="Calibri" w:hAnsi="Calibri"/>
                <w:szCs w:val="24"/>
                <w:lang w:val="es-ES_tradnl"/>
              </w:rPr>
              <w:instrText xml:space="preserve"> HYPERLINK "http://www.atu-uat.org/" \t "_blank" </w:instrText>
            </w:r>
            <w:r w:rsidRPr="00BC07A8">
              <w:rPr>
                <w:rFonts w:ascii="Calibri" w:hAnsi="Calibri"/>
                <w:szCs w:val="24"/>
                <w:lang w:val="es-ES_tradnl"/>
              </w:rPr>
              <w:fldChar w:fldCharType="separate"/>
            </w:r>
            <w:r w:rsidRPr="00BC07A8">
              <w:rPr>
                <w:rFonts w:ascii="Calibri" w:hAnsi="Calibri"/>
                <w:szCs w:val="24"/>
                <w:lang w:val="es-ES_tradnl"/>
              </w:rPr>
              <w:t>Unión Africana de Telecomunicaciones (</w:t>
            </w:r>
            <w:proofErr w:type="spellStart"/>
            <w:r w:rsidRPr="00BC07A8">
              <w:rPr>
                <w:rFonts w:ascii="Calibri" w:hAnsi="Calibri"/>
                <w:szCs w:val="24"/>
                <w:lang w:val="es-ES_tradnl"/>
              </w:rPr>
              <w:t>ATU</w:t>
            </w:r>
            <w:proofErr w:type="spellEnd"/>
            <w:r w:rsidRPr="00BC07A8">
              <w:rPr>
                <w:rFonts w:ascii="Calibri" w:hAnsi="Calibri"/>
                <w:szCs w:val="24"/>
                <w:lang w:val="es-ES_tradnl"/>
              </w:rPr>
              <w:t>)</w:t>
            </w:r>
            <w:r w:rsidRPr="00BC07A8">
              <w:rPr>
                <w:rFonts w:ascii="Calibri" w:hAnsi="Calibri"/>
                <w:szCs w:val="24"/>
                <w:lang w:val="es-ES_tradnl"/>
              </w:rPr>
              <w:fldChar w:fldCharType="end"/>
            </w:r>
            <w:r w:rsidRPr="00BC07A8">
              <w:rPr>
                <w:rFonts w:ascii="Calibri" w:hAnsi="Calibri"/>
                <w:szCs w:val="24"/>
                <w:lang w:val="es-ES_tradnl"/>
              </w:rPr>
              <w:t xml:space="preserve">, </w:t>
            </w:r>
            <w:hyperlink r:id="rId11" w:tgtFrame="_blank" w:history="1">
              <w:r w:rsidRPr="00BC07A8">
                <w:rPr>
                  <w:rFonts w:ascii="Calibri" w:hAnsi="Calibri"/>
                  <w:szCs w:val="24"/>
                  <w:lang w:val="es-ES_tradnl"/>
                </w:rPr>
                <w:t>Comisión Interamericana de Telecomunicaciones (</w:t>
              </w:r>
              <w:proofErr w:type="spellStart"/>
              <w:r w:rsidRPr="00BC07A8">
                <w:rPr>
                  <w:rFonts w:ascii="Calibri" w:hAnsi="Calibri"/>
                  <w:szCs w:val="24"/>
                  <w:lang w:val="es-ES_tradnl"/>
                </w:rPr>
                <w:t>CITEL</w:t>
              </w:r>
              <w:proofErr w:type="spellEnd"/>
              <w:r w:rsidRPr="00BC07A8">
                <w:rPr>
                  <w:rFonts w:ascii="Calibri" w:hAnsi="Calibri"/>
                  <w:szCs w:val="24"/>
                  <w:lang w:val="es-ES_tradnl"/>
                </w:rPr>
                <w:t>)</w:t>
              </w:r>
            </w:hyperlink>
            <w:r w:rsidRPr="00BC07A8">
              <w:rPr>
                <w:rFonts w:ascii="Calibri" w:hAnsi="Calibri"/>
                <w:szCs w:val="24"/>
                <w:lang w:val="es-ES_tradnl"/>
              </w:rPr>
              <w:t>,</w:t>
            </w:r>
            <w:hyperlink r:id="rId12" w:tgtFrame="_blank" w:history="1">
              <w:r w:rsidRPr="00BC07A8">
                <w:rPr>
                  <w:rFonts w:ascii="Calibri" w:hAnsi="Calibri"/>
                  <w:szCs w:val="24"/>
                  <w:lang w:val="es-ES_tradnl"/>
                </w:rPr>
                <w:t xml:space="preserve"> Liga de Estados Árabes (LAS)</w:t>
              </w:r>
            </w:hyperlink>
            <w:r w:rsidRPr="00BC07A8">
              <w:rPr>
                <w:rFonts w:ascii="Calibri" w:hAnsi="Calibri"/>
                <w:szCs w:val="24"/>
                <w:lang w:val="es-ES_tradnl"/>
              </w:rPr>
              <w:t xml:space="preserve">, </w:t>
            </w:r>
            <w:hyperlink r:id="rId13" w:tgtFrame="_blank" w:history="1">
              <w:proofErr w:type="spellStart"/>
              <w:r w:rsidRPr="00BC07A8">
                <w:rPr>
                  <w:rFonts w:ascii="Calibri" w:hAnsi="Calibri"/>
                  <w:szCs w:val="24"/>
                  <w:lang w:val="es-ES_tradnl"/>
                </w:rPr>
                <w:t>Telecomunidad</w:t>
              </w:r>
              <w:proofErr w:type="spellEnd"/>
              <w:r w:rsidRPr="00BC07A8">
                <w:rPr>
                  <w:rFonts w:ascii="Calibri" w:hAnsi="Calibri"/>
                  <w:szCs w:val="24"/>
                  <w:lang w:val="es-ES_tradnl"/>
                </w:rPr>
                <w:t xml:space="preserve"> de </w:t>
              </w:r>
              <w:r w:rsidRPr="00BC07A8">
                <w:rPr>
                  <w:rFonts w:ascii="Calibri" w:hAnsi="Calibri"/>
                  <w:szCs w:val="24"/>
                  <w:lang w:val="es-ES_tradnl"/>
                </w:rPr>
                <w:lastRenderedPageBreak/>
                <w:t>Asia y el Pacífico (</w:t>
              </w:r>
              <w:proofErr w:type="spellStart"/>
              <w:r w:rsidRPr="00BC07A8">
                <w:rPr>
                  <w:rFonts w:ascii="Calibri" w:hAnsi="Calibri"/>
                  <w:szCs w:val="24"/>
                  <w:lang w:val="es-ES_tradnl"/>
                </w:rPr>
                <w:t>APT</w:t>
              </w:r>
              <w:proofErr w:type="spellEnd"/>
              <w:r w:rsidRPr="00BC07A8">
                <w:rPr>
                  <w:rFonts w:ascii="Calibri" w:hAnsi="Calibri"/>
                  <w:szCs w:val="24"/>
                  <w:lang w:val="es-ES_tradnl"/>
                </w:rPr>
                <w:t>)</w:t>
              </w:r>
            </w:hyperlink>
            <w:r w:rsidRPr="00BC07A8">
              <w:rPr>
                <w:rFonts w:ascii="Calibri" w:hAnsi="Calibri"/>
                <w:szCs w:val="24"/>
                <w:lang w:val="es-ES_tradnl"/>
              </w:rPr>
              <w:t xml:space="preserve">, </w:t>
            </w:r>
            <w:hyperlink r:id="rId14" w:tgtFrame="_blank" w:history="1">
              <w:r w:rsidRPr="00BC07A8">
                <w:rPr>
                  <w:rFonts w:ascii="Calibri" w:hAnsi="Calibri"/>
                  <w:szCs w:val="24"/>
                  <w:lang w:val="es-ES_tradnl"/>
                </w:rPr>
                <w:t>Comunidad Regional de Comunicaciones (CRC)</w:t>
              </w:r>
            </w:hyperlink>
            <w:r w:rsidRPr="00BC07A8">
              <w:rPr>
                <w:rFonts w:ascii="Calibri" w:hAnsi="Calibri"/>
                <w:szCs w:val="24"/>
                <w:lang w:val="es-ES_tradnl"/>
              </w:rPr>
              <w:t xml:space="preserve">, </w:t>
            </w:r>
            <w:hyperlink r:id="rId15" w:tgtFrame="_blank" w:history="1">
              <w:r w:rsidRPr="00BC07A8">
                <w:rPr>
                  <w:rFonts w:ascii="Calibri" w:hAnsi="Calibri"/>
                  <w:szCs w:val="24"/>
                  <w:lang w:val="es-ES_tradnl"/>
                </w:rPr>
                <w:t>Conferencia Europea de Administraciones de Correos y Telecomunicaciones (</w:t>
              </w:r>
              <w:proofErr w:type="spellStart"/>
              <w:r w:rsidRPr="00BC07A8">
                <w:rPr>
                  <w:rFonts w:ascii="Calibri" w:hAnsi="Calibri"/>
                  <w:szCs w:val="24"/>
                  <w:lang w:val="es-ES_tradnl"/>
                </w:rPr>
                <w:t>CEPT</w:t>
              </w:r>
              <w:proofErr w:type="spellEnd"/>
              <w:r w:rsidRPr="00BC07A8">
                <w:rPr>
                  <w:rFonts w:ascii="Calibri" w:hAnsi="Calibri"/>
                  <w:szCs w:val="24"/>
                  <w:lang w:val="es-ES_tradnl"/>
                </w:rPr>
                <w:t>)</w:t>
              </w:r>
            </w:hyperlink>
            <w:r w:rsidRPr="00BC07A8">
              <w:rPr>
                <w:szCs w:val="24"/>
                <w:lang w:val="es-ES_tradnl"/>
              </w:rPr>
              <w:t>.</w:t>
            </w:r>
            <w:bookmarkEnd w:id="21"/>
          </w:p>
        </w:tc>
      </w:tr>
      <w:tr w:rsidR="00F45A0D" w:rsidRPr="00FD3713" w:rsidTr="00C207F6">
        <w:tc>
          <w:tcPr>
            <w:tcW w:w="2830" w:type="dxa"/>
          </w:tcPr>
          <w:p w:rsidR="00F45A0D" w:rsidRPr="00FD3713" w:rsidRDefault="00F45A0D" w:rsidP="00A75780">
            <w:pPr>
              <w:tabs>
                <w:tab w:val="clear" w:pos="794"/>
                <w:tab w:val="clear" w:pos="1191"/>
                <w:tab w:val="clear" w:pos="1588"/>
                <w:tab w:val="clear" w:pos="1985"/>
              </w:tabs>
              <w:overflowPunct/>
              <w:autoSpaceDE/>
              <w:autoSpaceDN/>
              <w:adjustRightInd/>
              <w:spacing w:before="60" w:after="60"/>
              <w:textAlignment w:val="auto"/>
              <w:rPr>
                <w:rFonts w:ascii="Calibri" w:eastAsiaTheme="minorHAnsi" w:hAnsi="Calibri" w:cstheme="minorBidi"/>
                <w:i/>
                <w:szCs w:val="24"/>
                <w:lang w:val="es-ES_tradnl"/>
              </w:rPr>
            </w:pPr>
            <w:proofErr w:type="spellStart"/>
            <w:r w:rsidRPr="00FD3713">
              <w:rPr>
                <w:rFonts w:ascii="Calibri" w:eastAsiaTheme="minorHAnsi" w:hAnsi="Calibri" w:cstheme="minorBidi"/>
                <w:i/>
                <w:szCs w:val="24"/>
                <w:lang w:val="es-ES_tradnl"/>
              </w:rPr>
              <w:lastRenderedPageBreak/>
              <w:t>CMDT</w:t>
            </w:r>
            <w:proofErr w:type="spellEnd"/>
          </w:p>
        </w:tc>
        <w:tc>
          <w:tcPr>
            <w:tcW w:w="6798" w:type="dxa"/>
          </w:tcPr>
          <w:p w:rsidR="00F45A0D" w:rsidRPr="00FD3713" w:rsidRDefault="00F45A0D" w:rsidP="00A75780">
            <w:pPr>
              <w:spacing w:before="60" w:after="60"/>
              <w:rPr>
                <w:rFonts w:ascii="Calibri" w:eastAsiaTheme="minorHAnsi" w:hAnsi="Calibri" w:cstheme="minorBidi"/>
                <w:iCs/>
                <w:szCs w:val="24"/>
                <w:lang w:val="es-ES_tradnl"/>
              </w:rPr>
            </w:pPr>
            <w:bookmarkStart w:id="22" w:name="lt_pId087"/>
            <w:r w:rsidRPr="00A75780">
              <w:rPr>
                <w:rFonts w:asciiTheme="minorHAnsi" w:eastAsiaTheme="minorHAnsi" w:hAnsiTheme="minorHAnsi" w:cstheme="minorBidi"/>
                <w:iCs/>
                <w:szCs w:val="24"/>
                <w:lang w:val="es-ES_tradnl"/>
              </w:rPr>
              <w:t>Resoluciones</w:t>
            </w:r>
            <w:r w:rsidRPr="00FD3713">
              <w:rPr>
                <w:rFonts w:ascii="Calibri" w:eastAsiaTheme="minorHAnsi" w:hAnsi="Calibri" w:cstheme="minorBidi"/>
                <w:iCs/>
                <w:szCs w:val="24"/>
                <w:lang w:val="es-ES_tradnl"/>
              </w:rPr>
              <w:t xml:space="preserve"> 1, 5, 17, 25, 30, 31, 33, 37, 48, 50, 59, 61, 81</w:t>
            </w:r>
            <w:bookmarkEnd w:id="22"/>
          </w:p>
        </w:tc>
      </w:tr>
      <w:tr w:rsidR="00F45A0D" w:rsidRPr="008D434B" w:rsidTr="00C207F6">
        <w:tc>
          <w:tcPr>
            <w:tcW w:w="2830" w:type="dxa"/>
          </w:tcPr>
          <w:p w:rsidR="00F45A0D" w:rsidRPr="00FD3713" w:rsidRDefault="00F45A0D" w:rsidP="00A75780">
            <w:pPr>
              <w:tabs>
                <w:tab w:val="clear" w:pos="794"/>
                <w:tab w:val="clear" w:pos="1191"/>
                <w:tab w:val="clear" w:pos="1588"/>
                <w:tab w:val="clear" w:pos="1985"/>
              </w:tabs>
              <w:overflowPunct/>
              <w:autoSpaceDE/>
              <w:autoSpaceDN/>
              <w:adjustRightInd/>
              <w:spacing w:before="60" w:after="60"/>
              <w:textAlignment w:val="auto"/>
              <w:rPr>
                <w:rFonts w:ascii="Calibri" w:eastAsiaTheme="minorHAnsi" w:hAnsi="Calibri" w:cstheme="minorBidi"/>
                <w:i/>
                <w:szCs w:val="24"/>
                <w:lang w:val="es-ES_tradnl"/>
              </w:rPr>
            </w:pPr>
            <w:r w:rsidRPr="00FD3713">
              <w:rPr>
                <w:rFonts w:ascii="Calibri" w:eastAsiaTheme="minorHAnsi" w:hAnsi="Calibri" w:cstheme="minorBidi"/>
                <w:i/>
                <w:szCs w:val="24"/>
                <w:lang w:val="es-ES_tradnl"/>
              </w:rPr>
              <w:t>Conferencia de Plenipotenciarios</w:t>
            </w:r>
          </w:p>
        </w:tc>
        <w:tc>
          <w:tcPr>
            <w:tcW w:w="6798" w:type="dxa"/>
          </w:tcPr>
          <w:p w:rsidR="00F45A0D" w:rsidRPr="00FD3713" w:rsidRDefault="00F45A0D" w:rsidP="00A75780">
            <w:pPr>
              <w:spacing w:before="60" w:after="60"/>
              <w:rPr>
                <w:rFonts w:asciiTheme="minorHAnsi" w:hAnsiTheme="minorHAnsi"/>
                <w:szCs w:val="24"/>
                <w:lang w:val="es-ES_tradnl"/>
              </w:rPr>
            </w:pPr>
            <w:bookmarkStart w:id="23" w:name="lt_pId089"/>
            <w:r w:rsidRPr="00A75780">
              <w:rPr>
                <w:rFonts w:asciiTheme="minorHAnsi" w:eastAsiaTheme="minorHAnsi" w:hAnsiTheme="minorHAnsi" w:cstheme="minorBidi"/>
                <w:iCs/>
                <w:szCs w:val="24"/>
                <w:lang w:val="es-ES_tradnl"/>
              </w:rPr>
              <w:t>Decisiones</w:t>
            </w:r>
            <w:r w:rsidRPr="00FD3713">
              <w:rPr>
                <w:rFonts w:asciiTheme="minorHAnsi" w:hAnsiTheme="minorHAnsi"/>
                <w:szCs w:val="24"/>
                <w:lang w:val="es-ES_tradnl"/>
              </w:rPr>
              <w:t xml:space="preserve"> de la PP: 5 y 13</w:t>
            </w:r>
            <w:r w:rsidRPr="00FD3713">
              <w:rPr>
                <w:rFonts w:asciiTheme="minorHAnsi" w:hAnsiTheme="minorHAnsi"/>
                <w:szCs w:val="24"/>
                <w:lang w:val="es-ES_tradnl"/>
              </w:rPr>
              <w:br/>
            </w:r>
            <w:r w:rsidRPr="00A75780">
              <w:rPr>
                <w:rFonts w:asciiTheme="minorHAnsi" w:eastAsiaTheme="minorHAnsi" w:hAnsiTheme="minorHAnsi" w:cstheme="minorBidi"/>
                <w:iCs/>
                <w:szCs w:val="24"/>
                <w:lang w:val="es-ES_tradnl"/>
              </w:rPr>
              <w:t>Resoluciones</w:t>
            </w:r>
            <w:r w:rsidRPr="00FD3713">
              <w:rPr>
                <w:rFonts w:asciiTheme="minorHAnsi" w:hAnsiTheme="minorHAnsi"/>
                <w:szCs w:val="24"/>
                <w:lang w:val="es-ES_tradnl"/>
              </w:rPr>
              <w:t xml:space="preserve"> de la PP: 25, 71, 111, 135, 140, 165, 167</w:t>
            </w:r>
            <w:bookmarkEnd w:id="23"/>
          </w:p>
        </w:tc>
      </w:tr>
      <w:tr w:rsidR="00F45A0D" w:rsidRPr="008D434B" w:rsidTr="00C207F6">
        <w:tc>
          <w:tcPr>
            <w:tcW w:w="2830" w:type="dxa"/>
          </w:tcPr>
          <w:p w:rsidR="00F45A0D" w:rsidRPr="00FD3713" w:rsidRDefault="00F45A0D" w:rsidP="00A75780">
            <w:pPr>
              <w:tabs>
                <w:tab w:val="clear" w:pos="794"/>
                <w:tab w:val="clear" w:pos="1191"/>
                <w:tab w:val="clear" w:pos="1588"/>
                <w:tab w:val="clear" w:pos="1985"/>
              </w:tabs>
              <w:overflowPunct/>
              <w:autoSpaceDE/>
              <w:autoSpaceDN/>
              <w:adjustRightInd/>
              <w:spacing w:before="60" w:after="60"/>
              <w:textAlignment w:val="auto"/>
              <w:rPr>
                <w:rFonts w:ascii="Calibri" w:eastAsiaTheme="minorHAnsi" w:hAnsi="Calibri" w:cstheme="minorBidi"/>
                <w:i/>
                <w:szCs w:val="24"/>
                <w:lang w:val="es-ES_tradnl"/>
              </w:rPr>
            </w:pPr>
            <w:r w:rsidRPr="00FD3713">
              <w:rPr>
                <w:rFonts w:asciiTheme="minorHAnsi" w:hAnsiTheme="minorHAnsi"/>
                <w:i/>
                <w:iCs/>
                <w:szCs w:val="24"/>
                <w:lang w:val="es-ES_tradnl"/>
              </w:rPr>
              <w:t xml:space="preserve">Línea de </w:t>
            </w:r>
            <w:r w:rsidRPr="00A75780">
              <w:rPr>
                <w:rFonts w:ascii="Calibri" w:eastAsiaTheme="minorHAnsi" w:hAnsi="Calibri" w:cstheme="minorBidi"/>
                <w:i/>
                <w:szCs w:val="24"/>
                <w:lang w:val="es-ES_tradnl"/>
              </w:rPr>
              <w:t>Acción</w:t>
            </w:r>
            <w:r w:rsidRPr="00FD3713">
              <w:rPr>
                <w:rFonts w:asciiTheme="minorHAnsi" w:hAnsiTheme="minorHAnsi"/>
                <w:i/>
                <w:iCs/>
                <w:szCs w:val="24"/>
                <w:lang w:val="es-ES_tradnl"/>
              </w:rPr>
              <w:t xml:space="preserve"> de la </w:t>
            </w:r>
            <w:proofErr w:type="spellStart"/>
            <w:r w:rsidRPr="00FD3713">
              <w:rPr>
                <w:rFonts w:asciiTheme="minorHAnsi" w:hAnsiTheme="minorHAnsi"/>
                <w:i/>
                <w:iCs/>
                <w:szCs w:val="24"/>
                <w:lang w:val="es-ES_tradnl"/>
              </w:rPr>
              <w:t>CMSI</w:t>
            </w:r>
            <w:proofErr w:type="spellEnd"/>
          </w:p>
        </w:tc>
        <w:tc>
          <w:tcPr>
            <w:tcW w:w="6798" w:type="dxa"/>
          </w:tcPr>
          <w:p w:rsidR="00F45A0D" w:rsidRPr="00FD3713" w:rsidRDefault="00F45A0D" w:rsidP="00A75780">
            <w:pPr>
              <w:spacing w:before="60" w:after="60"/>
              <w:rPr>
                <w:rFonts w:ascii="Calibri" w:eastAsiaTheme="minorHAnsi" w:hAnsi="Calibri" w:cstheme="minorBidi"/>
                <w:iCs/>
                <w:szCs w:val="24"/>
                <w:lang w:val="es-ES_tradnl"/>
              </w:rPr>
            </w:pPr>
            <w:r w:rsidRPr="00A75780">
              <w:rPr>
                <w:rFonts w:asciiTheme="minorHAnsi" w:eastAsiaTheme="minorHAnsi" w:hAnsiTheme="minorHAnsi" w:cstheme="minorBidi"/>
                <w:iCs/>
                <w:szCs w:val="24"/>
                <w:lang w:val="es-ES_tradnl"/>
              </w:rPr>
              <w:t>Líneas</w:t>
            </w:r>
            <w:r w:rsidRPr="00FD3713">
              <w:rPr>
                <w:rFonts w:asciiTheme="minorHAnsi" w:hAnsiTheme="minorHAnsi"/>
                <w:szCs w:val="24"/>
                <w:lang w:val="es-ES_tradnl"/>
              </w:rPr>
              <w:t xml:space="preserve">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C1</w:t>
            </w:r>
            <w:proofErr w:type="spellEnd"/>
            <w:r w:rsidRPr="00FD3713">
              <w:rPr>
                <w:rFonts w:asciiTheme="minorHAnsi" w:hAnsiTheme="minorHAnsi"/>
                <w:szCs w:val="24"/>
                <w:lang w:val="es-ES_tradnl"/>
              </w:rPr>
              <w:t xml:space="preserve"> y </w:t>
            </w:r>
            <w:proofErr w:type="spellStart"/>
            <w:r w:rsidRPr="00FD3713">
              <w:rPr>
                <w:rFonts w:asciiTheme="minorHAnsi" w:hAnsiTheme="minorHAnsi"/>
                <w:szCs w:val="24"/>
                <w:lang w:val="es-ES_tradnl"/>
              </w:rPr>
              <w:t>C11</w:t>
            </w:r>
            <w:proofErr w:type="spellEnd"/>
          </w:p>
        </w:tc>
      </w:tr>
      <w:tr w:rsidR="00F45A0D" w:rsidRPr="008D434B" w:rsidTr="00C207F6">
        <w:tc>
          <w:tcPr>
            <w:tcW w:w="2830" w:type="dxa"/>
          </w:tcPr>
          <w:p w:rsidR="00F45A0D" w:rsidRPr="00FD3713" w:rsidRDefault="00F45A0D" w:rsidP="00A75780">
            <w:pPr>
              <w:tabs>
                <w:tab w:val="clear" w:pos="794"/>
                <w:tab w:val="clear" w:pos="1191"/>
                <w:tab w:val="clear" w:pos="1588"/>
                <w:tab w:val="clear" w:pos="1985"/>
              </w:tabs>
              <w:overflowPunct/>
              <w:autoSpaceDE/>
              <w:autoSpaceDN/>
              <w:adjustRightInd/>
              <w:spacing w:before="60" w:after="60"/>
              <w:textAlignment w:val="auto"/>
              <w:rPr>
                <w:rFonts w:ascii="Calibri" w:eastAsiaTheme="minorHAnsi" w:hAnsi="Calibri" w:cstheme="minorBidi"/>
                <w:i/>
                <w:szCs w:val="24"/>
                <w:lang w:val="es-ES_tradnl"/>
              </w:rPr>
            </w:pPr>
            <w:r w:rsidRPr="00FD3713">
              <w:rPr>
                <w:rFonts w:asciiTheme="minorHAnsi" w:hAnsiTheme="minorHAnsi"/>
                <w:i/>
                <w:iCs/>
                <w:szCs w:val="24"/>
                <w:lang w:val="es-ES_tradnl"/>
              </w:rPr>
              <w:t xml:space="preserve">Contribución a las metas de los </w:t>
            </w:r>
            <w:proofErr w:type="spellStart"/>
            <w:r w:rsidRPr="00FD3713">
              <w:rPr>
                <w:rFonts w:asciiTheme="minorHAnsi" w:hAnsiTheme="minorHAnsi"/>
                <w:i/>
                <w:iCs/>
                <w:szCs w:val="24"/>
                <w:lang w:val="es-ES_tradnl"/>
              </w:rPr>
              <w:t>ODS</w:t>
            </w:r>
            <w:proofErr w:type="spellEnd"/>
          </w:p>
        </w:tc>
        <w:tc>
          <w:tcPr>
            <w:tcW w:w="6798" w:type="dxa"/>
          </w:tcPr>
          <w:p w:rsidR="00F45A0D" w:rsidRPr="00FD3713" w:rsidRDefault="00F45A0D" w:rsidP="00A75780">
            <w:pPr>
              <w:spacing w:before="60" w:after="60"/>
              <w:rPr>
                <w:rFonts w:ascii="Calibri" w:eastAsiaTheme="minorHAnsi" w:hAnsi="Calibri" w:cstheme="minorBidi"/>
                <w:iCs/>
                <w:szCs w:val="24"/>
                <w:lang w:val="es-ES_tradnl"/>
              </w:rPr>
            </w:pPr>
            <w:bookmarkStart w:id="24" w:name="lt_pId094"/>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1, 3 (meta </w:t>
            </w:r>
            <w:proofErr w:type="spellStart"/>
            <w:r w:rsidRPr="00FD3713">
              <w:rPr>
                <w:rFonts w:asciiTheme="minorHAnsi" w:hAnsiTheme="minorHAnsi"/>
                <w:szCs w:val="24"/>
                <w:lang w:val="es-ES_tradnl"/>
              </w:rPr>
              <w:t>3.d</w:t>
            </w:r>
            <w:proofErr w:type="spellEnd"/>
            <w:r w:rsidRPr="00FD3713">
              <w:rPr>
                <w:rFonts w:asciiTheme="minorHAnsi" w:hAnsiTheme="minorHAnsi"/>
                <w:szCs w:val="24"/>
                <w:lang w:val="es-ES_tradnl"/>
              </w:rPr>
              <w:t xml:space="preserve">), 5, 10, 16 (metas 16.5, 16.6, 16.8), </w:t>
            </w:r>
            <w:r w:rsidR="0010222E">
              <w:rPr>
                <w:rFonts w:asciiTheme="minorHAnsi" w:hAnsiTheme="minorHAnsi"/>
                <w:szCs w:val="24"/>
                <w:lang w:val="es-ES_tradnl"/>
              </w:rPr>
              <w:t>17 (metas </w:t>
            </w:r>
            <w:r w:rsidRPr="00FD3713">
              <w:rPr>
                <w:rFonts w:asciiTheme="minorHAnsi" w:hAnsiTheme="minorHAnsi"/>
                <w:szCs w:val="24"/>
                <w:lang w:val="es-ES_tradnl"/>
              </w:rPr>
              <w:t>17.9, 17.16, 17.17, 17.18, 17.19)</w:t>
            </w:r>
            <w:bookmarkEnd w:id="24"/>
          </w:p>
        </w:tc>
      </w:tr>
    </w:tbl>
    <w:p w:rsidR="00F45A0D" w:rsidRPr="00FD3713" w:rsidRDefault="00F45A0D" w:rsidP="00F45A0D">
      <w:pPr>
        <w:spacing w:after="120" w:line="276" w:lineRule="auto"/>
        <w:rPr>
          <w:b/>
          <w:lang w:val="es-ES_tradnl"/>
        </w:rPr>
      </w:pPr>
      <w:r w:rsidRPr="00FD3713">
        <w:rPr>
          <w:b/>
          <w:lang w:val="es-ES_tradnl"/>
        </w:rPr>
        <w:t>1.3</w:t>
      </w:r>
      <w:r w:rsidRPr="00FD3713">
        <w:rPr>
          <w:b/>
          <w:lang w:val="es-ES_tradnl"/>
        </w:rPr>
        <w:tab/>
        <w:t>Grupo Asesor de Desarrollo de las Telecomunicaciones (</w:t>
      </w:r>
      <w:proofErr w:type="spellStart"/>
      <w:r w:rsidRPr="00FD3713">
        <w:rPr>
          <w:b/>
          <w:lang w:val="es-ES_tradnl"/>
        </w:rPr>
        <w:t>GADT</w:t>
      </w:r>
      <w:proofErr w:type="spellEnd"/>
      <w:r w:rsidRPr="00FD3713">
        <w:rPr>
          <w:b/>
          <w:lang w:val="es-ES_tradnl"/>
        </w:rPr>
        <w:t>)</w:t>
      </w:r>
    </w:p>
    <w:tbl>
      <w:tblPr>
        <w:tblStyle w:val="TableGrid"/>
        <w:tblW w:w="0" w:type="auto"/>
        <w:tblLook w:val="04A0" w:firstRow="1" w:lastRow="0" w:firstColumn="1" w:lastColumn="0" w:noHBand="0" w:noVBand="1"/>
      </w:tblPr>
      <w:tblGrid>
        <w:gridCol w:w="2830"/>
        <w:gridCol w:w="6798"/>
      </w:tblGrid>
      <w:tr w:rsidR="00F45A0D" w:rsidRPr="008D434B" w:rsidTr="00F45A0D">
        <w:tc>
          <w:tcPr>
            <w:tcW w:w="9628" w:type="dxa"/>
            <w:gridSpan w:val="2"/>
          </w:tcPr>
          <w:p w:rsidR="00F45A0D" w:rsidRPr="00FD3713" w:rsidRDefault="00F45A0D" w:rsidP="004E2CDB">
            <w:pPr>
              <w:rPr>
                <w:rFonts w:ascii="Calibri" w:hAnsi="Calibri"/>
                <w:szCs w:val="24"/>
                <w:lang w:val="es-ES_tradnl"/>
              </w:rPr>
            </w:pPr>
            <w:r w:rsidRPr="004400DE">
              <w:rPr>
                <w:rFonts w:ascii="Calibri" w:hAnsi="Calibri" w:cs="Segoe UI"/>
                <w:color w:val="000000"/>
                <w:lang w:val="es-ES_tradnl"/>
              </w:rPr>
              <w:t xml:space="preserve">La 22ª reunión del </w:t>
            </w:r>
            <w:proofErr w:type="spellStart"/>
            <w:r w:rsidRPr="004400DE">
              <w:rPr>
                <w:rFonts w:ascii="Calibri" w:hAnsi="Calibri" w:cs="Segoe UI"/>
                <w:color w:val="000000"/>
                <w:lang w:val="es-ES_tradnl"/>
              </w:rPr>
              <w:t>GADT</w:t>
            </w:r>
            <w:proofErr w:type="spellEnd"/>
            <w:r w:rsidRPr="004400DE">
              <w:rPr>
                <w:rFonts w:ascii="Calibri" w:hAnsi="Calibri" w:cs="Segoe UI"/>
                <w:color w:val="000000"/>
                <w:lang w:val="es-ES_tradnl"/>
              </w:rPr>
              <w:t xml:space="preserve"> tuvo lugar del 9 al 12 de mayo de 2017 en la Sede de la </w:t>
            </w:r>
            <w:proofErr w:type="spellStart"/>
            <w:r w:rsidRPr="004400DE">
              <w:rPr>
                <w:rFonts w:ascii="Calibri" w:hAnsi="Calibri" w:cs="Segoe UI"/>
                <w:color w:val="000000"/>
                <w:lang w:val="es-ES_tradnl"/>
              </w:rPr>
              <w:t>UIT</w:t>
            </w:r>
            <w:proofErr w:type="spellEnd"/>
            <w:r w:rsidRPr="004400DE">
              <w:rPr>
                <w:rFonts w:ascii="Calibri" w:hAnsi="Calibri" w:cs="Segoe UI"/>
                <w:color w:val="000000"/>
                <w:lang w:val="es-ES_tradnl"/>
              </w:rPr>
              <w:t xml:space="preserve"> en Ginebra.</w:t>
            </w:r>
            <w:r w:rsidRPr="00FD3713">
              <w:rPr>
                <w:rFonts w:ascii="Calibri" w:hAnsi="Calibri"/>
                <w:szCs w:val="24"/>
                <w:lang w:val="es-ES_tradnl"/>
              </w:rPr>
              <w:t xml:space="preserve"> </w:t>
            </w:r>
            <w:bookmarkStart w:id="25" w:name="lt_pId099"/>
            <w:r w:rsidRPr="00FD3713">
              <w:rPr>
                <w:rFonts w:ascii="Calibri" w:hAnsi="Calibri"/>
                <w:szCs w:val="24"/>
                <w:lang w:val="es-ES_tradnl"/>
              </w:rPr>
              <w:t xml:space="preserve">Fue la última reunión antes de la </w:t>
            </w:r>
            <w:proofErr w:type="spellStart"/>
            <w:r w:rsidRPr="00FD3713">
              <w:rPr>
                <w:rFonts w:ascii="Calibri" w:hAnsi="Calibri"/>
                <w:szCs w:val="24"/>
                <w:lang w:val="es-ES_tradnl"/>
              </w:rPr>
              <w:t>CMDT</w:t>
            </w:r>
            <w:proofErr w:type="spellEnd"/>
            <w:r w:rsidRPr="00FD3713">
              <w:rPr>
                <w:rFonts w:ascii="Calibri" w:hAnsi="Calibri"/>
                <w:szCs w:val="24"/>
                <w:lang w:val="es-ES_tradnl"/>
              </w:rPr>
              <w:t>-17 y en ella se trataron los siguientes asuntos</w:t>
            </w:r>
            <w:bookmarkStart w:id="26" w:name="lt_pId100"/>
            <w:bookmarkEnd w:id="25"/>
            <w:r w:rsidRPr="00FD3713">
              <w:rPr>
                <w:rFonts w:ascii="Calibri" w:hAnsi="Calibri"/>
                <w:szCs w:val="24"/>
                <w:lang w:val="es-ES_tradnl"/>
              </w:rPr>
              <w:t>:</w:t>
            </w:r>
            <w:bookmarkEnd w:id="26"/>
          </w:p>
          <w:p w:rsidR="00F45A0D" w:rsidRPr="00FD3713" w:rsidRDefault="00E65455" w:rsidP="00E65455">
            <w:pPr>
              <w:pStyle w:val="enumlev1"/>
              <w:rPr>
                <w:rFonts w:ascii="Calibri" w:hAnsi="Calibri"/>
                <w:szCs w:val="24"/>
                <w:lang w:val="es-ES_tradnl"/>
              </w:rPr>
            </w:pPr>
            <w:r w:rsidRPr="00FD3713">
              <w:rPr>
                <w:lang w:val="es-ES_tradnl"/>
              </w:rPr>
              <w:t>–</w:t>
            </w:r>
            <w:r w:rsidRPr="00FD3713">
              <w:rPr>
                <w:lang w:val="es-ES_tradnl"/>
              </w:rPr>
              <w:tab/>
            </w:r>
            <w:bookmarkStart w:id="27" w:name="lt_pId101"/>
            <w:r w:rsidR="00F45A0D" w:rsidRPr="00FD3713">
              <w:rPr>
                <w:rFonts w:ascii="Calibri" w:hAnsi="Calibri"/>
                <w:szCs w:val="24"/>
                <w:lang w:val="es-ES_tradnl"/>
              </w:rPr>
              <w:t>Preparati</w:t>
            </w:r>
            <w:r w:rsidR="004400DE">
              <w:rPr>
                <w:rFonts w:ascii="Calibri" w:hAnsi="Calibri"/>
                <w:szCs w:val="24"/>
                <w:lang w:val="es-ES_tradnl"/>
              </w:rPr>
              <w:t xml:space="preserve">vos para la </w:t>
            </w:r>
            <w:proofErr w:type="spellStart"/>
            <w:r w:rsidR="004400DE">
              <w:rPr>
                <w:rFonts w:ascii="Calibri" w:hAnsi="Calibri"/>
                <w:szCs w:val="24"/>
                <w:lang w:val="es-ES_tradnl"/>
              </w:rPr>
              <w:t>CMDT</w:t>
            </w:r>
            <w:proofErr w:type="spellEnd"/>
            <w:r w:rsidR="004400DE">
              <w:rPr>
                <w:rFonts w:ascii="Calibri" w:hAnsi="Calibri"/>
                <w:szCs w:val="24"/>
                <w:lang w:val="es-ES_tradnl"/>
              </w:rPr>
              <w:t xml:space="preserve">-17, incluidos </w:t>
            </w:r>
            <w:r w:rsidR="00F45A0D" w:rsidRPr="00FD3713">
              <w:rPr>
                <w:rFonts w:ascii="Calibri" w:hAnsi="Calibri"/>
                <w:szCs w:val="24"/>
                <w:lang w:val="es-ES_tradnl"/>
              </w:rPr>
              <w:t>i) una actualización de los p</w:t>
            </w:r>
            <w:r w:rsidR="004400DE">
              <w:rPr>
                <w:rFonts w:ascii="Calibri" w:hAnsi="Calibri"/>
                <w:szCs w:val="24"/>
                <w:lang w:val="es-ES_tradnl"/>
              </w:rPr>
              <w:t xml:space="preserve">reparativos de la Conferencia, </w:t>
            </w:r>
            <w:r w:rsidR="00F45A0D" w:rsidRPr="00FD3713">
              <w:rPr>
                <w:rFonts w:ascii="Calibri" w:hAnsi="Calibri"/>
                <w:szCs w:val="24"/>
                <w:lang w:val="es-ES_tradnl"/>
              </w:rPr>
              <w:t>ii) el Informe de la Reunión de Coordinación de las Reuniones Pr</w:t>
            </w:r>
            <w:r w:rsidR="004400DE">
              <w:rPr>
                <w:rFonts w:ascii="Calibri" w:hAnsi="Calibri"/>
                <w:szCs w:val="24"/>
                <w:lang w:val="es-ES_tradnl"/>
              </w:rPr>
              <w:t xml:space="preserve">eparatorias de la Conferencia, </w:t>
            </w:r>
            <w:r w:rsidR="00F45A0D" w:rsidRPr="00FD3713">
              <w:rPr>
                <w:rFonts w:ascii="Calibri" w:hAnsi="Calibri"/>
                <w:szCs w:val="24"/>
                <w:lang w:val="es-ES_tradnl"/>
              </w:rPr>
              <w:t>iii</w:t>
            </w:r>
            <w:r w:rsidR="004400DE">
              <w:rPr>
                <w:rFonts w:ascii="Calibri" w:hAnsi="Calibri"/>
                <w:szCs w:val="24"/>
                <w:lang w:val="es-ES_tradnl"/>
              </w:rPr>
              <w:t xml:space="preserve">) la estructura de la </w:t>
            </w:r>
            <w:proofErr w:type="spellStart"/>
            <w:r w:rsidR="004400DE">
              <w:rPr>
                <w:rFonts w:ascii="Calibri" w:hAnsi="Calibri"/>
                <w:szCs w:val="24"/>
                <w:lang w:val="es-ES_tradnl"/>
              </w:rPr>
              <w:t>CMDT</w:t>
            </w:r>
            <w:proofErr w:type="spellEnd"/>
            <w:r w:rsidR="004400DE">
              <w:rPr>
                <w:rFonts w:ascii="Calibri" w:hAnsi="Calibri"/>
                <w:szCs w:val="24"/>
                <w:lang w:val="es-ES_tradnl"/>
              </w:rPr>
              <w:t xml:space="preserve">-17, </w:t>
            </w:r>
            <w:r w:rsidR="00F45A0D" w:rsidRPr="00FD3713">
              <w:rPr>
                <w:rFonts w:ascii="Calibri" w:hAnsi="Calibri"/>
                <w:szCs w:val="24"/>
                <w:lang w:val="es-ES_tradnl"/>
              </w:rPr>
              <w:t>iv) la contribución d</w:t>
            </w:r>
            <w:r w:rsidRPr="00FD3713">
              <w:rPr>
                <w:rFonts w:ascii="Calibri" w:hAnsi="Calibri"/>
                <w:szCs w:val="24"/>
                <w:lang w:val="es-ES_tradnl"/>
              </w:rPr>
              <w:t>el </w:t>
            </w:r>
            <w:proofErr w:type="spellStart"/>
            <w:r w:rsidR="00F45A0D" w:rsidRPr="00FD3713">
              <w:rPr>
                <w:rFonts w:ascii="Calibri" w:hAnsi="Calibri"/>
                <w:szCs w:val="24"/>
                <w:lang w:val="es-ES_tradnl"/>
              </w:rPr>
              <w:t>UIT</w:t>
            </w:r>
            <w:proofErr w:type="spellEnd"/>
            <w:r w:rsidR="00F45A0D" w:rsidRPr="00FD3713">
              <w:rPr>
                <w:rFonts w:ascii="Calibri" w:hAnsi="Calibri"/>
                <w:szCs w:val="24"/>
                <w:lang w:val="es-ES_tradnl"/>
              </w:rPr>
              <w:t xml:space="preserve">-D al proyecto de Plan Estratégico de la </w:t>
            </w:r>
            <w:proofErr w:type="spellStart"/>
            <w:r w:rsidR="004400DE">
              <w:rPr>
                <w:rFonts w:ascii="Calibri" w:hAnsi="Calibri"/>
                <w:szCs w:val="24"/>
                <w:lang w:val="es-ES_tradnl"/>
              </w:rPr>
              <w:t>UIT</w:t>
            </w:r>
            <w:proofErr w:type="spellEnd"/>
            <w:r w:rsidR="004400DE">
              <w:rPr>
                <w:rFonts w:ascii="Calibri" w:hAnsi="Calibri"/>
                <w:szCs w:val="24"/>
                <w:lang w:val="es-ES_tradnl"/>
              </w:rPr>
              <w:t xml:space="preserve">, </w:t>
            </w:r>
            <w:r w:rsidR="00F45A0D" w:rsidRPr="00FD3713">
              <w:rPr>
                <w:rFonts w:ascii="Calibri" w:hAnsi="Calibri"/>
                <w:szCs w:val="24"/>
                <w:lang w:val="es-ES_tradnl"/>
              </w:rPr>
              <w:t>v) el</w:t>
            </w:r>
            <w:r w:rsidRPr="00FD3713">
              <w:rPr>
                <w:rFonts w:ascii="Calibri" w:hAnsi="Calibri"/>
                <w:szCs w:val="24"/>
                <w:lang w:val="es-ES_tradnl"/>
              </w:rPr>
              <w:t xml:space="preserve"> proyecto de Plan de Acción del </w:t>
            </w:r>
            <w:proofErr w:type="spellStart"/>
            <w:r w:rsidR="004400DE">
              <w:rPr>
                <w:rFonts w:ascii="Calibri" w:hAnsi="Calibri"/>
                <w:szCs w:val="24"/>
                <w:lang w:val="es-ES_tradnl"/>
              </w:rPr>
              <w:t>UIT</w:t>
            </w:r>
            <w:proofErr w:type="spellEnd"/>
            <w:r w:rsidR="004400DE">
              <w:rPr>
                <w:rFonts w:ascii="Calibri" w:hAnsi="Calibri"/>
                <w:szCs w:val="24"/>
                <w:lang w:val="es-ES_tradnl"/>
              </w:rPr>
              <w:t xml:space="preserve">-D y </w:t>
            </w:r>
            <w:r w:rsidR="00F45A0D" w:rsidRPr="00FD3713">
              <w:rPr>
                <w:rFonts w:ascii="Calibri" w:hAnsi="Calibri"/>
                <w:szCs w:val="24"/>
                <w:lang w:val="es-ES_tradnl"/>
              </w:rPr>
              <w:t xml:space="preserve">vi) el proyecto de Declaración de la </w:t>
            </w:r>
            <w:proofErr w:type="spellStart"/>
            <w:r w:rsidR="00F45A0D" w:rsidRPr="00FD3713">
              <w:rPr>
                <w:rFonts w:ascii="Calibri" w:hAnsi="Calibri"/>
                <w:szCs w:val="24"/>
                <w:lang w:val="es-ES_tradnl"/>
              </w:rPr>
              <w:t>CMDT</w:t>
            </w:r>
            <w:proofErr w:type="spellEnd"/>
            <w:r w:rsidR="00F45A0D" w:rsidRPr="00FD3713">
              <w:rPr>
                <w:rFonts w:ascii="Calibri" w:hAnsi="Calibri"/>
                <w:szCs w:val="24"/>
                <w:lang w:val="es-ES_tradnl"/>
              </w:rPr>
              <w:t>-17;</w:t>
            </w:r>
            <w:bookmarkEnd w:id="27"/>
          </w:p>
          <w:p w:rsidR="00F45A0D" w:rsidRPr="00FD3713" w:rsidRDefault="00E65455" w:rsidP="00E65455">
            <w:pPr>
              <w:pStyle w:val="enumlev1"/>
              <w:rPr>
                <w:rFonts w:ascii="Calibri" w:hAnsi="Calibri"/>
                <w:szCs w:val="24"/>
                <w:lang w:val="es-ES_tradnl"/>
              </w:rPr>
            </w:pPr>
            <w:r w:rsidRPr="00FD3713">
              <w:rPr>
                <w:rFonts w:ascii="Calibri" w:hAnsi="Calibri"/>
                <w:szCs w:val="24"/>
                <w:lang w:val="es-ES_tradnl"/>
              </w:rPr>
              <w:t>–</w:t>
            </w:r>
            <w:r w:rsidRPr="00FD3713">
              <w:rPr>
                <w:rFonts w:ascii="Calibri" w:hAnsi="Calibri"/>
                <w:szCs w:val="24"/>
                <w:lang w:val="es-ES_tradnl"/>
              </w:rPr>
              <w:tab/>
            </w:r>
            <w:bookmarkStart w:id="28" w:name="lt_pId102"/>
            <w:r w:rsidR="00F45A0D" w:rsidRPr="00FD3713">
              <w:rPr>
                <w:rFonts w:ascii="Calibri" w:hAnsi="Calibri"/>
                <w:szCs w:val="24"/>
                <w:lang w:val="es-ES_tradnl"/>
              </w:rPr>
              <w:t xml:space="preserve">Resultados de la </w:t>
            </w:r>
            <w:proofErr w:type="spellStart"/>
            <w:r w:rsidR="00F45A0D" w:rsidRPr="00FD3713">
              <w:rPr>
                <w:rFonts w:ascii="Calibri" w:hAnsi="Calibri"/>
                <w:szCs w:val="24"/>
                <w:lang w:val="es-ES_tradnl"/>
              </w:rPr>
              <w:t>AMNT</w:t>
            </w:r>
            <w:proofErr w:type="spellEnd"/>
            <w:r w:rsidR="00F45A0D" w:rsidRPr="00FD3713">
              <w:rPr>
                <w:rFonts w:ascii="Calibri" w:hAnsi="Calibri"/>
                <w:szCs w:val="24"/>
                <w:lang w:val="es-ES_tradnl"/>
              </w:rPr>
              <w:t xml:space="preserve">-16 relacionados con el trabajo del </w:t>
            </w:r>
            <w:proofErr w:type="spellStart"/>
            <w:r w:rsidR="00F45A0D" w:rsidRPr="00FD3713">
              <w:rPr>
                <w:rFonts w:ascii="Calibri" w:hAnsi="Calibri"/>
                <w:szCs w:val="24"/>
                <w:lang w:val="es-ES_tradnl"/>
              </w:rPr>
              <w:t>UIT</w:t>
            </w:r>
            <w:proofErr w:type="spellEnd"/>
            <w:r w:rsidR="00F45A0D" w:rsidRPr="00FD3713">
              <w:rPr>
                <w:rFonts w:ascii="Calibri" w:hAnsi="Calibri"/>
                <w:szCs w:val="24"/>
                <w:lang w:val="es-ES_tradnl"/>
              </w:rPr>
              <w:t>-D;</w:t>
            </w:r>
            <w:bookmarkEnd w:id="28"/>
          </w:p>
          <w:p w:rsidR="00F45A0D" w:rsidRPr="00FD3713" w:rsidRDefault="00E65455" w:rsidP="00E65455">
            <w:pPr>
              <w:pStyle w:val="enumlev1"/>
              <w:rPr>
                <w:rFonts w:ascii="Calibri" w:hAnsi="Calibri"/>
                <w:szCs w:val="24"/>
                <w:highlight w:val="green"/>
                <w:lang w:val="es-ES_tradnl"/>
              </w:rPr>
            </w:pPr>
            <w:r w:rsidRPr="00FD3713">
              <w:rPr>
                <w:rFonts w:ascii="Calibri" w:hAnsi="Calibri"/>
                <w:szCs w:val="24"/>
                <w:lang w:val="es-ES_tradnl"/>
              </w:rPr>
              <w:t>–</w:t>
            </w:r>
            <w:r w:rsidRPr="00FD3713">
              <w:rPr>
                <w:rFonts w:ascii="Calibri" w:hAnsi="Calibri"/>
                <w:szCs w:val="24"/>
                <w:lang w:val="es-ES_tradnl"/>
              </w:rPr>
              <w:tab/>
            </w:r>
            <w:r w:rsidR="00F45A0D" w:rsidRPr="004400DE">
              <w:rPr>
                <w:rFonts w:ascii="Calibri" w:hAnsi="Calibri"/>
                <w:szCs w:val="24"/>
                <w:lang w:val="es-ES_tradnl"/>
              </w:rPr>
              <w:t>Ejecución del Plan Estratégico y el Plan Operacional del </w:t>
            </w:r>
            <w:proofErr w:type="spellStart"/>
            <w:r w:rsidR="00F45A0D" w:rsidRPr="004400DE">
              <w:rPr>
                <w:rFonts w:ascii="Calibri" w:hAnsi="Calibri"/>
                <w:szCs w:val="24"/>
                <w:lang w:val="es-ES_tradnl"/>
              </w:rPr>
              <w:t>UIT</w:t>
            </w:r>
            <w:proofErr w:type="spellEnd"/>
            <w:r w:rsidR="00F45A0D" w:rsidRPr="004400DE">
              <w:rPr>
                <w:rFonts w:ascii="Calibri" w:hAnsi="Calibri"/>
                <w:szCs w:val="24"/>
                <w:lang w:val="es-ES_tradnl"/>
              </w:rPr>
              <w:t>-D para 2016, incluidas las Iniciativas Regionales;</w:t>
            </w:r>
          </w:p>
          <w:p w:rsidR="00F45A0D" w:rsidRPr="00FD3713" w:rsidRDefault="00E65455" w:rsidP="00E65455">
            <w:pPr>
              <w:pStyle w:val="enumlev1"/>
              <w:rPr>
                <w:rFonts w:ascii="Calibri" w:hAnsi="Calibri"/>
                <w:szCs w:val="24"/>
                <w:lang w:val="es-ES_tradnl"/>
              </w:rPr>
            </w:pPr>
            <w:r w:rsidRPr="00FD3713">
              <w:rPr>
                <w:rFonts w:ascii="Calibri" w:hAnsi="Calibri"/>
                <w:szCs w:val="24"/>
                <w:lang w:val="es-ES_tradnl"/>
              </w:rPr>
              <w:t>–</w:t>
            </w:r>
            <w:r w:rsidRPr="00FD3713">
              <w:rPr>
                <w:rFonts w:ascii="Calibri" w:hAnsi="Calibri"/>
                <w:szCs w:val="24"/>
                <w:lang w:val="es-ES_tradnl"/>
              </w:rPr>
              <w:tab/>
            </w:r>
            <w:r w:rsidR="00F45A0D" w:rsidRPr="004400DE">
              <w:rPr>
                <w:rFonts w:ascii="Calibri" w:hAnsi="Calibri"/>
                <w:szCs w:val="24"/>
                <w:lang w:val="es-ES_tradnl"/>
              </w:rPr>
              <w:t xml:space="preserve">El Plan Operacional cuadrienal renovable del </w:t>
            </w:r>
            <w:proofErr w:type="spellStart"/>
            <w:r w:rsidR="00F45A0D" w:rsidRPr="004400DE">
              <w:rPr>
                <w:rFonts w:ascii="Calibri" w:hAnsi="Calibri"/>
                <w:szCs w:val="24"/>
                <w:lang w:val="es-ES_tradnl"/>
              </w:rPr>
              <w:t>UIT</w:t>
            </w:r>
            <w:proofErr w:type="spellEnd"/>
            <w:r w:rsidR="00F45A0D" w:rsidRPr="004400DE">
              <w:rPr>
                <w:rFonts w:ascii="Calibri" w:hAnsi="Calibri"/>
                <w:szCs w:val="24"/>
                <w:lang w:val="es-ES_tradnl"/>
              </w:rPr>
              <w:t xml:space="preserve">-D para 2018-2021, incluido un informe sobre los avances a cargo del Grupo por Correspondencia del </w:t>
            </w:r>
            <w:proofErr w:type="spellStart"/>
            <w:r w:rsidR="00F45A0D" w:rsidRPr="004400DE">
              <w:rPr>
                <w:rFonts w:ascii="Calibri" w:hAnsi="Calibri"/>
                <w:szCs w:val="24"/>
                <w:lang w:val="es-ES_tradnl"/>
              </w:rPr>
              <w:t>GADT</w:t>
            </w:r>
            <w:proofErr w:type="spellEnd"/>
            <w:r w:rsidR="00F45A0D" w:rsidRPr="004400DE">
              <w:rPr>
                <w:rFonts w:ascii="Calibri" w:hAnsi="Calibri"/>
                <w:szCs w:val="24"/>
                <w:lang w:val="es-ES_tradnl"/>
              </w:rPr>
              <w:t xml:space="preserve"> sobre el Plan Estratégico, el Plan Operacional y la Declaración (</w:t>
            </w:r>
            <w:proofErr w:type="spellStart"/>
            <w:r w:rsidR="00F45A0D" w:rsidRPr="004400DE">
              <w:rPr>
                <w:rFonts w:ascii="Calibri" w:hAnsi="Calibri"/>
                <w:szCs w:val="24"/>
                <w:lang w:val="es-ES_tradnl"/>
              </w:rPr>
              <w:t>GC</w:t>
            </w:r>
            <w:r w:rsidR="00F45A0D" w:rsidRPr="004400DE">
              <w:rPr>
                <w:rFonts w:ascii="Calibri" w:hAnsi="Calibri"/>
                <w:szCs w:val="24"/>
                <w:lang w:val="es-ES_tradnl"/>
              </w:rPr>
              <w:noBreakHyphen/>
              <w:t>PEPOD</w:t>
            </w:r>
            <w:proofErr w:type="spellEnd"/>
            <w:r w:rsidR="00F45A0D" w:rsidRPr="004400DE">
              <w:rPr>
                <w:rFonts w:ascii="Calibri" w:hAnsi="Calibri"/>
                <w:szCs w:val="24"/>
                <w:lang w:val="es-ES_tradnl"/>
              </w:rPr>
              <w:t>);</w:t>
            </w:r>
          </w:p>
          <w:p w:rsidR="00F45A0D" w:rsidRPr="004400DE" w:rsidRDefault="00E65455" w:rsidP="00E65455">
            <w:pPr>
              <w:pStyle w:val="enumlev1"/>
              <w:rPr>
                <w:lang w:val="es-ES_tradnl"/>
              </w:rPr>
            </w:pPr>
            <w:r w:rsidRPr="00FD3713">
              <w:rPr>
                <w:rFonts w:ascii="Calibri" w:hAnsi="Calibri"/>
                <w:szCs w:val="24"/>
                <w:lang w:val="es-ES_tradnl"/>
              </w:rPr>
              <w:t>–</w:t>
            </w:r>
            <w:r w:rsidRPr="00FD3713">
              <w:rPr>
                <w:rFonts w:ascii="Calibri" w:hAnsi="Calibri"/>
                <w:szCs w:val="24"/>
                <w:lang w:val="es-ES_tradnl"/>
              </w:rPr>
              <w:tab/>
            </w:r>
            <w:r w:rsidR="00F45A0D" w:rsidRPr="004400DE">
              <w:rPr>
                <w:rFonts w:ascii="Calibri" w:hAnsi="Calibri"/>
                <w:szCs w:val="24"/>
                <w:lang w:val="es-ES_tradnl"/>
              </w:rPr>
              <w:t xml:space="preserve">Contribución del </w:t>
            </w:r>
            <w:proofErr w:type="spellStart"/>
            <w:r w:rsidR="00F45A0D" w:rsidRPr="004400DE">
              <w:rPr>
                <w:rFonts w:ascii="Calibri" w:hAnsi="Calibri"/>
                <w:szCs w:val="24"/>
                <w:lang w:val="es-ES_tradnl"/>
              </w:rPr>
              <w:t>UIT</w:t>
            </w:r>
            <w:proofErr w:type="spellEnd"/>
            <w:r w:rsidR="00F45A0D" w:rsidRPr="004400DE">
              <w:rPr>
                <w:rFonts w:ascii="Calibri" w:hAnsi="Calibri"/>
                <w:szCs w:val="24"/>
                <w:lang w:val="es-ES_tradnl"/>
              </w:rPr>
              <w:t xml:space="preserve">-D a la ejecución del Plan de Acción de la </w:t>
            </w:r>
            <w:proofErr w:type="spellStart"/>
            <w:r w:rsidR="00F45A0D" w:rsidRPr="004400DE">
              <w:rPr>
                <w:rFonts w:ascii="Calibri" w:hAnsi="Calibri"/>
                <w:szCs w:val="24"/>
                <w:lang w:val="es-ES_tradnl"/>
              </w:rPr>
              <w:t>CMSI</w:t>
            </w:r>
            <w:proofErr w:type="spellEnd"/>
            <w:r w:rsidR="00F45A0D" w:rsidRPr="004400DE">
              <w:rPr>
                <w:rFonts w:ascii="Calibri" w:hAnsi="Calibri"/>
                <w:szCs w:val="24"/>
                <w:lang w:val="es-ES_tradnl"/>
              </w:rPr>
              <w:t>, incluidos el Examen General de la Asamblea General de las Naciones Unidas y los Objetivos de Desarrollo Sostenible</w:t>
            </w:r>
            <w:r w:rsidR="00F45A0D" w:rsidRPr="004400DE">
              <w:rPr>
                <w:lang w:val="es-ES_tradnl"/>
              </w:rPr>
              <w:t>;</w:t>
            </w:r>
          </w:p>
          <w:p w:rsidR="00F45A0D" w:rsidRPr="004400DE" w:rsidRDefault="00E65455" w:rsidP="004400DE">
            <w:pPr>
              <w:pStyle w:val="enumlev1"/>
              <w:rPr>
                <w:lang w:val="es-ES_tradnl"/>
              </w:rPr>
            </w:pPr>
            <w:r w:rsidRPr="00FD3713">
              <w:rPr>
                <w:rFonts w:ascii="Calibri" w:hAnsi="Calibri"/>
                <w:bCs/>
                <w:color w:val="800000"/>
                <w:szCs w:val="24"/>
                <w:lang w:val="es-ES_tradnl"/>
              </w:rPr>
              <w:t>–</w:t>
            </w:r>
            <w:r w:rsidRPr="00FD3713">
              <w:rPr>
                <w:rFonts w:ascii="Calibri" w:hAnsi="Calibri"/>
                <w:bCs/>
                <w:color w:val="800000"/>
                <w:szCs w:val="24"/>
                <w:lang w:val="es-ES_tradnl"/>
              </w:rPr>
              <w:tab/>
            </w:r>
            <w:bookmarkStart w:id="29" w:name="lt_pId106"/>
            <w:r w:rsidR="00F45A0D" w:rsidRPr="004400DE">
              <w:rPr>
                <w:rFonts w:ascii="Calibri" w:hAnsi="Calibri"/>
                <w:szCs w:val="24"/>
                <w:lang w:val="es-ES_tradnl"/>
              </w:rPr>
              <w:t xml:space="preserve">Métodos de trabajo y Reglamento Interno del </w:t>
            </w:r>
            <w:proofErr w:type="spellStart"/>
            <w:r w:rsidR="00F45A0D" w:rsidRPr="004400DE">
              <w:rPr>
                <w:rFonts w:ascii="Calibri" w:hAnsi="Calibri"/>
                <w:szCs w:val="24"/>
                <w:lang w:val="es-ES_tradnl"/>
              </w:rPr>
              <w:t>UIT</w:t>
            </w:r>
            <w:proofErr w:type="spellEnd"/>
            <w:r w:rsidR="00F45A0D" w:rsidRPr="004400DE">
              <w:rPr>
                <w:rFonts w:ascii="Calibri" w:hAnsi="Calibri"/>
                <w:szCs w:val="24"/>
                <w:lang w:val="es-ES_tradnl"/>
              </w:rPr>
              <w:t xml:space="preserve">-D (Resolución 1 de la </w:t>
            </w:r>
            <w:proofErr w:type="spellStart"/>
            <w:r w:rsidR="00F45A0D" w:rsidRPr="004400DE">
              <w:rPr>
                <w:rFonts w:ascii="Calibri" w:hAnsi="Calibri"/>
                <w:szCs w:val="24"/>
                <w:lang w:val="es-ES_tradnl"/>
              </w:rPr>
              <w:t>CMDT</w:t>
            </w:r>
            <w:proofErr w:type="spellEnd"/>
            <w:r w:rsidR="00F45A0D" w:rsidRPr="004400DE">
              <w:rPr>
                <w:rFonts w:ascii="Calibri" w:hAnsi="Calibri"/>
                <w:szCs w:val="24"/>
                <w:lang w:val="es-ES_tradnl"/>
              </w:rPr>
              <w:t xml:space="preserve">), incluido un informe del Grupo por Correspondencia del </w:t>
            </w:r>
            <w:proofErr w:type="spellStart"/>
            <w:r w:rsidR="00F45A0D" w:rsidRPr="004400DE">
              <w:rPr>
                <w:rFonts w:ascii="Calibri" w:hAnsi="Calibri"/>
                <w:szCs w:val="24"/>
                <w:lang w:val="es-ES_tradnl"/>
              </w:rPr>
              <w:t>GADT</w:t>
            </w:r>
            <w:proofErr w:type="spellEnd"/>
            <w:r w:rsidR="00F45A0D" w:rsidRPr="004400DE">
              <w:rPr>
                <w:rFonts w:ascii="Calibri" w:hAnsi="Calibri"/>
                <w:szCs w:val="24"/>
                <w:lang w:val="es-ES_tradnl"/>
              </w:rPr>
              <w:t xml:space="preserve"> sobre el Reglamento Interno del</w:t>
            </w:r>
            <w:r w:rsidR="004400DE">
              <w:rPr>
                <w:rFonts w:ascii="Calibri" w:hAnsi="Calibri"/>
                <w:szCs w:val="24"/>
                <w:lang w:val="es-ES_tradnl"/>
              </w:rPr>
              <w:t> </w:t>
            </w:r>
            <w:proofErr w:type="spellStart"/>
            <w:r w:rsidR="00F45A0D" w:rsidRPr="004400DE">
              <w:rPr>
                <w:rFonts w:ascii="Calibri" w:hAnsi="Calibri"/>
                <w:szCs w:val="24"/>
                <w:lang w:val="es-ES_tradnl"/>
              </w:rPr>
              <w:t>UIT</w:t>
            </w:r>
            <w:proofErr w:type="spellEnd"/>
            <w:r w:rsidR="00F45A0D" w:rsidRPr="004400DE">
              <w:rPr>
                <w:rFonts w:ascii="Calibri" w:hAnsi="Calibri"/>
                <w:szCs w:val="24"/>
                <w:lang w:val="es-ES_tradnl"/>
              </w:rPr>
              <w:t>-D (</w:t>
            </w:r>
            <w:proofErr w:type="spellStart"/>
            <w:r w:rsidR="00F45A0D" w:rsidRPr="004400DE">
              <w:rPr>
                <w:rFonts w:ascii="Calibri" w:hAnsi="Calibri"/>
                <w:szCs w:val="24"/>
                <w:lang w:val="es-ES_tradnl"/>
              </w:rPr>
              <w:t>GC-Res1</w:t>
            </w:r>
            <w:proofErr w:type="spellEnd"/>
            <w:r w:rsidR="00F45A0D" w:rsidRPr="004400DE">
              <w:rPr>
                <w:rFonts w:ascii="Calibri" w:hAnsi="Calibri"/>
                <w:szCs w:val="24"/>
                <w:lang w:val="es-ES_tradnl"/>
              </w:rPr>
              <w:t>);</w:t>
            </w:r>
            <w:bookmarkEnd w:id="29"/>
          </w:p>
          <w:p w:rsidR="00F45A0D" w:rsidRPr="008D434B" w:rsidRDefault="00E65455" w:rsidP="00E65455">
            <w:pPr>
              <w:pStyle w:val="enumlev1"/>
            </w:pPr>
            <w:r w:rsidRPr="00FD3713">
              <w:rPr>
                <w:rFonts w:ascii="Calibri" w:hAnsi="Calibri"/>
                <w:bCs/>
                <w:color w:val="800000"/>
                <w:szCs w:val="24"/>
                <w:lang w:val="es-ES_tradnl"/>
              </w:rPr>
              <w:t>–</w:t>
            </w:r>
            <w:r w:rsidRPr="00FD3713">
              <w:rPr>
                <w:rFonts w:ascii="Calibri" w:hAnsi="Calibri"/>
                <w:bCs/>
                <w:color w:val="800000"/>
                <w:szCs w:val="24"/>
                <w:lang w:val="es-ES_tradnl"/>
              </w:rPr>
              <w:tab/>
            </w:r>
            <w:bookmarkStart w:id="30" w:name="lt_pId107"/>
            <w:r w:rsidR="00F45A0D" w:rsidRPr="004400DE">
              <w:rPr>
                <w:rFonts w:ascii="Calibri" w:hAnsi="Calibri"/>
                <w:szCs w:val="24"/>
                <w:lang w:val="es-ES_tradnl"/>
              </w:rPr>
              <w:t xml:space="preserve">Racionalización de las Resoluciones de la </w:t>
            </w:r>
            <w:proofErr w:type="spellStart"/>
            <w:r w:rsidR="00F45A0D" w:rsidRPr="004400DE">
              <w:rPr>
                <w:rFonts w:ascii="Calibri" w:hAnsi="Calibri"/>
                <w:szCs w:val="24"/>
                <w:lang w:val="es-ES_tradnl"/>
              </w:rPr>
              <w:t>CMDT</w:t>
            </w:r>
            <w:proofErr w:type="spellEnd"/>
            <w:r w:rsidR="00F45A0D" w:rsidRPr="004400DE">
              <w:rPr>
                <w:rFonts w:ascii="Calibri" w:hAnsi="Calibri"/>
                <w:szCs w:val="24"/>
                <w:lang w:val="es-ES_tradnl"/>
              </w:rPr>
              <w:t>;</w:t>
            </w:r>
            <w:bookmarkEnd w:id="30"/>
          </w:p>
          <w:p w:rsidR="00F45A0D" w:rsidRPr="00FD3713" w:rsidRDefault="00E65455" w:rsidP="00E65455">
            <w:pPr>
              <w:pStyle w:val="enumlev1"/>
              <w:rPr>
                <w:rFonts w:ascii="Calibri" w:hAnsi="Calibri"/>
                <w:szCs w:val="24"/>
                <w:lang w:val="es-ES_tradnl"/>
              </w:rPr>
            </w:pPr>
            <w:r w:rsidRPr="00FD3713">
              <w:rPr>
                <w:rFonts w:ascii="Calibri" w:hAnsi="Calibri"/>
                <w:bCs/>
                <w:color w:val="800000"/>
                <w:szCs w:val="24"/>
                <w:lang w:val="es-ES_tradnl"/>
              </w:rPr>
              <w:t>–</w:t>
            </w:r>
            <w:r w:rsidRPr="00FD3713">
              <w:rPr>
                <w:rFonts w:ascii="Calibri" w:hAnsi="Calibri"/>
                <w:bCs/>
                <w:color w:val="800000"/>
                <w:szCs w:val="24"/>
                <w:lang w:val="es-ES_tradnl"/>
              </w:rPr>
              <w:tab/>
            </w:r>
            <w:bookmarkStart w:id="31" w:name="lt_pId108"/>
            <w:r w:rsidR="00F45A0D" w:rsidRPr="00FD3713">
              <w:rPr>
                <w:rFonts w:ascii="Calibri" w:hAnsi="Calibri"/>
                <w:szCs w:val="24"/>
                <w:lang w:val="es-ES_tradnl"/>
              </w:rPr>
              <w:t xml:space="preserve">Celebración de 25º aniversario del </w:t>
            </w:r>
            <w:proofErr w:type="spellStart"/>
            <w:r w:rsidR="00F45A0D" w:rsidRPr="00FD3713">
              <w:rPr>
                <w:rFonts w:ascii="Calibri" w:hAnsi="Calibri"/>
                <w:szCs w:val="24"/>
                <w:lang w:val="es-ES_tradnl"/>
              </w:rPr>
              <w:t>UIT</w:t>
            </w:r>
            <w:proofErr w:type="spellEnd"/>
            <w:r w:rsidR="00F45A0D" w:rsidRPr="00FD3713">
              <w:rPr>
                <w:rFonts w:ascii="Calibri" w:hAnsi="Calibri"/>
                <w:szCs w:val="24"/>
                <w:lang w:val="es-ES_tradnl"/>
              </w:rPr>
              <w:t>-D;</w:t>
            </w:r>
            <w:bookmarkEnd w:id="31"/>
          </w:p>
          <w:p w:rsidR="00F45A0D" w:rsidRPr="00FD3713" w:rsidRDefault="00E65455" w:rsidP="00E65455">
            <w:pPr>
              <w:pStyle w:val="enumlev1"/>
              <w:rPr>
                <w:rFonts w:ascii="Calibri" w:hAnsi="Calibri"/>
                <w:szCs w:val="24"/>
                <w:lang w:val="es-ES_tradnl"/>
              </w:rPr>
            </w:pPr>
            <w:r w:rsidRPr="00FD3713">
              <w:rPr>
                <w:rFonts w:ascii="Calibri" w:hAnsi="Calibri"/>
                <w:szCs w:val="24"/>
                <w:lang w:val="es-ES_tradnl"/>
              </w:rPr>
              <w:t>–</w:t>
            </w:r>
            <w:r w:rsidRPr="00FD3713">
              <w:rPr>
                <w:rFonts w:ascii="Calibri" w:hAnsi="Calibri"/>
                <w:szCs w:val="24"/>
                <w:lang w:val="es-ES_tradnl"/>
              </w:rPr>
              <w:tab/>
            </w:r>
            <w:bookmarkStart w:id="32" w:name="lt_pId109"/>
            <w:r w:rsidR="00F45A0D" w:rsidRPr="004400DE">
              <w:rPr>
                <w:rFonts w:ascii="Calibri" w:hAnsi="Calibri"/>
                <w:szCs w:val="24"/>
                <w:lang w:val="es-ES_tradnl"/>
              </w:rPr>
              <w:t>Colaboración con los otros Sectores, en particular el informe de situación del Equipo de Coordinación Intersectorial sobre temas de interés común;</w:t>
            </w:r>
            <w:bookmarkEnd w:id="32"/>
          </w:p>
          <w:p w:rsidR="00F45A0D" w:rsidRPr="002B3BF3" w:rsidRDefault="00E65455" w:rsidP="00E65455">
            <w:pPr>
              <w:pStyle w:val="enumlev1"/>
              <w:rPr>
                <w:lang w:val="es-ES_tradnl"/>
              </w:rPr>
            </w:pPr>
            <w:r w:rsidRPr="00FD3713">
              <w:rPr>
                <w:rFonts w:ascii="Calibri" w:hAnsi="Calibri"/>
                <w:szCs w:val="24"/>
                <w:lang w:val="es-ES_tradnl"/>
              </w:rPr>
              <w:t>–</w:t>
            </w:r>
            <w:r w:rsidRPr="00FD3713">
              <w:rPr>
                <w:rFonts w:ascii="Calibri" w:hAnsi="Calibri"/>
                <w:szCs w:val="24"/>
                <w:lang w:val="es-ES_tradnl"/>
              </w:rPr>
              <w:tab/>
            </w:r>
            <w:bookmarkStart w:id="33" w:name="lt_pId110"/>
            <w:r w:rsidR="002B3BF3" w:rsidRPr="002B3BF3">
              <w:rPr>
                <w:rFonts w:ascii="Calibri" w:hAnsi="Calibri"/>
                <w:szCs w:val="24"/>
                <w:lang w:val="es-ES_tradnl"/>
              </w:rPr>
              <w:t>A</w:t>
            </w:r>
            <w:r w:rsidR="00F45A0D" w:rsidRPr="002B3BF3">
              <w:rPr>
                <w:rFonts w:ascii="Calibri" w:hAnsi="Calibri"/>
                <w:szCs w:val="24"/>
                <w:lang w:val="es-ES_tradnl"/>
              </w:rPr>
              <w:t xml:space="preserve">suntos relacionados con las Comisiones de Estudio del </w:t>
            </w:r>
            <w:proofErr w:type="spellStart"/>
            <w:r w:rsidR="00F45A0D" w:rsidRPr="002B3BF3">
              <w:rPr>
                <w:rFonts w:ascii="Calibri" w:hAnsi="Calibri"/>
                <w:szCs w:val="24"/>
                <w:lang w:val="es-ES_tradnl"/>
              </w:rPr>
              <w:t>UIT</w:t>
            </w:r>
            <w:proofErr w:type="spellEnd"/>
            <w:r w:rsidR="00F45A0D" w:rsidRPr="002B3BF3">
              <w:rPr>
                <w:rFonts w:ascii="Calibri" w:hAnsi="Calibri"/>
                <w:szCs w:val="24"/>
                <w:lang w:val="es-ES_tradnl"/>
              </w:rPr>
              <w:t>-D</w:t>
            </w:r>
            <w:r w:rsidR="00F45A0D" w:rsidRPr="002B3BF3">
              <w:rPr>
                <w:lang w:val="es-ES_tradnl"/>
              </w:rPr>
              <w:t>;</w:t>
            </w:r>
            <w:bookmarkEnd w:id="33"/>
          </w:p>
          <w:p w:rsidR="00F45A0D" w:rsidRPr="00FD3713" w:rsidRDefault="00E65455" w:rsidP="00E65455">
            <w:pPr>
              <w:pStyle w:val="enumlev1"/>
              <w:rPr>
                <w:rFonts w:ascii="Calibri" w:hAnsi="Calibri"/>
                <w:szCs w:val="24"/>
                <w:lang w:val="es-ES_tradnl"/>
              </w:rPr>
            </w:pPr>
            <w:r w:rsidRPr="002B3BF3">
              <w:rPr>
                <w:rFonts w:ascii="Calibri" w:hAnsi="Calibri"/>
                <w:bCs/>
                <w:color w:val="800000"/>
                <w:szCs w:val="24"/>
                <w:lang w:val="es-ES_tradnl"/>
              </w:rPr>
              <w:t>–</w:t>
            </w:r>
            <w:r w:rsidRPr="002B3BF3">
              <w:rPr>
                <w:rFonts w:ascii="Calibri" w:hAnsi="Calibri"/>
                <w:bCs/>
                <w:color w:val="800000"/>
                <w:szCs w:val="24"/>
                <w:lang w:val="es-ES_tradnl"/>
              </w:rPr>
              <w:tab/>
            </w:r>
            <w:bookmarkStart w:id="34" w:name="lt_pId111"/>
            <w:r w:rsidR="00F45A0D" w:rsidRPr="002B3BF3">
              <w:rPr>
                <w:rFonts w:ascii="Calibri" w:hAnsi="Calibri"/>
                <w:szCs w:val="24"/>
                <w:lang w:val="es-ES_tradnl"/>
              </w:rPr>
              <w:t>Asuntos relacionados con los miembros, las asociaciones y la innovación.</w:t>
            </w:r>
            <w:bookmarkEnd w:id="34"/>
          </w:p>
          <w:p w:rsidR="00F45A0D" w:rsidRPr="00FD3713" w:rsidRDefault="00F45A0D" w:rsidP="00E65455">
            <w:pPr>
              <w:rPr>
                <w:rFonts w:ascii="Calibri" w:hAnsi="Calibri"/>
                <w:szCs w:val="24"/>
                <w:lang w:val="es-ES_tradnl"/>
              </w:rPr>
            </w:pPr>
            <w:bookmarkStart w:id="35" w:name="lt_pId112"/>
            <w:r w:rsidRPr="00FD3713">
              <w:rPr>
                <w:rFonts w:ascii="Calibri" w:hAnsi="Calibri"/>
                <w:szCs w:val="24"/>
                <w:lang w:val="es-ES_tradnl"/>
              </w:rPr>
              <w:t xml:space="preserve">Durante la semana del </w:t>
            </w:r>
            <w:proofErr w:type="spellStart"/>
            <w:r w:rsidRPr="00FD3713">
              <w:rPr>
                <w:rFonts w:ascii="Calibri" w:hAnsi="Calibri"/>
                <w:szCs w:val="24"/>
                <w:lang w:val="es-ES_tradnl"/>
              </w:rPr>
              <w:t>GADT</w:t>
            </w:r>
            <w:proofErr w:type="spellEnd"/>
            <w:r w:rsidRPr="00FD3713">
              <w:rPr>
                <w:rFonts w:ascii="Calibri" w:hAnsi="Calibri"/>
                <w:szCs w:val="24"/>
                <w:lang w:val="es-ES_tradnl"/>
              </w:rPr>
              <w:t xml:space="preserve"> se celebraron, además, las reuniones de los siguientes grupos:</w:t>
            </w:r>
            <w:bookmarkEnd w:id="35"/>
          </w:p>
          <w:p w:rsidR="00F45A0D" w:rsidRPr="002B3BF3" w:rsidRDefault="00E65455" w:rsidP="002B3BF3">
            <w:pPr>
              <w:pStyle w:val="enumlev1"/>
              <w:rPr>
                <w:lang w:val="es-ES_tradnl"/>
              </w:rPr>
            </w:pPr>
            <w:r w:rsidRPr="00FD3713">
              <w:rPr>
                <w:lang w:val="es-ES_tradnl"/>
              </w:rPr>
              <w:t>–</w:t>
            </w:r>
            <w:r w:rsidRPr="00FD3713">
              <w:rPr>
                <w:lang w:val="es-ES_tradnl"/>
              </w:rPr>
              <w:tab/>
            </w:r>
            <w:bookmarkStart w:id="36" w:name="lt_pId113"/>
            <w:r w:rsidR="00F45A0D" w:rsidRPr="002B3BF3">
              <w:rPr>
                <w:rFonts w:ascii="Calibri" w:hAnsi="Calibri"/>
                <w:szCs w:val="24"/>
                <w:lang w:val="es-ES_tradnl"/>
              </w:rPr>
              <w:t xml:space="preserve">Grupo por Correspondencia sobre el Reglamento Interno del Sector de Desarrollo de las Telecomunicaciones de la </w:t>
            </w:r>
            <w:proofErr w:type="spellStart"/>
            <w:r w:rsidR="00F45A0D" w:rsidRPr="002B3BF3">
              <w:rPr>
                <w:rFonts w:ascii="Calibri" w:hAnsi="Calibri"/>
                <w:szCs w:val="24"/>
                <w:lang w:val="es-ES_tradnl"/>
              </w:rPr>
              <w:t>UIT</w:t>
            </w:r>
            <w:proofErr w:type="spellEnd"/>
            <w:r w:rsidR="00F45A0D" w:rsidRPr="002B3BF3">
              <w:rPr>
                <w:rFonts w:ascii="Calibri" w:hAnsi="Calibri"/>
                <w:szCs w:val="24"/>
                <w:lang w:val="es-ES_tradnl"/>
              </w:rPr>
              <w:t xml:space="preserve"> (Resolución 1 de la </w:t>
            </w:r>
            <w:proofErr w:type="spellStart"/>
            <w:r w:rsidR="00F45A0D" w:rsidRPr="002B3BF3">
              <w:rPr>
                <w:rFonts w:ascii="Calibri" w:hAnsi="Calibri"/>
                <w:szCs w:val="24"/>
                <w:lang w:val="es-ES_tradnl"/>
              </w:rPr>
              <w:t>CMDT</w:t>
            </w:r>
            <w:proofErr w:type="spellEnd"/>
            <w:r w:rsidR="00F45A0D" w:rsidRPr="002B3BF3">
              <w:rPr>
                <w:rFonts w:ascii="Calibri" w:hAnsi="Calibri"/>
                <w:szCs w:val="24"/>
                <w:lang w:val="es-ES_tradnl"/>
              </w:rPr>
              <w:t>) (</w:t>
            </w:r>
            <w:proofErr w:type="spellStart"/>
            <w:r w:rsidR="00F45A0D" w:rsidRPr="002B3BF3">
              <w:rPr>
                <w:rFonts w:ascii="Calibri" w:hAnsi="Calibri"/>
                <w:szCs w:val="24"/>
                <w:lang w:val="es-ES_tradnl"/>
              </w:rPr>
              <w:t>GC-Res1</w:t>
            </w:r>
            <w:proofErr w:type="spellEnd"/>
            <w:r w:rsidR="00F45A0D" w:rsidRPr="002B3BF3">
              <w:rPr>
                <w:lang w:val="es-ES_tradnl"/>
              </w:rPr>
              <w:t>);</w:t>
            </w:r>
            <w:bookmarkEnd w:id="36"/>
          </w:p>
          <w:p w:rsidR="00F45A0D" w:rsidRPr="002B3BF3" w:rsidRDefault="00E65455" w:rsidP="002B3BF3">
            <w:pPr>
              <w:pStyle w:val="enumlev1"/>
              <w:rPr>
                <w:lang w:val="es-ES_tradnl"/>
              </w:rPr>
            </w:pPr>
            <w:r w:rsidRPr="00FD3713">
              <w:rPr>
                <w:rFonts w:ascii="Calibri" w:hAnsi="Calibri"/>
                <w:bCs/>
                <w:color w:val="800000"/>
                <w:szCs w:val="24"/>
                <w:lang w:val="es-ES_tradnl"/>
              </w:rPr>
              <w:t>–</w:t>
            </w:r>
            <w:r w:rsidRPr="00FD3713">
              <w:rPr>
                <w:rFonts w:ascii="Calibri" w:hAnsi="Calibri"/>
                <w:bCs/>
                <w:color w:val="800000"/>
                <w:szCs w:val="24"/>
                <w:lang w:val="es-ES_tradnl"/>
              </w:rPr>
              <w:tab/>
            </w:r>
            <w:bookmarkStart w:id="37" w:name="lt_pId114"/>
            <w:r w:rsidR="00F45A0D" w:rsidRPr="002B3BF3">
              <w:rPr>
                <w:rFonts w:ascii="Calibri" w:hAnsi="Calibri"/>
                <w:szCs w:val="24"/>
                <w:lang w:val="es-ES_tradnl"/>
              </w:rPr>
              <w:t>Grupo por Correspondencia sobre el Plan Estratégico, el Plan Operacional y la Declaración. (</w:t>
            </w:r>
            <w:proofErr w:type="spellStart"/>
            <w:r w:rsidR="00F45A0D" w:rsidRPr="002B3BF3">
              <w:rPr>
                <w:rFonts w:ascii="Calibri" w:hAnsi="Calibri"/>
                <w:szCs w:val="24"/>
                <w:lang w:val="es-ES_tradnl"/>
              </w:rPr>
              <w:t>GC</w:t>
            </w:r>
            <w:r w:rsidR="00F45A0D" w:rsidRPr="002B3BF3">
              <w:rPr>
                <w:rFonts w:ascii="Calibri" w:hAnsi="Calibri"/>
                <w:szCs w:val="24"/>
                <w:lang w:val="es-ES_tradnl"/>
              </w:rPr>
              <w:noBreakHyphen/>
              <w:t>PEPOD</w:t>
            </w:r>
            <w:proofErr w:type="spellEnd"/>
            <w:r w:rsidR="00F45A0D" w:rsidRPr="002B3BF3">
              <w:rPr>
                <w:rFonts w:ascii="Calibri" w:hAnsi="Calibri"/>
                <w:szCs w:val="24"/>
                <w:lang w:val="es-ES_tradnl"/>
              </w:rPr>
              <w:t>);</w:t>
            </w:r>
            <w:bookmarkEnd w:id="37"/>
          </w:p>
          <w:p w:rsidR="00F45A0D" w:rsidRPr="002B3BF3" w:rsidRDefault="00E65455" w:rsidP="00E65455">
            <w:pPr>
              <w:pStyle w:val="enumlev1"/>
              <w:rPr>
                <w:rFonts w:ascii="Calibri" w:hAnsi="Calibri"/>
                <w:lang w:val="es-ES_tradnl"/>
              </w:rPr>
            </w:pPr>
            <w:r w:rsidRPr="002B3BF3">
              <w:rPr>
                <w:rFonts w:ascii="Calibri" w:hAnsi="Calibri"/>
                <w:bCs/>
                <w:color w:val="800000"/>
                <w:szCs w:val="24"/>
                <w:lang w:val="es-ES_tradnl"/>
              </w:rPr>
              <w:lastRenderedPageBreak/>
              <w:t>–</w:t>
            </w:r>
            <w:r w:rsidRPr="002B3BF3">
              <w:rPr>
                <w:rFonts w:ascii="Calibri" w:hAnsi="Calibri"/>
                <w:bCs/>
                <w:color w:val="800000"/>
                <w:szCs w:val="24"/>
                <w:lang w:val="es-ES_tradnl"/>
              </w:rPr>
              <w:tab/>
            </w:r>
            <w:bookmarkStart w:id="38" w:name="lt_pId115"/>
            <w:r w:rsidR="00F45A0D" w:rsidRPr="002B3BF3">
              <w:rPr>
                <w:rFonts w:ascii="Calibri" w:hAnsi="Calibri"/>
                <w:szCs w:val="24"/>
                <w:lang w:val="es-ES_tradnl"/>
              </w:rPr>
              <w:t>El Grupo por Correspondencia sobre racionalización</w:t>
            </w:r>
            <w:r w:rsidR="002B3BF3">
              <w:rPr>
                <w:rFonts w:ascii="Calibri" w:hAnsi="Calibri"/>
                <w:szCs w:val="24"/>
                <w:lang w:val="es-ES_tradnl"/>
              </w:rPr>
              <w:t xml:space="preserve"> de las Resoluciones de la </w:t>
            </w:r>
            <w:proofErr w:type="spellStart"/>
            <w:r w:rsidR="002B3BF3">
              <w:rPr>
                <w:rFonts w:ascii="Calibri" w:hAnsi="Calibri"/>
                <w:szCs w:val="24"/>
                <w:lang w:val="es-ES_tradnl"/>
              </w:rPr>
              <w:t>CMDT</w:t>
            </w:r>
            <w:proofErr w:type="spellEnd"/>
            <w:r w:rsidR="002B3BF3">
              <w:rPr>
                <w:rFonts w:ascii="Calibri" w:hAnsi="Calibri"/>
                <w:szCs w:val="24"/>
                <w:lang w:val="es-ES_tradnl"/>
              </w:rPr>
              <w:t> </w:t>
            </w:r>
            <w:r w:rsidR="00F45A0D" w:rsidRPr="002B3BF3">
              <w:rPr>
                <w:rFonts w:ascii="Calibri" w:hAnsi="Calibri"/>
                <w:szCs w:val="24"/>
                <w:lang w:val="es-ES_tradnl"/>
              </w:rPr>
              <w:t>(</w:t>
            </w:r>
            <w:proofErr w:type="spellStart"/>
            <w:r w:rsidR="00F45A0D" w:rsidRPr="002B3BF3">
              <w:rPr>
                <w:rFonts w:ascii="Calibri" w:hAnsi="Calibri"/>
                <w:szCs w:val="24"/>
                <w:lang w:val="es-ES_tradnl"/>
              </w:rPr>
              <w:t>GC</w:t>
            </w:r>
            <w:proofErr w:type="spellEnd"/>
            <w:r w:rsidR="00F45A0D" w:rsidRPr="002B3BF3">
              <w:rPr>
                <w:rFonts w:ascii="Calibri" w:hAnsi="Calibri"/>
                <w:szCs w:val="24"/>
                <w:lang w:val="es-ES_tradnl"/>
              </w:rPr>
              <w:noBreakHyphen/>
              <w:t>SR);</w:t>
            </w:r>
            <w:bookmarkEnd w:id="38"/>
          </w:p>
          <w:p w:rsidR="00F45A0D" w:rsidRPr="00FD3713" w:rsidRDefault="00E65455" w:rsidP="00E65455">
            <w:pPr>
              <w:pStyle w:val="enumlev1"/>
              <w:rPr>
                <w:rFonts w:ascii="Calibri" w:hAnsi="Calibri"/>
                <w:szCs w:val="24"/>
                <w:highlight w:val="yellow"/>
                <w:lang w:val="es-ES_tradnl"/>
              </w:rPr>
            </w:pPr>
            <w:r w:rsidRPr="002B3BF3">
              <w:rPr>
                <w:rFonts w:ascii="Calibri" w:hAnsi="Calibri"/>
                <w:lang w:val="es-ES_tradnl"/>
              </w:rPr>
              <w:t>–</w:t>
            </w:r>
            <w:r w:rsidRPr="002B3BF3">
              <w:rPr>
                <w:rFonts w:ascii="Calibri" w:hAnsi="Calibri"/>
                <w:lang w:val="es-ES_tradnl"/>
              </w:rPr>
              <w:tab/>
            </w:r>
            <w:bookmarkStart w:id="39" w:name="lt_pId116"/>
            <w:r w:rsidR="00F45A0D" w:rsidRPr="002B3BF3">
              <w:rPr>
                <w:rFonts w:ascii="Calibri" w:hAnsi="Calibri"/>
                <w:szCs w:val="24"/>
                <w:lang w:val="es-ES_tradnl"/>
              </w:rPr>
              <w:t>Equipo de Coordinación Intersectorial sobre temas de interés común.</w:t>
            </w:r>
            <w:bookmarkEnd w:id="39"/>
          </w:p>
          <w:p w:rsidR="00F45A0D" w:rsidRPr="00FD3713" w:rsidRDefault="00F45A0D" w:rsidP="002B3BF3">
            <w:pPr>
              <w:keepNext/>
              <w:rPr>
                <w:rFonts w:ascii="Calibri" w:hAnsi="Calibri"/>
                <w:szCs w:val="24"/>
                <w:lang w:val="es-ES_tradnl"/>
              </w:rPr>
            </w:pPr>
            <w:bookmarkStart w:id="40" w:name="lt_pId117"/>
            <w:r w:rsidRPr="00FD3713">
              <w:rPr>
                <w:rFonts w:ascii="Calibri" w:hAnsi="Calibri"/>
                <w:szCs w:val="24"/>
                <w:lang w:val="es-ES_tradnl"/>
              </w:rPr>
              <w:t xml:space="preserve">Entre los principales resultados del </w:t>
            </w:r>
            <w:proofErr w:type="spellStart"/>
            <w:r w:rsidRPr="00FD3713">
              <w:rPr>
                <w:rFonts w:ascii="Calibri" w:hAnsi="Calibri"/>
                <w:szCs w:val="24"/>
                <w:lang w:val="es-ES_tradnl"/>
              </w:rPr>
              <w:t>GADT</w:t>
            </w:r>
            <w:proofErr w:type="spellEnd"/>
            <w:r w:rsidRPr="00FD3713">
              <w:rPr>
                <w:rFonts w:ascii="Calibri" w:hAnsi="Calibri"/>
                <w:szCs w:val="24"/>
                <w:lang w:val="es-ES_tradnl"/>
              </w:rPr>
              <w:t xml:space="preserve"> pueden citarse los siguientes:</w:t>
            </w:r>
            <w:bookmarkEnd w:id="40"/>
          </w:p>
          <w:p w:rsidR="00F45A0D" w:rsidRPr="00FD3713" w:rsidRDefault="00E65455" w:rsidP="00E65455">
            <w:pPr>
              <w:pStyle w:val="enumlev1"/>
              <w:rPr>
                <w:rFonts w:ascii="Calibri" w:hAnsi="Calibri"/>
                <w:szCs w:val="24"/>
                <w:lang w:val="es-ES_tradnl"/>
              </w:rPr>
            </w:pPr>
            <w:r w:rsidRPr="00FD3713">
              <w:rPr>
                <w:lang w:val="es-ES_tradnl"/>
              </w:rPr>
              <w:t>–</w:t>
            </w:r>
            <w:r w:rsidRPr="00FD3713">
              <w:rPr>
                <w:lang w:val="es-ES_tradnl"/>
              </w:rPr>
              <w:tab/>
            </w:r>
            <w:bookmarkStart w:id="41" w:name="lt_pId118"/>
            <w:r w:rsidR="00F45A0D" w:rsidRPr="00FD3713">
              <w:rPr>
                <w:rFonts w:ascii="Calibri" w:hAnsi="Calibri"/>
                <w:szCs w:val="24"/>
                <w:lang w:val="es-ES_tradnl"/>
              </w:rPr>
              <w:t xml:space="preserve">En relación con la contribución del </w:t>
            </w:r>
            <w:proofErr w:type="spellStart"/>
            <w:r w:rsidR="00F45A0D" w:rsidRPr="00FD3713">
              <w:rPr>
                <w:rFonts w:ascii="Calibri" w:hAnsi="Calibri"/>
                <w:szCs w:val="24"/>
                <w:lang w:val="es-ES_tradnl"/>
              </w:rPr>
              <w:t>UIT</w:t>
            </w:r>
            <w:proofErr w:type="spellEnd"/>
            <w:r w:rsidR="00F45A0D" w:rsidRPr="00FD3713">
              <w:rPr>
                <w:rFonts w:ascii="Calibri" w:hAnsi="Calibri"/>
                <w:szCs w:val="24"/>
                <w:lang w:val="es-ES_tradnl"/>
              </w:rPr>
              <w:t>-D al proyecto de</w:t>
            </w:r>
            <w:r w:rsidR="00B84B22">
              <w:rPr>
                <w:rFonts w:ascii="Calibri" w:hAnsi="Calibri"/>
                <w:szCs w:val="24"/>
                <w:lang w:val="es-ES_tradnl"/>
              </w:rPr>
              <w:t xml:space="preserve"> Plan Estratégico de la </w:t>
            </w:r>
            <w:proofErr w:type="spellStart"/>
            <w:r w:rsidR="00B84B22">
              <w:rPr>
                <w:rFonts w:ascii="Calibri" w:hAnsi="Calibri"/>
                <w:szCs w:val="24"/>
                <w:lang w:val="es-ES_tradnl"/>
              </w:rPr>
              <w:t>UIT</w:t>
            </w:r>
            <w:proofErr w:type="spellEnd"/>
            <w:r w:rsidR="00B84B22">
              <w:rPr>
                <w:rFonts w:ascii="Calibri" w:hAnsi="Calibri"/>
                <w:szCs w:val="24"/>
                <w:lang w:val="es-ES_tradnl"/>
              </w:rPr>
              <w:t>, el </w:t>
            </w:r>
            <w:proofErr w:type="spellStart"/>
            <w:r w:rsidR="00F45A0D" w:rsidRPr="00FD3713">
              <w:rPr>
                <w:rFonts w:ascii="Calibri" w:hAnsi="Calibri"/>
                <w:szCs w:val="24"/>
                <w:lang w:val="es-ES_tradnl"/>
              </w:rPr>
              <w:t>GADT</w:t>
            </w:r>
            <w:proofErr w:type="spellEnd"/>
            <w:r w:rsidR="00F45A0D" w:rsidRPr="00FD3713">
              <w:rPr>
                <w:rFonts w:ascii="Calibri" w:hAnsi="Calibri"/>
                <w:szCs w:val="24"/>
                <w:lang w:val="es-ES_tradnl"/>
              </w:rPr>
              <w:t xml:space="preserve"> puso el acento en los Documentos </w:t>
            </w:r>
            <w:proofErr w:type="spellStart"/>
            <w:r w:rsidR="00F45A0D" w:rsidRPr="00FD3713">
              <w:rPr>
                <w:rFonts w:ascii="Calibri" w:hAnsi="Calibri"/>
                <w:szCs w:val="24"/>
                <w:lang w:val="es-ES_tradnl"/>
              </w:rPr>
              <w:t>TD</w:t>
            </w:r>
            <w:r w:rsidR="00B84B22">
              <w:rPr>
                <w:rFonts w:ascii="Calibri" w:hAnsi="Calibri"/>
                <w:szCs w:val="24"/>
                <w:lang w:val="es-ES_tradnl"/>
              </w:rPr>
              <w:t>AG17</w:t>
            </w:r>
            <w:proofErr w:type="spellEnd"/>
            <w:r w:rsidR="00B84B22">
              <w:rPr>
                <w:rFonts w:ascii="Calibri" w:hAnsi="Calibri"/>
                <w:szCs w:val="24"/>
                <w:lang w:val="es-ES_tradnl"/>
              </w:rPr>
              <w:t xml:space="preserve">-22/7, </w:t>
            </w:r>
            <w:proofErr w:type="spellStart"/>
            <w:r w:rsidR="00B84B22">
              <w:rPr>
                <w:rFonts w:ascii="Calibri" w:hAnsi="Calibri"/>
                <w:szCs w:val="24"/>
                <w:lang w:val="es-ES_tradnl"/>
              </w:rPr>
              <w:t>TDAG17</w:t>
            </w:r>
            <w:proofErr w:type="spellEnd"/>
            <w:r w:rsidR="00B84B22">
              <w:rPr>
                <w:rFonts w:ascii="Calibri" w:hAnsi="Calibri"/>
                <w:szCs w:val="24"/>
                <w:lang w:val="es-ES_tradnl"/>
              </w:rPr>
              <w:t>-22/8 y </w:t>
            </w:r>
            <w:proofErr w:type="spellStart"/>
            <w:r w:rsidR="00B84B22">
              <w:rPr>
                <w:rFonts w:ascii="Calibri" w:hAnsi="Calibri"/>
                <w:szCs w:val="24"/>
                <w:lang w:val="es-ES_tradnl"/>
              </w:rPr>
              <w:t>TDAG17</w:t>
            </w:r>
            <w:proofErr w:type="spellEnd"/>
            <w:r w:rsidR="00B84B22">
              <w:rPr>
                <w:rFonts w:ascii="Calibri" w:hAnsi="Calibri"/>
                <w:szCs w:val="24"/>
                <w:lang w:val="es-ES_tradnl"/>
              </w:rPr>
              <w:noBreakHyphen/>
            </w:r>
            <w:r w:rsidR="00F45A0D" w:rsidRPr="00FD3713">
              <w:rPr>
                <w:rFonts w:ascii="Calibri" w:hAnsi="Calibri"/>
                <w:szCs w:val="24"/>
                <w:lang w:val="es-ES_tradnl"/>
              </w:rPr>
              <w:t xml:space="preserve">22/9, que contienen la recopilación de los resultados de las </w:t>
            </w:r>
            <w:proofErr w:type="spellStart"/>
            <w:r w:rsidR="00F45A0D" w:rsidRPr="00FD3713">
              <w:rPr>
                <w:rFonts w:ascii="Calibri" w:hAnsi="Calibri"/>
                <w:szCs w:val="24"/>
                <w:lang w:val="es-ES_tradnl"/>
              </w:rPr>
              <w:t>RPR</w:t>
            </w:r>
            <w:proofErr w:type="spellEnd"/>
            <w:r w:rsidR="00F45A0D" w:rsidRPr="00FD3713">
              <w:rPr>
                <w:rFonts w:ascii="Calibri" w:hAnsi="Calibri"/>
                <w:szCs w:val="24"/>
                <w:lang w:val="es-ES_tradnl"/>
              </w:rPr>
              <w:t xml:space="preserve"> y las contribuciones al </w:t>
            </w:r>
            <w:proofErr w:type="spellStart"/>
            <w:r w:rsidR="00F45A0D" w:rsidRPr="00FD3713">
              <w:rPr>
                <w:rFonts w:ascii="Calibri" w:hAnsi="Calibri"/>
                <w:szCs w:val="24"/>
                <w:lang w:val="es-ES_tradnl"/>
              </w:rPr>
              <w:t>GADT</w:t>
            </w:r>
            <w:proofErr w:type="spellEnd"/>
            <w:r w:rsidRPr="00FD3713">
              <w:rPr>
                <w:rFonts w:ascii="Calibri" w:hAnsi="Calibri"/>
                <w:szCs w:val="24"/>
                <w:lang w:val="es-ES_tradnl"/>
              </w:rPr>
              <w:noBreakHyphen/>
            </w:r>
            <w:r w:rsidR="00F45A0D" w:rsidRPr="00FD3713">
              <w:rPr>
                <w:rFonts w:ascii="Calibri" w:hAnsi="Calibri"/>
                <w:szCs w:val="24"/>
                <w:lang w:val="es-ES_tradnl"/>
              </w:rPr>
              <w:t>17, e invitó a los Miembros a utilizar esos documentos en sus preparativos para la</w:t>
            </w:r>
            <w:r w:rsidRPr="00FD3713">
              <w:rPr>
                <w:rFonts w:ascii="Calibri" w:hAnsi="Calibri"/>
                <w:szCs w:val="24"/>
                <w:lang w:val="es-ES_tradnl"/>
              </w:rPr>
              <w:t> </w:t>
            </w:r>
            <w:proofErr w:type="spellStart"/>
            <w:r w:rsidR="00F45A0D" w:rsidRPr="00FD3713">
              <w:rPr>
                <w:rFonts w:ascii="Calibri" w:hAnsi="Calibri"/>
                <w:szCs w:val="24"/>
                <w:lang w:val="es-ES_tradnl"/>
              </w:rPr>
              <w:t>CMDT</w:t>
            </w:r>
            <w:proofErr w:type="spellEnd"/>
            <w:r w:rsidR="00F45A0D" w:rsidRPr="00FD3713">
              <w:rPr>
                <w:rFonts w:ascii="Calibri" w:hAnsi="Calibri"/>
                <w:szCs w:val="24"/>
                <w:lang w:val="es-ES_tradnl"/>
              </w:rPr>
              <w:t>-17.</w:t>
            </w:r>
            <w:bookmarkEnd w:id="41"/>
          </w:p>
          <w:p w:rsidR="00F45A0D" w:rsidRPr="00FD3713" w:rsidRDefault="00B84B22" w:rsidP="00E65455">
            <w:pPr>
              <w:pStyle w:val="enumlev1"/>
              <w:rPr>
                <w:rFonts w:ascii="Calibri" w:hAnsi="Calibri"/>
                <w:szCs w:val="24"/>
                <w:lang w:val="es-ES_tradnl"/>
              </w:rPr>
            </w:pPr>
            <w:bookmarkStart w:id="42" w:name="lt_pId119"/>
            <w:r w:rsidRPr="00B84B22">
              <w:rPr>
                <w:lang w:val="es-ES_tradnl"/>
              </w:rPr>
              <w:t>–</w:t>
            </w:r>
            <w:r>
              <w:rPr>
                <w:lang w:val="es-ES_tradnl"/>
              </w:rPr>
              <w:tab/>
            </w:r>
            <w:r w:rsidR="00F45A0D" w:rsidRPr="00FD3713">
              <w:rPr>
                <w:rFonts w:ascii="Calibri" w:hAnsi="Calibri"/>
                <w:szCs w:val="24"/>
                <w:lang w:val="es-ES_tradnl"/>
              </w:rPr>
              <w:t xml:space="preserve">En relación con los Métodos de Trabajo y el Reglamento Interno del </w:t>
            </w:r>
            <w:proofErr w:type="spellStart"/>
            <w:r w:rsidR="00F45A0D" w:rsidRPr="00FD3713">
              <w:rPr>
                <w:rFonts w:ascii="Calibri" w:hAnsi="Calibri"/>
                <w:szCs w:val="24"/>
                <w:lang w:val="es-ES_tradnl"/>
              </w:rPr>
              <w:t>UIT</w:t>
            </w:r>
            <w:proofErr w:type="spellEnd"/>
            <w:r w:rsidR="00F45A0D" w:rsidRPr="00FD3713">
              <w:rPr>
                <w:rFonts w:ascii="Calibri" w:hAnsi="Calibri"/>
                <w:szCs w:val="24"/>
                <w:lang w:val="es-ES_tradnl"/>
              </w:rPr>
              <w:t xml:space="preserve">-D (Resolución 1 de la </w:t>
            </w:r>
            <w:proofErr w:type="spellStart"/>
            <w:r w:rsidR="00F45A0D" w:rsidRPr="00FD3713">
              <w:rPr>
                <w:rFonts w:ascii="Calibri" w:hAnsi="Calibri"/>
                <w:szCs w:val="24"/>
                <w:lang w:val="es-ES_tradnl"/>
              </w:rPr>
              <w:t>CMDT</w:t>
            </w:r>
            <w:proofErr w:type="spellEnd"/>
            <w:r w:rsidR="00F45A0D" w:rsidRPr="00FD3713">
              <w:rPr>
                <w:rFonts w:ascii="Calibri" w:hAnsi="Calibri"/>
                <w:szCs w:val="24"/>
                <w:lang w:val="es-ES_tradnl"/>
              </w:rPr>
              <w:t xml:space="preserve">), el </w:t>
            </w:r>
            <w:proofErr w:type="spellStart"/>
            <w:r w:rsidR="00F45A0D" w:rsidRPr="00FD3713">
              <w:rPr>
                <w:rFonts w:ascii="Calibri" w:hAnsi="Calibri"/>
                <w:szCs w:val="24"/>
                <w:lang w:val="es-ES_tradnl"/>
              </w:rPr>
              <w:t>GADT</w:t>
            </w:r>
            <w:proofErr w:type="spellEnd"/>
            <w:r w:rsidR="00F45A0D" w:rsidRPr="00FD3713">
              <w:rPr>
                <w:rFonts w:ascii="Calibri" w:hAnsi="Calibri"/>
                <w:szCs w:val="24"/>
                <w:lang w:val="es-ES_tradnl"/>
              </w:rPr>
              <w:t xml:space="preserve"> aconsejó a los Miembros a utilizar el Documento recopilatorio </w:t>
            </w:r>
            <w:proofErr w:type="spellStart"/>
            <w:r w:rsidR="00F45A0D" w:rsidRPr="00FD3713">
              <w:rPr>
                <w:rFonts w:ascii="Calibri" w:hAnsi="Calibri"/>
                <w:szCs w:val="24"/>
                <w:lang w:val="es-ES_tradnl"/>
              </w:rPr>
              <w:t>TDAG17</w:t>
            </w:r>
            <w:proofErr w:type="spellEnd"/>
            <w:r w:rsidR="00F45A0D" w:rsidRPr="00FD3713">
              <w:rPr>
                <w:rFonts w:ascii="Calibri" w:hAnsi="Calibri"/>
                <w:szCs w:val="24"/>
                <w:lang w:val="es-ES_tradnl"/>
              </w:rPr>
              <w:t>-22/10 en sus preparativos para la CMDT.</w:t>
            </w:r>
            <w:bookmarkEnd w:id="42"/>
          </w:p>
          <w:p w:rsidR="00F45A0D" w:rsidRPr="00FD3713" w:rsidRDefault="00E65455" w:rsidP="00E76B89">
            <w:pPr>
              <w:pStyle w:val="enumlev1"/>
              <w:spacing w:after="120"/>
              <w:rPr>
                <w:rFonts w:ascii="Calibri" w:hAnsi="Calibri"/>
                <w:szCs w:val="24"/>
                <w:lang w:val="es-ES_tradnl"/>
              </w:rPr>
            </w:pPr>
            <w:r w:rsidRPr="00FD3713">
              <w:rPr>
                <w:rFonts w:ascii="Calibri" w:hAnsi="Calibri"/>
                <w:szCs w:val="24"/>
                <w:lang w:val="es-ES_tradnl"/>
              </w:rPr>
              <w:t>–</w:t>
            </w:r>
            <w:r w:rsidRPr="00FD3713">
              <w:rPr>
                <w:rFonts w:ascii="Calibri" w:hAnsi="Calibri"/>
                <w:szCs w:val="24"/>
                <w:lang w:val="es-ES_tradnl"/>
              </w:rPr>
              <w:tab/>
            </w:r>
            <w:bookmarkStart w:id="43" w:name="lt_pId120"/>
            <w:r w:rsidR="00F45A0D" w:rsidRPr="00FD3713">
              <w:rPr>
                <w:rFonts w:ascii="Calibri" w:hAnsi="Calibri"/>
                <w:szCs w:val="24"/>
                <w:lang w:val="es-ES_tradnl"/>
              </w:rPr>
              <w:t xml:space="preserve">En relación con la racionalización de las Resoluciones de la </w:t>
            </w:r>
            <w:proofErr w:type="spellStart"/>
            <w:r w:rsidR="00F45A0D" w:rsidRPr="00FD3713">
              <w:rPr>
                <w:rFonts w:ascii="Calibri" w:hAnsi="Calibri"/>
                <w:szCs w:val="24"/>
                <w:lang w:val="es-ES_tradnl"/>
              </w:rPr>
              <w:t>CMDT</w:t>
            </w:r>
            <w:proofErr w:type="spellEnd"/>
            <w:r w:rsidR="00F45A0D" w:rsidRPr="00FD3713">
              <w:rPr>
                <w:rFonts w:ascii="Calibri" w:hAnsi="Calibri"/>
                <w:szCs w:val="24"/>
                <w:lang w:val="es-ES_tradnl"/>
              </w:rPr>
              <w:t xml:space="preserve">, el </w:t>
            </w:r>
            <w:proofErr w:type="spellStart"/>
            <w:r w:rsidR="00F45A0D" w:rsidRPr="00FD3713">
              <w:rPr>
                <w:rFonts w:ascii="Calibri" w:hAnsi="Calibri"/>
                <w:szCs w:val="24"/>
                <w:lang w:val="es-ES_tradnl"/>
              </w:rPr>
              <w:t>GADT</w:t>
            </w:r>
            <w:proofErr w:type="spellEnd"/>
            <w:r w:rsidR="00F45A0D" w:rsidRPr="00FD3713">
              <w:rPr>
                <w:rFonts w:ascii="Calibri" w:hAnsi="Calibri"/>
                <w:szCs w:val="24"/>
                <w:lang w:val="es-ES_tradnl"/>
              </w:rPr>
              <w:t xml:space="preserve"> respaldó el Informe del </w:t>
            </w:r>
            <w:proofErr w:type="spellStart"/>
            <w:r w:rsidR="00F45A0D" w:rsidRPr="00FD3713">
              <w:rPr>
                <w:rFonts w:ascii="Calibri" w:hAnsi="Calibri"/>
                <w:szCs w:val="24"/>
                <w:lang w:val="es-ES_tradnl"/>
              </w:rPr>
              <w:t>GC</w:t>
            </w:r>
            <w:proofErr w:type="spellEnd"/>
            <w:r w:rsidR="00F45A0D" w:rsidRPr="00FD3713">
              <w:rPr>
                <w:rFonts w:ascii="Calibri" w:hAnsi="Calibri"/>
                <w:szCs w:val="24"/>
                <w:lang w:val="es-ES_tradnl"/>
              </w:rPr>
              <w:t>-SR y acogió con satisfacción la propuesta de reducir el número de Cuestiones de estudio a fin de evitar la duplicación de esfuerzos.</w:t>
            </w:r>
            <w:bookmarkEnd w:id="43"/>
          </w:p>
        </w:tc>
      </w:tr>
      <w:tr w:rsidR="00F45A0D" w:rsidRPr="00FD3713" w:rsidTr="00F45A0D">
        <w:tc>
          <w:tcPr>
            <w:tcW w:w="2830" w:type="dxa"/>
          </w:tcPr>
          <w:p w:rsidR="00F45A0D" w:rsidRPr="00FD3713" w:rsidRDefault="00F45A0D" w:rsidP="00A75780">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798" w:type="dxa"/>
          </w:tcPr>
          <w:p w:rsidR="00F45A0D" w:rsidRPr="00FD3713" w:rsidRDefault="00F45A0D" w:rsidP="00E76B89">
            <w:pPr>
              <w:spacing w:before="60" w:after="60"/>
              <w:rPr>
                <w:rFonts w:asciiTheme="minorHAnsi" w:hAnsiTheme="minorHAnsi"/>
                <w:szCs w:val="24"/>
                <w:lang w:val="es-ES_tradnl"/>
              </w:rPr>
            </w:pPr>
            <w:bookmarkStart w:id="44" w:name="lt_pId122"/>
            <w:r w:rsidRPr="00FD3713">
              <w:rPr>
                <w:rFonts w:asciiTheme="minorHAnsi" w:hAnsiTheme="minorHAnsi"/>
                <w:szCs w:val="24"/>
                <w:lang w:val="es-ES_tradnl"/>
              </w:rPr>
              <w:t>Resoluciones 1, 5, 17, 24, 30, 33, 37, 50, 59, 61, 81</w:t>
            </w:r>
            <w:bookmarkEnd w:id="44"/>
          </w:p>
        </w:tc>
      </w:tr>
      <w:tr w:rsidR="00F45A0D" w:rsidRPr="008D434B" w:rsidTr="00F45A0D">
        <w:tc>
          <w:tcPr>
            <w:tcW w:w="2830" w:type="dxa"/>
          </w:tcPr>
          <w:p w:rsidR="00F45A0D" w:rsidRPr="00B84B22" w:rsidRDefault="00F45A0D" w:rsidP="00A75780">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_tradnl"/>
              </w:rPr>
            </w:pPr>
            <w:r w:rsidRPr="00A75780">
              <w:rPr>
                <w:rFonts w:ascii="Calibri" w:eastAsiaTheme="minorHAnsi" w:hAnsi="Calibri" w:cstheme="minorBidi"/>
                <w:i/>
                <w:szCs w:val="24"/>
                <w:lang w:val="es-ES_tradnl"/>
              </w:rPr>
              <w:t>Conferencia</w:t>
            </w:r>
            <w:r w:rsidRPr="00B84B22">
              <w:rPr>
                <w:rFonts w:asciiTheme="minorHAnsi" w:hAnsiTheme="minorHAnsi"/>
                <w:i/>
                <w:iCs/>
                <w:szCs w:val="24"/>
                <w:lang w:val="es-ES_tradnl"/>
              </w:rPr>
              <w:t xml:space="preserve"> de Plenipotenciarios</w:t>
            </w:r>
          </w:p>
        </w:tc>
        <w:tc>
          <w:tcPr>
            <w:tcW w:w="6798" w:type="dxa"/>
          </w:tcPr>
          <w:p w:rsidR="00F45A0D" w:rsidRPr="00FD3713" w:rsidRDefault="00F45A0D" w:rsidP="00A75780">
            <w:pPr>
              <w:spacing w:before="60" w:after="60"/>
              <w:rPr>
                <w:rFonts w:asciiTheme="minorHAnsi" w:hAnsiTheme="minorHAnsi"/>
                <w:szCs w:val="24"/>
                <w:lang w:val="es-ES_tradnl"/>
              </w:rPr>
            </w:pPr>
            <w:bookmarkStart w:id="45" w:name="lt_pId124"/>
            <w:r w:rsidRPr="00FD3713">
              <w:rPr>
                <w:rFonts w:asciiTheme="minorHAnsi" w:hAnsiTheme="minorHAnsi"/>
                <w:szCs w:val="24"/>
                <w:lang w:val="es-ES_tradnl"/>
              </w:rPr>
              <w:t>Decisiones de la PP: 5 y 13</w:t>
            </w:r>
            <w:r w:rsidRPr="00FD3713">
              <w:rPr>
                <w:rFonts w:asciiTheme="minorHAnsi" w:hAnsiTheme="minorHAnsi"/>
                <w:szCs w:val="24"/>
                <w:lang w:val="es-ES_tradnl"/>
              </w:rPr>
              <w:br/>
              <w:t>Resoluciones de la PP: 25, 71, 111, 135, 140, 151, 154, 165, 166, 167</w:t>
            </w:r>
            <w:bookmarkEnd w:id="45"/>
          </w:p>
        </w:tc>
      </w:tr>
      <w:tr w:rsidR="00F45A0D" w:rsidRPr="00FD3713" w:rsidTr="00F45A0D">
        <w:tc>
          <w:tcPr>
            <w:tcW w:w="2830" w:type="dxa"/>
          </w:tcPr>
          <w:p w:rsidR="00F45A0D" w:rsidRPr="00FD3713" w:rsidRDefault="00F45A0D" w:rsidP="00A75780">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_tradnl"/>
              </w:rPr>
            </w:pPr>
            <w:r w:rsidRPr="00A75780">
              <w:rPr>
                <w:rFonts w:ascii="Calibri" w:eastAsiaTheme="minorHAnsi" w:hAnsi="Calibri" w:cstheme="minorBidi"/>
                <w:i/>
                <w:szCs w:val="24"/>
                <w:lang w:val="es-ES_tradnl"/>
              </w:rPr>
              <w:t>Consejo</w:t>
            </w:r>
          </w:p>
        </w:tc>
        <w:tc>
          <w:tcPr>
            <w:tcW w:w="6798" w:type="dxa"/>
          </w:tcPr>
          <w:p w:rsidR="00F45A0D" w:rsidRPr="00FD3713" w:rsidRDefault="00F45A0D" w:rsidP="00120018">
            <w:pPr>
              <w:spacing w:before="60" w:after="60"/>
              <w:rPr>
                <w:rFonts w:asciiTheme="minorHAnsi" w:hAnsiTheme="minorHAnsi"/>
                <w:szCs w:val="24"/>
                <w:lang w:val="es-ES_tradnl"/>
              </w:rPr>
            </w:pPr>
            <w:bookmarkStart w:id="46" w:name="lt_pId127"/>
            <w:r w:rsidRPr="00FD3713">
              <w:rPr>
                <w:rFonts w:asciiTheme="minorHAnsi" w:hAnsiTheme="minorHAnsi"/>
                <w:szCs w:val="24"/>
                <w:lang w:val="es-ES_tradnl"/>
              </w:rPr>
              <w:t>Resolución 1372</w:t>
            </w:r>
            <w:bookmarkEnd w:id="46"/>
          </w:p>
        </w:tc>
      </w:tr>
      <w:tr w:rsidR="00F45A0D" w:rsidRPr="008D434B" w:rsidTr="00F45A0D">
        <w:tc>
          <w:tcPr>
            <w:tcW w:w="2830" w:type="dxa"/>
          </w:tcPr>
          <w:p w:rsidR="00F45A0D" w:rsidRPr="00FD3713" w:rsidRDefault="00F45A0D" w:rsidP="00A75780">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_tradnl"/>
              </w:rPr>
            </w:pPr>
            <w:r w:rsidRPr="00FD3713">
              <w:rPr>
                <w:rFonts w:asciiTheme="minorHAnsi" w:hAnsiTheme="minorHAnsi"/>
                <w:i/>
                <w:iCs/>
                <w:szCs w:val="24"/>
                <w:lang w:val="es-ES_tradnl"/>
              </w:rPr>
              <w:t xml:space="preserve">Línea de </w:t>
            </w:r>
            <w:r w:rsidRPr="00A75780">
              <w:rPr>
                <w:rFonts w:ascii="Calibri" w:eastAsiaTheme="minorHAnsi" w:hAnsi="Calibri" w:cstheme="minorBidi"/>
                <w:i/>
                <w:szCs w:val="24"/>
                <w:lang w:val="es-ES_tradnl"/>
              </w:rPr>
              <w:t>Acción</w:t>
            </w:r>
            <w:r w:rsidRPr="00FD3713">
              <w:rPr>
                <w:rFonts w:asciiTheme="minorHAnsi" w:hAnsiTheme="minorHAnsi"/>
                <w:i/>
                <w:iCs/>
                <w:szCs w:val="24"/>
                <w:lang w:val="es-ES_tradnl"/>
              </w:rPr>
              <w:t xml:space="preserve"> de la </w:t>
            </w:r>
            <w:proofErr w:type="spellStart"/>
            <w:r w:rsidRPr="00FD3713">
              <w:rPr>
                <w:rFonts w:asciiTheme="minorHAnsi" w:hAnsiTheme="minorHAnsi"/>
                <w:i/>
                <w:iCs/>
                <w:szCs w:val="24"/>
                <w:lang w:val="es-ES_tradnl"/>
              </w:rPr>
              <w:t>CMSI</w:t>
            </w:r>
            <w:proofErr w:type="spellEnd"/>
          </w:p>
        </w:tc>
        <w:tc>
          <w:tcPr>
            <w:tcW w:w="6798" w:type="dxa"/>
          </w:tcPr>
          <w:p w:rsidR="00F45A0D" w:rsidRPr="00FD3713" w:rsidRDefault="00F45A0D" w:rsidP="00A75780">
            <w:pPr>
              <w:spacing w:before="60" w:after="60"/>
              <w:rPr>
                <w:rFonts w:asciiTheme="minorHAnsi" w:hAnsiTheme="minorHAnsi"/>
                <w:szCs w:val="24"/>
                <w:lang w:val="es-ES_tradnl"/>
              </w:rPr>
            </w:pPr>
            <w:r w:rsidRPr="00FD3713">
              <w:rPr>
                <w:rFonts w:asciiTheme="minorHAnsi" w:hAnsiTheme="minorHAnsi"/>
                <w:szCs w:val="24"/>
                <w:lang w:val="es-ES_tradnl"/>
              </w:rPr>
              <w:t xml:space="preserve">Líneas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C1</w:t>
            </w:r>
            <w:proofErr w:type="spellEnd"/>
            <w:r w:rsidRPr="00FD3713">
              <w:rPr>
                <w:rFonts w:asciiTheme="minorHAnsi" w:hAnsiTheme="minorHAnsi"/>
                <w:szCs w:val="24"/>
                <w:lang w:val="es-ES_tradnl"/>
              </w:rPr>
              <w:t xml:space="preserve"> y </w:t>
            </w:r>
            <w:proofErr w:type="spellStart"/>
            <w:r w:rsidRPr="00FD3713">
              <w:rPr>
                <w:rFonts w:asciiTheme="minorHAnsi" w:hAnsiTheme="minorHAnsi"/>
                <w:szCs w:val="24"/>
                <w:lang w:val="es-ES_tradnl"/>
              </w:rPr>
              <w:t>C11</w:t>
            </w:r>
            <w:proofErr w:type="spellEnd"/>
          </w:p>
        </w:tc>
      </w:tr>
      <w:tr w:rsidR="00F45A0D" w:rsidRPr="008D434B" w:rsidTr="00F45A0D">
        <w:tc>
          <w:tcPr>
            <w:tcW w:w="2830" w:type="dxa"/>
          </w:tcPr>
          <w:p w:rsidR="00F45A0D" w:rsidRPr="00FD3713" w:rsidRDefault="00F45A0D" w:rsidP="00A75780">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_tradnl"/>
              </w:rPr>
            </w:pPr>
            <w:r w:rsidRPr="00FD3713">
              <w:rPr>
                <w:rFonts w:asciiTheme="minorHAnsi" w:hAnsiTheme="minorHAnsi"/>
                <w:i/>
                <w:iCs/>
                <w:szCs w:val="24"/>
                <w:lang w:val="es-ES_tradnl"/>
              </w:rPr>
              <w:t xml:space="preserve">Contribución a las metas de los </w:t>
            </w:r>
            <w:proofErr w:type="spellStart"/>
            <w:r w:rsidRPr="00FD3713">
              <w:rPr>
                <w:rFonts w:asciiTheme="minorHAnsi" w:hAnsiTheme="minorHAnsi"/>
                <w:i/>
                <w:iCs/>
                <w:szCs w:val="24"/>
                <w:lang w:val="es-ES_tradnl"/>
              </w:rPr>
              <w:t>ODS</w:t>
            </w:r>
            <w:proofErr w:type="spellEnd"/>
          </w:p>
        </w:tc>
        <w:tc>
          <w:tcPr>
            <w:tcW w:w="6798" w:type="dxa"/>
          </w:tcPr>
          <w:p w:rsidR="00F45A0D" w:rsidRPr="00FD3713" w:rsidRDefault="00F45A0D" w:rsidP="00A75780">
            <w:pPr>
              <w:spacing w:before="60" w:after="60"/>
              <w:rPr>
                <w:rFonts w:asciiTheme="minorHAnsi" w:hAnsiTheme="minorHAnsi"/>
                <w:szCs w:val="24"/>
                <w:lang w:val="es-ES_tradnl"/>
              </w:rPr>
            </w:pP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1, 3 (meta </w:t>
            </w:r>
            <w:proofErr w:type="spellStart"/>
            <w:r w:rsidRPr="00FD3713">
              <w:rPr>
                <w:rFonts w:asciiTheme="minorHAnsi" w:hAnsiTheme="minorHAnsi"/>
                <w:szCs w:val="24"/>
                <w:lang w:val="es-ES_tradnl"/>
              </w:rPr>
              <w:t>3.d</w:t>
            </w:r>
            <w:proofErr w:type="spellEnd"/>
            <w:r w:rsidRPr="00FD3713">
              <w:rPr>
                <w:rFonts w:asciiTheme="minorHAnsi" w:hAnsiTheme="minorHAnsi"/>
                <w:szCs w:val="24"/>
                <w:lang w:val="es-ES_tradnl"/>
              </w:rPr>
              <w:t>), 5, 10, 16 (metas 16.5, 16.6, 16.8), 17 (metas 17.9, 17.16, 17.17, 17.18, 17.19).</w:t>
            </w:r>
          </w:p>
        </w:tc>
      </w:tr>
    </w:tbl>
    <w:p w:rsidR="00F45A0D" w:rsidRPr="00FD3713" w:rsidRDefault="00F45A0D" w:rsidP="00D611AC">
      <w:pPr>
        <w:pStyle w:val="Heading2"/>
        <w:spacing w:after="120"/>
        <w:rPr>
          <w:lang w:val="es-ES_tradnl"/>
        </w:rPr>
      </w:pPr>
      <w:r w:rsidRPr="00FD3713">
        <w:rPr>
          <w:lang w:val="es-ES_tradnl"/>
        </w:rPr>
        <w:t>1.4</w:t>
      </w:r>
      <w:r w:rsidRPr="00FD3713">
        <w:rPr>
          <w:lang w:val="es-ES_tradnl"/>
        </w:rPr>
        <w:tab/>
        <w:t>Comisiones de Estudio</w:t>
      </w:r>
    </w:p>
    <w:tbl>
      <w:tblPr>
        <w:tblStyle w:val="TableGrid"/>
        <w:tblW w:w="0" w:type="auto"/>
        <w:tblLook w:val="04A0" w:firstRow="1" w:lastRow="0" w:firstColumn="1" w:lastColumn="0" w:noHBand="0" w:noVBand="1"/>
      </w:tblPr>
      <w:tblGrid>
        <w:gridCol w:w="2972"/>
        <w:gridCol w:w="6656"/>
      </w:tblGrid>
      <w:tr w:rsidR="00F45A0D" w:rsidRPr="008D434B" w:rsidTr="00F45A0D">
        <w:trPr>
          <w:trHeight w:val="4570"/>
        </w:trPr>
        <w:tc>
          <w:tcPr>
            <w:tcW w:w="9628" w:type="dxa"/>
            <w:gridSpan w:val="2"/>
          </w:tcPr>
          <w:p w:rsidR="00F45A0D" w:rsidRPr="00FD3713" w:rsidRDefault="00F45A0D" w:rsidP="007E3892">
            <w:pPr>
              <w:rPr>
                <w:rFonts w:asciiTheme="minorHAnsi" w:eastAsiaTheme="minorHAnsi" w:hAnsiTheme="minorHAnsi" w:cstheme="minorBidi"/>
                <w:szCs w:val="24"/>
                <w:lang w:val="es-ES_tradnl"/>
              </w:rPr>
            </w:pPr>
            <w:r w:rsidRPr="007E3892">
              <w:rPr>
                <w:rFonts w:asciiTheme="minorHAnsi" w:eastAsiaTheme="minorHAnsi" w:hAnsiTheme="minorHAnsi" w:cstheme="minorBidi"/>
                <w:szCs w:val="24"/>
                <w:lang w:val="es-ES_tradnl"/>
              </w:rPr>
              <w:t xml:space="preserve">En enero de 2017, las Comisiones de Estudio del </w:t>
            </w:r>
            <w:proofErr w:type="spellStart"/>
            <w:r w:rsidRPr="007E3892">
              <w:rPr>
                <w:rFonts w:asciiTheme="minorHAnsi" w:eastAsiaTheme="minorHAnsi" w:hAnsiTheme="minorHAnsi" w:cstheme="minorBidi"/>
                <w:szCs w:val="24"/>
                <w:lang w:val="es-ES_tradnl"/>
              </w:rPr>
              <w:t>UIT</w:t>
            </w:r>
            <w:proofErr w:type="spellEnd"/>
            <w:r w:rsidRPr="007E3892">
              <w:rPr>
                <w:rFonts w:asciiTheme="minorHAnsi" w:eastAsiaTheme="minorHAnsi" w:hAnsiTheme="minorHAnsi" w:cstheme="minorBidi"/>
                <w:szCs w:val="24"/>
                <w:lang w:val="es-ES_tradnl"/>
              </w:rPr>
              <w:t xml:space="preserve">-D celebraron su tercera serie de reuniones de los Grupos de Relator correspondientes al periodo de estudios 2014-2017. Los Grupos de Relator de la Comisión de Estudio 1, entre ellos el Grupo mixto </w:t>
            </w:r>
            <w:proofErr w:type="spellStart"/>
            <w:r w:rsidRPr="007E3892">
              <w:rPr>
                <w:rFonts w:asciiTheme="minorHAnsi" w:eastAsiaTheme="minorHAnsi" w:hAnsiTheme="minorHAnsi" w:cstheme="minorBidi"/>
                <w:szCs w:val="24"/>
                <w:lang w:val="es-ES_tradnl"/>
              </w:rPr>
              <w:t>UIT</w:t>
            </w:r>
            <w:proofErr w:type="spellEnd"/>
            <w:r w:rsidRPr="007E3892">
              <w:rPr>
                <w:rFonts w:asciiTheme="minorHAnsi" w:eastAsiaTheme="minorHAnsi" w:hAnsiTheme="minorHAnsi" w:cstheme="minorBidi"/>
                <w:szCs w:val="24"/>
                <w:lang w:val="es-ES_tradnl"/>
              </w:rPr>
              <w:t>-D/</w:t>
            </w:r>
            <w:proofErr w:type="spellStart"/>
            <w:r w:rsidRPr="007E3892">
              <w:rPr>
                <w:rFonts w:asciiTheme="minorHAnsi" w:eastAsiaTheme="minorHAnsi" w:hAnsiTheme="minorHAnsi" w:cstheme="minorBidi"/>
                <w:szCs w:val="24"/>
                <w:lang w:val="es-ES_tradnl"/>
              </w:rPr>
              <w:t>UIT</w:t>
            </w:r>
            <w:proofErr w:type="spellEnd"/>
            <w:r w:rsidRPr="007E3892">
              <w:rPr>
                <w:rFonts w:asciiTheme="minorHAnsi" w:eastAsiaTheme="minorHAnsi" w:hAnsiTheme="minorHAnsi" w:cstheme="minorBidi"/>
                <w:szCs w:val="24"/>
                <w:lang w:val="es-ES_tradnl"/>
              </w:rPr>
              <w:t xml:space="preserve">-R para la Resolución 9 de la </w:t>
            </w:r>
            <w:proofErr w:type="spellStart"/>
            <w:r w:rsidRPr="007E3892">
              <w:rPr>
                <w:rFonts w:asciiTheme="minorHAnsi" w:eastAsiaTheme="minorHAnsi" w:hAnsiTheme="minorHAnsi" w:cstheme="minorBidi"/>
                <w:szCs w:val="24"/>
                <w:lang w:val="es-ES_tradnl"/>
              </w:rPr>
              <w:t>CMDT</w:t>
            </w:r>
            <w:proofErr w:type="spellEnd"/>
            <w:r w:rsidRPr="007E3892">
              <w:rPr>
                <w:rFonts w:asciiTheme="minorHAnsi" w:eastAsiaTheme="minorHAnsi" w:hAnsiTheme="minorHAnsi" w:cstheme="minorBidi"/>
                <w:szCs w:val="24"/>
                <w:lang w:val="es-ES_tradnl"/>
              </w:rPr>
              <w:t xml:space="preserve">, se reunieron en Ginebra del 9 al 18 de enero de 2017, y las reuniones de los Grupos de Relator de la Comisión de Estudio 2 tuvieron lugar del 18 al 27 de enero de 2017. Las reuniones de los Grupos de Relator constituyeron un hito importante en la conclusión de los resultados previstos en el marco de todas las Cuestiones de estudio del periodo de estudios. Se realizaron importantes progresos en los resultados previstos, y las Comisiones debatieron asimismo ideas sobre las futuras directrices y actividades relacionadas para sus Cuestiones de estudio específicas. Esta reflexión sobre el futuro de las Cuestiones de estudio fue especialmente interesante para los Miembros que debatían y formulaban propuestas sobre esos asuntos durante las </w:t>
            </w:r>
            <w:proofErr w:type="spellStart"/>
            <w:r w:rsidRPr="007E3892">
              <w:rPr>
                <w:rFonts w:asciiTheme="minorHAnsi" w:eastAsiaTheme="minorHAnsi" w:hAnsiTheme="minorHAnsi" w:cstheme="minorBidi"/>
                <w:szCs w:val="24"/>
                <w:lang w:val="es-ES_tradnl"/>
              </w:rPr>
              <w:t>RPR</w:t>
            </w:r>
            <w:proofErr w:type="spellEnd"/>
            <w:r w:rsidRPr="007E3892">
              <w:rPr>
                <w:rFonts w:asciiTheme="minorHAnsi" w:eastAsiaTheme="minorHAnsi" w:hAnsiTheme="minorHAnsi" w:cstheme="minorBidi"/>
                <w:szCs w:val="24"/>
                <w:lang w:val="es-ES_tradnl"/>
              </w:rPr>
              <w:t xml:space="preserve"> y la </w:t>
            </w:r>
            <w:proofErr w:type="spellStart"/>
            <w:r w:rsidRPr="007E3892">
              <w:rPr>
                <w:rFonts w:asciiTheme="minorHAnsi" w:eastAsiaTheme="minorHAnsi" w:hAnsiTheme="minorHAnsi" w:cstheme="minorBidi"/>
                <w:szCs w:val="24"/>
                <w:lang w:val="es-ES_tradnl"/>
              </w:rPr>
              <w:t>CMDT</w:t>
            </w:r>
            <w:proofErr w:type="spellEnd"/>
            <w:r w:rsidRPr="007E3892">
              <w:rPr>
                <w:rFonts w:asciiTheme="minorHAnsi" w:eastAsiaTheme="minorHAnsi" w:hAnsiTheme="minorHAnsi" w:cstheme="minorBidi"/>
                <w:szCs w:val="24"/>
                <w:lang w:val="es-ES_tradnl"/>
              </w:rPr>
              <w:t>-17.</w:t>
            </w:r>
          </w:p>
          <w:p w:rsidR="00F45A0D" w:rsidRPr="007E3892" w:rsidRDefault="008465D5" w:rsidP="008465D5">
            <w:pPr>
              <w:pStyle w:val="enumlev1"/>
              <w:rPr>
                <w:rFonts w:asciiTheme="minorHAnsi" w:hAnsiTheme="minorHAnsi"/>
                <w:szCs w:val="24"/>
                <w:lang w:val="es-ES_tradnl"/>
              </w:rPr>
            </w:pPr>
            <w:r w:rsidRPr="00FD3713">
              <w:rPr>
                <w:rFonts w:eastAsiaTheme="minorHAnsi"/>
                <w:lang w:val="es-ES_tradnl"/>
              </w:rPr>
              <w:t>–</w:t>
            </w:r>
            <w:r w:rsidRPr="00FD3713">
              <w:rPr>
                <w:rFonts w:eastAsiaTheme="minorHAnsi"/>
                <w:lang w:val="es-ES_tradnl"/>
              </w:rPr>
              <w:tab/>
            </w:r>
            <w:r w:rsidR="00F45A0D" w:rsidRPr="007E3892">
              <w:rPr>
                <w:rFonts w:asciiTheme="minorHAnsi" w:hAnsiTheme="minorHAnsi"/>
                <w:iCs/>
                <w:szCs w:val="24"/>
                <w:lang w:val="es-ES_tradnl"/>
              </w:rPr>
              <w:t>El 26</w:t>
            </w:r>
            <w:r w:rsidR="00F45A0D" w:rsidRPr="007E3892">
              <w:rPr>
                <w:rFonts w:asciiTheme="minorHAnsi" w:hAnsiTheme="minorHAnsi"/>
                <w:szCs w:val="24"/>
                <w:lang w:val="es-ES_tradnl"/>
              </w:rPr>
              <w:t xml:space="preserve"> de enero de 2017, coincidiendo con la reunión del Grupo de Relator para la Cuestión 3/2 (</w:t>
            </w:r>
            <w:proofErr w:type="spellStart"/>
            <w:r w:rsidR="00F45A0D" w:rsidRPr="007E3892">
              <w:rPr>
                <w:rFonts w:asciiTheme="minorHAnsi" w:hAnsiTheme="minorHAnsi"/>
                <w:szCs w:val="24"/>
                <w:lang w:val="es-ES_tradnl"/>
              </w:rPr>
              <w:t>Ciberseguridad</w:t>
            </w:r>
            <w:proofErr w:type="spellEnd"/>
            <w:r w:rsidR="00F45A0D" w:rsidRPr="007E3892">
              <w:rPr>
                <w:rFonts w:asciiTheme="minorHAnsi" w:hAnsiTheme="minorHAnsi"/>
                <w:szCs w:val="24"/>
                <w:lang w:val="es-ES_tradnl"/>
              </w:rPr>
              <w:t xml:space="preserve">), se organizó un taller abierto sobre el tema de la </w:t>
            </w:r>
            <w:proofErr w:type="spellStart"/>
            <w:r w:rsidR="00F45A0D" w:rsidRPr="007E3892">
              <w:rPr>
                <w:rFonts w:asciiTheme="minorHAnsi" w:hAnsiTheme="minorHAnsi"/>
                <w:szCs w:val="24"/>
                <w:lang w:val="es-ES_tradnl"/>
              </w:rPr>
              <w:t>ciberseguridad</w:t>
            </w:r>
            <w:proofErr w:type="spellEnd"/>
            <w:r w:rsidR="00F45A0D" w:rsidRPr="007E3892">
              <w:rPr>
                <w:rFonts w:asciiTheme="minorHAnsi" w:hAnsiTheme="minorHAnsi"/>
                <w:szCs w:val="24"/>
                <w:lang w:val="es-ES_tradnl"/>
              </w:rPr>
              <w:t xml:space="preserve"> y la evaluación del riesgo en la práctica. Se reunieron expertos para aportar sus conocimientos y experiencias sobre la evaluación práctica de los </w:t>
            </w:r>
            <w:proofErr w:type="spellStart"/>
            <w:r w:rsidR="00F45A0D" w:rsidRPr="007E3892">
              <w:rPr>
                <w:rFonts w:asciiTheme="minorHAnsi" w:hAnsiTheme="minorHAnsi"/>
                <w:szCs w:val="24"/>
                <w:lang w:val="es-ES_tradnl"/>
              </w:rPr>
              <w:t>ciberriesgos</w:t>
            </w:r>
            <w:proofErr w:type="spellEnd"/>
            <w:r w:rsidR="00F45A0D" w:rsidRPr="007E3892">
              <w:rPr>
                <w:rFonts w:asciiTheme="minorHAnsi" w:hAnsiTheme="minorHAnsi"/>
                <w:szCs w:val="24"/>
                <w:lang w:val="es-ES_tradnl"/>
              </w:rPr>
              <w:t xml:space="preserve"> a nivel nacional, en grandes organizaciones y en sectores de </w:t>
            </w:r>
            <w:r w:rsidR="00F45A0D" w:rsidRPr="007E3892">
              <w:rPr>
                <w:rFonts w:asciiTheme="minorHAnsi" w:hAnsiTheme="minorHAnsi"/>
                <w:szCs w:val="24"/>
                <w:lang w:val="es-ES_tradnl"/>
              </w:rPr>
              <w:lastRenderedPageBreak/>
              <w:t xml:space="preserve">infraestructuras críticas. También se debatió sobre los riesgos de la cadena de suministro y la función que desempeñan las normas en la gestión de los </w:t>
            </w:r>
            <w:proofErr w:type="spellStart"/>
            <w:r w:rsidR="00F45A0D" w:rsidRPr="007E3892">
              <w:rPr>
                <w:rFonts w:asciiTheme="minorHAnsi" w:hAnsiTheme="minorHAnsi"/>
                <w:szCs w:val="24"/>
                <w:lang w:val="es-ES_tradnl"/>
              </w:rPr>
              <w:t>ciberriesgos</w:t>
            </w:r>
            <w:proofErr w:type="spellEnd"/>
            <w:r w:rsidR="00F45A0D" w:rsidRPr="007E3892">
              <w:rPr>
                <w:rFonts w:asciiTheme="minorHAnsi" w:hAnsiTheme="minorHAnsi"/>
                <w:szCs w:val="24"/>
                <w:lang w:val="es-ES_tradnl"/>
              </w:rPr>
              <w:t xml:space="preserve"> en las organizaciones.</w:t>
            </w:r>
          </w:p>
          <w:p w:rsidR="00F45A0D" w:rsidRPr="00FD3713" w:rsidRDefault="008465D5" w:rsidP="007E3892">
            <w:pPr>
              <w:pStyle w:val="enumlev1"/>
              <w:keepLines/>
              <w:rPr>
                <w:rFonts w:asciiTheme="minorHAnsi" w:hAnsiTheme="minorHAnsi"/>
                <w:szCs w:val="24"/>
                <w:lang w:val="es-ES_tradnl"/>
              </w:rPr>
            </w:pPr>
            <w:r w:rsidRPr="00FD3713">
              <w:rPr>
                <w:szCs w:val="24"/>
                <w:lang w:val="es-ES_tradnl"/>
              </w:rPr>
              <w:t>–</w:t>
            </w:r>
            <w:r w:rsidRPr="00FD3713">
              <w:rPr>
                <w:rFonts w:asciiTheme="minorHAnsi" w:hAnsiTheme="minorHAnsi"/>
                <w:szCs w:val="24"/>
                <w:lang w:val="es-ES_tradnl"/>
              </w:rPr>
              <w:tab/>
            </w:r>
            <w:r w:rsidR="00F45A0D" w:rsidRPr="007E3892">
              <w:rPr>
                <w:rFonts w:asciiTheme="minorHAnsi" w:hAnsiTheme="minorHAnsi"/>
                <w:szCs w:val="24"/>
                <w:lang w:val="es-ES_tradnl"/>
              </w:rPr>
              <w:t>Las reuniones finales de las Comisiones de Estudio 1 y 2</w:t>
            </w:r>
            <w:r w:rsidR="007E3892" w:rsidRPr="007E3892">
              <w:rPr>
                <w:rFonts w:asciiTheme="minorHAnsi" w:hAnsiTheme="minorHAnsi"/>
                <w:szCs w:val="24"/>
                <w:lang w:val="es-ES_tradnl"/>
              </w:rPr>
              <w:t xml:space="preserve"> para el ciclo de estudios 2014</w:t>
            </w:r>
            <w:r w:rsidR="007E3892" w:rsidRPr="007E3892">
              <w:rPr>
                <w:rFonts w:asciiTheme="minorHAnsi" w:hAnsiTheme="minorHAnsi"/>
                <w:szCs w:val="24"/>
                <w:lang w:val="es-ES_tradnl"/>
              </w:rPr>
              <w:noBreakHyphen/>
            </w:r>
            <w:r w:rsidR="00F45A0D" w:rsidRPr="007E3892">
              <w:rPr>
                <w:rFonts w:asciiTheme="minorHAnsi" w:hAnsiTheme="minorHAnsi"/>
                <w:szCs w:val="24"/>
                <w:lang w:val="es-ES_tradnl"/>
              </w:rPr>
              <w:t>2017 tuvieron lugar respectivamente del 27 al 31 de marzo y del 3 al 7 de abril de</w:t>
            </w:r>
            <w:r w:rsidR="007E3892" w:rsidRPr="007E3892">
              <w:rPr>
                <w:rFonts w:asciiTheme="minorHAnsi" w:hAnsiTheme="minorHAnsi"/>
                <w:szCs w:val="24"/>
                <w:lang w:val="es-ES_tradnl"/>
              </w:rPr>
              <w:t> </w:t>
            </w:r>
            <w:r w:rsidR="00F45A0D" w:rsidRPr="007E3892">
              <w:rPr>
                <w:rFonts w:asciiTheme="minorHAnsi" w:hAnsiTheme="minorHAnsi"/>
                <w:szCs w:val="24"/>
                <w:lang w:val="es-ES_tradnl"/>
              </w:rPr>
              <w:t xml:space="preserve">2017. En las reuniones de las Comisiones de Estudio 1 y 2 se alcanzó un acuerdo sobre los Informes finales que contienen los resultados solicitados por la </w:t>
            </w:r>
            <w:proofErr w:type="spellStart"/>
            <w:r w:rsidR="00F45A0D" w:rsidRPr="007E3892">
              <w:rPr>
                <w:rFonts w:asciiTheme="minorHAnsi" w:hAnsiTheme="minorHAnsi"/>
                <w:szCs w:val="24"/>
                <w:lang w:val="es-ES_tradnl"/>
              </w:rPr>
              <w:t>CMDT</w:t>
            </w:r>
            <w:proofErr w:type="spellEnd"/>
            <w:r w:rsidR="00F45A0D" w:rsidRPr="007E3892">
              <w:rPr>
                <w:rFonts w:asciiTheme="minorHAnsi" w:hAnsiTheme="minorHAnsi"/>
                <w:szCs w:val="24"/>
                <w:lang w:val="es-ES_tradnl"/>
              </w:rPr>
              <w:t xml:space="preserve">-14 para todas las Cuestiones de estudio de las dos Comisiones. Además, las Comisiones siguieron debatiendo el futuro de estas Cuestiones, lo que a su vez sirvió de información a los Estados Miembros que preparaban la </w:t>
            </w:r>
            <w:proofErr w:type="spellStart"/>
            <w:r w:rsidR="00F45A0D" w:rsidRPr="007E3892">
              <w:rPr>
                <w:rFonts w:asciiTheme="minorHAnsi" w:hAnsiTheme="minorHAnsi"/>
                <w:szCs w:val="24"/>
                <w:lang w:val="es-ES_tradnl"/>
              </w:rPr>
              <w:t>CMDT</w:t>
            </w:r>
            <w:proofErr w:type="spellEnd"/>
            <w:r w:rsidR="00F45A0D" w:rsidRPr="007E3892">
              <w:rPr>
                <w:rFonts w:asciiTheme="minorHAnsi" w:hAnsiTheme="minorHAnsi"/>
                <w:szCs w:val="24"/>
                <w:lang w:val="es-ES_tradnl"/>
              </w:rPr>
              <w:t>-17.</w:t>
            </w:r>
          </w:p>
          <w:p w:rsidR="00F45A0D" w:rsidRPr="00FD3713" w:rsidRDefault="008465D5" w:rsidP="008465D5">
            <w:pPr>
              <w:pStyle w:val="enumlev1"/>
              <w:rPr>
                <w:rFonts w:ascii="Calibri" w:hAnsi="Calibri"/>
                <w:szCs w:val="24"/>
                <w:lang w:val="es-ES_tradnl"/>
              </w:rPr>
            </w:pPr>
            <w:r w:rsidRPr="00FD3713">
              <w:rPr>
                <w:lang w:val="es-ES_tradnl"/>
              </w:rPr>
              <w:t>–</w:t>
            </w:r>
            <w:r w:rsidRPr="00FD3713">
              <w:rPr>
                <w:lang w:val="es-ES_tradnl"/>
              </w:rPr>
              <w:tab/>
            </w:r>
            <w:bookmarkStart w:id="47" w:name="lt_pId146"/>
            <w:r w:rsidR="00F45A0D" w:rsidRPr="00FD3713">
              <w:rPr>
                <w:rFonts w:ascii="Calibri" w:hAnsi="Calibri"/>
                <w:szCs w:val="24"/>
                <w:lang w:val="es-ES_tradnl"/>
              </w:rPr>
              <w:t>También se consideraron las fechas de las reuniones de la CE</w:t>
            </w:r>
            <w:r w:rsidR="00776434">
              <w:rPr>
                <w:rFonts w:ascii="Calibri" w:hAnsi="Calibri"/>
                <w:szCs w:val="24"/>
                <w:lang w:val="es-ES_tradnl"/>
              </w:rPr>
              <w:t xml:space="preserve"> </w:t>
            </w:r>
            <w:r w:rsidR="00F45A0D" w:rsidRPr="00FD3713">
              <w:rPr>
                <w:rFonts w:ascii="Calibri" w:hAnsi="Calibri"/>
                <w:szCs w:val="24"/>
                <w:lang w:val="es-ES_tradnl"/>
              </w:rPr>
              <w:t>1 y la CE</w:t>
            </w:r>
            <w:r w:rsidR="00776434">
              <w:rPr>
                <w:rFonts w:ascii="Calibri" w:hAnsi="Calibri"/>
                <w:szCs w:val="24"/>
                <w:lang w:val="es-ES_tradnl"/>
              </w:rPr>
              <w:t xml:space="preserve"> </w:t>
            </w:r>
            <w:r w:rsidR="00F45A0D" w:rsidRPr="00FD3713">
              <w:rPr>
                <w:rFonts w:ascii="Calibri" w:hAnsi="Calibri"/>
                <w:szCs w:val="24"/>
                <w:lang w:val="es-ES_tradnl"/>
              </w:rPr>
              <w:t>2 para el siguiente periodo de estudios (2018-2021).</w:t>
            </w:r>
            <w:bookmarkEnd w:id="47"/>
          </w:p>
          <w:p w:rsidR="00F45A0D" w:rsidRPr="00FD3713" w:rsidRDefault="008465D5" w:rsidP="008465D5">
            <w:pPr>
              <w:pStyle w:val="enumlev1"/>
              <w:rPr>
                <w:rFonts w:asciiTheme="minorHAnsi" w:hAnsiTheme="minorHAnsi"/>
                <w:szCs w:val="24"/>
                <w:lang w:val="es-ES_tradnl"/>
              </w:rPr>
            </w:pPr>
            <w:r w:rsidRPr="00FD3713">
              <w:rPr>
                <w:rFonts w:ascii="Calibri" w:hAnsi="Calibri"/>
                <w:szCs w:val="24"/>
                <w:lang w:val="es-ES_tradnl"/>
              </w:rPr>
              <w:t>–</w:t>
            </w:r>
            <w:r w:rsidRPr="00FD3713">
              <w:rPr>
                <w:rFonts w:ascii="Calibri" w:hAnsi="Calibri"/>
                <w:szCs w:val="24"/>
                <w:lang w:val="es-ES_tradnl"/>
              </w:rPr>
              <w:tab/>
            </w:r>
            <w:r w:rsidR="00F45A0D" w:rsidRPr="00776434">
              <w:rPr>
                <w:rFonts w:asciiTheme="minorHAnsi" w:hAnsiTheme="minorHAnsi"/>
                <w:szCs w:val="24"/>
                <w:lang w:val="es-ES_tradnl"/>
              </w:rPr>
              <w:t>Se ofreció la posibilidad de patrocinar actividades tales como exposiciones, actos paralelos y actos sociales coincidentes con las reuniones de las Comisiones de Estudio 1 y 2, incluidas las reuniones de los Grupos de Relator, en 2017.</w:t>
            </w:r>
          </w:p>
          <w:p w:rsidR="00F45A0D" w:rsidRPr="00FD3713" w:rsidRDefault="008465D5" w:rsidP="008465D5">
            <w:pPr>
              <w:pStyle w:val="enumlev1"/>
              <w:rPr>
                <w:rFonts w:ascii="Calibri" w:hAnsi="Calibri"/>
                <w:szCs w:val="24"/>
                <w:lang w:val="es-ES_tradnl"/>
              </w:rPr>
            </w:pPr>
            <w:r w:rsidRPr="00FD3713">
              <w:rPr>
                <w:szCs w:val="24"/>
                <w:lang w:val="es-ES_tradnl"/>
              </w:rPr>
              <w:t>–</w:t>
            </w:r>
            <w:r w:rsidRPr="00FD3713">
              <w:rPr>
                <w:rFonts w:asciiTheme="minorHAnsi" w:hAnsiTheme="minorHAnsi"/>
                <w:szCs w:val="24"/>
                <w:lang w:val="es-ES_tradnl"/>
              </w:rPr>
              <w:tab/>
            </w:r>
            <w:bookmarkStart w:id="48" w:name="lt_pId148"/>
            <w:r w:rsidR="00F45A0D" w:rsidRPr="00FD3713">
              <w:rPr>
                <w:rFonts w:ascii="Calibri" w:hAnsi="Calibri"/>
                <w:szCs w:val="24"/>
                <w:lang w:val="es-ES_tradnl"/>
              </w:rPr>
              <w:t xml:space="preserve">Se pidió a los Estados Miembros que designasen a sus candidatos a la presidencia y vicepresidencia de las Comisiones de Estudio del </w:t>
            </w:r>
            <w:proofErr w:type="spellStart"/>
            <w:r w:rsidR="00F45A0D" w:rsidRPr="00FD3713">
              <w:rPr>
                <w:rFonts w:ascii="Calibri" w:hAnsi="Calibri"/>
                <w:szCs w:val="24"/>
                <w:lang w:val="es-ES_tradnl"/>
              </w:rPr>
              <w:t>UIT</w:t>
            </w:r>
            <w:proofErr w:type="spellEnd"/>
            <w:r w:rsidR="00F45A0D" w:rsidRPr="00FD3713">
              <w:rPr>
                <w:rFonts w:ascii="Calibri" w:hAnsi="Calibri"/>
                <w:szCs w:val="24"/>
                <w:lang w:val="es-ES_tradnl"/>
              </w:rPr>
              <w:t>-D para el siguiente periodo de estudios (2018-2021) a partir de mayo de 2017.</w:t>
            </w:r>
            <w:bookmarkEnd w:id="48"/>
          </w:p>
          <w:p w:rsidR="00F45A0D" w:rsidRPr="00FD3713" w:rsidRDefault="008465D5" w:rsidP="00C46F35">
            <w:pPr>
              <w:pStyle w:val="enumlev1"/>
              <w:rPr>
                <w:rFonts w:ascii="Calibri" w:hAnsi="Calibri"/>
                <w:szCs w:val="24"/>
                <w:lang w:val="es-ES_tradnl"/>
              </w:rPr>
            </w:pPr>
            <w:r w:rsidRPr="00FD3713">
              <w:rPr>
                <w:rFonts w:ascii="Calibri" w:hAnsi="Calibri"/>
                <w:szCs w:val="24"/>
                <w:lang w:val="es-ES_tradnl"/>
              </w:rPr>
              <w:t>–</w:t>
            </w:r>
            <w:r w:rsidRPr="00FD3713">
              <w:rPr>
                <w:rFonts w:ascii="Calibri" w:hAnsi="Calibri"/>
                <w:szCs w:val="24"/>
                <w:lang w:val="es-ES_tradnl"/>
              </w:rPr>
              <w:tab/>
            </w:r>
            <w:bookmarkStart w:id="49" w:name="lt_pId149"/>
            <w:r w:rsidRPr="00FD3713">
              <w:rPr>
                <w:rFonts w:ascii="Calibri" w:hAnsi="Calibri"/>
                <w:szCs w:val="24"/>
                <w:lang w:val="es-ES_tradnl"/>
              </w:rPr>
              <w:t>E</w:t>
            </w:r>
            <w:r w:rsidR="00F45A0D" w:rsidRPr="00FD3713">
              <w:rPr>
                <w:rFonts w:ascii="Calibri" w:hAnsi="Calibri"/>
                <w:szCs w:val="24"/>
                <w:lang w:val="es-ES_tradnl"/>
              </w:rPr>
              <w:t xml:space="preserve">n total se finalizaron 18 publicaciones, disponibles </w:t>
            </w:r>
            <w:r w:rsidRPr="00FD3713">
              <w:rPr>
                <w:rFonts w:ascii="Calibri" w:hAnsi="Calibri"/>
                <w:szCs w:val="24"/>
                <w:lang w:val="es-ES_tradnl"/>
              </w:rPr>
              <w:t>en seis idiomas, para que en la </w:t>
            </w:r>
            <w:proofErr w:type="spellStart"/>
            <w:r w:rsidR="00F45A0D" w:rsidRPr="00FD3713">
              <w:rPr>
                <w:rFonts w:ascii="Calibri" w:hAnsi="Calibri"/>
                <w:szCs w:val="24"/>
                <w:lang w:val="es-ES_tradnl"/>
              </w:rPr>
              <w:t>CMDT</w:t>
            </w:r>
            <w:proofErr w:type="spellEnd"/>
            <w:r w:rsidR="00F45A0D" w:rsidRPr="00FD3713">
              <w:rPr>
                <w:rFonts w:ascii="Calibri" w:hAnsi="Calibri"/>
                <w:szCs w:val="24"/>
                <w:lang w:val="es-ES_tradnl"/>
              </w:rPr>
              <w:t>-17 se pudiesen presentar los productos en que se recogen los resultados de los estudios y encuesta</w:t>
            </w:r>
            <w:r w:rsidR="00C46F35">
              <w:rPr>
                <w:rFonts w:ascii="Calibri" w:hAnsi="Calibri"/>
                <w:szCs w:val="24"/>
                <w:lang w:val="es-ES_tradnl"/>
              </w:rPr>
              <w:t>s</w:t>
            </w:r>
            <w:r w:rsidR="00F45A0D" w:rsidRPr="00FD3713">
              <w:rPr>
                <w:rFonts w:ascii="Calibri" w:hAnsi="Calibri"/>
                <w:szCs w:val="24"/>
                <w:lang w:val="es-ES_tradnl"/>
              </w:rPr>
              <w:t xml:space="preserve"> </w:t>
            </w:r>
            <w:proofErr w:type="gramStart"/>
            <w:r w:rsidR="00F45A0D" w:rsidRPr="00FD3713">
              <w:rPr>
                <w:rFonts w:ascii="Calibri" w:hAnsi="Calibri"/>
                <w:szCs w:val="24"/>
                <w:lang w:val="es-ES_tradnl"/>
              </w:rPr>
              <w:t>realizados</w:t>
            </w:r>
            <w:proofErr w:type="gramEnd"/>
            <w:r w:rsidR="00F45A0D" w:rsidRPr="00FD3713">
              <w:rPr>
                <w:rFonts w:ascii="Calibri" w:hAnsi="Calibri"/>
                <w:szCs w:val="24"/>
                <w:lang w:val="es-ES_tradnl"/>
              </w:rPr>
              <w:t>, así como las contribuciones recibidas a lo largo del periodo 2014-2017.</w:t>
            </w:r>
            <w:bookmarkEnd w:id="49"/>
          </w:p>
          <w:p w:rsidR="00F45A0D" w:rsidRPr="00FD3713" w:rsidRDefault="008465D5" w:rsidP="004E2CDB">
            <w:pPr>
              <w:pStyle w:val="enumlev1"/>
              <w:rPr>
                <w:rFonts w:ascii="Calibri" w:hAnsi="Calibri"/>
                <w:szCs w:val="24"/>
                <w:lang w:val="es-ES_tradnl"/>
              </w:rPr>
            </w:pPr>
            <w:r w:rsidRPr="00FD3713">
              <w:rPr>
                <w:rFonts w:ascii="Calibri" w:hAnsi="Calibri"/>
                <w:szCs w:val="24"/>
                <w:lang w:val="es-ES_tradnl"/>
              </w:rPr>
              <w:t>–</w:t>
            </w:r>
            <w:r w:rsidRPr="00FD3713">
              <w:rPr>
                <w:rFonts w:ascii="Calibri" w:hAnsi="Calibri"/>
                <w:szCs w:val="24"/>
                <w:lang w:val="es-ES_tradnl"/>
              </w:rPr>
              <w:tab/>
            </w:r>
            <w:bookmarkStart w:id="50" w:name="lt_pId150"/>
            <w:r w:rsidRPr="00FD3713">
              <w:rPr>
                <w:rFonts w:ascii="Calibri" w:hAnsi="Calibri"/>
                <w:szCs w:val="24"/>
                <w:lang w:val="es-ES_tradnl"/>
              </w:rPr>
              <w:t>L</w:t>
            </w:r>
            <w:r w:rsidR="00F45A0D" w:rsidRPr="00FD3713">
              <w:rPr>
                <w:rFonts w:ascii="Calibri" w:hAnsi="Calibri"/>
                <w:szCs w:val="24"/>
                <w:lang w:val="es-ES_tradnl"/>
              </w:rPr>
              <w:t xml:space="preserve">a </w:t>
            </w:r>
            <w:proofErr w:type="spellStart"/>
            <w:r w:rsidR="00F45A0D" w:rsidRPr="00FD3713">
              <w:rPr>
                <w:rFonts w:ascii="Calibri" w:hAnsi="Calibri"/>
                <w:szCs w:val="24"/>
                <w:lang w:val="es-ES_tradnl"/>
              </w:rPr>
              <w:t>CMDT</w:t>
            </w:r>
            <w:proofErr w:type="spellEnd"/>
            <w:r w:rsidR="00F45A0D" w:rsidRPr="00FD3713">
              <w:rPr>
                <w:rFonts w:ascii="Calibri" w:hAnsi="Calibri"/>
                <w:szCs w:val="24"/>
                <w:lang w:val="es-ES_tradnl"/>
              </w:rPr>
              <w:t xml:space="preserve">-17 reforzó la función de las Comisiones de Estudio del </w:t>
            </w:r>
            <w:proofErr w:type="spellStart"/>
            <w:r w:rsidR="00F45A0D" w:rsidRPr="00FD3713">
              <w:rPr>
                <w:rFonts w:ascii="Calibri" w:hAnsi="Calibri"/>
                <w:szCs w:val="24"/>
                <w:lang w:val="es-ES_tradnl"/>
              </w:rPr>
              <w:t>UIT</w:t>
            </w:r>
            <w:proofErr w:type="spellEnd"/>
            <w:r w:rsidR="00F45A0D" w:rsidRPr="00FD3713">
              <w:rPr>
                <w:rFonts w:ascii="Calibri" w:hAnsi="Calibri"/>
                <w:szCs w:val="24"/>
                <w:lang w:val="es-ES_tradnl"/>
              </w:rPr>
              <w:t>-D para ofrecer a los Miembros una plataforma donde compartir experiencias, presentar ideas, intercambiar opiniones y llegar a un consenso sobre las estrategias aplicables a las prioridades en materia de telecomunicaciones/TIC. La Conferencia nombró también al nuevo Equipo d</w:t>
            </w:r>
            <w:r w:rsidR="00C46F35">
              <w:rPr>
                <w:rFonts w:ascii="Calibri" w:hAnsi="Calibri"/>
                <w:szCs w:val="24"/>
                <w:lang w:val="es-ES_tradnl"/>
              </w:rPr>
              <w:t>e Dirección, compuesto por dos p</w:t>
            </w:r>
            <w:r w:rsidR="00F45A0D" w:rsidRPr="00FD3713">
              <w:rPr>
                <w:rFonts w:ascii="Calibri" w:hAnsi="Calibri"/>
                <w:szCs w:val="24"/>
                <w:lang w:val="es-ES_tradnl"/>
              </w:rPr>
              <w:t xml:space="preserve">residentes y </w:t>
            </w:r>
            <w:bookmarkStart w:id="51" w:name="lt_pId151"/>
            <w:bookmarkEnd w:id="50"/>
            <w:r w:rsidR="00C46F35">
              <w:rPr>
                <w:rFonts w:ascii="Calibri" w:hAnsi="Calibri"/>
                <w:szCs w:val="24"/>
                <w:lang w:val="es-ES_tradnl"/>
              </w:rPr>
              <w:t>23 v</w:t>
            </w:r>
            <w:r w:rsidR="00F45A0D" w:rsidRPr="00FD3713">
              <w:rPr>
                <w:rFonts w:ascii="Calibri" w:hAnsi="Calibri"/>
                <w:szCs w:val="24"/>
                <w:lang w:val="es-ES_tradnl"/>
              </w:rPr>
              <w:t xml:space="preserve">icepresidentes de las seis regiones. En cuanto al ámbito de competencia de las Comisiones de Estudio del </w:t>
            </w:r>
            <w:proofErr w:type="spellStart"/>
            <w:r w:rsidR="00F45A0D" w:rsidRPr="00FD3713">
              <w:rPr>
                <w:rFonts w:ascii="Calibri" w:hAnsi="Calibri"/>
                <w:szCs w:val="24"/>
                <w:lang w:val="es-ES_tradnl"/>
              </w:rPr>
              <w:t>UIT</w:t>
            </w:r>
            <w:proofErr w:type="spellEnd"/>
            <w:r w:rsidR="00F45A0D" w:rsidRPr="00FD3713">
              <w:rPr>
                <w:rFonts w:ascii="Calibri" w:hAnsi="Calibri"/>
                <w:szCs w:val="24"/>
                <w:lang w:val="es-ES_tradnl"/>
              </w:rPr>
              <w:t>-D en el nuevo ciclo</w:t>
            </w:r>
            <w:bookmarkStart w:id="52" w:name="lt_pId152"/>
            <w:bookmarkEnd w:id="51"/>
            <w:r w:rsidR="00F45A0D" w:rsidRPr="00FD3713">
              <w:rPr>
                <w:rFonts w:ascii="Calibri" w:hAnsi="Calibri"/>
                <w:szCs w:val="24"/>
                <w:lang w:val="es-ES_tradnl"/>
              </w:rPr>
              <w:t xml:space="preserve"> 2018-2021, a través de sus 14 nuevas Cuestiones de estudio, la CE</w:t>
            </w:r>
            <w:r w:rsidRPr="00FD3713">
              <w:rPr>
                <w:rFonts w:ascii="Calibri" w:hAnsi="Calibri"/>
                <w:szCs w:val="24"/>
                <w:lang w:val="es-ES_tradnl"/>
              </w:rPr>
              <w:t xml:space="preserve"> </w:t>
            </w:r>
            <w:r w:rsidR="00F45A0D" w:rsidRPr="00FD3713">
              <w:rPr>
                <w:rFonts w:ascii="Calibri" w:hAnsi="Calibri"/>
                <w:szCs w:val="24"/>
                <w:lang w:val="es-ES_tradnl"/>
              </w:rPr>
              <w:t xml:space="preserve">1 del </w:t>
            </w:r>
            <w:proofErr w:type="spellStart"/>
            <w:r w:rsidR="00F45A0D" w:rsidRPr="00FD3713">
              <w:rPr>
                <w:rFonts w:ascii="Calibri" w:hAnsi="Calibri"/>
                <w:szCs w:val="24"/>
                <w:lang w:val="es-ES_tradnl"/>
              </w:rPr>
              <w:t>UIT</w:t>
            </w:r>
            <w:proofErr w:type="spellEnd"/>
            <w:r w:rsidR="00F45A0D" w:rsidRPr="00FD3713">
              <w:rPr>
                <w:rFonts w:ascii="Calibri" w:hAnsi="Calibri"/>
                <w:szCs w:val="24"/>
                <w:lang w:val="es-ES_tradnl"/>
              </w:rPr>
              <w:t xml:space="preserve">-D seguirá centrándose en el </w:t>
            </w:r>
            <w:r w:rsidR="004E2CDB" w:rsidRPr="00FD3713">
              <w:rPr>
                <w:rFonts w:ascii="Calibri" w:hAnsi="Calibri"/>
                <w:szCs w:val="24"/>
                <w:lang w:val="es-ES_tradnl"/>
              </w:rPr>
              <w:t>"</w:t>
            </w:r>
            <w:r w:rsidR="00F45A0D" w:rsidRPr="00FD3713">
              <w:rPr>
                <w:rFonts w:ascii="Calibri" w:hAnsi="Calibri"/>
                <w:szCs w:val="24"/>
                <w:lang w:val="es-ES_tradnl"/>
              </w:rPr>
              <w:t>Entorno habilitador para el desarrollo de las telecomunicaciones/TIC</w:t>
            </w:r>
            <w:r w:rsidR="004E2CDB" w:rsidRPr="00FD3713">
              <w:rPr>
                <w:rFonts w:ascii="Calibri" w:hAnsi="Calibri"/>
                <w:szCs w:val="24"/>
                <w:lang w:val="es-ES_tradnl"/>
              </w:rPr>
              <w:t>"</w:t>
            </w:r>
            <w:r w:rsidR="00F45A0D" w:rsidRPr="00FD3713">
              <w:rPr>
                <w:rFonts w:ascii="Calibri" w:hAnsi="Calibri"/>
                <w:szCs w:val="24"/>
                <w:lang w:val="es-ES_tradnl"/>
              </w:rPr>
              <w:t xml:space="preserve"> y la CE</w:t>
            </w:r>
            <w:r w:rsidRPr="00FD3713">
              <w:rPr>
                <w:rFonts w:ascii="Calibri" w:hAnsi="Calibri"/>
                <w:szCs w:val="24"/>
                <w:lang w:val="es-ES_tradnl"/>
              </w:rPr>
              <w:t xml:space="preserve"> </w:t>
            </w:r>
            <w:r w:rsidR="00F45A0D" w:rsidRPr="00FD3713">
              <w:rPr>
                <w:rFonts w:ascii="Calibri" w:hAnsi="Calibri"/>
                <w:szCs w:val="24"/>
                <w:lang w:val="es-ES_tradnl"/>
              </w:rPr>
              <w:t xml:space="preserve">2 se ocupará de los </w:t>
            </w:r>
            <w:r w:rsidR="004E2CDB" w:rsidRPr="00FD3713">
              <w:rPr>
                <w:rFonts w:ascii="Calibri" w:hAnsi="Calibri"/>
                <w:szCs w:val="24"/>
                <w:lang w:val="es-ES_tradnl"/>
              </w:rPr>
              <w:t>"</w:t>
            </w:r>
            <w:r w:rsidR="00F45A0D" w:rsidRPr="00FD3713">
              <w:rPr>
                <w:rFonts w:ascii="Calibri" w:hAnsi="Calibri"/>
                <w:szCs w:val="24"/>
                <w:lang w:val="es-ES_tradnl"/>
              </w:rPr>
              <w:t>Servicios y aplicaciones de TIC para la promoción del desarrollo sostenible</w:t>
            </w:r>
            <w:r w:rsidR="004E2CDB" w:rsidRPr="00FD3713">
              <w:rPr>
                <w:rFonts w:ascii="Calibri" w:hAnsi="Calibri"/>
                <w:szCs w:val="24"/>
                <w:lang w:val="es-ES_tradnl"/>
              </w:rPr>
              <w:t>"</w:t>
            </w:r>
            <w:r w:rsidR="00F45A0D" w:rsidRPr="00FD3713">
              <w:rPr>
                <w:rFonts w:ascii="Calibri" w:hAnsi="Calibri"/>
                <w:szCs w:val="24"/>
                <w:lang w:val="es-ES_tradnl"/>
              </w:rPr>
              <w:t>.</w:t>
            </w:r>
            <w:bookmarkEnd w:id="52"/>
          </w:p>
          <w:p w:rsidR="00F45A0D" w:rsidRPr="00FD3713" w:rsidRDefault="008465D5" w:rsidP="008C57DF">
            <w:pPr>
              <w:pStyle w:val="enumlev1"/>
              <w:spacing w:after="120"/>
              <w:rPr>
                <w:rFonts w:ascii="Calibri" w:hAnsi="Calibri"/>
                <w:szCs w:val="24"/>
                <w:lang w:val="es-ES_tradnl"/>
              </w:rPr>
            </w:pPr>
            <w:r w:rsidRPr="00FD3713">
              <w:rPr>
                <w:rFonts w:ascii="Calibri" w:hAnsi="Calibri"/>
                <w:szCs w:val="24"/>
                <w:lang w:val="es-ES_tradnl"/>
              </w:rPr>
              <w:t>–</w:t>
            </w:r>
            <w:r w:rsidRPr="00FD3713">
              <w:rPr>
                <w:rFonts w:ascii="Calibri" w:hAnsi="Calibri"/>
                <w:szCs w:val="24"/>
                <w:lang w:val="es-ES_tradnl"/>
              </w:rPr>
              <w:tab/>
            </w:r>
            <w:bookmarkStart w:id="53" w:name="lt_pId153"/>
            <w:r w:rsidR="00F45A0D" w:rsidRPr="00FD3713">
              <w:rPr>
                <w:rFonts w:ascii="Calibri" w:hAnsi="Calibri"/>
                <w:szCs w:val="24"/>
                <w:lang w:val="es-ES_tradnl"/>
              </w:rPr>
              <w:t>Se pidió a los Estados Miembros, los Miembros del Sector, los Asociados y las Instituciones Académicas que presentasen a sus candi</w:t>
            </w:r>
            <w:r w:rsidR="008C57DF">
              <w:rPr>
                <w:rFonts w:ascii="Calibri" w:hAnsi="Calibri"/>
                <w:szCs w:val="24"/>
                <w:lang w:val="es-ES_tradnl"/>
              </w:rPr>
              <w:t xml:space="preserve">datos a relator y </w:t>
            </w:r>
            <w:proofErr w:type="spellStart"/>
            <w:r w:rsidR="008C57DF">
              <w:rPr>
                <w:rFonts w:ascii="Calibri" w:hAnsi="Calibri"/>
                <w:szCs w:val="24"/>
                <w:lang w:val="es-ES_tradnl"/>
              </w:rPr>
              <w:t>v</w:t>
            </w:r>
            <w:r w:rsidR="00F45A0D" w:rsidRPr="00FD3713">
              <w:rPr>
                <w:rFonts w:ascii="Calibri" w:hAnsi="Calibri"/>
                <w:szCs w:val="24"/>
                <w:lang w:val="es-ES_tradnl"/>
              </w:rPr>
              <w:t>icerrelator</w:t>
            </w:r>
            <w:proofErr w:type="spellEnd"/>
            <w:r w:rsidR="00F45A0D" w:rsidRPr="00FD3713">
              <w:rPr>
                <w:rFonts w:ascii="Calibri" w:hAnsi="Calibri"/>
                <w:szCs w:val="24"/>
                <w:lang w:val="es-ES_tradnl"/>
              </w:rPr>
              <w:t xml:space="preserve"> para las 14 nuevas Cuestiones de estudio a partir de noviembre de 2017.</w:t>
            </w:r>
            <w:bookmarkEnd w:id="53"/>
          </w:p>
        </w:tc>
      </w:tr>
      <w:tr w:rsidR="00F45A0D" w:rsidRPr="00FD3713" w:rsidTr="00C207F6">
        <w:tc>
          <w:tcPr>
            <w:tcW w:w="2972" w:type="dxa"/>
          </w:tcPr>
          <w:p w:rsidR="00F45A0D" w:rsidRPr="00FD3713" w:rsidRDefault="00F45A0D" w:rsidP="00A75780">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656" w:type="dxa"/>
          </w:tcPr>
          <w:p w:rsidR="00F45A0D" w:rsidRPr="00FD3713" w:rsidRDefault="00F45A0D" w:rsidP="00A75780">
            <w:pPr>
              <w:spacing w:before="60" w:after="60"/>
              <w:rPr>
                <w:rFonts w:asciiTheme="minorHAnsi" w:hAnsiTheme="minorHAnsi"/>
                <w:szCs w:val="24"/>
                <w:lang w:val="es-ES_tradnl"/>
              </w:rPr>
            </w:pPr>
            <w:bookmarkStart w:id="54" w:name="lt_pId155"/>
            <w:r w:rsidRPr="00FD3713">
              <w:rPr>
                <w:rFonts w:asciiTheme="minorHAnsi" w:hAnsiTheme="minorHAnsi"/>
                <w:szCs w:val="24"/>
                <w:lang w:val="es-ES_tradnl"/>
              </w:rPr>
              <w:t>Resoluciones 1, 2, 5, 9, 17, 21, 30, 33, 50, 59, 61, 80, 81</w:t>
            </w:r>
            <w:bookmarkEnd w:id="54"/>
          </w:p>
        </w:tc>
      </w:tr>
      <w:tr w:rsidR="00F45A0D" w:rsidRPr="00FD3713" w:rsidTr="00C207F6">
        <w:tc>
          <w:tcPr>
            <w:tcW w:w="2972" w:type="dxa"/>
          </w:tcPr>
          <w:p w:rsidR="00F45A0D" w:rsidRPr="00FD3713" w:rsidRDefault="00F45A0D" w:rsidP="00A75780">
            <w:pPr>
              <w:spacing w:before="60" w:after="60"/>
              <w:rPr>
                <w:rFonts w:asciiTheme="minorHAnsi" w:hAnsiTheme="minorHAnsi"/>
                <w:i/>
                <w:iCs/>
                <w:szCs w:val="24"/>
                <w:lang w:val="es-ES_tradnl"/>
              </w:rPr>
            </w:pPr>
            <w:proofErr w:type="spellStart"/>
            <w:r w:rsidRPr="00FD3713">
              <w:rPr>
                <w:rFonts w:asciiTheme="minorHAnsi" w:eastAsia="Calibri" w:hAnsiTheme="minorHAnsi" w:cs="Arial"/>
                <w:i/>
                <w:iCs/>
                <w:szCs w:val="24"/>
                <w:lang w:val="es-ES_tradnl"/>
              </w:rPr>
              <w:t>UIT</w:t>
            </w:r>
            <w:proofErr w:type="spellEnd"/>
            <w:r w:rsidRPr="00FD3713">
              <w:rPr>
                <w:rFonts w:asciiTheme="minorHAnsi" w:eastAsia="Calibri" w:hAnsiTheme="minorHAnsi" w:cs="Arial"/>
                <w:i/>
                <w:iCs/>
                <w:szCs w:val="24"/>
                <w:lang w:val="es-ES_tradnl"/>
              </w:rPr>
              <w:t>-D</w:t>
            </w:r>
          </w:p>
        </w:tc>
        <w:tc>
          <w:tcPr>
            <w:tcW w:w="6656" w:type="dxa"/>
          </w:tcPr>
          <w:p w:rsidR="00F45A0D" w:rsidRPr="00FD3713" w:rsidRDefault="00F45A0D" w:rsidP="00A75780">
            <w:pPr>
              <w:spacing w:before="60" w:after="60"/>
              <w:rPr>
                <w:rFonts w:asciiTheme="minorHAnsi" w:hAnsiTheme="minorHAnsi"/>
                <w:szCs w:val="24"/>
                <w:lang w:val="es-ES_tradnl"/>
              </w:rPr>
            </w:pPr>
            <w:bookmarkStart w:id="55" w:name="lt_pId157"/>
            <w:r w:rsidRPr="00FD3713">
              <w:rPr>
                <w:rFonts w:asciiTheme="minorHAnsi" w:hAnsiTheme="minorHAnsi"/>
                <w:szCs w:val="24"/>
                <w:lang w:val="es-ES_tradnl"/>
              </w:rPr>
              <w:t>Recomendaciones 15, 16, 17, 19, 20, 21, 22</w:t>
            </w:r>
            <w:bookmarkEnd w:id="55"/>
          </w:p>
        </w:tc>
      </w:tr>
      <w:tr w:rsidR="00F45A0D" w:rsidRPr="008D434B" w:rsidTr="00C207F6">
        <w:tc>
          <w:tcPr>
            <w:tcW w:w="2972" w:type="dxa"/>
          </w:tcPr>
          <w:p w:rsidR="00F45A0D" w:rsidRPr="00FD3713" w:rsidRDefault="00F45A0D" w:rsidP="00A75780">
            <w:pPr>
              <w:spacing w:before="60" w:after="60"/>
              <w:rPr>
                <w:rFonts w:asciiTheme="minorHAnsi" w:hAnsiTheme="minorHAnsi"/>
                <w:i/>
                <w:iCs/>
                <w:szCs w:val="24"/>
                <w:lang w:val="es-ES_tradnl"/>
              </w:rPr>
            </w:pPr>
            <w:r w:rsidRPr="00FD3713">
              <w:rPr>
                <w:rFonts w:asciiTheme="minorHAnsi" w:hAnsiTheme="minorHAnsi"/>
                <w:i/>
                <w:iCs/>
                <w:szCs w:val="24"/>
                <w:lang w:val="es-ES_tradnl"/>
              </w:rPr>
              <w:t>Conferencia de Plenipotenciarios</w:t>
            </w:r>
          </w:p>
        </w:tc>
        <w:tc>
          <w:tcPr>
            <w:tcW w:w="6656" w:type="dxa"/>
          </w:tcPr>
          <w:p w:rsidR="00F45A0D" w:rsidRPr="00FD3713" w:rsidRDefault="00F45A0D" w:rsidP="00A75780">
            <w:pPr>
              <w:spacing w:before="60" w:after="60"/>
              <w:rPr>
                <w:rFonts w:asciiTheme="minorHAnsi" w:hAnsiTheme="minorHAnsi"/>
                <w:szCs w:val="24"/>
                <w:lang w:val="es-ES_tradnl"/>
              </w:rPr>
            </w:pPr>
            <w:r w:rsidRPr="00FD3713">
              <w:rPr>
                <w:rFonts w:asciiTheme="minorHAnsi" w:hAnsiTheme="minorHAnsi"/>
                <w:szCs w:val="24"/>
                <w:lang w:val="es-ES_tradnl"/>
              </w:rPr>
              <w:t>Decisiones de la PP: 5 y 13</w:t>
            </w:r>
            <w:r w:rsidRPr="00FD3713">
              <w:rPr>
                <w:rFonts w:asciiTheme="minorHAnsi" w:hAnsiTheme="minorHAnsi"/>
                <w:szCs w:val="24"/>
                <w:lang w:val="es-ES_tradnl"/>
              </w:rPr>
              <w:br/>
              <w:t>Resoluciones de la PP: 25, 71, 133, 135, 140, 154, 165, 166, 167</w:t>
            </w:r>
          </w:p>
        </w:tc>
      </w:tr>
      <w:tr w:rsidR="00F45A0D" w:rsidRPr="00FD3713" w:rsidTr="00C207F6">
        <w:tc>
          <w:tcPr>
            <w:tcW w:w="2972" w:type="dxa"/>
          </w:tcPr>
          <w:p w:rsidR="00F45A0D" w:rsidRPr="00FD3713" w:rsidRDefault="00F45A0D" w:rsidP="006505B2">
            <w:pPr>
              <w:spacing w:before="60" w:after="60"/>
              <w:rPr>
                <w:rFonts w:asciiTheme="minorHAnsi" w:hAnsiTheme="minorHAnsi"/>
                <w:i/>
                <w:iCs/>
                <w:szCs w:val="24"/>
                <w:lang w:val="es-ES_tradnl"/>
              </w:rPr>
            </w:pPr>
            <w:r w:rsidRPr="00FD3713">
              <w:rPr>
                <w:rFonts w:asciiTheme="minorHAnsi" w:hAnsiTheme="minorHAnsi"/>
                <w:i/>
                <w:iCs/>
                <w:szCs w:val="24"/>
                <w:lang w:val="es-ES_tradnl"/>
              </w:rPr>
              <w:t>Consejo</w:t>
            </w:r>
          </w:p>
        </w:tc>
        <w:tc>
          <w:tcPr>
            <w:tcW w:w="6656" w:type="dxa"/>
          </w:tcPr>
          <w:p w:rsidR="00F45A0D" w:rsidRPr="00FD3713" w:rsidRDefault="00F45A0D" w:rsidP="006505B2">
            <w:pPr>
              <w:spacing w:before="60" w:after="60"/>
              <w:rPr>
                <w:rFonts w:asciiTheme="minorHAnsi" w:hAnsiTheme="minorHAnsi"/>
                <w:szCs w:val="24"/>
                <w:lang w:val="es-ES_tradnl"/>
              </w:rPr>
            </w:pPr>
            <w:r w:rsidRPr="00FD3713">
              <w:rPr>
                <w:rFonts w:asciiTheme="minorHAnsi" w:hAnsiTheme="minorHAnsi"/>
                <w:szCs w:val="24"/>
                <w:lang w:val="es-ES_tradnl"/>
              </w:rPr>
              <w:t>1372</w:t>
            </w:r>
          </w:p>
        </w:tc>
      </w:tr>
      <w:tr w:rsidR="00F45A0D" w:rsidRPr="008D434B" w:rsidTr="00C207F6">
        <w:tc>
          <w:tcPr>
            <w:tcW w:w="2972" w:type="dxa"/>
          </w:tcPr>
          <w:p w:rsidR="00F45A0D" w:rsidRPr="00FD3713" w:rsidRDefault="00F45A0D" w:rsidP="006505B2">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656" w:type="dxa"/>
          </w:tcPr>
          <w:p w:rsidR="00F45A0D" w:rsidRPr="00FD3713" w:rsidRDefault="00F45A0D" w:rsidP="006505B2">
            <w:pPr>
              <w:spacing w:before="60" w:after="60"/>
              <w:rPr>
                <w:rFonts w:asciiTheme="minorHAnsi" w:hAnsiTheme="minorHAnsi"/>
                <w:szCs w:val="24"/>
                <w:lang w:val="es-ES_tradnl"/>
              </w:rPr>
            </w:pPr>
            <w:r w:rsidRPr="00FD3713">
              <w:rPr>
                <w:rFonts w:asciiTheme="minorHAnsi" w:hAnsiTheme="minorHAnsi"/>
                <w:szCs w:val="24"/>
                <w:lang w:val="es-ES_tradnl"/>
              </w:rPr>
              <w:t xml:space="preserve">Líneas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C1</w:t>
            </w:r>
            <w:proofErr w:type="spellEnd"/>
            <w:r w:rsidRPr="00FD3713">
              <w:rPr>
                <w:rFonts w:asciiTheme="minorHAnsi" w:hAnsiTheme="minorHAnsi"/>
                <w:szCs w:val="24"/>
                <w:lang w:val="es-ES_tradnl"/>
              </w:rPr>
              <w:t xml:space="preserve"> y </w:t>
            </w:r>
            <w:proofErr w:type="spellStart"/>
            <w:r w:rsidRPr="00FD3713">
              <w:rPr>
                <w:rFonts w:asciiTheme="minorHAnsi" w:hAnsiTheme="minorHAnsi"/>
                <w:szCs w:val="24"/>
                <w:lang w:val="es-ES_tradnl"/>
              </w:rPr>
              <w:t>C11</w:t>
            </w:r>
            <w:proofErr w:type="spellEnd"/>
          </w:p>
        </w:tc>
      </w:tr>
      <w:tr w:rsidR="00F45A0D" w:rsidRPr="008D434B" w:rsidTr="00C207F6">
        <w:tc>
          <w:tcPr>
            <w:tcW w:w="2972" w:type="dxa"/>
          </w:tcPr>
          <w:p w:rsidR="00F45A0D" w:rsidRPr="00FD3713" w:rsidRDefault="00F45A0D" w:rsidP="00F45A0D">
            <w:pPr>
              <w:spacing w:before="0"/>
              <w:rPr>
                <w:rFonts w:asciiTheme="minorHAnsi" w:hAnsiTheme="minorHAnsi"/>
                <w:i/>
                <w:iCs/>
                <w:szCs w:val="24"/>
                <w:lang w:val="es-ES_tradnl"/>
              </w:rPr>
            </w:pPr>
            <w:r w:rsidRPr="00FD3713">
              <w:rPr>
                <w:rFonts w:asciiTheme="minorHAnsi" w:hAnsiTheme="minorHAnsi"/>
                <w:i/>
                <w:iCs/>
                <w:szCs w:val="24"/>
                <w:lang w:val="es-ES_tradnl"/>
              </w:rPr>
              <w:t xml:space="preserve">Contribución a las metas de los </w:t>
            </w:r>
            <w:proofErr w:type="spellStart"/>
            <w:r w:rsidRPr="00FD3713">
              <w:rPr>
                <w:rFonts w:asciiTheme="minorHAnsi" w:hAnsiTheme="minorHAnsi"/>
                <w:i/>
                <w:iCs/>
                <w:szCs w:val="24"/>
                <w:lang w:val="es-ES_tradnl"/>
              </w:rPr>
              <w:t>ODS</w:t>
            </w:r>
            <w:proofErr w:type="spellEnd"/>
          </w:p>
        </w:tc>
        <w:tc>
          <w:tcPr>
            <w:tcW w:w="6656" w:type="dxa"/>
          </w:tcPr>
          <w:p w:rsidR="00F45A0D" w:rsidRPr="00FD3713" w:rsidRDefault="00F45A0D" w:rsidP="00F45A0D">
            <w:pPr>
              <w:spacing w:before="0"/>
              <w:rPr>
                <w:rFonts w:asciiTheme="minorHAnsi" w:hAnsiTheme="minorHAnsi"/>
                <w:szCs w:val="24"/>
                <w:lang w:val="es-ES_tradnl"/>
              </w:rPr>
            </w:pP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1 (meta </w:t>
            </w:r>
            <w:proofErr w:type="spellStart"/>
            <w:r w:rsidRPr="00FD3713">
              <w:rPr>
                <w:rFonts w:asciiTheme="minorHAnsi" w:hAnsiTheme="minorHAnsi"/>
                <w:szCs w:val="24"/>
                <w:lang w:val="es-ES_tradnl"/>
              </w:rPr>
              <w:t>1.b</w:t>
            </w:r>
            <w:proofErr w:type="spellEnd"/>
            <w:r w:rsidRPr="00FD3713">
              <w:rPr>
                <w:rFonts w:asciiTheme="minorHAnsi" w:hAnsiTheme="minorHAnsi"/>
                <w:szCs w:val="24"/>
                <w:lang w:val="es-ES_tradnl"/>
              </w:rPr>
              <w:t xml:space="preserve">), 3 (meta </w:t>
            </w:r>
            <w:proofErr w:type="spellStart"/>
            <w:r w:rsidRPr="00FD3713">
              <w:rPr>
                <w:rFonts w:asciiTheme="minorHAnsi" w:hAnsiTheme="minorHAnsi"/>
                <w:szCs w:val="24"/>
                <w:lang w:val="es-ES_tradnl"/>
              </w:rPr>
              <w:t>3.d</w:t>
            </w:r>
            <w:proofErr w:type="spellEnd"/>
            <w:r w:rsidRPr="00FD3713">
              <w:rPr>
                <w:rFonts w:asciiTheme="minorHAnsi" w:hAnsiTheme="minorHAnsi"/>
                <w:szCs w:val="24"/>
                <w:lang w:val="es-ES_tradnl"/>
              </w:rPr>
              <w:t>), 5, 10, 16 (metas 16.5, 16.6, 16.10), 17 (metas 17.9, 17.16, 17.17, 17.18)</w:t>
            </w:r>
          </w:p>
        </w:tc>
      </w:tr>
    </w:tbl>
    <w:p w:rsidR="00F45A0D" w:rsidRPr="00FD3713" w:rsidRDefault="00F45A0D" w:rsidP="008465D5">
      <w:pPr>
        <w:pStyle w:val="Heading1"/>
        <w:rPr>
          <w:i/>
          <w:iCs/>
          <w:lang w:val="es-ES_tradnl"/>
        </w:rPr>
      </w:pPr>
      <w:r w:rsidRPr="00FD3713">
        <w:rPr>
          <w:lang w:val="es-ES_tradnl"/>
        </w:rPr>
        <w:lastRenderedPageBreak/>
        <w:t>2</w:t>
      </w:r>
      <w:r w:rsidRPr="00FD3713">
        <w:rPr>
          <w:lang w:val="es-ES_tradnl"/>
        </w:rPr>
        <w:tab/>
        <w:t xml:space="preserve">Objetivo 2: </w:t>
      </w:r>
      <w:r w:rsidRPr="00FD3713">
        <w:rPr>
          <w:i/>
          <w:iCs/>
          <w:lang w:val="es-ES_tradnl"/>
        </w:rPr>
        <w:t>"Fomentar un entorno propicio para el desarrollo de las TIC y fomentar el desarrollo de redes de telecomunicaciones/TIC, así como las aplicaciones y los servicios pertinentes, incluida la reducción de la brecha en materia de normalización"</w:t>
      </w:r>
    </w:p>
    <w:p w:rsidR="00F45A0D" w:rsidRPr="00FD3713" w:rsidRDefault="00F45A0D" w:rsidP="008465D5">
      <w:pPr>
        <w:pStyle w:val="Heading2"/>
        <w:spacing w:after="120"/>
        <w:rPr>
          <w:lang w:val="es-ES_tradnl"/>
        </w:rPr>
      </w:pPr>
      <w:r w:rsidRPr="00FD3713">
        <w:rPr>
          <w:lang w:val="es-ES_tradnl"/>
        </w:rPr>
        <w:t>2.1</w:t>
      </w:r>
      <w:r w:rsidRPr="00FD3713">
        <w:rPr>
          <w:lang w:val="es-ES_tradnl"/>
        </w:rPr>
        <w:tab/>
        <w:t>Marcos de política y reglamentación</w:t>
      </w:r>
    </w:p>
    <w:tbl>
      <w:tblPr>
        <w:tblStyle w:val="TableGrid"/>
        <w:tblW w:w="0" w:type="auto"/>
        <w:tblLook w:val="04A0" w:firstRow="1" w:lastRow="0" w:firstColumn="1" w:lastColumn="0" w:noHBand="0" w:noVBand="1"/>
      </w:tblPr>
      <w:tblGrid>
        <w:gridCol w:w="2830"/>
        <w:gridCol w:w="6798"/>
      </w:tblGrid>
      <w:tr w:rsidR="00F45A0D" w:rsidRPr="008D434B" w:rsidTr="00F45A0D">
        <w:trPr>
          <w:trHeight w:val="1416"/>
        </w:trPr>
        <w:tc>
          <w:tcPr>
            <w:tcW w:w="9628" w:type="dxa"/>
            <w:gridSpan w:val="2"/>
          </w:tcPr>
          <w:p w:rsidR="00F45A0D" w:rsidRPr="00C52A24" w:rsidRDefault="00F45A0D" w:rsidP="00F45A0D">
            <w:pPr>
              <w:tabs>
                <w:tab w:val="clear" w:pos="794"/>
                <w:tab w:val="clear" w:pos="1191"/>
                <w:tab w:val="clear" w:pos="1588"/>
                <w:tab w:val="clear" w:pos="1985"/>
              </w:tabs>
              <w:overflowPunct/>
              <w:autoSpaceDE/>
              <w:autoSpaceDN/>
              <w:adjustRightInd/>
              <w:textAlignment w:val="auto"/>
              <w:rPr>
                <w:rFonts w:eastAsiaTheme="minorHAnsi"/>
                <w:lang w:val="es-ES_tradnl"/>
              </w:rPr>
            </w:pPr>
            <w:r w:rsidRPr="00C52A24">
              <w:rPr>
                <w:rFonts w:asciiTheme="minorHAnsi" w:eastAsiaTheme="minorHAnsi" w:hAnsiTheme="minorHAnsi" w:cstheme="minorBidi"/>
                <w:iCs/>
                <w:szCs w:val="24"/>
                <w:lang w:val="es-ES_tradnl"/>
              </w:rPr>
              <w:t xml:space="preserve">El </w:t>
            </w:r>
            <w:proofErr w:type="spellStart"/>
            <w:r w:rsidRPr="00C52A24">
              <w:rPr>
                <w:rFonts w:asciiTheme="minorHAnsi" w:eastAsiaTheme="minorHAnsi" w:hAnsiTheme="minorHAnsi" w:cstheme="minorBidi"/>
                <w:iCs/>
                <w:szCs w:val="24"/>
                <w:lang w:val="es-ES_tradnl"/>
              </w:rPr>
              <w:t>UIT</w:t>
            </w:r>
            <w:proofErr w:type="spellEnd"/>
            <w:r w:rsidRPr="00C52A24">
              <w:rPr>
                <w:rFonts w:asciiTheme="minorHAnsi" w:eastAsiaTheme="minorHAnsi" w:hAnsiTheme="minorHAnsi" w:cstheme="minorBidi"/>
                <w:iCs/>
                <w:szCs w:val="24"/>
                <w:lang w:val="es-ES_tradnl"/>
              </w:rPr>
              <w:t>-D siguió convocando a los foros regionales y mundiales a debatir las tendencias globales de la reglamentación para los Miembros de Sector y otras partes interesadas nacionales e internacionales, mediante la organización del Simposio Mundial para Organismos Reguladores (</w:t>
            </w:r>
            <w:proofErr w:type="spellStart"/>
            <w:r w:rsidRPr="00C52A24">
              <w:rPr>
                <w:rFonts w:asciiTheme="minorHAnsi" w:eastAsiaTheme="minorHAnsi" w:hAnsiTheme="minorHAnsi" w:cstheme="minorBidi"/>
                <w:iCs/>
                <w:szCs w:val="24"/>
                <w:lang w:val="es-ES_tradnl"/>
              </w:rPr>
              <w:t>GSR</w:t>
            </w:r>
            <w:proofErr w:type="spellEnd"/>
            <w:r w:rsidRPr="00C52A24">
              <w:rPr>
                <w:rFonts w:asciiTheme="minorHAnsi" w:eastAsiaTheme="minorHAnsi" w:hAnsiTheme="minorHAnsi" w:cstheme="minorBidi"/>
                <w:iCs/>
                <w:szCs w:val="24"/>
                <w:lang w:val="es-ES_tradnl"/>
              </w:rPr>
              <w:t xml:space="preserve">), y de unos diálogos estratégicos sobre asuntos políticos, jurídicos, reglamentarios, económicos y financieros y de desarrollo del mercado. El </w:t>
            </w:r>
            <w:proofErr w:type="spellStart"/>
            <w:r w:rsidRPr="00C52A24">
              <w:rPr>
                <w:rFonts w:asciiTheme="minorHAnsi" w:eastAsiaTheme="minorHAnsi" w:hAnsiTheme="minorHAnsi" w:cstheme="minorBidi"/>
                <w:iCs/>
                <w:szCs w:val="24"/>
                <w:lang w:val="es-ES_tradnl"/>
              </w:rPr>
              <w:t>GSR</w:t>
            </w:r>
            <w:proofErr w:type="spellEnd"/>
            <w:r w:rsidRPr="00C52A24">
              <w:rPr>
                <w:rFonts w:asciiTheme="minorHAnsi" w:eastAsiaTheme="minorHAnsi" w:hAnsiTheme="minorHAnsi" w:cstheme="minorBidi"/>
                <w:iCs/>
                <w:szCs w:val="24"/>
                <w:lang w:val="es-ES_tradnl"/>
              </w:rPr>
              <w:t xml:space="preserve"> es el evento mundial anual donde los reguladores pueden compartir sus opiniones y experiencias, que culmina en la adopción de unas Directrices de prácticas idóneas.</w:t>
            </w:r>
            <w:bookmarkStart w:id="56" w:name="lt_pId175"/>
            <w:r w:rsidRPr="00C52A24">
              <w:rPr>
                <w:rFonts w:asciiTheme="minorHAnsi" w:hAnsiTheme="minorHAnsi"/>
                <w:b/>
                <w:color w:val="800000"/>
                <w:szCs w:val="24"/>
                <w:lang w:val="es-ES_tradnl"/>
              </w:rPr>
              <w:t xml:space="preserve"> </w:t>
            </w:r>
            <w:r w:rsidRPr="00C52A24">
              <w:rPr>
                <w:rFonts w:asciiTheme="minorHAnsi" w:hAnsiTheme="minorHAnsi"/>
                <w:szCs w:val="24"/>
                <w:lang w:val="es-ES_tradnl"/>
              </w:rPr>
              <w:t>La 17ª edición del Simposio Mundial para Organismos Reguladores (</w:t>
            </w:r>
            <w:proofErr w:type="spellStart"/>
            <w:r w:rsidRPr="00C52A24">
              <w:rPr>
                <w:rFonts w:asciiTheme="minorHAnsi" w:hAnsiTheme="minorHAnsi"/>
                <w:szCs w:val="24"/>
                <w:lang w:val="es-ES_tradnl"/>
              </w:rPr>
              <w:t>GSR</w:t>
            </w:r>
            <w:proofErr w:type="spellEnd"/>
            <w:r w:rsidRPr="00C52A24">
              <w:rPr>
                <w:rFonts w:asciiTheme="minorHAnsi" w:hAnsiTheme="minorHAnsi"/>
                <w:szCs w:val="24"/>
                <w:lang w:val="es-ES_tradnl"/>
              </w:rPr>
              <w:t>) y sus eventos previos (Diálogo Mundial sobre Integración Financiera Digital, reunión de Asociaciones de Reglamentación y reunión de los Jefes de Reglamentación del Sector Privado) se celebraron del 11 al 14 de julio en Nassau, Bahamas.</w:t>
            </w:r>
            <w:bookmarkEnd w:id="56"/>
          </w:p>
          <w:p w:rsidR="00F45A0D" w:rsidRPr="00C52A24" w:rsidRDefault="00F45A0D" w:rsidP="00F45A0D">
            <w:pPr>
              <w:rPr>
                <w:rFonts w:asciiTheme="minorHAnsi" w:eastAsiaTheme="minorHAnsi" w:hAnsiTheme="minorHAnsi" w:cstheme="minorBidi"/>
                <w:szCs w:val="24"/>
                <w:lang w:val="es-ES_tradnl"/>
              </w:rPr>
            </w:pPr>
            <w:r w:rsidRPr="00C52A24">
              <w:rPr>
                <w:rFonts w:asciiTheme="minorHAnsi" w:hAnsiTheme="minorHAnsi"/>
                <w:szCs w:val="24"/>
                <w:lang w:val="es-ES_tradnl"/>
              </w:rPr>
              <w:t xml:space="preserve">El </w:t>
            </w:r>
            <w:proofErr w:type="spellStart"/>
            <w:r w:rsidRPr="00C52A24">
              <w:rPr>
                <w:rFonts w:asciiTheme="minorHAnsi" w:hAnsiTheme="minorHAnsi"/>
                <w:szCs w:val="24"/>
                <w:lang w:val="es-ES_tradnl"/>
              </w:rPr>
              <w:t>UIT</w:t>
            </w:r>
            <w:proofErr w:type="spellEnd"/>
            <w:r w:rsidRPr="00C52A24">
              <w:rPr>
                <w:rFonts w:asciiTheme="minorHAnsi" w:hAnsiTheme="minorHAnsi"/>
                <w:szCs w:val="24"/>
                <w:lang w:val="es-ES_tradnl"/>
              </w:rPr>
              <w:t xml:space="preserve">-D proporcionó datos, investigaciones y análisis, y herramientas (Informes de tendencias, documentos de debate del </w:t>
            </w:r>
            <w:proofErr w:type="spellStart"/>
            <w:r w:rsidRPr="00C52A24">
              <w:rPr>
                <w:rFonts w:asciiTheme="minorHAnsi" w:hAnsiTheme="minorHAnsi"/>
                <w:szCs w:val="24"/>
                <w:lang w:val="es-ES_tradnl"/>
              </w:rPr>
              <w:t>GSR</w:t>
            </w:r>
            <w:proofErr w:type="spellEnd"/>
            <w:r w:rsidRPr="00C52A24">
              <w:rPr>
                <w:rFonts w:asciiTheme="minorHAnsi" w:hAnsiTheme="minorHAnsi"/>
                <w:szCs w:val="24"/>
                <w:lang w:val="es-ES_tradnl"/>
              </w:rPr>
              <w:t>, publicaciones, portales, bases de datos) para apoyar a sus Miembros en la definición, elaboración, implementación o revisión de estrategias, políticas, marcos legales y reglamentarios transparentes, coherentes y con visión de futuro, así como para avanzar hacia una toma de decisiones basada en evidencias.</w:t>
            </w:r>
            <w:r w:rsidRPr="00C52A24">
              <w:rPr>
                <w:szCs w:val="24"/>
                <w:lang w:val="es-ES_tradnl"/>
              </w:rPr>
              <w:t xml:space="preserve"> </w:t>
            </w:r>
            <w:r w:rsidRPr="00C52A24">
              <w:rPr>
                <w:rFonts w:asciiTheme="minorHAnsi" w:eastAsiaTheme="minorHAnsi" w:hAnsiTheme="minorHAnsi" w:cstheme="minorBidi"/>
                <w:szCs w:val="24"/>
                <w:lang w:val="es-ES_tradnl"/>
              </w:rPr>
              <w:t xml:space="preserve">En </w:t>
            </w:r>
            <w:r w:rsidR="008D434B">
              <w:rPr>
                <w:rFonts w:asciiTheme="minorHAnsi" w:eastAsiaTheme="minorHAnsi" w:hAnsiTheme="minorHAnsi" w:cstheme="minorBidi"/>
                <w:szCs w:val="24"/>
                <w:lang w:val="es-ES_tradnl"/>
              </w:rPr>
              <w:t>el primer trimestre de 2017, el </w:t>
            </w:r>
            <w:proofErr w:type="spellStart"/>
            <w:r w:rsidRPr="00C52A24">
              <w:rPr>
                <w:rFonts w:asciiTheme="minorHAnsi" w:eastAsiaTheme="minorHAnsi" w:hAnsiTheme="minorHAnsi" w:cstheme="minorBidi"/>
                <w:szCs w:val="24"/>
                <w:lang w:val="es-ES_tradnl"/>
              </w:rPr>
              <w:t>UIT</w:t>
            </w:r>
            <w:proofErr w:type="spellEnd"/>
            <w:r w:rsidRPr="00C52A24">
              <w:rPr>
                <w:rFonts w:asciiTheme="minorHAnsi" w:eastAsiaTheme="minorHAnsi" w:hAnsiTheme="minorHAnsi" w:cstheme="minorBidi"/>
                <w:szCs w:val="24"/>
                <w:lang w:val="es-ES_tradnl"/>
              </w:rPr>
              <w:t xml:space="preserve">-D presentó el 2017 </w:t>
            </w:r>
            <w:hyperlink r:id="rId16" w:history="1">
              <w:r w:rsidRPr="00984DB8">
                <w:rPr>
                  <w:rFonts w:asciiTheme="minorHAnsi" w:eastAsiaTheme="minorHAnsi" w:hAnsiTheme="minorHAnsi" w:cstheme="minorBidi"/>
                  <w:szCs w:val="24"/>
                  <w:lang w:val="es-ES_tradnl"/>
                </w:rPr>
                <w:t xml:space="preserve">Global </w:t>
              </w:r>
              <w:proofErr w:type="spellStart"/>
              <w:r w:rsidRPr="00984DB8">
                <w:rPr>
                  <w:rFonts w:asciiTheme="minorHAnsi" w:eastAsiaTheme="minorHAnsi" w:hAnsiTheme="minorHAnsi" w:cstheme="minorBidi"/>
                  <w:szCs w:val="24"/>
                  <w:lang w:val="es-ES_tradnl"/>
                </w:rPr>
                <w:t>Regulatory</w:t>
              </w:r>
              <w:proofErr w:type="spellEnd"/>
              <w:r w:rsidRPr="00984DB8">
                <w:rPr>
                  <w:rFonts w:asciiTheme="minorHAnsi" w:eastAsiaTheme="minorHAnsi" w:hAnsiTheme="minorHAnsi" w:cstheme="minorBidi"/>
                  <w:szCs w:val="24"/>
                  <w:lang w:val="es-ES_tradnl"/>
                </w:rPr>
                <w:t xml:space="preserve"> Outlook </w:t>
              </w:r>
              <w:proofErr w:type="spellStart"/>
              <w:r w:rsidRPr="00984DB8">
                <w:rPr>
                  <w:rFonts w:asciiTheme="minorHAnsi" w:eastAsiaTheme="minorHAnsi" w:hAnsiTheme="minorHAnsi" w:cstheme="minorBidi"/>
                  <w:szCs w:val="24"/>
                  <w:lang w:val="es-ES_tradnl"/>
                </w:rPr>
                <w:t>Report</w:t>
              </w:r>
              <w:proofErr w:type="spellEnd"/>
            </w:hyperlink>
            <w:r w:rsidRPr="00C52A24">
              <w:rPr>
                <w:rFonts w:asciiTheme="minorHAnsi" w:eastAsiaTheme="minorHAnsi" w:hAnsiTheme="minorHAnsi" w:cstheme="minorBidi"/>
                <w:szCs w:val="24"/>
                <w:lang w:val="es-ES_tradnl"/>
              </w:rPr>
              <w:t xml:space="preserve"> (cuyo resumen ejecutivo está disponible en </w:t>
            </w:r>
            <w:hyperlink r:id="rId17" w:history="1">
              <w:r w:rsidRPr="00B7462A">
                <w:rPr>
                  <w:rStyle w:val="Hyperlink"/>
                  <w:rFonts w:asciiTheme="minorHAnsi" w:hAnsiTheme="minorHAnsi"/>
                  <w:szCs w:val="24"/>
                  <w:lang w:val="es-ES_tradnl"/>
                </w:rPr>
                <w:t>http://www.itu.int/en/ITU-D/Regulatory-Market/Pages/Outlook/2017.aspx</w:t>
              </w:r>
            </w:hyperlink>
            <w:r w:rsidRPr="00B7462A">
              <w:rPr>
                <w:rFonts w:asciiTheme="minorHAnsi" w:eastAsiaTheme="minorHAnsi" w:hAnsiTheme="minorHAnsi" w:cstheme="minorBidi"/>
                <w:szCs w:val="24"/>
                <w:lang w:val="es-ES_tradnl"/>
              </w:rPr>
              <w:t>),</w:t>
            </w:r>
            <w:r w:rsidRPr="00C52A24">
              <w:rPr>
                <w:rFonts w:asciiTheme="minorHAnsi" w:eastAsiaTheme="minorHAnsi" w:hAnsiTheme="minorHAnsi" w:cstheme="minorBidi"/>
                <w:szCs w:val="24"/>
                <w:lang w:val="es-ES_tradnl"/>
              </w:rPr>
              <w:t xml:space="preserve"> primero de una nueva serie de informes anuales que estudian el mercado y las tendencias de la reglamentación en el sector de las TIC y sus implicaciones en los diversos ámbitos de la economía</w:t>
            </w:r>
            <w:r w:rsidRPr="00C52A24">
              <w:rPr>
                <w:rFonts w:ascii="Calibri" w:hAnsi="Calibri"/>
                <w:b/>
                <w:color w:val="800000"/>
                <w:szCs w:val="24"/>
                <w:lang w:val="es-ES_tradnl"/>
              </w:rPr>
              <w:t>.</w:t>
            </w:r>
          </w:p>
          <w:p w:rsidR="00F45A0D" w:rsidRPr="00FD3713" w:rsidRDefault="00F45A0D" w:rsidP="00F45A0D">
            <w:pPr>
              <w:rPr>
                <w:rFonts w:asciiTheme="minorHAnsi" w:hAnsiTheme="minorHAnsi"/>
                <w:szCs w:val="24"/>
                <w:lang w:val="es-ES_tradnl"/>
              </w:rPr>
            </w:pPr>
            <w:r w:rsidRPr="00C52A24">
              <w:rPr>
                <w:rFonts w:asciiTheme="minorHAnsi" w:eastAsiaTheme="minorHAnsi" w:hAnsiTheme="minorHAnsi" w:cstheme="minorBidi"/>
                <w:szCs w:val="24"/>
                <w:lang w:val="es-ES_tradnl"/>
              </w:rPr>
              <w:t xml:space="preserve">El </w:t>
            </w:r>
            <w:proofErr w:type="spellStart"/>
            <w:r w:rsidRPr="00C52A24">
              <w:rPr>
                <w:rFonts w:asciiTheme="minorHAnsi" w:eastAsiaTheme="minorHAnsi" w:hAnsiTheme="minorHAnsi" w:cstheme="minorBidi"/>
                <w:szCs w:val="24"/>
                <w:lang w:val="es-ES_tradnl"/>
              </w:rPr>
              <w:t>UIT</w:t>
            </w:r>
            <w:proofErr w:type="spellEnd"/>
            <w:r w:rsidRPr="00C52A24">
              <w:rPr>
                <w:rFonts w:asciiTheme="minorHAnsi" w:eastAsiaTheme="minorHAnsi" w:hAnsiTheme="minorHAnsi" w:cstheme="minorBidi"/>
                <w:szCs w:val="24"/>
                <w:lang w:val="es-ES_tradnl"/>
              </w:rPr>
              <w:t>-D también proporcionó herramientas y plataformas de intercambio de conocimientos (Observatorio TIC, Herramientas de Reglamentación de las TIC, centro de conocimientos sobre reglamentación de las TIC) para facilitar un dialogo integrador y una mejor cooperación para ayudar a los países a conseguir una sociedad de la información más integrada y sensibilizar, a nivel nacional y regional, sobre la importancia de un entorno propicio.</w:t>
            </w:r>
            <w:r w:rsidRPr="00C52A24">
              <w:rPr>
                <w:szCs w:val="24"/>
                <w:lang w:val="es-ES_tradnl"/>
              </w:rPr>
              <w:t xml:space="preserve"> </w:t>
            </w:r>
            <w:bookmarkStart w:id="57" w:name="lt_pId180"/>
            <w:r w:rsidRPr="00C52A24">
              <w:rPr>
                <w:szCs w:val="24"/>
                <w:lang w:val="es-ES_tradnl"/>
              </w:rPr>
              <w:t>El</w:t>
            </w:r>
            <w:r w:rsidRPr="00C52A24">
              <w:rPr>
                <w:rFonts w:asciiTheme="minorHAnsi" w:hAnsiTheme="minorHAnsi"/>
                <w:szCs w:val="24"/>
                <w:lang w:val="es-ES_tradnl"/>
              </w:rPr>
              <w:t xml:space="preserve"> </w:t>
            </w:r>
            <w:proofErr w:type="spellStart"/>
            <w:r w:rsidRPr="00C52A24">
              <w:rPr>
                <w:rFonts w:asciiTheme="minorHAnsi" w:hAnsiTheme="minorHAnsi"/>
                <w:i/>
                <w:iCs/>
                <w:szCs w:val="24"/>
                <w:lang w:val="es-ES_tradnl"/>
              </w:rPr>
              <w:t>ICT</w:t>
            </w:r>
            <w:proofErr w:type="spellEnd"/>
            <w:r w:rsidRPr="00C52A24">
              <w:rPr>
                <w:rFonts w:asciiTheme="minorHAnsi" w:hAnsiTheme="minorHAnsi"/>
                <w:i/>
                <w:iCs/>
                <w:szCs w:val="24"/>
                <w:lang w:val="es-ES_tradnl"/>
              </w:rPr>
              <w:t xml:space="preserve"> </w:t>
            </w:r>
            <w:proofErr w:type="spellStart"/>
            <w:r w:rsidRPr="00C52A24">
              <w:rPr>
                <w:rFonts w:asciiTheme="minorHAnsi" w:hAnsiTheme="minorHAnsi"/>
                <w:i/>
                <w:iCs/>
                <w:szCs w:val="24"/>
                <w:lang w:val="es-ES_tradnl"/>
              </w:rPr>
              <w:t>Regulatory</w:t>
            </w:r>
            <w:proofErr w:type="spellEnd"/>
            <w:r w:rsidRPr="00C52A24">
              <w:rPr>
                <w:rFonts w:asciiTheme="minorHAnsi" w:hAnsiTheme="minorHAnsi"/>
                <w:i/>
                <w:iCs/>
                <w:szCs w:val="24"/>
                <w:lang w:val="es-ES_tradnl"/>
              </w:rPr>
              <w:t xml:space="preserve"> </w:t>
            </w:r>
            <w:proofErr w:type="spellStart"/>
            <w:r w:rsidRPr="00C52A24">
              <w:rPr>
                <w:rFonts w:asciiTheme="minorHAnsi" w:hAnsiTheme="minorHAnsi"/>
                <w:i/>
                <w:iCs/>
                <w:szCs w:val="24"/>
                <w:lang w:val="es-ES_tradnl"/>
              </w:rPr>
              <w:t>Tracker</w:t>
            </w:r>
            <w:proofErr w:type="spellEnd"/>
            <w:r w:rsidRPr="00C52A24">
              <w:rPr>
                <w:rFonts w:asciiTheme="minorHAnsi" w:hAnsiTheme="minorHAnsi"/>
                <w:szCs w:val="24"/>
                <w:lang w:val="es-ES_tradnl"/>
              </w:rPr>
              <w:t xml:space="preserve"> se ha publicado en un nuevo </w:t>
            </w:r>
            <w:proofErr w:type="spellStart"/>
            <w:r w:rsidRPr="00C52A24">
              <w:rPr>
                <w:rFonts w:asciiTheme="minorHAnsi" w:hAnsiTheme="minorHAnsi"/>
                <w:szCs w:val="24"/>
                <w:lang w:val="es-ES_tradnl"/>
              </w:rPr>
              <w:t>micrositio</w:t>
            </w:r>
            <w:proofErr w:type="spellEnd"/>
            <w:r w:rsidRPr="00C52A24">
              <w:rPr>
                <w:rFonts w:asciiTheme="minorHAnsi" w:hAnsiTheme="minorHAnsi"/>
                <w:szCs w:val="24"/>
                <w:lang w:val="es-ES_tradnl"/>
              </w:rPr>
              <w:t xml:space="preserve"> en línea que puede consultarse en:</w:t>
            </w:r>
            <w:bookmarkEnd w:id="57"/>
            <w:r w:rsidRPr="00C52A24">
              <w:rPr>
                <w:rFonts w:asciiTheme="minorHAnsi" w:hAnsiTheme="minorHAnsi"/>
                <w:szCs w:val="24"/>
                <w:lang w:val="es-ES_tradnl"/>
              </w:rPr>
              <w:t xml:space="preserve"> </w:t>
            </w:r>
            <w:bookmarkStart w:id="58" w:name="lt_pId181"/>
            <w:r w:rsidRPr="00C52A24">
              <w:rPr>
                <w:lang w:val="fr-FR"/>
              </w:rPr>
              <w:fldChar w:fldCharType="begin"/>
            </w:r>
            <w:r w:rsidRPr="00C52A24">
              <w:rPr>
                <w:lang w:val="es-ES_tradnl"/>
              </w:rPr>
              <w:instrText xml:space="preserve"> HYPERLINK "https://www.itu.int/net4/itu-d/irt/" \l "/tracker-by-country/regulatory-tracker/2015)" </w:instrText>
            </w:r>
            <w:r w:rsidRPr="00C52A24">
              <w:rPr>
                <w:lang w:val="fr-FR"/>
              </w:rPr>
              <w:fldChar w:fldCharType="separate"/>
            </w:r>
            <w:r w:rsidRPr="00C52A24">
              <w:rPr>
                <w:rStyle w:val="Hyperlink"/>
                <w:rFonts w:asciiTheme="minorHAnsi" w:hAnsiTheme="minorHAnsi"/>
                <w:szCs w:val="24"/>
                <w:lang w:val="es-ES_tradnl"/>
              </w:rPr>
              <w:t>https://www.itu.int/net4/itu-d/irt/#/tracker-by-country/regulatory-tracker/2015</w:t>
            </w:r>
            <w:r w:rsidRPr="00C52A24">
              <w:rPr>
                <w:rStyle w:val="Hyperlink"/>
                <w:szCs w:val="24"/>
                <w:lang w:val="es-ES_tradnl"/>
              </w:rPr>
              <w:fldChar w:fldCharType="end"/>
            </w:r>
            <w:r w:rsidRPr="00C52A24">
              <w:rPr>
                <w:rFonts w:asciiTheme="minorHAnsi" w:hAnsiTheme="minorHAnsi"/>
                <w:szCs w:val="24"/>
                <w:lang w:val="es-ES_tradnl"/>
              </w:rPr>
              <w:t>.</w:t>
            </w:r>
            <w:bookmarkEnd w:id="58"/>
          </w:p>
          <w:p w:rsidR="00F45A0D" w:rsidRPr="00FD3713" w:rsidRDefault="00F45A0D" w:rsidP="00F45A0D">
            <w:pPr>
              <w:rPr>
                <w:rFonts w:asciiTheme="minorHAnsi" w:hAnsiTheme="minorHAnsi"/>
                <w:szCs w:val="24"/>
                <w:lang w:val="es-ES_tradnl"/>
              </w:rPr>
            </w:pPr>
            <w:bookmarkStart w:id="59" w:name="lt_pId182"/>
            <w:r w:rsidRPr="00FD3713">
              <w:rPr>
                <w:rFonts w:asciiTheme="minorHAnsi" w:hAnsiTheme="minorHAnsi" w:cstheme="minorHAnsi"/>
                <w:szCs w:val="24"/>
                <w:lang w:val="es-ES_tradnl"/>
              </w:rPr>
              <w:t xml:space="preserve">El </w:t>
            </w:r>
            <w:proofErr w:type="spellStart"/>
            <w:r w:rsidRPr="00FD3713">
              <w:rPr>
                <w:rFonts w:asciiTheme="minorHAnsi" w:hAnsiTheme="minorHAnsi" w:cstheme="minorHAnsi"/>
                <w:szCs w:val="24"/>
                <w:lang w:val="es-ES_tradnl"/>
              </w:rPr>
              <w:t>UIT</w:t>
            </w:r>
            <w:proofErr w:type="spellEnd"/>
            <w:r w:rsidRPr="00FD3713">
              <w:rPr>
                <w:rFonts w:asciiTheme="minorHAnsi" w:hAnsiTheme="minorHAnsi" w:cstheme="minorHAnsi"/>
                <w:szCs w:val="24"/>
                <w:lang w:val="es-ES_tradnl"/>
              </w:rPr>
              <w:t xml:space="preserve">-D prosiguió sus labores de concienciación y capacitación a través de diversos cursos de formación, talleres, seminarios, foros y conferencias centrados en el desarrollo de las TIC, la infraestructura de banda ancha, las aplicaciones y los servicios, la </w:t>
            </w:r>
            <w:proofErr w:type="spellStart"/>
            <w:r w:rsidRPr="00FD3713">
              <w:rPr>
                <w:rFonts w:asciiTheme="minorHAnsi" w:hAnsiTheme="minorHAnsi" w:cstheme="minorHAnsi"/>
                <w:szCs w:val="24"/>
                <w:lang w:val="es-ES_tradnl"/>
              </w:rPr>
              <w:t>5G</w:t>
            </w:r>
            <w:proofErr w:type="spellEnd"/>
            <w:r w:rsidRPr="00FD3713">
              <w:rPr>
                <w:rFonts w:asciiTheme="minorHAnsi" w:hAnsiTheme="minorHAnsi" w:cstheme="minorHAnsi"/>
                <w:szCs w:val="24"/>
                <w:lang w:val="es-ES_tradnl"/>
              </w:rPr>
              <w:t xml:space="preserve">, la </w:t>
            </w:r>
            <w:proofErr w:type="spellStart"/>
            <w:r w:rsidRPr="00FD3713">
              <w:rPr>
                <w:rFonts w:asciiTheme="minorHAnsi" w:hAnsiTheme="minorHAnsi" w:cstheme="minorHAnsi"/>
                <w:szCs w:val="24"/>
                <w:lang w:val="es-ES_tradnl"/>
              </w:rPr>
              <w:t>itinerancia</w:t>
            </w:r>
            <w:proofErr w:type="spellEnd"/>
            <w:r w:rsidRPr="00FD3713">
              <w:rPr>
                <w:rFonts w:asciiTheme="minorHAnsi" w:hAnsiTheme="minorHAnsi" w:cstheme="minorHAnsi"/>
                <w:szCs w:val="24"/>
                <w:lang w:val="es-ES_tradnl"/>
              </w:rPr>
              <w:t xml:space="preserve"> móvil internacional (</w:t>
            </w:r>
            <w:proofErr w:type="spellStart"/>
            <w:r w:rsidRPr="00FD3713">
              <w:rPr>
                <w:rFonts w:asciiTheme="minorHAnsi" w:hAnsiTheme="minorHAnsi" w:cstheme="minorHAnsi"/>
                <w:szCs w:val="24"/>
                <w:lang w:val="es-ES_tradnl"/>
              </w:rPr>
              <w:t>IMI</w:t>
            </w:r>
            <w:proofErr w:type="spellEnd"/>
            <w:r w:rsidRPr="00FD3713">
              <w:rPr>
                <w:rFonts w:asciiTheme="minorHAnsi" w:hAnsiTheme="minorHAnsi" w:cstheme="minorHAnsi"/>
                <w:szCs w:val="24"/>
                <w:lang w:val="es-ES_tradnl"/>
              </w:rPr>
              <w:t>), la modelización de costos, el desarrollo de infraestructura, la gestión del espectro y otros asuntos conexos, la coordinación de satélites, las redes eléctricas inteligentes, las nuevas empresas de TIC, el acceso a Internet, la conformidad y la interoperabilidad, la fijación de costos, la colaboración política y reglamentaria en materia de servicios financieros digitales e integración financiera digital y la economía digital. Se organizaron varios foros regionales sobre economía y finanzas de las TIC/telecomunicaciones, que sirvieron de plataformas para debatir acerca de los problemas económicos y financieros que afectan al sector en los distintos países y estudiar posibles soluciones</w:t>
            </w:r>
            <w:bookmarkStart w:id="60" w:name="lt_pId183"/>
            <w:bookmarkEnd w:id="59"/>
            <w:r w:rsidRPr="00FD3713">
              <w:rPr>
                <w:rFonts w:asciiTheme="minorHAnsi" w:hAnsiTheme="minorHAnsi" w:cstheme="minorHAnsi"/>
                <w:szCs w:val="24"/>
                <w:lang w:val="es-ES_tradnl"/>
              </w:rPr>
              <w:t>.</w:t>
            </w:r>
            <w:bookmarkEnd w:id="60"/>
          </w:p>
          <w:p w:rsidR="00F45A0D" w:rsidRPr="00FD3713" w:rsidRDefault="00F45A0D" w:rsidP="008465D5">
            <w:pPr>
              <w:keepLines/>
              <w:spacing w:after="120"/>
              <w:rPr>
                <w:rFonts w:asciiTheme="minorHAnsi" w:hAnsiTheme="minorHAnsi"/>
                <w:szCs w:val="24"/>
                <w:lang w:val="es-ES_tradnl"/>
              </w:rPr>
            </w:pPr>
            <w:bookmarkStart w:id="61" w:name="lt_pId184"/>
            <w:r w:rsidRPr="00FD3713">
              <w:rPr>
                <w:rFonts w:asciiTheme="minorHAnsi" w:hAnsiTheme="minorHAnsi"/>
                <w:szCs w:val="24"/>
                <w:lang w:val="es-ES_tradnl"/>
              </w:rPr>
              <w:lastRenderedPageBreak/>
              <w:t xml:space="preserve">El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-D prestó asistencia directa a numerosos países para el desarrollo de sus marcos políticos y reglamentarios, el establecimiento de autoridades de reglamentación independientes, la definición de estrategias, la capacitación en materia de comprobación técnica del espectro, la creación de marcos de protección del consumidor en el sector de las TIC</w:t>
            </w:r>
            <w:bookmarkEnd w:id="61"/>
            <w:r w:rsidRPr="00FD3713">
              <w:rPr>
                <w:rFonts w:asciiTheme="minorHAnsi" w:hAnsiTheme="minorHAnsi"/>
                <w:szCs w:val="24"/>
                <w:lang w:val="es-ES_tradnl"/>
              </w:rPr>
              <w:t xml:space="preserve">, </w:t>
            </w:r>
            <w:bookmarkStart w:id="62" w:name="lt_pId186"/>
            <w:r w:rsidRPr="00FD3713">
              <w:rPr>
                <w:rFonts w:asciiTheme="minorHAnsi" w:hAnsiTheme="minorHAnsi"/>
                <w:szCs w:val="24"/>
                <w:lang w:val="es-ES_tradnl"/>
              </w:rPr>
              <w:t>etc.</w:t>
            </w:r>
            <w:bookmarkEnd w:id="62"/>
          </w:p>
        </w:tc>
      </w:tr>
      <w:tr w:rsidR="00F45A0D" w:rsidRPr="00FD3713" w:rsidTr="00C207F6">
        <w:tc>
          <w:tcPr>
            <w:tcW w:w="2830" w:type="dxa"/>
          </w:tcPr>
          <w:p w:rsidR="00F45A0D" w:rsidRPr="00FD3713" w:rsidRDefault="00F45A0D" w:rsidP="008D434B">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798" w:type="dxa"/>
          </w:tcPr>
          <w:p w:rsidR="00F45A0D" w:rsidRPr="00FD3713" w:rsidRDefault="00F45A0D" w:rsidP="008D434B">
            <w:pPr>
              <w:spacing w:before="60" w:after="60"/>
              <w:rPr>
                <w:rFonts w:asciiTheme="minorHAnsi" w:hAnsiTheme="minorHAnsi"/>
                <w:szCs w:val="24"/>
                <w:lang w:val="es-ES_tradnl"/>
              </w:rPr>
            </w:pPr>
            <w:bookmarkStart w:id="63" w:name="lt_pId188"/>
            <w:r w:rsidRPr="00FD3713">
              <w:rPr>
                <w:rFonts w:asciiTheme="minorHAnsi" w:hAnsiTheme="minorHAnsi"/>
                <w:szCs w:val="24"/>
                <w:lang w:val="es-ES_tradnl"/>
              </w:rPr>
              <w:t>Resoluciones 1, 9, 17, 21, 23, 30, 32, 43, 48, 62</w:t>
            </w:r>
            <w:bookmarkEnd w:id="63"/>
          </w:p>
        </w:tc>
      </w:tr>
      <w:tr w:rsidR="00F45A0D" w:rsidRPr="008D434B" w:rsidTr="00C207F6">
        <w:tc>
          <w:tcPr>
            <w:tcW w:w="2830" w:type="dxa"/>
          </w:tcPr>
          <w:p w:rsidR="00F45A0D" w:rsidRPr="00FD3713" w:rsidRDefault="00F45A0D" w:rsidP="009905B7">
            <w:pPr>
              <w:spacing w:before="60" w:after="60"/>
              <w:rPr>
                <w:rFonts w:asciiTheme="minorHAnsi" w:hAnsiTheme="minorHAnsi"/>
                <w:i/>
                <w:iCs/>
                <w:szCs w:val="24"/>
                <w:lang w:val="es-ES_tradnl"/>
              </w:rPr>
            </w:pPr>
            <w:r w:rsidRPr="00FD3713">
              <w:rPr>
                <w:rFonts w:asciiTheme="minorHAnsi" w:hAnsiTheme="minorHAnsi"/>
                <w:i/>
                <w:iCs/>
                <w:szCs w:val="24"/>
                <w:lang w:val="es-ES_tradnl"/>
              </w:rPr>
              <w:t>Conferencia de Plenipotenciarios</w:t>
            </w:r>
          </w:p>
        </w:tc>
        <w:tc>
          <w:tcPr>
            <w:tcW w:w="6798" w:type="dxa"/>
          </w:tcPr>
          <w:p w:rsidR="00F45A0D" w:rsidRPr="00FD3713" w:rsidRDefault="00F45A0D" w:rsidP="009905B7">
            <w:pPr>
              <w:spacing w:before="60" w:after="60"/>
              <w:rPr>
                <w:rFonts w:asciiTheme="minorHAnsi" w:hAnsiTheme="minorHAnsi"/>
                <w:szCs w:val="24"/>
                <w:lang w:val="es-ES_tradnl"/>
              </w:rPr>
            </w:pPr>
            <w:r w:rsidRPr="00FD3713">
              <w:rPr>
                <w:rFonts w:asciiTheme="minorHAnsi" w:hAnsiTheme="minorHAnsi"/>
                <w:szCs w:val="24"/>
                <w:lang w:val="es-ES_tradnl"/>
              </w:rPr>
              <w:t>Decisiones de la PP: 5 y 13</w:t>
            </w:r>
            <w:r w:rsidRPr="00FD3713">
              <w:rPr>
                <w:rFonts w:asciiTheme="minorHAnsi" w:hAnsiTheme="minorHAnsi"/>
                <w:szCs w:val="24"/>
                <w:lang w:val="es-ES_tradnl"/>
              </w:rPr>
              <w:br/>
              <w:t>Resoluciones de la PP: 25, 71, 102, 135, 138, 154 y 165</w:t>
            </w:r>
          </w:p>
        </w:tc>
      </w:tr>
      <w:tr w:rsidR="00984DB8" w:rsidRPr="00FD3713" w:rsidTr="00C207F6">
        <w:tc>
          <w:tcPr>
            <w:tcW w:w="2830" w:type="dxa"/>
          </w:tcPr>
          <w:p w:rsidR="00984DB8" w:rsidRPr="00FD3713" w:rsidRDefault="0002180D" w:rsidP="00B7462A">
            <w:pPr>
              <w:spacing w:before="60" w:after="60"/>
              <w:rPr>
                <w:i/>
                <w:iCs/>
                <w:szCs w:val="24"/>
                <w:lang w:val="es-ES_tradnl"/>
              </w:rPr>
            </w:pPr>
            <w:proofErr w:type="spellStart"/>
            <w:r w:rsidRPr="00FD3713">
              <w:rPr>
                <w:rFonts w:asciiTheme="minorHAnsi" w:hAnsiTheme="minorHAnsi"/>
                <w:i/>
                <w:iCs/>
                <w:szCs w:val="24"/>
                <w:lang w:val="es-ES_tradnl"/>
              </w:rPr>
              <w:t>CMTI</w:t>
            </w:r>
            <w:proofErr w:type="spellEnd"/>
          </w:p>
        </w:tc>
        <w:tc>
          <w:tcPr>
            <w:tcW w:w="6798" w:type="dxa"/>
          </w:tcPr>
          <w:p w:rsidR="00984DB8" w:rsidRPr="00FD3713" w:rsidRDefault="00984DB8" w:rsidP="00B7462A">
            <w:pPr>
              <w:spacing w:before="60" w:after="60"/>
              <w:rPr>
                <w:szCs w:val="24"/>
                <w:lang w:val="es-ES_tradnl"/>
              </w:rPr>
            </w:pPr>
            <w:bookmarkStart w:id="64" w:name="lt_pId193"/>
            <w:r w:rsidRPr="00FD3713">
              <w:rPr>
                <w:rFonts w:asciiTheme="minorHAnsi" w:hAnsiTheme="minorHAnsi"/>
                <w:szCs w:val="24"/>
                <w:lang w:val="es-ES_tradnl"/>
              </w:rPr>
              <w:t>Resolución</w:t>
            </w:r>
            <w:r w:rsidRPr="0098490B">
              <w:rPr>
                <w:szCs w:val="24"/>
                <w:lang w:val="fr-FR"/>
              </w:rPr>
              <w:t xml:space="preserve"> 3</w:t>
            </w:r>
            <w:bookmarkEnd w:id="64"/>
          </w:p>
        </w:tc>
      </w:tr>
      <w:tr w:rsidR="00F45A0D" w:rsidRPr="008D434B" w:rsidTr="00C207F6">
        <w:tc>
          <w:tcPr>
            <w:tcW w:w="2830" w:type="dxa"/>
          </w:tcPr>
          <w:p w:rsidR="00F45A0D" w:rsidRPr="00FD3713" w:rsidRDefault="00F45A0D" w:rsidP="009905B7">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798" w:type="dxa"/>
          </w:tcPr>
          <w:p w:rsidR="00F45A0D" w:rsidRPr="00FD3713" w:rsidRDefault="00F45A0D" w:rsidP="009905B7">
            <w:pPr>
              <w:spacing w:before="60" w:after="60"/>
              <w:rPr>
                <w:rFonts w:asciiTheme="minorHAnsi" w:hAnsiTheme="minorHAnsi"/>
                <w:szCs w:val="24"/>
                <w:lang w:val="es-ES_tradnl"/>
              </w:rPr>
            </w:pPr>
            <w:r w:rsidRPr="00FD3713">
              <w:rPr>
                <w:rFonts w:asciiTheme="minorHAnsi" w:hAnsiTheme="minorHAnsi"/>
                <w:szCs w:val="24"/>
                <w:lang w:val="es-ES_tradnl"/>
              </w:rPr>
              <w:t xml:space="preserve">Línea de Acción </w:t>
            </w:r>
            <w:proofErr w:type="spellStart"/>
            <w:r w:rsidRPr="00FD3713">
              <w:rPr>
                <w:rFonts w:asciiTheme="minorHAnsi" w:hAnsiTheme="minorHAnsi"/>
                <w:szCs w:val="24"/>
                <w:lang w:val="es-ES_tradnl"/>
              </w:rPr>
              <w:t>C6</w:t>
            </w:r>
            <w:proofErr w:type="spellEnd"/>
            <w:r w:rsidRPr="00FD3713">
              <w:rPr>
                <w:rFonts w:asciiTheme="minorHAnsi" w:hAnsiTheme="minorHAnsi"/>
                <w:szCs w:val="24"/>
                <w:lang w:val="es-ES_tradnl"/>
              </w:rPr>
              <w:t xml:space="preserve">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del Plan de Acción de Ginebra y los párrafos 112 a 119 de la Agenda de Túnez para la Sociedad de la Información</w:t>
            </w:r>
          </w:p>
        </w:tc>
      </w:tr>
      <w:tr w:rsidR="00F45A0D" w:rsidRPr="008D434B" w:rsidTr="00C207F6">
        <w:tc>
          <w:tcPr>
            <w:tcW w:w="2830" w:type="dxa"/>
          </w:tcPr>
          <w:p w:rsidR="00F45A0D" w:rsidRPr="00FD3713" w:rsidRDefault="00F45A0D" w:rsidP="009905B7">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Contribución a las metas de los </w:t>
            </w:r>
            <w:proofErr w:type="spellStart"/>
            <w:r w:rsidRPr="00FD3713">
              <w:rPr>
                <w:rFonts w:asciiTheme="minorHAnsi" w:hAnsiTheme="minorHAnsi"/>
                <w:i/>
                <w:iCs/>
                <w:szCs w:val="24"/>
                <w:lang w:val="es-ES_tradnl"/>
              </w:rPr>
              <w:t>ODS</w:t>
            </w:r>
            <w:proofErr w:type="spellEnd"/>
          </w:p>
        </w:tc>
        <w:tc>
          <w:tcPr>
            <w:tcW w:w="6798" w:type="dxa"/>
          </w:tcPr>
          <w:p w:rsidR="00F45A0D" w:rsidRPr="00FD3713" w:rsidRDefault="00F45A0D" w:rsidP="009905B7">
            <w:pPr>
              <w:spacing w:before="60" w:after="60"/>
              <w:rPr>
                <w:rFonts w:asciiTheme="minorHAnsi" w:hAnsiTheme="minorHAnsi"/>
                <w:szCs w:val="24"/>
                <w:lang w:val="es-ES_tradnl"/>
              </w:rPr>
            </w:pP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1 (metas 1.1, 1.2, 1.3, 1.4, 1.5, </w:t>
            </w:r>
            <w:proofErr w:type="spellStart"/>
            <w:r w:rsidRPr="00FD3713">
              <w:rPr>
                <w:rFonts w:asciiTheme="minorHAnsi" w:hAnsiTheme="minorHAnsi"/>
                <w:szCs w:val="24"/>
                <w:lang w:val="es-ES_tradnl"/>
              </w:rPr>
              <w:t>1.a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1.b</w:t>
            </w:r>
            <w:proofErr w:type="spellEnd"/>
            <w:r w:rsidRPr="00FD3713">
              <w:rPr>
                <w:rFonts w:asciiTheme="minorHAnsi" w:hAnsiTheme="minorHAnsi"/>
                <w:szCs w:val="24"/>
                <w:lang w:val="es-ES_tradnl"/>
              </w:rPr>
              <w:t xml:space="preserve">), 2 (metas 2.3, 2.4, </w:t>
            </w:r>
            <w:proofErr w:type="spellStart"/>
            <w:r w:rsidRPr="00FD3713">
              <w:rPr>
                <w:rFonts w:asciiTheme="minorHAnsi" w:hAnsiTheme="minorHAnsi"/>
                <w:szCs w:val="24"/>
                <w:lang w:val="es-ES_tradnl"/>
              </w:rPr>
              <w:t>2.c</w:t>
            </w:r>
            <w:proofErr w:type="spellEnd"/>
            <w:r w:rsidRPr="00FD3713">
              <w:rPr>
                <w:rFonts w:asciiTheme="minorHAnsi" w:hAnsiTheme="minorHAnsi"/>
                <w:szCs w:val="24"/>
                <w:lang w:val="es-ES_tradnl"/>
              </w:rPr>
              <w:t xml:space="preserve">), 3 (metas 3.8, </w:t>
            </w:r>
            <w:proofErr w:type="spellStart"/>
            <w:r w:rsidRPr="00FD3713">
              <w:rPr>
                <w:rFonts w:asciiTheme="minorHAnsi" w:hAnsiTheme="minorHAnsi"/>
                <w:szCs w:val="24"/>
                <w:lang w:val="es-ES_tradnl"/>
              </w:rPr>
              <w:t>3.d</w:t>
            </w:r>
            <w:proofErr w:type="spellEnd"/>
            <w:r w:rsidRPr="00FD3713">
              <w:rPr>
                <w:rFonts w:asciiTheme="minorHAnsi" w:hAnsiTheme="minorHAnsi"/>
                <w:szCs w:val="24"/>
                <w:lang w:val="es-ES_tradnl"/>
              </w:rPr>
              <w:t xml:space="preserve">), 4 (metas 4.3, 4.4, 4.5, 4.7, </w:t>
            </w:r>
            <w:proofErr w:type="spellStart"/>
            <w:r w:rsidRPr="00FD3713">
              <w:rPr>
                <w:rFonts w:asciiTheme="minorHAnsi" w:hAnsiTheme="minorHAnsi"/>
                <w:szCs w:val="24"/>
                <w:lang w:val="es-ES_tradnl"/>
              </w:rPr>
              <w:t>4.c</w:t>
            </w:r>
            <w:proofErr w:type="spellEnd"/>
            <w:r w:rsidRPr="00FD3713">
              <w:rPr>
                <w:rFonts w:asciiTheme="minorHAnsi" w:hAnsiTheme="minorHAnsi"/>
                <w:szCs w:val="24"/>
                <w:lang w:val="es-ES_tradnl"/>
              </w:rPr>
              <w:t xml:space="preserve">), 5 (metas 5.1, </w:t>
            </w:r>
            <w:proofErr w:type="spellStart"/>
            <w:r w:rsidRPr="00FD3713">
              <w:rPr>
                <w:rFonts w:asciiTheme="minorHAnsi" w:hAnsiTheme="minorHAnsi"/>
                <w:szCs w:val="24"/>
                <w:lang w:val="es-ES_tradnl"/>
              </w:rPr>
              <w:t>5.b</w:t>
            </w:r>
            <w:proofErr w:type="spellEnd"/>
            <w:r w:rsidRPr="00FD3713">
              <w:rPr>
                <w:rFonts w:asciiTheme="minorHAnsi" w:hAnsiTheme="minorHAnsi"/>
                <w:szCs w:val="24"/>
                <w:lang w:val="es-ES_tradnl"/>
              </w:rPr>
              <w:t xml:space="preserve">), 7 (metas </w:t>
            </w:r>
            <w:proofErr w:type="spellStart"/>
            <w:r w:rsidRPr="00FD3713">
              <w:rPr>
                <w:rFonts w:asciiTheme="minorHAnsi" w:hAnsiTheme="minorHAnsi"/>
                <w:szCs w:val="24"/>
                <w:lang w:val="es-ES_tradnl"/>
              </w:rPr>
              <w:t>7.a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7.b</w:t>
            </w:r>
            <w:proofErr w:type="spellEnd"/>
            <w:r w:rsidRPr="00FD3713">
              <w:rPr>
                <w:rFonts w:asciiTheme="minorHAnsi" w:hAnsiTheme="minorHAnsi"/>
                <w:szCs w:val="24"/>
                <w:lang w:val="es-ES_tradnl"/>
              </w:rPr>
              <w:t xml:space="preserve">), 8 (metas 8.2, 8.3, 8.9, 8.10), 9 (metas 9.1, 9.3, 9.5, </w:t>
            </w:r>
            <w:proofErr w:type="spellStart"/>
            <w:r w:rsidRPr="00FD3713">
              <w:rPr>
                <w:rFonts w:asciiTheme="minorHAnsi" w:hAnsiTheme="minorHAnsi"/>
                <w:szCs w:val="24"/>
                <w:lang w:val="es-ES_tradnl"/>
              </w:rPr>
              <w:t>9.a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9.c</w:t>
            </w:r>
            <w:proofErr w:type="spellEnd"/>
            <w:r w:rsidRPr="00FD3713">
              <w:rPr>
                <w:rFonts w:asciiTheme="minorHAnsi" w:hAnsiTheme="minorHAnsi"/>
                <w:szCs w:val="24"/>
                <w:lang w:val="es-ES_tradnl"/>
              </w:rPr>
              <w:t xml:space="preserve">), 10 (metas 10.3, </w:t>
            </w:r>
            <w:proofErr w:type="spellStart"/>
            <w:r w:rsidRPr="00FD3713">
              <w:rPr>
                <w:rFonts w:asciiTheme="minorHAnsi" w:hAnsiTheme="minorHAnsi"/>
                <w:szCs w:val="24"/>
                <w:lang w:val="es-ES_tradnl"/>
              </w:rPr>
              <w:t>10.c</w:t>
            </w:r>
            <w:proofErr w:type="spellEnd"/>
            <w:r w:rsidRPr="00FD3713">
              <w:rPr>
                <w:rFonts w:asciiTheme="minorHAnsi" w:hAnsiTheme="minorHAnsi"/>
                <w:szCs w:val="24"/>
                <w:lang w:val="es-ES_tradnl"/>
              </w:rPr>
              <w:t xml:space="preserve">), 11 (meta 11.1), 12 (metas 12.8, </w:t>
            </w:r>
            <w:proofErr w:type="spellStart"/>
            <w:r w:rsidRPr="00FD3713">
              <w:rPr>
                <w:rFonts w:asciiTheme="minorHAnsi" w:hAnsiTheme="minorHAnsi"/>
                <w:szCs w:val="24"/>
                <w:lang w:val="es-ES_tradnl"/>
              </w:rPr>
              <w:t>12.b</w:t>
            </w:r>
            <w:proofErr w:type="spellEnd"/>
            <w:r w:rsidRPr="00FD3713">
              <w:rPr>
                <w:rFonts w:asciiTheme="minorHAnsi" w:hAnsiTheme="minorHAnsi"/>
                <w:szCs w:val="24"/>
                <w:lang w:val="es-ES_tradnl"/>
              </w:rPr>
              <w:t xml:space="preserve">), 13 (meta 13.3), 16 (metas 16.6, 16.7, 16.8, 16.10, </w:t>
            </w:r>
            <w:proofErr w:type="spellStart"/>
            <w:r w:rsidRPr="00FD3713">
              <w:rPr>
                <w:rFonts w:asciiTheme="minorHAnsi" w:hAnsiTheme="minorHAnsi"/>
                <w:szCs w:val="24"/>
                <w:lang w:val="es-ES_tradnl"/>
              </w:rPr>
              <w:t>16.b</w:t>
            </w:r>
            <w:proofErr w:type="spellEnd"/>
            <w:r w:rsidRPr="00FD3713">
              <w:rPr>
                <w:rFonts w:asciiTheme="minorHAnsi" w:hAnsiTheme="minorHAnsi"/>
                <w:szCs w:val="24"/>
                <w:lang w:val="es-ES_tradnl"/>
              </w:rPr>
              <w:t>), 17 (metas 17.6, 17.8, 17.9, 17.14, 17.16, 17.17)</w:t>
            </w:r>
          </w:p>
        </w:tc>
      </w:tr>
    </w:tbl>
    <w:p w:rsidR="00F45A0D" w:rsidRPr="00FD3713" w:rsidRDefault="00F45A0D" w:rsidP="008465D5">
      <w:pPr>
        <w:pStyle w:val="Heading2"/>
        <w:spacing w:after="120"/>
        <w:rPr>
          <w:lang w:val="es-ES_tradnl"/>
        </w:rPr>
      </w:pPr>
      <w:r w:rsidRPr="00FD3713">
        <w:rPr>
          <w:lang w:val="es-ES_tradnl"/>
        </w:rPr>
        <w:t>2.2</w:t>
      </w:r>
      <w:r w:rsidRPr="00FD3713">
        <w:rPr>
          <w:lang w:val="es-ES_tradnl"/>
        </w:rPr>
        <w:tab/>
        <w:t>Redes de telecomunicaciones/TIC, incluida la conformidad y la interoperabilidad y la reducción de la brecha en materia de normalización</w:t>
      </w:r>
    </w:p>
    <w:tbl>
      <w:tblPr>
        <w:tblStyle w:val="TableGrid"/>
        <w:tblW w:w="0" w:type="auto"/>
        <w:tblLook w:val="04A0" w:firstRow="1" w:lastRow="0" w:firstColumn="1" w:lastColumn="0" w:noHBand="0" w:noVBand="1"/>
      </w:tblPr>
      <w:tblGrid>
        <w:gridCol w:w="2830"/>
        <w:gridCol w:w="6798"/>
      </w:tblGrid>
      <w:tr w:rsidR="00F45A0D" w:rsidRPr="008D434B" w:rsidTr="00F45A0D">
        <w:tc>
          <w:tcPr>
            <w:tcW w:w="9628" w:type="dxa"/>
            <w:gridSpan w:val="2"/>
          </w:tcPr>
          <w:p w:rsidR="00F45A0D" w:rsidRPr="00FD3713" w:rsidRDefault="00F45A0D" w:rsidP="00EB790F">
            <w:pPr>
              <w:rPr>
                <w:rFonts w:asciiTheme="minorHAnsi" w:hAnsiTheme="minorHAnsi"/>
                <w:szCs w:val="24"/>
                <w:lang w:val="es-ES_tradnl"/>
              </w:rPr>
            </w:pPr>
            <w:r w:rsidRPr="000D2110">
              <w:rPr>
                <w:rFonts w:asciiTheme="minorHAnsi" w:hAnsiTheme="minorHAnsi"/>
                <w:szCs w:val="24"/>
                <w:lang w:val="es-ES_tradnl"/>
              </w:rPr>
              <w:t xml:space="preserve">El </w:t>
            </w:r>
            <w:proofErr w:type="spellStart"/>
            <w:r w:rsidRPr="000D2110">
              <w:rPr>
                <w:rFonts w:asciiTheme="minorHAnsi" w:hAnsiTheme="minorHAnsi"/>
                <w:szCs w:val="24"/>
                <w:lang w:val="es-ES_tradnl"/>
              </w:rPr>
              <w:t>UIT</w:t>
            </w:r>
            <w:proofErr w:type="spellEnd"/>
            <w:r w:rsidRPr="000D2110">
              <w:rPr>
                <w:rFonts w:asciiTheme="minorHAnsi" w:hAnsiTheme="minorHAnsi"/>
                <w:szCs w:val="24"/>
                <w:lang w:val="es-ES_tradnl"/>
              </w:rPr>
              <w:t xml:space="preserve">-D siguió realizando y actualizando los Mapas interactivos en línea de la transmisión terrenal de la </w:t>
            </w:r>
            <w:proofErr w:type="spellStart"/>
            <w:r w:rsidRPr="000D2110">
              <w:rPr>
                <w:rFonts w:asciiTheme="minorHAnsi" w:hAnsiTheme="minorHAnsi"/>
                <w:szCs w:val="24"/>
                <w:lang w:val="es-ES_tradnl"/>
              </w:rPr>
              <w:t>UIT</w:t>
            </w:r>
            <w:proofErr w:type="spellEnd"/>
            <w:r w:rsidRPr="000D2110">
              <w:rPr>
                <w:rFonts w:asciiTheme="minorHAnsi" w:hAnsiTheme="minorHAnsi"/>
                <w:szCs w:val="24"/>
                <w:lang w:val="es-ES_tradnl"/>
              </w:rPr>
              <w:t xml:space="preserve"> </w:t>
            </w:r>
            <w:r w:rsidRPr="000D2110">
              <w:rPr>
                <w:szCs w:val="24"/>
                <w:lang w:val="es-ES_tradnl"/>
              </w:rPr>
              <w:t>(</w:t>
            </w:r>
            <w:hyperlink r:id="rId18" w:history="1">
              <w:r w:rsidRPr="000D2110">
                <w:rPr>
                  <w:rStyle w:val="Hyperlink"/>
                  <w:rFonts w:asciiTheme="minorHAnsi" w:hAnsiTheme="minorHAnsi"/>
                  <w:szCs w:val="24"/>
                  <w:lang w:val="es-ES_tradnl"/>
                </w:rPr>
                <w:t>http://</w:t>
              </w:r>
              <w:proofErr w:type="spellStart"/>
              <w:r w:rsidRPr="000D2110">
                <w:rPr>
                  <w:rStyle w:val="Hyperlink"/>
                  <w:rFonts w:asciiTheme="minorHAnsi" w:hAnsiTheme="minorHAnsi"/>
                  <w:szCs w:val="24"/>
                  <w:lang w:val="es-ES_tradnl"/>
                </w:rPr>
                <w:t>itu.int</w:t>
              </w:r>
              <w:proofErr w:type="spellEnd"/>
              <w:r w:rsidRPr="000D2110">
                <w:rPr>
                  <w:rStyle w:val="Hyperlink"/>
                  <w:rFonts w:asciiTheme="minorHAnsi" w:hAnsiTheme="minorHAnsi"/>
                  <w:szCs w:val="24"/>
                  <w:lang w:val="es-ES_tradnl"/>
                </w:rPr>
                <w:t>/</w:t>
              </w:r>
              <w:proofErr w:type="spellStart"/>
              <w:r w:rsidRPr="000D2110">
                <w:rPr>
                  <w:rStyle w:val="Hyperlink"/>
                  <w:rFonts w:asciiTheme="minorHAnsi" w:hAnsiTheme="minorHAnsi"/>
                  <w:szCs w:val="24"/>
                  <w:lang w:val="es-ES_tradnl"/>
                </w:rPr>
                <w:t>go</w:t>
              </w:r>
              <w:proofErr w:type="spellEnd"/>
              <w:r w:rsidRPr="000D2110">
                <w:rPr>
                  <w:rStyle w:val="Hyperlink"/>
                  <w:rFonts w:asciiTheme="minorHAnsi" w:hAnsiTheme="minorHAnsi"/>
                  <w:szCs w:val="24"/>
                  <w:lang w:val="es-ES_tradnl"/>
                </w:rPr>
                <w:t>/</w:t>
              </w:r>
              <w:proofErr w:type="spellStart"/>
              <w:r w:rsidRPr="000D2110">
                <w:rPr>
                  <w:rStyle w:val="Hyperlink"/>
                  <w:rFonts w:asciiTheme="minorHAnsi" w:hAnsiTheme="minorHAnsi"/>
                  <w:szCs w:val="24"/>
                  <w:lang w:val="es-ES_tradnl"/>
                </w:rPr>
                <w:t>Maps</w:t>
              </w:r>
              <w:proofErr w:type="spellEnd"/>
            </w:hyperlink>
            <w:r w:rsidRPr="000D2110">
              <w:rPr>
                <w:szCs w:val="24"/>
                <w:lang w:val="es-ES_tradnl"/>
              </w:rPr>
              <w:t>).</w:t>
            </w:r>
            <w:r w:rsidRPr="000D2110">
              <w:rPr>
                <w:rFonts w:asciiTheme="minorHAnsi" w:hAnsiTheme="minorHAnsi"/>
                <w:szCs w:val="24"/>
                <w:lang w:val="es-ES_tradnl"/>
              </w:rPr>
              <w:t xml:space="preserve"> Los Mapas representan las infraestructuras fundamentales de TIC de fibra óptica troncal de banda ancha, los enlaces de microondas, las estaciones terrenas de satélite y los cables submarinos</w:t>
            </w:r>
            <w:bookmarkStart w:id="65" w:name="lt_pId203"/>
            <w:r w:rsidRPr="000D2110">
              <w:rPr>
                <w:rFonts w:asciiTheme="minorHAnsi" w:hAnsiTheme="minorHAnsi"/>
                <w:szCs w:val="24"/>
                <w:lang w:val="es-ES_tradnl"/>
              </w:rPr>
              <w:t>.</w:t>
            </w:r>
            <w:r w:rsidRPr="00FD3713">
              <w:rPr>
                <w:rFonts w:ascii="Calibri" w:hAnsi="Calibri"/>
                <w:b/>
                <w:color w:val="800000"/>
                <w:szCs w:val="24"/>
                <w:lang w:val="es-ES_tradnl"/>
              </w:rPr>
              <w:t xml:space="preserve"> </w:t>
            </w:r>
            <w:r w:rsidRPr="00FD3713">
              <w:rPr>
                <w:rFonts w:asciiTheme="minorHAnsi" w:hAnsiTheme="minorHAnsi"/>
                <w:szCs w:val="24"/>
                <w:lang w:val="es-ES_tradnl"/>
              </w:rPr>
              <w:t xml:space="preserve">Se renovó la interfaz de los Mapas para poder visualizar nuevos datos y sus análisis. Se han mejorado los gráficos, se han creado marcos para las aplicaciones en teléfonos inteligentes y tabletas y se han añadido tablones de anuncios y estadísticas. Se están preparando vídeos y demostraciones para los eventos. En el momento de realizar este Informe, los Mapas contenían información procedentes de </w:t>
            </w:r>
            <w:bookmarkStart w:id="66" w:name="lt_pId207"/>
            <w:bookmarkEnd w:id="65"/>
            <w:r w:rsidRPr="00FD3713">
              <w:rPr>
                <w:rFonts w:asciiTheme="minorHAnsi" w:hAnsiTheme="minorHAnsi"/>
                <w:szCs w:val="24"/>
                <w:lang w:val="es-ES_tradnl"/>
              </w:rPr>
              <w:t>406 redes de operador y 19 170 nodos de todo el mundo. Se han investigado los enlaces de transmisión de</w:t>
            </w:r>
            <w:bookmarkStart w:id="67" w:name="lt_pId208"/>
            <w:bookmarkEnd w:id="66"/>
            <w:r w:rsidR="00C86999">
              <w:rPr>
                <w:rFonts w:asciiTheme="minorHAnsi" w:hAnsiTheme="minorHAnsi"/>
                <w:szCs w:val="24"/>
                <w:lang w:val="es-ES_tradnl"/>
              </w:rPr>
              <w:t> </w:t>
            </w:r>
            <w:r w:rsidRPr="00FD3713">
              <w:rPr>
                <w:rFonts w:asciiTheme="minorHAnsi" w:hAnsiTheme="minorHAnsi"/>
                <w:szCs w:val="24"/>
                <w:lang w:val="es-ES_tradnl"/>
              </w:rPr>
              <w:t>13 010 406 km de rutas, de los cuales 3 101 414 km se han importado en el Mapa. Se han añadido una nueva página web, capas adicionales (</w:t>
            </w:r>
            <w:bookmarkStart w:id="68" w:name="lt_pId209"/>
            <w:bookmarkEnd w:id="67"/>
            <w:proofErr w:type="spellStart"/>
            <w:r w:rsidRPr="00FD3713">
              <w:rPr>
                <w:rFonts w:asciiTheme="minorHAnsi" w:hAnsiTheme="minorHAnsi"/>
                <w:szCs w:val="24"/>
                <w:lang w:val="es-ES_tradnl"/>
              </w:rPr>
              <w:t>IXP</w:t>
            </w:r>
            <w:proofErr w:type="spellEnd"/>
            <w:r w:rsidRPr="00FD3713">
              <w:rPr>
                <w:rFonts w:asciiTheme="minorHAnsi" w:hAnsiTheme="minorHAnsi"/>
                <w:szCs w:val="24"/>
                <w:lang w:val="es-ES_tradnl"/>
              </w:rPr>
              <w:t xml:space="preserve"> en colaboración con </w:t>
            </w:r>
            <w:proofErr w:type="spellStart"/>
            <w:r w:rsidRPr="00FD3713">
              <w:rPr>
                <w:rFonts w:asciiTheme="minorHAnsi" w:hAnsiTheme="minorHAnsi"/>
                <w:szCs w:val="24"/>
                <w:lang w:val="es-ES_tradnl"/>
              </w:rPr>
              <w:t>Telegeography</w:t>
            </w:r>
            <w:proofErr w:type="spellEnd"/>
            <w:r w:rsidRPr="00FD3713">
              <w:rPr>
                <w:rFonts w:asciiTheme="minorHAnsi" w:hAnsiTheme="minorHAnsi"/>
                <w:szCs w:val="24"/>
                <w:lang w:val="es-ES_tradnl"/>
              </w:rPr>
              <w:t>) y tablones de anuncios, al tiempo que se ha actualizado la información sobre los cables submarinos y las estaciones terrenas de satélite</w:t>
            </w:r>
            <w:bookmarkStart w:id="69" w:name="lt_pId210"/>
            <w:bookmarkEnd w:id="68"/>
            <w:r w:rsidRPr="00FD3713">
              <w:rPr>
                <w:rFonts w:asciiTheme="minorHAnsi" w:hAnsiTheme="minorHAnsi"/>
                <w:szCs w:val="24"/>
                <w:lang w:val="es-ES_tradnl"/>
              </w:rPr>
              <w:t>.</w:t>
            </w:r>
            <w:bookmarkEnd w:id="69"/>
          </w:p>
          <w:p w:rsidR="00F45A0D" w:rsidRPr="00FD3713" w:rsidRDefault="00F45A0D" w:rsidP="00F45A0D">
            <w:pPr>
              <w:rPr>
                <w:rFonts w:asciiTheme="minorHAnsi" w:hAnsiTheme="minorHAnsi"/>
                <w:szCs w:val="24"/>
                <w:lang w:val="es-ES_tradnl"/>
              </w:rPr>
            </w:pPr>
            <w:r w:rsidRPr="000D2110">
              <w:rPr>
                <w:rFonts w:asciiTheme="minorHAnsi" w:hAnsiTheme="minorHAnsi"/>
                <w:szCs w:val="24"/>
                <w:lang w:val="es-ES_tradnl"/>
              </w:rPr>
              <w:t xml:space="preserve">Se revisó y compartió con todos los participantes de las Comisiones de Estudio del </w:t>
            </w:r>
            <w:proofErr w:type="spellStart"/>
            <w:r w:rsidRPr="000D2110">
              <w:rPr>
                <w:rFonts w:asciiTheme="minorHAnsi" w:hAnsiTheme="minorHAnsi"/>
                <w:szCs w:val="24"/>
                <w:lang w:val="es-ES_tradnl"/>
              </w:rPr>
              <w:t>UIT</w:t>
            </w:r>
            <w:proofErr w:type="spellEnd"/>
            <w:r w:rsidRPr="000D2110">
              <w:rPr>
                <w:rFonts w:asciiTheme="minorHAnsi" w:hAnsiTheme="minorHAnsi"/>
                <w:szCs w:val="24"/>
                <w:lang w:val="es-ES_tradnl"/>
              </w:rPr>
              <w:t>-D un Informe sobre la implementación de infraestructuras evolutivas de telecomunicaciones y TIC para los países en desarrollo: aspectos técnicos, económicos y políticos.</w:t>
            </w:r>
            <w:r w:rsidRPr="000D2110">
              <w:rPr>
                <w:rFonts w:ascii="Calibri" w:hAnsi="Calibri"/>
                <w:b/>
                <w:color w:val="800000"/>
                <w:szCs w:val="24"/>
                <w:lang w:val="es-ES_tradnl"/>
              </w:rPr>
              <w:t xml:space="preserve"> </w:t>
            </w:r>
            <w:r w:rsidRPr="000D2110">
              <w:rPr>
                <w:rFonts w:asciiTheme="minorHAnsi" w:hAnsiTheme="minorHAnsi"/>
                <w:szCs w:val="24"/>
                <w:lang w:val="es-ES_tradnl"/>
              </w:rPr>
              <w:t>Esta revisión ahonda en las infraestructuras de telecomunicaciones/TIC esenciales y sus tecnologías, así como información sobre los procesos y conceptos de la normalización de la</w:t>
            </w:r>
            <w:bookmarkStart w:id="70" w:name="lt_pId213"/>
            <w:r w:rsidRPr="000D2110">
              <w:rPr>
                <w:rFonts w:asciiTheme="minorHAnsi" w:hAnsiTheme="minorHAnsi"/>
                <w:szCs w:val="24"/>
                <w:lang w:val="es-ES_tradnl"/>
              </w:rPr>
              <w:t xml:space="preserve"> </w:t>
            </w:r>
            <w:proofErr w:type="spellStart"/>
            <w:r w:rsidRPr="000D2110">
              <w:rPr>
                <w:rFonts w:asciiTheme="minorHAnsi" w:hAnsiTheme="minorHAnsi"/>
                <w:szCs w:val="24"/>
                <w:lang w:val="es-ES_tradnl"/>
              </w:rPr>
              <w:t>IoT</w:t>
            </w:r>
            <w:proofErr w:type="spellEnd"/>
            <w:r w:rsidRPr="000D2110">
              <w:rPr>
                <w:rFonts w:asciiTheme="minorHAnsi" w:hAnsiTheme="minorHAnsi"/>
                <w:szCs w:val="24"/>
                <w:lang w:val="es-ES_tradnl"/>
              </w:rPr>
              <w:t>, el espectro y la radiodifusión.</w:t>
            </w:r>
            <w:bookmarkEnd w:id="70"/>
            <w:r w:rsidRPr="000D2110">
              <w:rPr>
                <w:rFonts w:asciiTheme="minorHAnsi" w:hAnsiTheme="minorHAnsi"/>
                <w:szCs w:val="24"/>
                <w:lang w:val="es-ES_tradnl"/>
              </w:rPr>
              <w:t xml:space="preserve"> Este informe hace referencia a más de 200 publicaciones de la </w:t>
            </w:r>
            <w:proofErr w:type="spellStart"/>
            <w:r w:rsidRPr="000D2110">
              <w:rPr>
                <w:rFonts w:asciiTheme="minorHAnsi" w:hAnsiTheme="minorHAnsi"/>
                <w:szCs w:val="24"/>
                <w:lang w:val="es-ES_tradnl"/>
              </w:rPr>
              <w:t>UIT</w:t>
            </w:r>
            <w:proofErr w:type="spellEnd"/>
            <w:r w:rsidRPr="000D2110">
              <w:rPr>
                <w:rFonts w:asciiTheme="minorHAnsi" w:hAnsiTheme="minorHAnsi"/>
                <w:szCs w:val="24"/>
                <w:lang w:val="es-ES_tradnl"/>
              </w:rPr>
              <w:t xml:space="preserve"> (por ejemplo, Informes de las Comisiones de Estudio del </w:t>
            </w:r>
            <w:proofErr w:type="spellStart"/>
            <w:r w:rsidRPr="000D2110">
              <w:rPr>
                <w:rFonts w:asciiTheme="minorHAnsi" w:hAnsiTheme="minorHAnsi"/>
                <w:szCs w:val="24"/>
                <w:lang w:val="es-ES_tradnl"/>
              </w:rPr>
              <w:t>UIT</w:t>
            </w:r>
            <w:proofErr w:type="spellEnd"/>
            <w:r w:rsidRPr="000D2110">
              <w:rPr>
                <w:rFonts w:asciiTheme="minorHAnsi" w:hAnsiTheme="minorHAnsi"/>
                <w:szCs w:val="24"/>
                <w:lang w:val="es-ES_tradnl"/>
              </w:rPr>
              <w:t>-D, Directrices de</w:t>
            </w:r>
            <w:r w:rsidR="000D2110" w:rsidRPr="000D2110">
              <w:rPr>
                <w:rFonts w:asciiTheme="minorHAnsi" w:hAnsiTheme="minorHAnsi"/>
                <w:szCs w:val="24"/>
                <w:lang w:val="es-ES_tradnl"/>
              </w:rPr>
              <w:t xml:space="preserve"> la </w:t>
            </w:r>
            <w:proofErr w:type="spellStart"/>
            <w:r w:rsidR="000D2110" w:rsidRPr="000D2110">
              <w:rPr>
                <w:rFonts w:asciiTheme="minorHAnsi" w:hAnsiTheme="minorHAnsi"/>
                <w:szCs w:val="24"/>
                <w:lang w:val="es-ES_tradnl"/>
              </w:rPr>
              <w:t>UIT</w:t>
            </w:r>
            <w:proofErr w:type="spellEnd"/>
            <w:r w:rsidR="000D2110" w:rsidRPr="000D2110">
              <w:rPr>
                <w:rFonts w:asciiTheme="minorHAnsi" w:hAnsiTheme="minorHAnsi"/>
                <w:szCs w:val="24"/>
                <w:lang w:val="es-ES_tradnl"/>
              </w:rPr>
              <w:t xml:space="preserve"> y Recomendaciones de la </w:t>
            </w:r>
            <w:proofErr w:type="spellStart"/>
            <w:r w:rsidRPr="000D2110">
              <w:rPr>
                <w:rFonts w:asciiTheme="minorHAnsi" w:hAnsiTheme="minorHAnsi"/>
                <w:szCs w:val="24"/>
                <w:lang w:val="es-ES_tradnl"/>
              </w:rPr>
              <w:t>UIT</w:t>
            </w:r>
            <w:proofErr w:type="spellEnd"/>
            <w:r w:rsidRPr="000D2110">
              <w:rPr>
                <w:rFonts w:asciiTheme="minorHAnsi" w:hAnsiTheme="minorHAnsi"/>
                <w:szCs w:val="24"/>
                <w:lang w:val="es-ES_tradnl"/>
              </w:rPr>
              <w:t xml:space="preserve"> de todos los Sectores).</w:t>
            </w:r>
          </w:p>
          <w:p w:rsidR="00F45A0D" w:rsidRPr="00FD3713" w:rsidRDefault="00F45A0D" w:rsidP="008B5356">
            <w:pPr>
              <w:keepLines/>
              <w:rPr>
                <w:rFonts w:asciiTheme="minorHAnsi" w:hAnsiTheme="minorHAnsi"/>
                <w:szCs w:val="24"/>
                <w:lang w:val="es-ES_tradnl"/>
              </w:rPr>
            </w:pPr>
            <w:r w:rsidRPr="008D7BC5">
              <w:rPr>
                <w:rFonts w:asciiTheme="minorHAnsi" w:hAnsiTheme="minorHAnsi"/>
                <w:szCs w:val="24"/>
                <w:lang w:val="es-ES_tradnl"/>
              </w:rPr>
              <w:lastRenderedPageBreak/>
              <w:t xml:space="preserve">De acuerdo con la Resolución 47 de la </w:t>
            </w:r>
            <w:proofErr w:type="spellStart"/>
            <w:r w:rsidRPr="008D7BC5">
              <w:rPr>
                <w:rFonts w:asciiTheme="minorHAnsi" w:hAnsiTheme="minorHAnsi"/>
                <w:szCs w:val="24"/>
                <w:lang w:val="es-ES_tradnl"/>
              </w:rPr>
              <w:t>CMDT</w:t>
            </w:r>
            <w:proofErr w:type="spellEnd"/>
            <w:r w:rsidRPr="008D7BC5">
              <w:rPr>
                <w:rFonts w:asciiTheme="minorHAnsi" w:hAnsiTheme="minorHAnsi"/>
                <w:szCs w:val="24"/>
                <w:lang w:val="es-ES_tradnl"/>
              </w:rPr>
              <w:t xml:space="preserve"> (Rev. Dubái, 2014), se organizaron foros regionales y cursos de formación sobre </w:t>
            </w:r>
            <w:proofErr w:type="spellStart"/>
            <w:r w:rsidRPr="008D7BC5">
              <w:rPr>
                <w:rFonts w:asciiTheme="minorHAnsi" w:hAnsiTheme="minorHAnsi"/>
                <w:szCs w:val="24"/>
                <w:lang w:val="es-ES_tradnl"/>
              </w:rPr>
              <w:t>C+I</w:t>
            </w:r>
            <w:proofErr w:type="spellEnd"/>
            <w:r w:rsidRPr="008D7BC5">
              <w:rPr>
                <w:rFonts w:asciiTheme="minorHAnsi" w:hAnsiTheme="minorHAnsi"/>
                <w:szCs w:val="24"/>
                <w:lang w:val="es-ES_tradnl"/>
              </w:rPr>
              <w:t>.</w:t>
            </w:r>
            <w:r w:rsidRPr="008D7BC5">
              <w:rPr>
                <w:rFonts w:ascii="Calibri" w:hAnsi="Calibri"/>
                <w:b/>
                <w:color w:val="800000"/>
                <w:szCs w:val="24"/>
                <w:lang w:val="es-ES_tradnl"/>
              </w:rPr>
              <w:t xml:space="preserve"> </w:t>
            </w:r>
            <w:bookmarkStart w:id="71" w:name="lt_pId216"/>
            <w:r w:rsidRPr="008D7BC5">
              <w:rPr>
                <w:rFonts w:asciiTheme="minorHAnsi" w:hAnsiTheme="minorHAnsi"/>
                <w:szCs w:val="24"/>
                <w:lang w:val="es-ES_tradnl"/>
              </w:rPr>
              <w:t xml:space="preserve">Se ha preparado un estudio de evaluación de </w:t>
            </w:r>
            <w:proofErr w:type="spellStart"/>
            <w:r w:rsidRPr="008D7BC5">
              <w:rPr>
                <w:rFonts w:asciiTheme="minorHAnsi" w:hAnsiTheme="minorHAnsi"/>
                <w:szCs w:val="24"/>
                <w:lang w:val="es-ES_tradnl"/>
              </w:rPr>
              <w:t>C+I</w:t>
            </w:r>
            <w:proofErr w:type="spellEnd"/>
            <w:r w:rsidRPr="008D7BC5">
              <w:rPr>
                <w:rFonts w:asciiTheme="minorHAnsi" w:hAnsiTheme="minorHAnsi"/>
                <w:szCs w:val="24"/>
                <w:lang w:val="es-ES_tradnl"/>
              </w:rPr>
              <w:t xml:space="preserve"> para la región de Sudamérica en el que participaron 9 de los 10 países de la región. Se han organizado eventos regionales de formación en asociación con laboratorios de pruebas en las Américas, Asia</w:t>
            </w:r>
            <w:r w:rsidR="008B5356" w:rsidRPr="008D7BC5">
              <w:rPr>
                <w:rFonts w:asciiTheme="minorHAnsi" w:hAnsiTheme="minorHAnsi"/>
                <w:szCs w:val="24"/>
                <w:lang w:val="es-ES_tradnl"/>
              </w:rPr>
              <w:noBreakHyphen/>
            </w:r>
            <w:r w:rsidRPr="008D7BC5">
              <w:rPr>
                <w:rFonts w:asciiTheme="minorHAnsi" w:hAnsiTheme="minorHAnsi"/>
                <w:szCs w:val="24"/>
                <w:lang w:val="es-ES_tradnl"/>
              </w:rPr>
              <w:t>Pacífico y África</w:t>
            </w:r>
            <w:bookmarkStart w:id="72" w:name="lt_pId217"/>
            <w:bookmarkEnd w:id="71"/>
            <w:r w:rsidRPr="008D7BC5">
              <w:rPr>
                <w:rFonts w:asciiTheme="minorHAnsi" w:hAnsiTheme="minorHAnsi"/>
                <w:szCs w:val="24"/>
                <w:lang w:val="es-ES_tradnl"/>
              </w:rPr>
              <w:t>.</w:t>
            </w:r>
            <w:bookmarkEnd w:id="72"/>
          </w:p>
          <w:p w:rsidR="00F45A0D" w:rsidRPr="00FD3713" w:rsidRDefault="00F45A0D" w:rsidP="00F45A0D">
            <w:pPr>
              <w:rPr>
                <w:rFonts w:asciiTheme="minorHAnsi" w:hAnsiTheme="minorHAnsi"/>
                <w:szCs w:val="24"/>
                <w:lang w:val="es-ES_tradnl"/>
              </w:rPr>
            </w:pPr>
            <w:bookmarkStart w:id="73" w:name="lt_pId218"/>
            <w:r w:rsidRPr="00FD3713">
              <w:rPr>
                <w:rFonts w:asciiTheme="minorHAnsi" w:hAnsiTheme="minorHAnsi"/>
                <w:szCs w:val="24"/>
                <w:lang w:val="es-ES_tradnl"/>
              </w:rPr>
              <w:t xml:space="preserve">Se impartió a los Miembros de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capacitación en diversos temas relativos a las redes de telecomunicaciones/TIC, entre los que se cuentan la conformidad y la interoperabilidad, la televisión digital terrenal, el </w:t>
            </w:r>
            <w:proofErr w:type="spellStart"/>
            <w:r w:rsidRPr="00FD3713">
              <w:rPr>
                <w:rFonts w:asciiTheme="minorHAnsi" w:hAnsiTheme="minorHAnsi"/>
                <w:szCs w:val="24"/>
                <w:lang w:val="es-ES_tradnl"/>
              </w:rPr>
              <w:t>IPv6</w:t>
            </w:r>
            <w:proofErr w:type="spellEnd"/>
            <w:r w:rsidRPr="00FD3713">
              <w:rPr>
                <w:rFonts w:asciiTheme="minorHAnsi" w:hAnsiTheme="minorHAnsi"/>
                <w:szCs w:val="24"/>
                <w:lang w:val="es-ES_tradnl"/>
              </w:rPr>
              <w:t xml:space="preserve">, el </w:t>
            </w:r>
            <w:proofErr w:type="spellStart"/>
            <w:r w:rsidRPr="00FD3713">
              <w:rPr>
                <w:rFonts w:asciiTheme="minorHAnsi" w:hAnsiTheme="minorHAnsi"/>
                <w:szCs w:val="24"/>
                <w:lang w:val="es-ES_tradnl"/>
              </w:rPr>
              <w:t>SMS4DC</w:t>
            </w:r>
            <w:proofErr w:type="spellEnd"/>
            <w:r w:rsidRPr="00FD3713">
              <w:rPr>
                <w:rFonts w:asciiTheme="minorHAnsi" w:hAnsiTheme="minorHAnsi"/>
                <w:szCs w:val="24"/>
                <w:lang w:val="es-ES_tradnl"/>
              </w:rPr>
              <w:t>, la gestión del espectro, la coordinación y la planificación de frecuencias, etc.</w:t>
            </w:r>
            <w:bookmarkEnd w:id="73"/>
          </w:p>
          <w:p w:rsidR="00F45A0D" w:rsidRPr="00FD3713" w:rsidRDefault="00F45A0D" w:rsidP="00F45A0D">
            <w:pPr>
              <w:spacing w:after="120"/>
              <w:rPr>
                <w:rFonts w:asciiTheme="minorHAnsi" w:hAnsiTheme="minorHAnsi"/>
                <w:szCs w:val="24"/>
                <w:lang w:val="es-ES_tradnl"/>
              </w:rPr>
            </w:pPr>
            <w:bookmarkStart w:id="74" w:name="lt_pId219"/>
            <w:r w:rsidRPr="00FD3713">
              <w:rPr>
                <w:rFonts w:asciiTheme="minorHAnsi" w:hAnsiTheme="minorHAnsi"/>
                <w:szCs w:val="24"/>
                <w:lang w:val="es-ES_tradnl"/>
              </w:rPr>
              <w:t xml:space="preserve">Se prestó asistencia directa en relación con la planificación de frecuencia, los planes rectores de gestión del espectro, la transición de la radiodifusión de televisión analógica a digital terrenal, las futuras centrales Internet y la banda ancha </w:t>
            </w:r>
            <w:proofErr w:type="spellStart"/>
            <w:r w:rsidRPr="00FD3713">
              <w:rPr>
                <w:rFonts w:asciiTheme="minorHAnsi" w:hAnsiTheme="minorHAnsi"/>
                <w:szCs w:val="24"/>
                <w:lang w:val="es-ES_tradnl"/>
              </w:rPr>
              <w:t>IPv6</w:t>
            </w:r>
            <w:proofErr w:type="spellEnd"/>
            <w:r w:rsidRPr="00FD3713">
              <w:rPr>
                <w:rFonts w:asciiTheme="minorHAnsi" w:hAnsiTheme="minorHAnsi"/>
                <w:szCs w:val="24"/>
                <w:lang w:val="es-ES_tradnl"/>
              </w:rPr>
              <w:t>, la implantación de redes inalámbricas de banda ancha, la radiodifusión sonora, las centrales Internet nacionales y regionales (</w:t>
            </w:r>
            <w:proofErr w:type="spellStart"/>
            <w:r w:rsidRPr="00FD3713">
              <w:rPr>
                <w:rFonts w:asciiTheme="minorHAnsi" w:hAnsiTheme="minorHAnsi"/>
                <w:szCs w:val="24"/>
                <w:lang w:val="es-ES_tradnl"/>
              </w:rPr>
              <w:t>IXP</w:t>
            </w:r>
            <w:proofErr w:type="spellEnd"/>
            <w:r w:rsidRPr="00FD3713">
              <w:rPr>
                <w:rFonts w:asciiTheme="minorHAnsi" w:hAnsiTheme="minorHAnsi"/>
                <w:szCs w:val="24"/>
                <w:lang w:val="es-ES_tradnl"/>
              </w:rPr>
              <w:t>), etc.</w:t>
            </w:r>
            <w:bookmarkEnd w:id="74"/>
          </w:p>
        </w:tc>
      </w:tr>
      <w:tr w:rsidR="00F45A0D" w:rsidRPr="00FD3713" w:rsidTr="00C207F6">
        <w:tc>
          <w:tcPr>
            <w:tcW w:w="2830" w:type="dxa"/>
          </w:tcPr>
          <w:p w:rsidR="00F45A0D" w:rsidRPr="00FD3713" w:rsidRDefault="00F45A0D" w:rsidP="009905B7">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798" w:type="dxa"/>
          </w:tcPr>
          <w:p w:rsidR="00F45A0D" w:rsidRPr="00FD3713" w:rsidRDefault="00F45A0D" w:rsidP="009905B7">
            <w:pPr>
              <w:spacing w:before="60" w:after="60"/>
              <w:rPr>
                <w:rFonts w:asciiTheme="minorHAnsi" w:hAnsiTheme="minorHAnsi"/>
                <w:szCs w:val="24"/>
                <w:lang w:val="es-ES_tradnl"/>
              </w:rPr>
            </w:pPr>
            <w:bookmarkStart w:id="75" w:name="lt_pId221"/>
            <w:r w:rsidRPr="00FD3713">
              <w:rPr>
                <w:rFonts w:asciiTheme="minorHAnsi" w:hAnsiTheme="minorHAnsi"/>
                <w:szCs w:val="24"/>
                <w:lang w:val="es-ES_tradnl"/>
              </w:rPr>
              <w:t>Resoluciones 1, 9, 10, 11, 13, 17, 18, 20, 21, 22, 23, 25, 30, 32, 35, 37, 39, 43, 47, 48, 50, 51, 52, 57, 62, 63, 77</w:t>
            </w:r>
            <w:bookmarkEnd w:id="75"/>
          </w:p>
          <w:p w:rsidR="00F45A0D" w:rsidRPr="00FD3713" w:rsidRDefault="0002180D" w:rsidP="009905B7">
            <w:pPr>
              <w:spacing w:before="60" w:after="60"/>
              <w:rPr>
                <w:rFonts w:asciiTheme="minorHAnsi" w:hAnsiTheme="minorHAnsi"/>
                <w:szCs w:val="24"/>
                <w:lang w:val="es-ES_tradnl"/>
              </w:rPr>
            </w:pPr>
            <w:bookmarkStart w:id="76" w:name="lt_pId222"/>
            <w:r w:rsidRPr="00FD3713">
              <w:rPr>
                <w:rFonts w:asciiTheme="minorHAnsi" w:hAnsiTheme="minorHAnsi"/>
                <w:szCs w:val="24"/>
                <w:lang w:val="es-ES_tradnl"/>
              </w:rPr>
              <w:t>Recomendaciones</w:t>
            </w:r>
            <w:r w:rsidR="00F45A0D" w:rsidRPr="00FD3713">
              <w:rPr>
                <w:rFonts w:asciiTheme="minorHAnsi" w:hAnsiTheme="minorHAnsi"/>
                <w:szCs w:val="24"/>
                <w:lang w:val="es-ES_tradnl"/>
              </w:rPr>
              <w:t xml:space="preserve"> 17, 19, 22</w:t>
            </w:r>
            <w:bookmarkEnd w:id="76"/>
          </w:p>
        </w:tc>
      </w:tr>
      <w:tr w:rsidR="00F45A0D" w:rsidRPr="008D434B" w:rsidTr="00C207F6">
        <w:tc>
          <w:tcPr>
            <w:tcW w:w="2830" w:type="dxa"/>
          </w:tcPr>
          <w:p w:rsidR="00F45A0D" w:rsidRPr="0002180D" w:rsidRDefault="00F45A0D" w:rsidP="009905B7">
            <w:pPr>
              <w:spacing w:before="60" w:after="60"/>
              <w:rPr>
                <w:i/>
                <w:iCs/>
                <w:szCs w:val="24"/>
                <w:lang w:val="es-ES_tradnl"/>
              </w:rPr>
            </w:pPr>
            <w:r w:rsidRPr="0002180D">
              <w:rPr>
                <w:rFonts w:asciiTheme="minorHAnsi" w:hAnsiTheme="minorHAnsi"/>
                <w:i/>
                <w:iCs/>
                <w:szCs w:val="24"/>
                <w:lang w:val="es-ES_tradnl"/>
              </w:rPr>
              <w:t>Conferencia de Plenipotenciarios</w:t>
            </w:r>
          </w:p>
        </w:tc>
        <w:tc>
          <w:tcPr>
            <w:tcW w:w="6798" w:type="dxa"/>
          </w:tcPr>
          <w:p w:rsidR="00F45A0D" w:rsidRPr="00FD3713" w:rsidRDefault="00F45A0D" w:rsidP="009905B7">
            <w:pPr>
              <w:spacing w:before="60" w:after="60"/>
              <w:rPr>
                <w:rFonts w:asciiTheme="minorHAnsi" w:hAnsiTheme="minorHAnsi"/>
                <w:szCs w:val="24"/>
                <w:lang w:val="es-ES_tradnl"/>
              </w:rPr>
            </w:pPr>
            <w:r w:rsidRPr="00FD3713">
              <w:rPr>
                <w:rFonts w:asciiTheme="minorHAnsi" w:hAnsiTheme="minorHAnsi"/>
                <w:szCs w:val="24"/>
                <w:lang w:val="es-ES_tradnl"/>
              </w:rPr>
              <w:t>Decisiones de la PP: 5 y 13</w:t>
            </w:r>
          </w:p>
          <w:p w:rsidR="00F45A0D" w:rsidRPr="00FD3713" w:rsidRDefault="00F45A0D" w:rsidP="009905B7">
            <w:pPr>
              <w:spacing w:before="60" w:after="60"/>
              <w:rPr>
                <w:szCs w:val="24"/>
                <w:lang w:val="es-ES_tradnl"/>
              </w:rPr>
            </w:pPr>
            <w:r w:rsidRPr="00FD3713">
              <w:rPr>
                <w:rFonts w:asciiTheme="minorHAnsi" w:hAnsiTheme="minorHAnsi"/>
                <w:szCs w:val="24"/>
                <w:lang w:val="es-ES_tradnl"/>
              </w:rPr>
              <w:t>Resoluciones de la PP: 25, 71, 101, 123, 176, 177, 178 y 203</w:t>
            </w:r>
          </w:p>
        </w:tc>
      </w:tr>
      <w:tr w:rsidR="00F45A0D" w:rsidRPr="00FD3713" w:rsidTr="00C207F6">
        <w:tc>
          <w:tcPr>
            <w:tcW w:w="2830" w:type="dxa"/>
          </w:tcPr>
          <w:p w:rsidR="00F45A0D" w:rsidRPr="00FD3713" w:rsidRDefault="00F45A0D" w:rsidP="009905B7">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t>CMR</w:t>
            </w:r>
            <w:proofErr w:type="spellEnd"/>
          </w:p>
        </w:tc>
        <w:tc>
          <w:tcPr>
            <w:tcW w:w="6798" w:type="dxa"/>
          </w:tcPr>
          <w:p w:rsidR="00F45A0D" w:rsidRPr="00FD3713" w:rsidRDefault="00F45A0D" w:rsidP="009905B7">
            <w:pPr>
              <w:spacing w:before="60" w:after="60"/>
              <w:rPr>
                <w:rFonts w:asciiTheme="minorHAnsi" w:hAnsiTheme="minorHAnsi"/>
                <w:szCs w:val="24"/>
                <w:lang w:val="es-ES_tradnl"/>
              </w:rPr>
            </w:pPr>
            <w:bookmarkStart w:id="77" w:name="lt_pId227"/>
            <w:r w:rsidRPr="00FD3713">
              <w:rPr>
                <w:rFonts w:asciiTheme="minorHAnsi" w:hAnsiTheme="minorHAnsi"/>
                <w:szCs w:val="24"/>
                <w:lang w:val="es-ES_tradnl"/>
              </w:rPr>
              <w:t>Resoluciones 12, 55, 212, 223, 224, 238, 908</w:t>
            </w:r>
            <w:bookmarkEnd w:id="77"/>
          </w:p>
          <w:p w:rsidR="00F45A0D" w:rsidRPr="00FD3713" w:rsidRDefault="00F45A0D" w:rsidP="009905B7">
            <w:pPr>
              <w:spacing w:before="60" w:after="60"/>
              <w:rPr>
                <w:rFonts w:asciiTheme="minorHAnsi" w:hAnsiTheme="minorHAnsi"/>
                <w:szCs w:val="24"/>
                <w:lang w:val="es-ES_tradnl"/>
              </w:rPr>
            </w:pPr>
            <w:bookmarkStart w:id="78" w:name="lt_pId228"/>
            <w:r w:rsidRPr="00FD3713">
              <w:rPr>
                <w:rFonts w:asciiTheme="minorHAnsi" w:hAnsiTheme="minorHAnsi"/>
                <w:szCs w:val="24"/>
                <w:lang w:val="es-ES_tradnl"/>
              </w:rPr>
              <w:t>Recomendación 207</w:t>
            </w:r>
            <w:bookmarkEnd w:id="78"/>
          </w:p>
        </w:tc>
      </w:tr>
      <w:tr w:rsidR="00F45A0D" w:rsidRPr="00FD3713" w:rsidTr="00C207F6">
        <w:tc>
          <w:tcPr>
            <w:tcW w:w="2830" w:type="dxa"/>
          </w:tcPr>
          <w:p w:rsidR="00F45A0D" w:rsidRPr="00FD3713" w:rsidRDefault="00F45A0D" w:rsidP="00B7462A">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t>AMNT</w:t>
            </w:r>
            <w:proofErr w:type="spellEnd"/>
          </w:p>
        </w:tc>
        <w:tc>
          <w:tcPr>
            <w:tcW w:w="6798" w:type="dxa"/>
          </w:tcPr>
          <w:p w:rsidR="00F45A0D" w:rsidRPr="00FD3713" w:rsidRDefault="00F45A0D" w:rsidP="00B7462A">
            <w:pPr>
              <w:spacing w:before="60" w:after="60"/>
              <w:rPr>
                <w:rFonts w:asciiTheme="minorHAnsi" w:hAnsiTheme="minorHAnsi"/>
                <w:szCs w:val="24"/>
                <w:lang w:val="es-ES_tradnl"/>
              </w:rPr>
            </w:pPr>
            <w:bookmarkStart w:id="79" w:name="lt_pId230"/>
            <w:r w:rsidRPr="00FD3713">
              <w:rPr>
                <w:rFonts w:asciiTheme="minorHAnsi" w:hAnsiTheme="minorHAnsi"/>
                <w:szCs w:val="24"/>
                <w:lang w:val="es-ES_tradnl"/>
              </w:rPr>
              <w:t>Resoluciones 17, 20, 29, 44, 64, 72</w:t>
            </w:r>
            <w:bookmarkEnd w:id="79"/>
          </w:p>
        </w:tc>
      </w:tr>
      <w:tr w:rsidR="00F45A0D" w:rsidRPr="00FD3713" w:rsidTr="00C207F6">
        <w:tc>
          <w:tcPr>
            <w:tcW w:w="2830" w:type="dxa"/>
          </w:tcPr>
          <w:p w:rsidR="00F45A0D" w:rsidRPr="00FD3713" w:rsidRDefault="00F45A0D" w:rsidP="00B7462A">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t>CMTI</w:t>
            </w:r>
            <w:proofErr w:type="spellEnd"/>
          </w:p>
        </w:tc>
        <w:tc>
          <w:tcPr>
            <w:tcW w:w="6798" w:type="dxa"/>
          </w:tcPr>
          <w:p w:rsidR="00F45A0D" w:rsidRPr="00FD3713" w:rsidRDefault="00F45A0D" w:rsidP="00B7462A">
            <w:pPr>
              <w:spacing w:before="60" w:after="60"/>
              <w:rPr>
                <w:rFonts w:asciiTheme="minorHAnsi" w:hAnsiTheme="minorHAnsi"/>
                <w:szCs w:val="24"/>
                <w:lang w:val="es-ES_tradnl"/>
              </w:rPr>
            </w:pPr>
            <w:bookmarkStart w:id="80" w:name="lt_pId232"/>
            <w:r w:rsidRPr="00FD3713">
              <w:rPr>
                <w:rFonts w:asciiTheme="minorHAnsi" w:hAnsiTheme="minorHAnsi"/>
                <w:szCs w:val="24"/>
                <w:lang w:val="es-ES_tradnl"/>
              </w:rPr>
              <w:t>Resolución 5</w:t>
            </w:r>
            <w:bookmarkEnd w:id="80"/>
          </w:p>
        </w:tc>
      </w:tr>
      <w:tr w:rsidR="00F45A0D" w:rsidRPr="008D434B" w:rsidTr="00C207F6">
        <w:tc>
          <w:tcPr>
            <w:tcW w:w="2830" w:type="dxa"/>
          </w:tcPr>
          <w:p w:rsidR="00F45A0D" w:rsidRPr="00FD3713" w:rsidRDefault="00F45A0D" w:rsidP="009905B7">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798" w:type="dxa"/>
          </w:tcPr>
          <w:p w:rsidR="00F45A0D" w:rsidRPr="00FD3713" w:rsidRDefault="00F45A0D" w:rsidP="009905B7">
            <w:pPr>
              <w:spacing w:before="60" w:after="60"/>
              <w:rPr>
                <w:szCs w:val="24"/>
                <w:lang w:val="es-ES_tradnl"/>
              </w:rPr>
            </w:pPr>
            <w:r w:rsidRPr="00FD3713">
              <w:rPr>
                <w:rFonts w:asciiTheme="minorHAnsi" w:hAnsiTheme="minorHAnsi"/>
                <w:szCs w:val="24"/>
                <w:lang w:val="es-ES_tradnl"/>
              </w:rPr>
              <w:t xml:space="preserve">Líneas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C2</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C3</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C7</w:t>
            </w:r>
            <w:proofErr w:type="spellEnd"/>
            <w:r w:rsidRPr="00FD3713">
              <w:rPr>
                <w:rFonts w:asciiTheme="minorHAnsi" w:hAnsiTheme="minorHAnsi"/>
                <w:szCs w:val="24"/>
                <w:lang w:val="es-ES_tradnl"/>
              </w:rPr>
              <w:t xml:space="preserve"> y </w:t>
            </w:r>
            <w:proofErr w:type="spellStart"/>
            <w:r w:rsidRPr="00FD3713">
              <w:rPr>
                <w:rFonts w:asciiTheme="minorHAnsi" w:hAnsiTheme="minorHAnsi"/>
                <w:szCs w:val="24"/>
                <w:lang w:val="es-ES_tradnl"/>
              </w:rPr>
              <w:t>C9</w:t>
            </w:r>
            <w:proofErr w:type="spellEnd"/>
            <w:r w:rsidRPr="00FD3713">
              <w:rPr>
                <w:rFonts w:asciiTheme="minorHAnsi" w:hAnsiTheme="minorHAnsi"/>
                <w:szCs w:val="24"/>
                <w:lang w:val="es-ES_tradnl"/>
              </w:rPr>
              <w:t xml:space="preserve"> d</w:t>
            </w:r>
            <w:r w:rsidR="004E2CDB" w:rsidRPr="00FD3713">
              <w:rPr>
                <w:rFonts w:asciiTheme="minorHAnsi" w:hAnsiTheme="minorHAnsi"/>
                <w:szCs w:val="24"/>
                <w:lang w:val="es-ES_tradnl"/>
              </w:rPr>
              <w:t xml:space="preserve">el Plan de Acción de Ginebra y </w:t>
            </w:r>
            <w:r w:rsidRPr="00FD3713">
              <w:rPr>
                <w:rFonts w:asciiTheme="minorHAnsi" w:hAnsiTheme="minorHAnsi"/>
                <w:szCs w:val="24"/>
                <w:lang w:val="es-ES_tradnl"/>
              </w:rPr>
              <w:t>la Sección "Mecanismos de financiación para hacer frente a los retos de las TIC para el desarrollo" de la Agenda de Túnez para la Sociedad de la Información.</w:t>
            </w:r>
          </w:p>
        </w:tc>
      </w:tr>
      <w:tr w:rsidR="00F45A0D" w:rsidRPr="008D434B" w:rsidTr="00C207F6">
        <w:tc>
          <w:tcPr>
            <w:tcW w:w="2830" w:type="dxa"/>
          </w:tcPr>
          <w:p w:rsidR="00F45A0D" w:rsidRPr="00FD3713" w:rsidRDefault="00F45A0D" w:rsidP="009905B7">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Contribución a las metas de los </w:t>
            </w:r>
            <w:proofErr w:type="spellStart"/>
            <w:r w:rsidRPr="00FD3713">
              <w:rPr>
                <w:rFonts w:asciiTheme="minorHAnsi" w:hAnsiTheme="minorHAnsi"/>
                <w:i/>
                <w:iCs/>
                <w:szCs w:val="24"/>
                <w:lang w:val="es-ES_tradnl"/>
              </w:rPr>
              <w:t>ODS</w:t>
            </w:r>
            <w:proofErr w:type="spellEnd"/>
          </w:p>
        </w:tc>
        <w:tc>
          <w:tcPr>
            <w:tcW w:w="6798" w:type="dxa"/>
          </w:tcPr>
          <w:p w:rsidR="00F45A0D" w:rsidRPr="00FD3713" w:rsidRDefault="00F45A0D" w:rsidP="009905B7">
            <w:pPr>
              <w:spacing w:before="60" w:after="60"/>
              <w:rPr>
                <w:rFonts w:asciiTheme="minorHAnsi" w:hAnsiTheme="minorHAnsi"/>
                <w:szCs w:val="24"/>
                <w:lang w:val="es-ES_tradnl"/>
              </w:rPr>
            </w:pP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1 (metas </w:t>
            </w:r>
            <w:proofErr w:type="spellStart"/>
            <w:r w:rsidRPr="00FD3713">
              <w:rPr>
                <w:rFonts w:asciiTheme="minorHAnsi" w:hAnsiTheme="minorHAnsi"/>
                <w:szCs w:val="24"/>
                <w:lang w:val="es-ES_tradnl"/>
              </w:rPr>
              <w:t>1.a</w:t>
            </w:r>
            <w:proofErr w:type="spellEnd"/>
            <w:r w:rsidRPr="00FD3713">
              <w:rPr>
                <w:rFonts w:asciiTheme="minorHAnsi" w:hAnsiTheme="minorHAnsi"/>
                <w:szCs w:val="24"/>
                <w:lang w:val="es-ES_tradnl"/>
              </w:rPr>
              <w:t xml:space="preserve">, 1.4), 4 (metas 4.4, 4.6, </w:t>
            </w:r>
            <w:proofErr w:type="spellStart"/>
            <w:r w:rsidRPr="00FD3713">
              <w:rPr>
                <w:rFonts w:asciiTheme="minorHAnsi" w:hAnsiTheme="minorHAnsi"/>
                <w:szCs w:val="24"/>
                <w:lang w:val="es-ES_tradnl"/>
              </w:rPr>
              <w:t>4.a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4.c</w:t>
            </w:r>
            <w:proofErr w:type="spellEnd"/>
            <w:r w:rsidRPr="00FD3713">
              <w:rPr>
                <w:rFonts w:asciiTheme="minorHAnsi" w:hAnsiTheme="minorHAnsi"/>
                <w:szCs w:val="24"/>
                <w:lang w:val="es-ES_tradnl"/>
              </w:rPr>
              <w:t xml:space="preserve">), 6 (metas 6.5, </w:t>
            </w:r>
            <w:proofErr w:type="spellStart"/>
            <w:r w:rsidRPr="00FD3713">
              <w:rPr>
                <w:rFonts w:asciiTheme="minorHAnsi" w:hAnsiTheme="minorHAnsi"/>
                <w:szCs w:val="24"/>
                <w:lang w:val="es-ES_tradnl"/>
              </w:rPr>
              <w:t>6.a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6.b</w:t>
            </w:r>
            <w:proofErr w:type="spellEnd"/>
            <w:r w:rsidRPr="00FD3713">
              <w:rPr>
                <w:rFonts w:asciiTheme="minorHAnsi" w:hAnsiTheme="minorHAnsi"/>
                <w:szCs w:val="24"/>
                <w:lang w:val="es-ES_tradnl"/>
              </w:rPr>
              <w:t xml:space="preserve">), 7 (metas 7.1, </w:t>
            </w:r>
            <w:proofErr w:type="spellStart"/>
            <w:r w:rsidRPr="00FD3713">
              <w:rPr>
                <w:rFonts w:asciiTheme="minorHAnsi" w:hAnsiTheme="minorHAnsi"/>
                <w:szCs w:val="24"/>
                <w:lang w:val="es-ES_tradnl"/>
              </w:rPr>
              <w:t>7.b</w:t>
            </w:r>
            <w:proofErr w:type="spellEnd"/>
            <w:r w:rsidRPr="00FD3713">
              <w:rPr>
                <w:rFonts w:asciiTheme="minorHAnsi" w:hAnsiTheme="minorHAnsi"/>
                <w:szCs w:val="24"/>
                <w:lang w:val="es-ES_tradnl"/>
              </w:rPr>
              <w:t xml:space="preserve">), 8 (metas 8.2, 8.5), 9 (metas 9.1, 9.4, 9.5, </w:t>
            </w:r>
            <w:proofErr w:type="spellStart"/>
            <w:r w:rsidRPr="00FD3713">
              <w:rPr>
                <w:rFonts w:asciiTheme="minorHAnsi" w:hAnsiTheme="minorHAnsi"/>
                <w:szCs w:val="24"/>
                <w:lang w:val="es-ES_tradnl"/>
              </w:rPr>
              <w:t>9.a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9.b</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9.c</w:t>
            </w:r>
            <w:proofErr w:type="spellEnd"/>
            <w:r w:rsidRPr="00FD3713">
              <w:rPr>
                <w:rFonts w:asciiTheme="minorHAnsi" w:hAnsiTheme="minorHAnsi"/>
                <w:szCs w:val="24"/>
                <w:lang w:val="es-ES_tradnl"/>
              </w:rPr>
              <w:t xml:space="preserve">), 11 (metas 11.1, 11.5, </w:t>
            </w:r>
            <w:proofErr w:type="spellStart"/>
            <w:r w:rsidRPr="00FD3713">
              <w:rPr>
                <w:rFonts w:asciiTheme="minorHAnsi" w:hAnsiTheme="minorHAnsi"/>
                <w:szCs w:val="24"/>
                <w:lang w:val="es-ES_tradnl"/>
              </w:rPr>
              <w:t>11.a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11.b</w:t>
            </w:r>
            <w:proofErr w:type="spellEnd"/>
            <w:r w:rsidRPr="00FD3713">
              <w:rPr>
                <w:rFonts w:asciiTheme="minorHAnsi" w:hAnsiTheme="minorHAnsi"/>
                <w:szCs w:val="24"/>
                <w:lang w:val="es-ES_tradnl"/>
              </w:rPr>
              <w:t>), 17 (metas 17.3, 17.5)</w:t>
            </w:r>
          </w:p>
        </w:tc>
      </w:tr>
    </w:tbl>
    <w:p w:rsidR="00F45A0D" w:rsidRPr="00FD3713" w:rsidRDefault="00F45A0D" w:rsidP="00C207F6">
      <w:pPr>
        <w:pStyle w:val="Heading2"/>
        <w:spacing w:after="120"/>
        <w:rPr>
          <w:lang w:val="es-ES_tradnl"/>
        </w:rPr>
      </w:pPr>
      <w:r w:rsidRPr="00FD3713">
        <w:rPr>
          <w:lang w:val="es-ES_tradnl"/>
        </w:rPr>
        <w:t>2.3</w:t>
      </w:r>
      <w:r w:rsidRPr="00FD3713">
        <w:rPr>
          <w:lang w:val="es-ES_tradnl"/>
        </w:rPr>
        <w:tab/>
        <w:t>Innovación y alianzas de colaboración</w:t>
      </w:r>
    </w:p>
    <w:tbl>
      <w:tblPr>
        <w:tblStyle w:val="TableGrid"/>
        <w:tblW w:w="0" w:type="auto"/>
        <w:tblLook w:val="04A0" w:firstRow="1" w:lastRow="0" w:firstColumn="1" w:lastColumn="0" w:noHBand="0" w:noVBand="1"/>
      </w:tblPr>
      <w:tblGrid>
        <w:gridCol w:w="9628"/>
      </w:tblGrid>
      <w:tr w:rsidR="00F45A0D" w:rsidRPr="008D434B" w:rsidTr="00F45A0D">
        <w:tc>
          <w:tcPr>
            <w:tcW w:w="9628" w:type="dxa"/>
          </w:tcPr>
          <w:p w:rsidR="00F45A0D" w:rsidRPr="00FD3713" w:rsidRDefault="00F45A0D" w:rsidP="00F45A0D">
            <w:pPr>
              <w:rPr>
                <w:rFonts w:asciiTheme="minorHAnsi" w:hAnsiTheme="minorHAnsi"/>
                <w:szCs w:val="24"/>
                <w:lang w:val="es-ES_tradnl"/>
              </w:rPr>
            </w:pPr>
            <w:bookmarkStart w:id="81" w:name="lt_pId240"/>
            <w:r w:rsidRPr="004E2163">
              <w:rPr>
                <w:rFonts w:asciiTheme="minorHAnsi" w:hAnsiTheme="minorHAnsi"/>
                <w:b/>
                <w:bCs/>
                <w:szCs w:val="24"/>
                <w:lang w:val="es-ES_tradnl"/>
              </w:rPr>
              <w:t>Alianzas en el ecosistema de las TIC:</w:t>
            </w:r>
            <w:bookmarkEnd w:id="81"/>
            <w:r w:rsidRPr="004E2163">
              <w:rPr>
                <w:rFonts w:asciiTheme="minorHAnsi" w:hAnsiTheme="minorHAnsi"/>
                <w:szCs w:val="24"/>
                <w:lang w:val="es-ES_tradnl"/>
              </w:rPr>
              <w:t xml:space="preserve"> </w:t>
            </w:r>
            <w:bookmarkStart w:id="82" w:name="lt_pId241"/>
            <w:r w:rsidRPr="004E2163">
              <w:rPr>
                <w:rFonts w:asciiTheme="minorHAnsi" w:hAnsiTheme="minorHAnsi"/>
                <w:szCs w:val="24"/>
                <w:lang w:val="es-ES_tradnl"/>
              </w:rPr>
              <w:t>Se intensificaron las alianzas y la movilización de recursos estableciendo contactos directos, creando redes</w:t>
            </w:r>
            <w:r w:rsidRPr="00FD3713">
              <w:rPr>
                <w:rFonts w:asciiTheme="minorHAnsi" w:hAnsiTheme="minorHAnsi"/>
                <w:szCs w:val="24"/>
                <w:lang w:val="es-ES_tradnl"/>
              </w:rPr>
              <w:t xml:space="preserve"> de asociados y celebrando reuniones. En </w:t>
            </w:r>
            <w:bookmarkStart w:id="83" w:name="lt_pId242"/>
            <w:bookmarkEnd w:id="82"/>
            <w:r w:rsidRPr="00FD3713">
              <w:rPr>
                <w:rFonts w:asciiTheme="minorHAnsi" w:hAnsiTheme="minorHAnsi"/>
                <w:szCs w:val="24"/>
                <w:lang w:val="es-ES_tradnl"/>
              </w:rPr>
              <w:t xml:space="preserve">2017, se firmaron 58 nuevos acuerdos de asociación con diversos interesados: </w:t>
            </w:r>
            <w:proofErr w:type="spellStart"/>
            <w:r w:rsidRPr="00FD3713">
              <w:rPr>
                <w:rFonts w:asciiTheme="minorHAnsi" w:hAnsiTheme="minorHAnsi"/>
                <w:szCs w:val="24"/>
                <w:lang w:val="es-ES_tradnl"/>
              </w:rPr>
              <w:t>multitemáticos</w:t>
            </w:r>
            <w:bookmarkStart w:id="84" w:name="lt_pId243"/>
            <w:bookmarkEnd w:id="83"/>
            <w:proofErr w:type="spellEnd"/>
            <w:r w:rsidRPr="00FD3713">
              <w:rPr>
                <w:rFonts w:asciiTheme="minorHAnsi" w:hAnsiTheme="minorHAnsi"/>
                <w:szCs w:val="24"/>
                <w:lang w:val="es-ES_tradnl"/>
              </w:rPr>
              <w:t xml:space="preserve"> (20), sobre aplicaciones de TIC (12), sobre capacitación de recursos humanos (6), sobre infraestructura (5), sobre telecomunicaciones de emergencia (4), sobre integración digital (3), sobre </w:t>
            </w:r>
            <w:proofErr w:type="spellStart"/>
            <w:r w:rsidRPr="00FD3713">
              <w:rPr>
                <w:rFonts w:asciiTheme="minorHAnsi" w:hAnsiTheme="minorHAnsi"/>
                <w:szCs w:val="24"/>
                <w:lang w:val="es-ES_tradnl"/>
              </w:rPr>
              <w:t>ciberseguridad</w:t>
            </w:r>
            <w:proofErr w:type="spellEnd"/>
            <w:r w:rsidRPr="00FD3713">
              <w:rPr>
                <w:rFonts w:asciiTheme="minorHAnsi" w:hAnsiTheme="minorHAnsi"/>
                <w:szCs w:val="24"/>
                <w:lang w:val="es-ES_tradnl"/>
              </w:rPr>
              <w:t xml:space="preserve"> (3), sobre residuos-e (2), sobre el entorno reglamentario y de mercado (2) y sobre innovación (1).</w:t>
            </w:r>
            <w:bookmarkEnd w:id="84"/>
            <w:r w:rsidRPr="00FD3713">
              <w:rPr>
                <w:rFonts w:asciiTheme="minorHAnsi" w:hAnsiTheme="minorHAnsi"/>
                <w:szCs w:val="24"/>
                <w:lang w:val="es-ES_tradnl"/>
              </w:rPr>
              <w:t xml:space="preserve"> </w:t>
            </w:r>
            <w:bookmarkStart w:id="85" w:name="lt_pId244"/>
            <w:r w:rsidRPr="00FD3713">
              <w:rPr>
                <w:rFonts w:asciiTheme="minorHAnsi" w:hAnsiTheme="minorHAnsi"/>
                <w:szCs w:val="24"/>
                <w:lang w:val="es-ES_tradnl"/>
              </w:rPr>
              <w:t>Las regiones beneficiarias de estos nuevos acuerdos fueron:</w:t>
            </w:r>
            <w:bookmarkEnd w:id="85"/>
            <w:r w:rsidRPr="00FD3713">
              <w:rPr>
                <w:rFonts w:asciiTheme="minorHAnsi" w:hAnsiTheme="minorHAnsi"/>
                <w:szCs w:val="24"/>
                <w:lang w:val="es-ES_tradnl"/>
              </w:rPr>
              <w:t xml:space="preserve"> </w:t>
            </w:r>
            <w:bookmarkStart w:id="86" w:name="lt_pId245"/>
            <w:r w:rsidRPr="00FD3713">
              <w:rPr>
                <w:rFonts w:asciiTheme="minorHAnsi" w:hAnsiTheme="minorHAnsi"/>
                <w:szCs w:val="24"/>
                <w:lang w:val="es-ES_tradnl"/>
              </w:rPr>
              <w:t xml:space="preserve">mundo (33), Américas (7), Asia-Pacífico (8), África (4), Estados Árabes (3), Europa (2) y la </w:t>
            </w:r>
            <w:proofErr w:type="spellStart"/>
            <w:r w:rsidRPr="00FD3713">
              <w:rPr>
                <w:rFonts w:asciiTheme="minorHAnsi" w:hAnsiTheme="minorHAnsi"/>
                <w:szCs w:val="24"/>
                <w:lang w:val="es-ES_tradnl"/>
              </w:rPr>
              <w:t>CEI</w:t>
            </w:r>
            <w:proofErr w:type="spellEnd"/>
            <w:r w:rsidRPr="00FD3713">
              <w:rPr>
                <w:rFonts w:asciiTheme="minorHAnsi" w:hAnsiTheme="minorHAnsi"/>
                <w:szCs w:val="24"/>
                <w:lang w:val="es-ES_tradnl"/>
              </w:rPr>
              <w:t xml:space="preserve"> (1).</w:t>
            </w:r>
            <w:bookmarkEnd w:id="86"/>
            <w:r w:rsidRPr="00FD3713">
              <w:rPr>
                <w:rFonts w:asciiTheme="minorHAnsi" w:hAnsiTheme="minorHAnsi"/>
                <w:szCs w:val="24"/>
                <w:lang w:val="es-ES_tradnl"/>
              </w:rPr>
              <w:t xml:space="preserve"> </w:t>
            </w:r>
            <w:bookmarkStart w:id="87" w:name="lt_pId246"/>
            <w:r w:rsidRPr="00FD3713">
              <w:rPr>
                <w:rFonts w:asciiTheme="minorHAnsi" w:hAnsiTheme="minorHAnsi"/>
                <w:szCs w:val="24"/>
                <w:lang w:val="es-ES_tradnl"/>
              </w:rPr>
              <w:t xml:space="preserve">Se ha mejorado la base de datos de acuerdos de asociación interna de la </w:t>
            </w:r>
            <w:proofErr w:type="spellStart"/>
            <w:r w:rsidRPr="00FD3713">
              <w:rPr>
                <w:rFonts w:asciiTheme="minorHAnsi" w:hAnsiTheme="minorHAnsi"/>
                <w:szCs w:val="24"/>
                <w:lang w:val="es-ES_tradnl"/>
              </w:rPr>
              <w:t>BDT</w:t>
            </w:r>
            <w:proofErr w:type="spellEnd"/>
            <w:r w:rsidRPr="00FD3713">
              <w:rPr>
                <w:rFonts w:asciiTheme="minorHAnsi" w:hAnsiTheme="minorHAnsi"/>
                <w:szCs w:val="24"/>
                <w:lang w:val="es-ES_tradnl"/>
              </w:rPr>
              <w:t xml:space="preserve"> a fin de mejor movilizar </w:t>
            </w:r>
            <w:r w:rsidRPr="00FD3713">
              <w:rPr>
                <w:rFonts w:asciiTheme="minorHAnsi" w:hAnsiTheme="minorHAnsi"/>
                <w:szCs w:val="24"/>
                <w:lang w:val="es-ES_tradnl"/>
              </w:rPr>
              <w:lastRenderedPageBreak/>
              <w:t>los recursos y facilitar la identificación de posibles socios.</w:t>
            </w:r>
            <w:bookmarkEnd w:id="87"/>
            <w:r w:rsidRPr="00FD3713">
              <w:rPr>
                <w:rFonts w:asciiTheme="minorHAnsi" w:hAnsiTheme="minorHAnsi"/>
                <w:szCs w:val="24"/>
                <w:lang w:val="es-ES_tradnl"/>
              </w:rPr>
              <w:t xml:space="preserve"> </w:t>
            </w:r>
            <w:r w:rsidRPr="004E2163">
              <w:rPr>
                <w:rFonts w:asciiTheme="minorHAnsi" w:hAnsiTheme="minorHAnsi"/>
                <w:szCs w:val="24"/>
                <w:lang w:val="es-ES_tradnl"/>
              </w:rPr>
              <w:t xml:space="preserve">La </w:t>
            </w:r>
            <w:proofErr w:type="spellStart"/>
            <w:r w:rsidRPr="004E2163">
              <w:rPr>
                <w:rFonts w:asciiTheme="minorHAnsi" w:hAnsiTheme="minorHAnsi"/>
                <w:szCs w:val="24"/>
                <w:lang w:val="es-ES_tradnl"/>
              </w:rPr>
              <w:t>BDT</w:t>
            </w:r>
            <w:proofErr w:type="spellEnd"/>
            <w:r w:rsidRPr="004E2163">
              <w:rPr>
                <w:rFonts w:asciiTheme="minorHAnsi" w:hAnsiTheme="minorHAnsi"/>
                <w:szCs w:val="24"/>
                <w:lang w:val="es-ES_tradnl"/>
              </w:rPr>
              <w:t xml:space="preserve"> se esfuerza de manera especial en que su relación con sus asociados sea positiva y duradera, pero admite al mismo tiempo la importancia de ampliar y diversificar la base de asociados mediante actividades de comunicación con asociados no tradicionales.</w:t>
            </w:r>
            <w:bookmarkStart w:id="88" w:name="lt_pId249"/>
            <w:r w:rsidRPr="004E2163">
              <w:rPr>
                <w:rFonts w:ascii="Calibri" w:hAnsi="Calibri"/>
                <w:b/>
                <w:color w:val="800000"/>
                <w:szCs w:val="24"/>
                <w:lang w:val="es-ES_tradnl"/>
              </w:rPr>
              <w:t xml:space="preserve"> </w:t>
            </w:r>
            <w:r w:rsidRPr="004E2163">
              <w:rPr>
                <w:rFonts w:asciiTheme="minorHAnsi" w:hAnsiTheme="minorHAnsi"/>
                <w:szCs w:val="24"/>
                <w:lang w:val="es-ES_tradnl"/>
              </w:rPr>
              <w:t>Por consiguiente, en un ecosistema</w:t>
            </w:r>
            <w:r w:rsidRPr="00FD3713">
              <w:rPr>
                <w:rFonts w:asciiTheme="minorHAnsi" w:hAnsiTheme="minorHAnsi"/>
                <w:szCs w:val="24"/>
                <w:lang w:val="es-ES_tradnl"/>
              </w:rPr>
              <w:t xml:space="preserve"> de TIC convergentes, entidades de otros sectores están convirtiéndose en los nuevos socios de la </w:t>
            </w:r>
            <w:proofErr w:type="spellStart"/>
            <w:r w:rsidRPr="00FD3713">
              <w:rPr>
                <w:rFonts w:asciiTheme="minorHAnsi" w:hAnsiTheme="minorHAnsi"/>
                <w:szCs w:val="24"/>
                <w:lang w:val="es-ES_tradnl"/>
              </w:rPr>
              <w:t>BDT</w:t>
            </w:r>
            <w:proofErr w:type="spellEnd"/>
            <w:r w:rsidRPr="00FD3713">
              <w:rPr>
                <w:rFonts w:asciiTheme="minorHAnsi" w:hAnsiTheme="minorHAnsi"/>
                <w:szCs w:val="24"/>
                <w:lang w:val="es-ES_tradnl"/>
              </w:rPr>
              <w:t xml:space="preserve">, como la Pierre Fabre </w:t>
            </w:r>
            <w:proofErr w:type="spellStart"/>
            <w:r w:rsidRPr="00FD3713">
              <w:rPr>
                <w:rFonts w:asciiTheme="minorHAnsi" w:hAnsiTheme="minorHAnsi"/>
                <w:szCs w:val="24"/>
                <w:lang w:val="es-ES_tradnl"/>
              </w:rPr>
              <w:t>Foundation</w:t>
            </w:r>
            <w:proofErr w:type="spellEnd"/>
            <w:r w:rsidRPr="00FD3713">
              <w:rPr>
                <w:rFonts w:asciiTheme="minorHAnsi" w:hAnsiTheme="minorHAnsi"/>
                <w:szCs w:val="24"/>
                <w:lang w:val="es-ES_tradnl"/>
              </w:rPr>
              <w:t xml:space="preserve"> para proyectos de salud-m o la International Solid </w:t>
            </w:r>
            <w:proofErr w:type="spellStart"/>
            <w:r w:rsidRPr="00FD3713">
              <w:rPr>
                <w:rFonts w:asciiTheme="minorHAnsi" w:hAnsiTheme="minorHAnsi"/>
                <w:szCs w:val="24"/>
                <w:lang w:val="es-ES_tradnl"/>
              </w:rPr>
              <w:t>Waste</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Association</w:t>
            </w:r>
            <w:proofErr w:type="spellEnd"/>
            <w:r w:rsidRPr="00FD3713">
              <w:rPr>
                <w:rFonts w:asciiTheme="minorHAnsi" w:hAnsiTheme="minorHAnsi"/>
                <w:szCs w:val="24"/>
                <w:lang w:val="es-ES_tradnl"/>
              </w:rPr>
              <w:t xml:space="preserve"> para proyectos relacionados con los residuos-e.</w:t>
            </w:r>
            <w:bookmarkEnd w:id="88"/>
          </w:p>
          <w:p w:rsidR="00F45A0D" w:rsidRPr="00FD3713" w:rsidRDefault="00F45A0D" w:rsidP="00F45A0D">
            <w:pPr>
              <w:rPr>
                <w:rFonts w:asciiTheme="minorHAnsi" w:hAnsiTheme="minorHAnsi"/>
                <w:szCs w:val="24"/>
                <w:lang w:val="es-ES_tradnl"/>
              </w:rPr>
            </w:pPr>
            <w:bookmarkStart w:id="89" w:name="lt_pId250"/>
            <w:r w:rsidRPr="00FD3713">
              <w:rPr>
                <w:rFonts w:asciiTheme="minorHAnsi" w:hAnsiTheme="minorHAnsi"/>
                <w:szCs w:val="24"/>
                <w:lang w:val="es-ES_tradnl"/>
              </w:rPr>
              <w:t xml:space="preserve">A lo largo de 2017,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colaboró estrechamente con la </w:t>
            </w:r>
            <w:proofErr w:type="spellStart"/>
            <w:r w:rsidRPr="00FD3713">
              <w:rPr>
                <w:rFonts w:asciiTheme="minorHAnsi" w:hAnsiTheme="minorHAnsi"/>
                <w:szCs w:val="24"/>
                <w:lang w:val="es-ES_tradnl"/>
              </w:rPr>
              <w:t>OPS</w:t>
            </w:r>
            <w:proofErr w:type="spellEnd"/>
            <w:r w:rsidRPr="00FD3713">
              <w:rPr>
                <w:rFonts w:asciiTheme="minorHAnsi" w:hAnsiTheme="minorHAnsi"/>
                <w:szCs w:val="24"/>
                <w:lang w:val="es-ES_tradnl"/>
              </w:rPr>
              <w:t xml:space="preserve"> en la actualización de un estudio sobre experiencias de </w:t>
            </w:r>
            <w:proofErr w:type="spellStart"/>
            <w:r w:rsidRPr="00FD3713">
              <w:rPr>
                <w:rFonts w:asciiTheme="minorHAnsi" w:hAnsiTheme="minorHAnsi"/>
                <w:szCs w:val="24"/>
                <w:lang w:val="es-ES_tradnl"/>
              </w:rPr>
              <w:t>cibersalud</w:t>
            </w:r>
            <w:proofErr w:type="spellEnd"/>
            <w:r w:rsidRPr="00FD3713">
              <w:rPr>
                <w:rFonts w:asciiTheme="minorHAnsi" w:hAnsiTheme="minorHAnsi"/>
                <w:szCs w:val="24"/>
                <w:lang w:val="es-ES_tradnl"/>
              </w:rPr>
              <w:t xml:space="preserve"> que se saldaron con éxito en la Américas y en la replicación de esas iniciativas de </w:t>
            </w:r>
            <w:proofErr w:type="spellStart"/>
            <w:r w:rsidRPr="00FD3713">
              <w:rPr>
                <w:rFonts w:asciiTheme="minorHAnsi" w:hAnsiTheme="minorHAnsi"/>
                <w:szCs w:val="24"/>
                <w:lang w:val="es-ES_tradnl"/>
              </w:rPr>
              <w:t>cibersalud</w:t>
            </w:r>
            <w:proofErr w:type="spellEnd"/>
            <w:r w:rsidRPr="00FD3713">
              <w:rPr>
                <w:rFonts w:asciiTheme="minorHAnsi" w:hAnsiTheme="minorHAnsi"/>
                <w:szCs w:val="24"/>
                <w:lang w:val="es-ES_tradnl"/>
              </w:rPr>
              <w:t xml:space="preserve"> positivas. Como resultado de su co</w:t>
            </w:r>
            <w:r w:rsidR="00C86999">
              <w:rPr>
                <w:rFonts w:asciiTheme="minorHAnsi" w:hAnsiTheme="minorHAnsi"/>
                <w:szCs w:val="24"/>
                <w:lang w:val="es-ES_tradnl"/>
              </w:rPr>
              <w:t>laboración durante 2017, la </w:t>
            </w:r>
            <w:proofErr w:type="spellStart"/>
            <w:r w:rsidR="004E2163">
              <w:rPr>
                <w:rFonts w:asciiTheme="minorHAnsi" w:hAnsiTheme="minorHAnsi"/>
                <w:szCs w:val="24"/>
                <w:lang w:val="es-ES_tradnl"/>
              </w:rPr>
              <w:t>UIT</w:t>
            </w:r>
            <w:r w:rsidR="004E2163">
              <w:rPr>
                <w:rFonts w:asciiTheme="minorHAnsi" w:hAnsiTheme="minorHAnsi"/>
                <w:szCs w:val="24"/>
                <w:lang w:val="es-ES_tradnl"/>
              </w:rPr>
              <w:noBreakHyphen/>
            </w:r>
            <w:r w:rsidRPr="00FD3713">
              <w:rPr>
                <w:rFonts w:asciiTheme="minorHAnsi" w:hAnsiTheme="minorHAnsi"/>
                <w:szCs w:val="24"/>
                <w:lang w:val="es-ES_tradnl"/>
              </w:rPr>
              <w:t>AMS</w:t>
            </w:r>
            <w:proofErr w:type="spellEnd"/>
            <w:r w:rsidRPr="00FD3713">
              <w:rPr>
                <w:rFonts w:asciiTheme="minorHAnsi" w:hAnsiTheme="minorHAnsi"/>
                <w:szCs w:val="24"/>
                <w:lang w:val="es-ES_tradnl"/>
              </w:rPr>
              <w:t xml:space="preserve"> y la </w:t>
            </w:r>
            <w:proofErr w:type="spellStart"/>
            <w:r w:rsidRPr="00FD3713">
              <w:rPr>
                <w:rFonts w:asciiTheme="minorHAnsi" w:hAnsiTheme="minorHAnsi"/>
                <w:szCs w:val="24"/>
                <w:lang w:val="es-ES_tradnl"/>
              </w:rPr>
              <w:t>OPS</w:t>
            </w:r>
            <w:proofErr w:type="spellEnd"/>
            <w:r w:rsidRPr="00FD3713">
              <w:rPr>
                <w:rFonts w:asciiTheme="minorHAnsi" w:hAnsiTheme="minorHAnsi"/>
                <w:szCs w:val="24"/>
                <w:lang w:val="es-ES_tradnl"/>
              </w:rPr>
              <w:t xml:space="preserve"> acordaron establecer un Memorándum de Entendimiento (</w:t>
            </w:r>
            <w:bookmarkStart w:id="90" w:name="lt_pId251"/>
            <w:bookmarkEnd w:id="89"/>
            <w:proofErr w:type="spellStart"/>
            <w:r w:rsidRPr="00FD3713">
              <w:rPr>
                <w:rFonts w:asciiTheme="minorHAnsi" w:hAnsiTheme="minorHAnsi"/>
                <w:szCs w:val="24"/>
                <w:lang w:val="es-ES_tradnl"/>
              </w:rPr>
              <w:t>MoU</w:t>
            </w:r>
            <w:proofErr w:type="spellEnd"/>
            <w:r w:rsidRPr="00FD3713">
              <w:rPr>
                <w:rFonts w:asciiTheme="minorHAnsi" w:hAnsiTheme="minorHAnsi"/>
                <w:szCs w:val="24"/>
                <w:lang w:val="es-ES_tradnl"/>
              </w:rPr>
              <w:t>) para facilitar su colaboraci</w:t>
            </w:r>
            <w:r w:rsidR="004E2CDB" w:rsidRPr="00FD3713">
              <w:rPr>
                <w:rFonts w:asciiTheme="minorHAnsi" w:hAnsiTheme="minorHAnsi"/>
                <w:szCs w:val="24"/>
                <w:lang w:val="es-ES_tradnl"/>
              </w:rPr>
              <w:t>ón en el futuro.</w:t>
            </w:r>
            <w:r w:rsidRPr="00FD3713">
              <w:rPr>
                <w:rFonts w:asciiTheme="minorHAnsi" w:hAnsiTheme="minorHAnsi"/>
                <w:szCs w:val="24"/>
                <w:lang w:val="es-ES_tradnl"/>
              </w:rPr>
              <w:t xml:space="preserve"> Las negociaciones dirigidas a la firma del </w:t>
            </w:r>
            <w:proofErr w:type="spellStart"/>
            <w:r w:rsidRPr="00FD3713">
              <w:rPr>
                <w:rFonts w:asciiTheme="minorHAnsi" w:hAnsiTheme="minorHAnsi"/>
                <w:szCs w:val="24"/>
                <w:lang w:val="es-ES_tradnl"/>
              </w:rPr>
              <w:t>MoU</w:t>
            </w:r>
            <w:proofErr w:type="spellEnd"/>
            <w:r w:rsidRPr="00FD3713">
              <w:rPr>
                <w:rFonts w:asciiTheme="minorHAnsi" w:hAnsiTheme="minorHAnsi"/>
                <w:szCs w:val="24"/>
                <w:lang w:val="es-ES_tradnl"/>
              </w:rPr>
              <w:t xml:space="preserve"> están en curso</w:t>
            </w:r>
            <w:bookmarkStart w:id="91" w:name="lt_pId252"/>
            <w:bookmarkEnd w:id="90"/>
            <w:r w:rsidRPr="00FD3713">
              <w:rPr>
                <w:rFonts w:asciiTheme="minorHAnsi" w:hAnsiTheme="minorHAnsi"/>
                <w:szCs w:val="24"/>
                <w:lang w:val="es-ES_tradnl"/>
              </w:rPr>
              <w:t>.</w:t>
            </w:r>
            <w:bookmarkEnd w:id="91"/>
          </w:p>
          <w:p w:rsidR="00F45A0D" w:rsidRPr="00C117B0" w:rsidRDefault="00F45A0D" w:rsidP="00F45A0D">
            <w:pPr>
              <w:keepNext/>
              <w:keepLines/>
              <w:rPr>
                <w:rFonts w:asciiTheme="minorHAnsi" w:hAnsiTheme="minorHAnsi"/>
                <w:szCs w:val="24"/>
                <w:lang w:val="es-ES_tradnl"/>
              </w:rPr>
            </w:pPr>
            <w:r w:rsidRPr="00FD3713">
              <w:rPr>
                <w:rFonts w:asciiTheme="minorHAnsi" w:hAnsiTheme="minorHAnsi"/>
                <w:b/>
                <w:bCs/>
                <w:szCs w:val="24"/>
                <w:lang w:val="es-ES_tradnl"/>
              </w:rPr>
              <w:t>El Sitio web de oportunidades de patrocinio</w:t>
            </w:r>
            <w:r w:rsidRPr="00C117B0">
              <w:rPr>
                <w:rFonts w:asciiTheme="minorHAnsi" w:hAnsiTheme="minorHAnsi"/>
                <w:b/>
                <w:bCs/>
                <w:szCs w:val="24"/>
                <w:lang w:val="es-ES_tradnl"/>
              </w:rPr>
              <w:t>:</w:t>
            </w:r>
            <w:r w:rsidRPr="00C117B0">
              <w:rPr>
                <w:rFonts w:asciiTheme="minorHAnsi" w:hAnsiTheme="minorHAnsi"/>
                <w:szCs w:val="24"/>
                <w:lang w:val="es-ES_tradnl"/>
              </w:rPr>
              <w:t xml:space="preserve"> En 2017, entró en servicio una nueva plataforma interactiva, disponible en los seis idiomas oficiales de la </w:t>
            </w:r>
            <w:proofErr w:type="spellStart"/>
            <w:r w:rsidRPr="00C117B0">
              <w:rPr>
                <w:rFonts w:asciiTheme="minorHAnsi" w:hAnsiTheme="minorHAnsi"/>
                <w:szCs w:val="24"/>
                <w:lang w:val="es-ES_tradnl"/>
              </w:rPr>
              <w:t>UIT</w:t>
            </w:r>
            <w:proofErr w:type="spellEnd"/>
            <w:r w:rsidRPr="00C117B0">
              <w:rPr>
                <w:rFonts w:asciiTheme="minorHAnsi" w:hAnsiTheme="minorHAnsi"/>
                <w:szCs w:val="24"/>
                <w:lang w:val="es-ES_tradnl"/>
              </w:rPr>
              <w:t xml:space="preserve">, para las actividades sociales y actos paralelos organizados en torno a los eventos organizados por la </w:t>
            </w:r>
            <w:proofErr w:type="spellStart"/>
            <w:r w:rsidRPr="00C117B0">
              <w:rPr>
                <w:rFonts w:asciiTheme="minorHAnsi" w:hAnsiTheme="minorHAnsi"/>
                <w:szCs w:val="24"/>
                <w:lang w:val="es-ES_tradnl"/>
              </w:rPr>
              <w:t>BDT</w:t>
            </w:r>
            <w:proofErr w:type="spellEnd"/>
            <w:r w:rsidRPr="00C117B0">
              <w:rPr>
                <w:rFonts w:asciiTheme="minorHAnsi" w:hAnsiTheme="minorHAnsi"/>
                <w:szCs w:val="24"/>
                <w:lang w:val="es-ES_tradnl"/>
              </w:rPr>
              <w:t xml:space="preserve">. </w:t>
            </w:r>
            <w:bookmarkStart w:id="92" w:name="lt_pId255"/>
            <w:r w:rsidRPr="00C117B0">
              <w:rPr>
                <w:rFonts w:asciiTheme="minorHAnsi" w:hAnsiTheme="minorHAnsi"/>
                <w:szCs w:val="24"/>
                <w:lang w:val="es-ES_tradnl"/>
              </w:rPr>
              <w:t xml:space="preserve">Se crearon oportunidades para las reuniones de las Comisiones de Estudio, los actos paralelos al </w:t>
            </w:r>
            <w:proofErr w:type="spellStart"/>
            <w:r w:rsidRPr="00C117B0">
              <w:rPr>
                <w:rFonts w:asciiTheme="minorHAnsi" w:hAnsiTheme="minorHAnsi"/>
                <w:szCs w:val="24"/>
                <w:lang w:val="es-ES_tradnl"/>
              </w:rPr>
              <w:t>GSR</w:t>
            </w:r>
            <w:proofErr w:type="spellEnd"/>
            <w:r w:rsidRPr="00C117B0">
              <w:rPr>
                <w:rFonts w:asciiTheme="minorHAnsi" w:hAnsiTheme="minorHAnsi"/>
                <w:szCs w:val="24"/>
                <w:lang w:val="es-ES_tradnl"/>
              </w:rPr>
              <w:t xml:space="preserve">-17, los actos paralelos a la </w:t>
            </w:r>
            <w:proofErr w:type="spellStart"/>
            <w:r w:rsidRPr="00C117B0">
              <w:rPr>
                <w:rFonts w:asciiTheme="minorHAnsi" w:hAnsiTheme="minorHAnsi"/>
                <w:szCs w:val="24"/>
                <w:lang w:val="es-ES_tradnl"/>
              </w:rPr>
              <w:t>CMDT</w:t>
            </w:r>
            <w:proofErr w:type="spellEnd"/>
            <w:r w:rsidRPr="00C117B0">
              <w:rPr>
                <w:rFonts w:asciiTheme="minorHAnsi" w:hAnsiTheme="minorHAnsi"/>
                <w:szCs w:val="24"/>
                <w:lang w:val="es-ES_tradnl"/>
              </w:rPr>
              <w:t xml:space="preserve">-17 y el 25º aniversario del </w:t>
            </w:r>
            <w:proofErr w:type="spellStart"/>
            <w:r w:rsidRPr="00C117B0">
              <w:rPr>
                <w:rFonts w:asciiTheme="minorHAnsi" w:hAnsiTheme="minorHAnsi"/>
                <w:szCs w:val="24"/>
                <w:lang w:val="es-ES_tradnl"/>
              </w:rPr>
              <w:t>UIT</w:t>
            </w:r>
            <w:proofErr w:type="spellEnd"/>
            <w:r w:rsidRPr="00C117B0">
              <w:rPr>
                <w:rFonts w:asciiTheme="minorHAnsi" w:hAnsiTheme="minorHAnsi"/>
                <w:szCs w:val="24"/>
                <w:lang w:val="es-ES_tradnl"/>
              </w:rPr>
              <w:t>-D.</w:t>
            </w:r>
            <w:bookmarkEnd w:id="92"/>
            <w:r w:rsidRPr="00C117B0">
              <w:rPr>
                <w:rFonts w:asciiTheme="minorHAnsi" w:hAnsiTheme="minorHAnsi"/>
                <w:szCs w:val="24"/>
                <w:lang w:val="es-ES_tradnl"/>
              </w:rPr>
              <w:t xml:space="preserve"> Este sitio web/portal brinda oportunidades a las entidades para que mejoren su visibilidad, promuevan sus marcas, o exhiban sus productos y soluciones de TIC.</w:t>
            </w:r>
          </w:p>
          <w:p w:rsidR="00F45A0D" w:rsidRPr="008D434B" w:rsidRDefault="00F45A0D" w:rsidP="00F45A0D">
            <w:pPr>
              <w:rPr>
                <w:lang w:val="es-ES_tradnl"/>
              </w:rPr>
            </w:pPr>
            <w:bookmarkStart w:id="93" w:name="lt_pId257"/>
            <w:r w:rsidRPr="00FD3713">
              <w:rPr>
                <w:rFonts w:asciiTheme="minorHAnsi" w:hAnsiTheme="minorHAnsi"/>
                <w:b/>
                <w:bCs/>
                <w:szCs w:val="24"/>
                <w:lang w:val="es-ES_tradnl"/>
              </w:rPr>
              <w:t>Innovación:</w:t>
            </w:r>
            <w:bookmarkEnd w:id="93"/>
            <w:r w:rsidRPr="00FD3713">
              <w:rPr>
                <w:rFonts w:asciiTheme="minorHAnsi" w:hAnsiTheme="minorHAnsi"/>
                <w:b/>
                <w:bCs/>
                <w:szCs w:val="24"/>
                <w:lang w:val="es-ES_tradnl"/>
              </w:rPr>
              <w:t xml:space="preserve"> </w:t>
            </w:r>
            <w:bookmarkStart w:id="94" w:name="lt_pId258"/>
            <w:r w:rsidRPr="00FD3713">
              <w:rPr>
                <w:rFonts w:asciiTheme="minorHAnsi" w:hAnsiTheme="minorHAnsi"/>
                <w:szCs w:val="24"/>
                <w:lang w:val="es-ES_tradnl"/>
              </w:rPr>
              <w:t xml:space="preserve">Se celebraron con éxito consultas y talleres en diversos países y regiones (por ejemplo, </w:t>
            </w:r>
            <w:proofErr w:type="spellStart"/>
            <w:r w:rsidRPr="00FD3713">
              <w:rPr>
                <w:rFonts w:asciiTheme="minorHAnsi" w:hAnsiTheme="minorHAnsi"/>
                <w:szCs w:val="24"/>
                <w:lang w:val="es-ES_tradnl"/>
              </w:rPr>
              <w:t>Rwanda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Kenya</w:t>
            </w:r>
            <w:proofErr w:type="spellEnd"/>
            <w:r w:rsidRPr="00FD3713">
              <w:rPr>
                <w:rFonts w:asciiTheme="minorHAnsi" w:hAnsiTheme="minorHAnsi"/>
                <w:szCs w:val="24"/>
                <w:lang w:val="es-ES_tradnl"/>
              </w:rPr>
              <w:t xml:space="preserve">, Argentina, </w:t>
            </w:r>
            <w:proofErr w:type="spellStart"/>
            <w:r w:rsidRPr="00FD3713">
              <w:rPr>
                <w:rFonts w:asciiTheme="minorHAnsi" w:hAnsiTheme="minorHAnsi"/>
                <w:szCs w:val="24"/>
                <w:lang w:val="es-ES_tradnl"/>
              </w:rPr>
              <w:t>Moldova</w:t>
            </w:r>
            <w:proofErr w:type="spellEnd"/>
            <w:r w:rsidRPr="00FD3713">
              <w:rPr>
                <w:rFonts w:asciiTheme="minorHAnsi" w:hAnsiTheme="minorHAnsi"/>
                <w:szCs w:val="24"/>
                <w:lang w:val="es-ES_tradnl"/>
              </w:rPr>
              <w:t xml:space="preserve">, Sri Lanka, etc.) sobre ecosistemas de innovación de las TIC, innovación y creación empresarial y políticas de innovación. Se consagró un gran espacio a la innovación en el Foro de la </w:t>
            </w:r>
            <w:proofErr w:type="spellStart"/>
            <w:r w:rsidRPr="00FD3713">
              <w:rPr>
                <w:rFonts w:asciiTheme="minorHAnsi" w:hAnsiTheme="minorHAnsi"/>
                <w:szCs w:val="24"/>
                <w:lang w:val="es-ES_tradnl"/>
              </w:rPr>
              <w:t>CMSI</w:t>
            </w:r>
            <w:bookmarkStart w:id="95" w:name="lt_pId259"/>
            <w:bookmarkEnd w:id="94"/>
            <w:proofErr w:type="spellEnd"/>
            <w:r w:rsidRPr="00FD3713">
              <w:rPr>
                <w:rFonts w:asciiTheme="minorHAnsi" w:hAnsiTheme="minorHAnsi"/>
                <w:szCs w:val="24"/>
                <w:lang w:val="es-ES_tradnl"/>
              </w:rPr>
              <w:t xml:space="preserve"> 2017, donde empresas y legisladores se reunieron para fortalecer la industria digital y la capacidad innovadora, además de aprovechar las inversiones para cerrar la brecha de innovación</w:t>
            </w:r>
            <w:bookmarkStart w:id="96" w:name="lt_pId261"/>
            <w:bookmarkEnd w:id="95"/>
            <w:r w:rsidRPr="00C117B0">
              <w:rPr>
                <w:rFonts w:asciiTheme="minorHAnsi" w:hAnsiTheme="minorHAnsi"/>
                <w:szCs w:val="24"/>
                <w:lang w:val="es-ES_tradnl"/>
              </w:rPr>
              <w:t xml:space="preserve">. Durante una sesión de la vía de innovación de la </w:t>
            </w:r>
            <w:proofErr w:type="spellStart"/>
            <w:r w:rsidRPr="00C117B0">
              <w:rPr>
                <w:rFonts w:asciiTheme="minorHAnsi" w:hAnsiTheme="minorHAnsi"/>
                <w:szCs w:val="24"/>
                <w:lang w:val="es-ES_tradnl"/>
              </w:rPr>
              <w:t>CMSI</w:t>
            </w:r>
            <w:proofErr w:type="spellEnd"/>
            <w:r w:rsidRPr="00C117B0">
              <w:rPr>
                <w:rFonts w:asciiTheme="minorHAnsi" w:hAnsiTheme="minorHAnsi"/>
                <w:szCs w:val="24"/>
                <w:lang w:val="es-ES_tradnl"/>
              </w:rPr>
              <w:t xml:space="preserve"> 2017, se presentó el Conjunto de herramientas para la consolidación de los ecosistemas centrados en las TIC.</w:t>
            </w:r>
            <w:r w:rsidRPr="00C117B0">
              <w:rPr>
                <w:rFonts w:asciiTheme="minorHAnsi" w:hAnsiTheme="minorHAnsi"/>
                <w:b/>
                <w:color w:val="800000"/>
                <w:sz w:val="28"/>
                <w:szCs w:val="28"/>
                <w:lang w:val="es-ES_tradnl"/>
              </w:rPr>
              <w:t xml:space="preserve"> </w:t>
            </w:r>
            <w:r w:rsidRPr="00C117B0">
              <w:rPr>
                <w:rFonts w:asciiTheme="minorHAnsi" w:hAnsiTheme="minorHAnsi"/>
                <w:szCs w:val="24"/>
                <w:lang w:val="es-ES_tradnl"/>
              </w:rPr>
              <w:t>Este conjunto de herramientas</w:t>
            </w:r>
            <w:r w:rsidRPr="00FD3713">
              <w:rPr>
                <w:rFonts w:asciiTheme="minorHAnsi" w:hAnsiTheme="minorHAnsi"/>
                <w:szCs w:val="24"/>
                <w:lang w:val="es-ES_tradnl"/>
              </w:rPr>
              <w:t xml:space="preserve"> se ha preparado para ayudar a los países a elaborar un marco de innovación digital, es decir, un conjunto de políticas y proyectos en pro de la innovación nacional.</w:t>
            </w:r>
            <w:bookmarkEnd w:id="96"/>
          </w:p>
          <w:p w:rsidR="00F45A0D" w:rsidRPr="00FD3713" w:rsidRDefault="00F45A0D" w:rsidP="00C117B0">
            <w:pPr>
              <w:spacing w:after="120"/>
              <w:rPr>
                <w:rFonts w:asciiTheme="minorHAnsi" w:hAnsiTheme="minorHAnsi"/>
                <w:szCs w:val="24"/>
                <w:highlight w:val="cyan"/>
                <w:lang w:val="es-ES_tradnl"/>
              </w:rPr>
            </w:pPr>
            <w:bookmarkStart w:id="97" w:name="lt_pId262"/>
            <w:r w:rsidRPr="00FD3713">
              <w:rPr>
                <w:rFonts w:asciiTheme="minorHAnsi" w:hAnsiTheme="minorHAnsi"/>
                <w:szCs w:val="24"/>
                <w:lang w:val="es-ES_tradnl"/>
              </w:rPr>
              <w:t>En paralelo a ITU T</w:t>
            </w:r>
            <w:r w:rsidR="00C117B0">
              <w:rPr>
                <w:rFonts w:asciiTheme="minorHAnsi" w:hAnsiTheme="minorHAnsi"/>
                <w:szCs w:val="24"/>
                <w:lang w:val="es-ES_tradnl"/>
              </w:rPr>
              <w:t xml:space="preserve">elecom se celebró en </w:t>
            </w:r>
            <w:proofErr w:type="spellStart"/>
            <w:r w:rsidR="00C117B0">
              <w:rPr>
                <w:rFonts w:asciiTheme="minorHAnsi" w:hAnsiTheme="minorHAnsi"/>
                <w:szCs w:val="24"/>
                <w:lang w:val="es-ES_tradnl"/>
              </w:rPr>
              <w:t>Busán</w:t>
            </w:r>
            <w:proofErr w:type="spellEnd"/>
            <w:r w:rsidR="00C117B0">
              <w:rPr>
                <w:rFonts w:asciiTheme="minorHAnsi" w:hAnsiTheme="minorHAnsi"/>
                <w:szCs w:val="24"/>
                <w:lang w:val="es-ES_tradnl"/>
              </w:rPr>
              <w:t xml:space="preserve"> del 2</w:t>
            </w:r>
            <w:r w:rsidRPr="00FD3713">
              <w:rPr>
                <w:rFonts w:asciiTheme="minorHAnsi" w:hAnsiTheme="minorHAnsi"/>
                <w:szCs w:val="24"/>
                <w:lang w:val="es-ES_tradnl"/>
              </w:rPr>
              <w:t xml:space="preserve">6 al 28 de septiembre un taller mundial </w:t>
            </w:r>
            <w:proofErr w:type="spellStart"/>
            <w:r w:rsidRPr="00FD3713">
              <w:rPr>
                <w:rFonts w:asciiTheme="minorHAnsi" w:hAnsiTheme="minorHAnsi"/>
                <w:szCs w:val="24"/>
                <w:lang w:val="es-ES_tradnl"/>
              </w:rPr>
              <w:t>multipartito</w:t>
            </w:r>
            <w:proofErr w:type="spellEnd"/>
            <w:r w:rsidRPr="00FD3713">
              <w:rPr>
                <w:rFonts w:asciiTheme="minorHAnsi" w:hAnsiTheme="minorHAnsi"/>
                <w:szCs w:val="24"/>
                <w:lang w:val="es-ES_tradnl"/>
              </w:rPr>
              <w:t xml:space="preserve"> sobre el cierre de la brecha de innovación en el que participaron representantes de</w:t>
            </w:r>
            <w:r w:rsidR="00C117B0">
              <w:rPr>
                <w:rFonts w:asciiTheme="minorHAnsi" w:hAnsiTheme="minorHAnsi"/>
                <w:szCs w:val="24"/>
                <w:lang w:val="es-ES_tradnl"/>
              </w:rPr>
              <w:t> </w:t>
            </w:r>
            <w:r w:rsidRPr="00FD3713">
              <w:rPr>
                <w:rFonts w:asciiTheme="minorHAnsi" w:hAnsiTheme="minorHAnsi"/>
                <w:szCs w:val="24"/>
                <w:lang w:val="es-ES_tradnl"/>
              </w:rPr>
              <w:t xml:space="preserve">8 países a los que se dieron las armas necesarias para liderar el examen de los ecosistemas de innovación de TIC y definir coherentemente los medios necesarios para transformar sus países en economías regidas por la innovación.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y</w:t>
            </w:r>
            <w:bookmarkStart w:id="98" w:name="lt_pId263"/>
            <w:bookmarkEnd w:id="97"/>
            <w:r w:rsidRPr="00FD3713">
              <w:rPr>
                <w:rFonts w:asciiTheme="minorHAnsi" w:hAnsiTheme="minorHAnsi"/>
                <w:szCs w:val="24"/>
                <w:lang w:val="es-ES_tradnl"/>
              </w:rPr>
              <w:t xml:space="preserve"> la ciudad metropo</w:t>
            </w:r>
            <w:r w:rsidR="00C117B0">
              <w:rPr>
                <w:rFonts w:asciiTheme="minorHAnsi" w:hAnsiTheme="minorHAnsi"/>
                <w:szCs w:val="24"/>
                <w:lang w:val="es-ES_tradnl"/>
              </w:rPr>
              <w:t xml:space="preserve">litana de </w:t>
            </w:r>
            <w:proofErr w:type="spellStart"/>
            <w:r w:rsidR="00C117B0">
              <w:rPr>
                <w:rFonts w:asciiTheme="minorHAnsi" w:hAnsiTheme="minorHAnsi"/>
                <w:szCs w:val="24"/>
                <w:lang w:val="es-ES_tradnl"/>
              </w:rPr>
              <w:t>Busán</w:t>
            </w:r>
            <w:proofErr w:type="spellEnd"/>
            <w:r w:rsidR="00C117B0">
              <w:rPr>
                <w:rFonts w:asciiTheme="minorHAnsi" w:hAnsiTheme="minorHAnsi"/>
                <w:szCs w:val="24"/>
                <w:lang w:val="es-ES_tradnl"/>
              </w:rPr>
              <w:t xml:space="preserve"> organizaron el 4</w:t>
            </w:r>
            <w:r w:rsidRPr="00FD3713">
              <w:rPr>
                <w:rFonts w:asciiTheme="minorHAnsi" w:hAnsiTheme="minorHAnsi"/>
                <w:szCs w:val="24"/>
                <w:lang w:val="es-ES_tradnl"/>
              </w:rPr>
              <w:t xml:space="preserve">º Foro de Jóvenes Líderes de TIC del 27 al 29 de septiembre de 2017 en </w:t>
            </w:r>
            <w:proofErr w:type="spellStart"/>
            <w:r w:rsidRPr="00FD3713">
              <w:rPr>
                <w:rFonts w:asciiTheme="minorHAnsi" w:hAnsiTheme="minorHAnsi"/>
                <w:szCs w:val="24"/>
                <w:lang w:val="es-ES_tradnl"/>
              </w:rPr>
              <w:t>Busán</w:t>
            </w:r>
            <w:proofErr w:type="spellEnd"/>
            <w:r w:rsidRPr="00FD3713">
              <w:rPr>
                <w:rFonts w:asciiTheme="minorHAnsi" w:hAnsiTheme="minorHAnsi"/>
                <w:szCs w:val="24"/>
                <w:lang w:val="es-ES_tradnl"/>
              </w:rPr>
              <w:t xml:space="preserve">, República de Corea, en el marco de ITU Telecom </w:t>
            </w:r>
            <w:proofErr w:type="spellStart"/>
            <w:r w:rsidRPr="00FD3713">
              <w:rPr>
                <w:rFonts w:asciiTheme="minorHAnsi" w:hAnsiTheme="minorHAnsi"/>
                <w:szCs w:val="24"/>
                <w:lang w:val="es-ES_tradnl"/>
              </w:rPr>
              <w:t>World</w:t>
            </w:r>
            <w:proofErr w:type="spellEnd"/>
            <w:r w:rsidRPr="00FD3713">
              <w:rPr>
                <w:rFonts w:asciiTheme="minorHAnsi" w:hAnsiTheme="minorHAnsi"/>
                <w:szCs w:val="24"/>
                <w:lang w:val="es-ES_tradnl"/>
              </w:rPr>
              <w:t xml:space="preserve"> 2017. El Foro reunió a más de</w:t>
            </w:r>
            <w:bookmarkStart w:id="99" w:name="lt_pId264"/>
            <w:bookmarkEnd w:id="98"/>
            <w:r w:rsidRPr="00FD3713">
              <w:rPr>
                <w:rFonts w:asciiTheme="minorHAnsi" w:hAnsiTheme="minorHAnsi"/>
                <w:szCs w:val="24"/>
                <w:lang w:val="es-ES_tradnl"/>
              </w:rPr>
              <w:t xml:space="preserve"> 200 participantes de más de 30 países y en él se concedieron los premios a los 5 ganadores del</w:t>
            </w:r>
            <w:bookmarkStart w:id="100" w:name="lt_pId265"/>
            <w:bookmarkEnd w:id="99"/>
            <w:r w:rsidRPr="00FD3713">
              <w:rPr>
                <w:rFonts w:asciiTheme="minorHAnsi" w:hAnsiTheme="minorHAnsi"/>
                <w:szCs w:val="24"/>
                <w:lang w:val="es-ES_tradnl"/>
              </w:rPr>
              <w:t xml:space="preserve"> </w:t>
            </w:r>
            <w:proofErr w:type="spellStart"/>
            <w:r w:rsidRPr="00FD3713">
              <w:rPr>
                <w:rFonts w:asciiTheme="minorHAnsi" w:hAnsiTheme="minorHAnsi"/>
                <w:i/>
                <w:iCs/>
                <w:szCs w:val="24"/>
                <w:lang w:val="es-ES_tradnl"/>
              </w:rPr>
              <w:t>Busan</w:t>
            </w:r>
            <w:proofErr w:type="spellEnd"/>
            <w:r w:rsidRPr="00FD3713">
              <w:rPr>
                <w:rFonts w:asciiTheme="minorHAnsi" w:hAnsiTheme="minorHAnsi"/>
                <w:i/>
                <w:iCs/>
                <w:szCs w:val="24"/>
                <w:lang w:val="es-ES_tradnl"/>
              </w:rPr>
              <w:t xml:space="preserve"> Global Smart </w:t>
            </w:r>
            <w:proofErr w:type="spellStart"/>
            <w:r w:rsidRPr="00FD3713">
              <w:rPr>
                <w:rFonts w:asciiTheme="minorHAnsi" w:hAnsiTheme="minorHAnsi"/>
                <w:i/>
                <w:iCs/>
                <w:szCs w:val="24"/>
                <w:lang w:val="es-ES_tradnl"/>
              </w:rPr>
              <w:t>Cities</w:t>
            </w:r>
            <w:proofErr w:type="spellEnd"/>
            <w:r w:rsidRPr="00FD3713">
              <w:rPr>
                <w:rFonts w:asciiTheme="minorHAnsi" w:hAnsiTheme="minorHAnsi"/>
                <w:i/>
                <w:iCs/>
                <w:szCs w:val="24"/>
                <w:lang w:val="es-ES_tradnl"/>
              </w:rPr>
              <w:t xml:space="preserve"> </w:t>
            </w:r>
            <w:proofErr w:type="spellStart"/>
            <w:r w:rsidRPr="00FD3713">
              <w:rPr>
                <w:rFonts w:asciiTheme="minorHAnsi" w:hAnsiTheme="minorHAnsi"/>
                <w:i/>
                <w:iCs/>
                <w:szCs w:val="24"/>
                <w:lang w:val="es-ES_tradnl"/>
              </w:rPr>
              <w:t>Challenge</w:t>
            </w:r>
            <w:proofErr w:type="spellEnd"/>
            <w:r w:rsidRPr="00FD3713">
              <w:rPr>
                <w:rFonts w:asciiTheme="minorHAnsi" w:hAnsiTheme="minorHAnsi"/>
                <w:szCs w:val="24"/>
                <w:lang w:val="es-ES_tradnl"/>
              </w:rPr>
              <w:t>.</w:t>
            </w:r>
            <w:bookmarkEnd w:id="100"/>
          </w:p>
        </w:tc>
      </w:tr>
    </w:tbl>
    <w:p w:rsidR="00C117B0" w:rsidRPr="008D434B" w:rsidRDefault="00C117B0">
      <w:pPr>
        <w:rPr>
          <w:lang w:val="es-ES_tradnl"/>
        </w:rPr>
      </w:pPr>
      <w:r w:rsidRPr="008D434B">
        <w:rPr>
          <w:lang w:val="es-ES_tradnl"/>
        </w:rPr>
        <w:lastRenderedPageBreak/>
        <w:br w:type="page"/>
      </w:r>
    </w:p>
    <w:tbl>
      <w:tblPr>
        <w:tblStyle w:val="TableGrid"/>
        <w:tblW w:w="0" w:type="auto"/>
        <w:tblLook w:val="04A0" w:firstRow="1" w:lastRow="0" w:firstColumn="1" w:lastColumn="0" w:noHBand="0" w:noVBand="1"/>
      </w:tblPr>
      <w:tblGrid>
        <w:gridCol w:w="2809"/>
        <w:gridCol w:w="6819"/>
      </w:tblGrid>
      <w:tr w:rsidR="00F45A0D" w:rsidRPr="00FD3713" w:rsidTr="00C207F6">
        <w:tc>
          <w:tcPr>
            <w:tcW w:w="2809" w:type="dxa"/>
          </w:tcPr>
          <w:p w:rsidR="00F45A0D" w:rsidRPr="00C117B0" w:rsidRDefault="00F45A0D" w:rsidP="00047665">
            <w:pPr>
              <w:spacing w:before="60" w:after="60"/>
              <w:rPr>
                <w:rFonts w:asciiTheme="minorHAnsi" w:hAnsiTheme="minorHAnsi"/>
                <w:i/>
                <w:iCs/>
                <w:szCs w:val="24"/>
                <w:lang w:val="es-ES_tradnl"/>
              </w:rPr>
            </w:pPr>
            <w:proofErr w:type="spellStart"/>
            <w:r w:rsidRPr="00C117B0">
              <w:rPr>
                <w:rFonts w:asciiTheme="minorHAnsi" w:hAnsiTheme="minorHAnsi"/>
                <w:i/>
                <w:iCs/>
                <w:szCs w:val="24"/>
                <w:lang w:val="es-ES_tradnl"/>
              </w:rPr>
              <w:lastRenderedPageBreak/>
              <w:t>CMDT</w:t>
            </w:r>
            <w:proofErr w:type="spellEnd"/>
          </w:p>
        </w:tc>
        <w:tc>
          <w:tcPr>
            <w:tcW w:w="6819" w:type="dxa"/>
          </w:tcPr>
          <w:p w:rsidR="00F45A0D" w:rsidRPr="00FD3713" w:rsidRDefault="00F45A0D" w:rsidP="00047665">
            <w:pPr>
              <w:spacing w:before="60" w:after="60"/>
              <w:rPr>
                <w:rFonts w:asciiTheme="minorHAnsi" w:hAnsiTheme="minorHAnsi"/>
                <w:szCs w:val="24"/>
                <w:lang w:val="es-ES_tradnl"/>
              </w:rPr>
            </w:pPr>
            <w:bookmarkStart w:id="101" w:name="lt_pId267"/>
            <w:r w:rsidRPr="00FD3713">
              <w:rPr>
                <w:rFonts w:asciiTheme="minorHAnsi" w:hAnsiTheme="minorHAnsi"/>
                <w:szCs w:val="24"/>
                <w:lang w:val="es-ES_tradnl"/>
              </w:rPr>
              <w:t>Resoluciones 1, 5, 30, 33, 50, 59, 71, 157</w:t>
            </w:r>
            <w:bookmarkEnd w:id="101"/>
          </w:p>
        </w:tc>
      </w:tr>
      <w:tr w:rsidR="00F45A0D" w:rsidRPr="008D434B" w:rsidTr="00C207F6">
        <w:tc>
          <w:tcPr>
            <w:tcW w:w="2809" w:type="dxa"/>
          </w:tcPr>
          <w:p w:rsidR="00F45A0D" w:rsidRPr="00C117B0" w:rsidRDefault="00F45A0D" w:rsidP="00047665">
            <w:pPr>
              <w:spacing w:before="60" w:after="60"/>
              <w:rPr>
                <w:i/>
                <w:iCs/>
                <w:szCs w:val="24"/>
                <w:lang w:val="es-ES_tradnl"/>
              </w:rPr>
            </w:pPr>
            <w:r w:rsidRPr="00C117B0">
              <w:rPr>
                <w:rFonts w:asciiTheme="minorHAnsi" w:hAnsiTheme="minorHAnsi"/>
                <w:i/>
                <w:iCs/>
                <w:szCs w:val="24"/>
                <w:lang w:val="es-ES_tradnl"/>
              </w:rPr>
              <w:t>Conferencia de Plenipotenciarios</w:t>
            </w:r>
          </w:p>
        </w:tc>
        <w:tc>
          <w:tcPr>
            <w:tcW w:w="6819" w:type="dxa"/>
          </w:tcPr>
          <w:p w:rsidR="00F45A0D" w:rsidRPr="00FD3713" w:rsidRDefault="00F45A0D" w:rsidP="00047665">
            <w:pPr>
              <w:spacing w:before="60" w:after="60"/>
              <w:rPr>
                <w:szCs w:val="24"/>
                <w:lang w:val="es-ES_tradnl"/>
              </w:rPr>
            </w:pPr>
            <w:r w:rsidRPr="00FD3713">
              <w:rPr>
                <w:rFonts w:asciiTheme="minorHAnsi" w:hAnsiTheme="minorHAnsi"/>
                <w:szCs w:val="24"/>
                <w:lang w:val="es-ES_tradnl"/>
              </w:rPr>
              <w:t>Decisiones de la PP: 5 y 13</w:t>
            </w:r>
            <w:r w:rsidRPr="00FD3713">
              <w:rPr>
                <w:rFonts w:asciiTheme="minorHAnsi" w:hAnsiTheme="minorHAnsi"/>
                <w:szCs w:val="24"/>
                <w:lang w:val="es-ES_tradnl"/>
              </w:rPr>
              <w:br/>
              <w:t xml:space="preserve">Resoluciones de la PP: 25, 71, 72 </w:t>
            </w:r>
          </w:p>
        </w:tc>
      </w:tr>
      <w:tr w:rsidR="00F45A0D" w:rsidRPr="008D434B" w:rsidTr="00C207F6">
        <w:tc>
          <w:tcPr>
            <w:tcW w:w="2809" w:type="dxa"/>
          </w:tcPr>
          <w:p w:rsidR="00F45A0D" w:rsidRPr="00FD3713" w:rsidRDefault="00F45A0D" w:rsidP="00047665">
            <w:pPr>
              <w:spacing w:before="60" w:after="60"/>
              <w:rPr>
                <w:i/>
                <w:iCs/>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819" w:type="dxa"/>
          </w:tcPr>
          <w:p w:rsidR="00F45A0D" w:rsidRPr="00FD3713" w:rsidRDefault="00F45A0D" w:rsidP="00047665">
            <w:pPr>
              <w:spacing w:before="60" w:after="60"/>
              <w:rPr>
                <w:szCs w:val="24"/>
                <w:lang w:val="es-ES_tradnl"/>
              </w:rPr>
            </w:pPr>
            <w:r w:rsidRPr="00FD3713">
              <w:rPr>
                <w:rFonts w:asciiTheme="minorHAnsi" w:hAnsiTheme="minorHAnsi"/>
                <w:szCs w:val="24"/>
                <w:lang w:val="es-ES_tradnl"/>
              </w:rPr>
              <w:t xml:space="preserve">Líneas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3, 4, 5, 6, y 7 del Plan de Acción de Ginebra y la Sección "Mecanismos de financiación para hacer frente a los retos de las TIC para el desarrollo" de la Agenda de Túnez para la Sociedad de la Información.</w:t>
            </w:r>
          </w:p>
        </w:tc>
      </w:tr>
      <w:tr w:rsidR="00F45A0D" w:rsidRPr="008D434B" w:rsidTr="00C207F6">
        <w:tc>
          <w:tcPr>
            <w:tcW w:w="2809" w:type="dxa"/>
          </w:tcPr>
          <w:p w:rsidR="00F45A0D" w:rsidRPr="00FD3713" w:rsidRDefault="00F45A0D" w:rsidP="00047665">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Contribución a las metas de los </w:t>
            </w:r>
            <w:proofErr w:type="spellStart"/>
            <w:r w:rsidRPr="00FD3713">
              <w:rPr>
                <w:rFonts w:asciiTheme="minorHAnsi" w:hAnsiTheme="minorHAnsi"/>
                <w:i/>
                <w:iCs/>
                <w:szCs w:val="24"/>
                <w:lang w:val="es-ES_tradnl"/>
              </w:rPr>
              <w:t>ODS</w:t>
            </w:r>
            <w:proofErr w:type="spellEnd"/>
          </w:p>
        </w:tc>
        <w:tc>
          <w:tcPr>
            <w:tcW w:w="6819" w:type="dxa"/>
          </w:tcPr>
          <w:p w:rsidR="00F45A0D" w:rsidRPr="00FD3713" w:rsidRDefault="00F45A0D" w:rsidP="00047665">
            <w:pPr>
              <w:spacing w:before="60" w:after="60"/>
              <w:rPr>
                <w:rFonts w:asciiTheme="minorHAnsi" w:hAnsiTheme="minorHAnsi"/>
                <w:szCs w:val="24"/>
                <w:lang w:val="es-ES_tradnl"/>
              </w:rPr>
            </w:pP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1 (metas </w:t>
            </w:r>
            <w:proofErr w:type="spellStart"/>
            <w:r w:rsidRPr="00FD3713">
              <w:rPr>
                <w:rFonts w:asciiTheme="minorHAnsi" w:hAnsiTheme="minorHAnsi"/>
                <w:szCs w:val="24"/>
                <w:lang w:val="es-ES_tradnl"/>
              </w:rPr>
              <w:t>1.a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1.b</w:t>
            </w:r>
            <w:proofErr w:type="spellEnd"/>
            <w:r w:rsidRPr="00FD3713">
              <w:rPr>
                <w:rFonts w:asciiTheme="minorHAnsi" w:hAnsiTheme="minorHAnsi"/>
                <w:szCs w:val="24"/>
                <w:lang w:val="es-ES_tradnl"/>
              </w:rPr>
              <w:t xml:space="preserve">), 2 (metas </w:t>
            </w:r>
            <w:proofErr w:type="spellStart"/>
            <w:r w:rsidRPr="00FD3713">
              <w:rPr>
                <w:rFonts w:asciiTheme="minorHAnsi" w:hAnsiTheme="minorHAnsi"/>
                <w:szCs w:val="24"/>
                <w:lang w:val="es-ES_tradnl"/>
              </w:rPr>
              <w:t>2.a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2.c</w:t>
            </w:r>
            <w:proofErr w:type="spellEnd"/>
            <w:r w:rsidRPr="00FD3713">
              <w:rPr>
                <w:rFonts w:asciiTheme="minorHAnsi" w:hAnsiTheme="minorHAnsi"/>
                <w:szCs w:val="24"/>
                <w:lang w:val="es-ES_tradnl"/>
              </w:rPr>
              <w:t xml:space="preserve">), 3, 4 (metas </w:t>
            </w:r>
            <w:proofErr w:type="spellStart"/>
            <w:r w:rsidRPr="00FD3713">
              <w:rPr>
                <w:rFonts w:asciiTheme="minorHAnsi" w:hAnsiTheme="minorHAnsi"/>
                <w:szCs w:val="24"/>
                <w:lang w:val="es-ES_tradnl"/>
              </w:rPr>
              <w:t>4.a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4.b</w:t>
            </w:r>
            <w:proofErr w:type="spellEnd"/>
            <w:r w:rsidRPr="00FD3713">
              <w:rPr>
                <w:rFonts w:asciiTheme="minorHAnsi" w:hAnsiTheme="minorHAnsi"/>
                <w:szCs w:val="24"/>
                <w:lang w:val="es-ES_tradnl"/>
              </w:rPr>
              <w:t xml:space="preserve">, 4.3, 4.7), 5 (metas </w:t>
            </w:r>
            <w:proofErr w:type="spellStart"/>
            <w:r w:rsidRPr="00FD3713">
              <w:rPr>
                <w:rFonts w:asciiTheme="minorHAnsi" w:hAnsiTheme="minorHAnsi"/>
                <w:szCs w:val="24"/>
                <w:lang w:val="es-ES_tradnl"/>
              </w:rPr>
              <w:t>5.b</w:t>
            </w:r>
            <w:proofErr w:type="spellEnd"/>
            <w:r w:rsidRPr="00FD3713">
              <w:rPr>
                <w:rFonts w:asciiTheme="minorHAnsi" w:hAnsiTheme="minorHAnsi"/>
                <w:szCs w:val="24"/>
                <w:lang w:val="es-ES_tradnl"/>
              </w:rPr>
              <w:t xml:space="preserve">, 5.6), 8 (metas 8.2, 8.3, 8.6, 8.10, </w:t>
            </w:r>
            <w:proofErr w:type="spellStart"/>
            <w:r w:rsidRPr="00FD3713">
              <w:rPr>
                <w:rFonts w:asciiTheme="minorHAnsi" w:hAnsiTheme="minorHAnsi"/>
                <w:szCs w:val="24"/>
                <w:lang w:val="es-ES_tradnl"/>
              </w:rPr>
              <w:t>8.b</w:t>
            </w:r>
            <w:proofErr w:type="spellEnd"/>
            <w:r w:rsidRPr="00FD3713">
              <w:rPr>
                <w:rFonts w:asciiTheme="minorHAnsi" w:hAnsiTheme="minorHAnsi"/>
                <w:szCs w:val="24"/>
                <w:lang w:val="es-ES_tradnl"/>
              </w:rPr>
              <w:t xml:space="preserve">), 9 (metas 9.5, </w:t>
            </w:r>
            <w:proofErr w:type="spellStart"/>
            <w:r w:rsidRPr="00FD3713">
              <w:rPr>
                <w:rFonts w:asciiTheme="minorHAnsi" w:hAnsiTheme="minorHAnsi"/>
                <w:szCs w:val="24"/>
                <w:lang w:val="es-ES_tradnl"/>
              </w:rPr>
              <w:t>9.b</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9.c</w:t>
            </w:r>
            <w:proofErr w:type="spellEnd"/>
            <w:r w:rsidRPr="00FD3713">
              <w:rPr>
                <w:rFonts w:asciiTheme="minorHAnsi" w:hAnsiTheme="minorHAnsi"/>
                <w:szCs w:val="24"/>
                <w:lang w:val="es-ES_tradnl"/>
              </w:rPr>
              <w:t>), 10, 11 (metas 11.1, 11.4), 12, 13 (metas 13.3), 16, 17 (metas 17.1, 17.3, 17.9, 17.14, 17.16, 17.17)</w:t>
            </w:r>
          </w:p>
        </w:tc>
      </w:tr>
    </w:tbl>
    <w:p w:rsidR="00F45A0D" w:rsidRPr="00FD3713" w:rsidRDefault="00F45A0D" w:rsidP="00854CF2">
      <w:pPr>
        <w:pStyle w:val="Heading1"/>
        <w:rPr>
          <w:i/>
          <w:iCs/>
          <w:lang w:val="es-ES_tradnl"/>
        </w:rPr>
      </w:pPr>
      <w:r w:rsidRPr="00FD3713">
        <w:rPr>
          <w:lang w:val="es-ES_tradnl"/>
        </w:rPr>
        <w:t>3</w:t>
      </w:r>
      <w:r w:rsidRPr="00FD3713">
        <w:rPr>
          <w:lang w:val="es-ES_tradnl"/>
        </w:rPr>
        <w:tab/>
        <w:t>Objetivo 3:</w:t>
      </w:r>
      <w:r w:rsidRPr="00FD3713">
        <w:rPr>
          <w:i/>
          <w:iCs/>
          <w:lang w:val="es-ES_tradnl"/>
        </w:rPr>
        <w:t xml:space="preserve"> "Mejorar la confianza y seguridad en la utilización de las telecomunicaciones/TIC y desplegar las aplicaciones y los servicios pertinentes"</w:t>
      </w:r>
    </w:p>
    <w:p w:rsidR="00F45A0D" w:rsidRPr="00FD3713" w:rsidRDefault="00F45A0D" w:rsidP="00854CF2">
      <w:pPr>
        <w:pStyle w:val="Heading2"/>
        <w:spacing w:after="120"/>
        <w:rPr>
          <w:lang w:val="es-ES_tradnl"/>
        </w:rPr>
      </w:pPr>
      <w:r w:rsidRPr="00FD3713">
        <w:rPr>
          <w:lang w:val="es-ES_tradnl"/>
        </w:rPr>
        <w:t>3.1</w:t>
      </w:r>
      <w:r w:rsidRPr="00FD3713">
        <w:rPr>
          <w:lang w:val="es-ES_tradnl"/>
        </w:rPr>
        <w:tab/>
        <w:t xml:space="preserve">Instauración de confianza y seguridad en la utilización de las TIC </w:t>
      </w:r>
    </w:p>
    <w:tbl>
      <w:tblPr>
        <w:tblStyle w:val="TableGrid"/>
        <w:tblW w:w="0" w:type="auto"/>
        <w:tblLook w:val="04A0" w:firstRow="1" w:lastRow="0" w:firstColumn="1" w:lastColumn="0" w:noHBand="0" w:noVBand="1"/>
      </w:tblPr>
      <w:tblGrid>
        <w:gridCol w:w="2830"/>
        <w:gridCol w:w="6798"/>
      </w:tblGrid>
      <w:tr w:rsidR="00F45A0D" w:rsidRPr="00FD3713" w:rsidTr="00F45A0D">
        <w:tc>
          <w:tcPr>
            <w:tcW w:w="9628" w:type="dxa"/>
            <w:gridSpan w:val="2"/>
          </w:tcPr>
          <w:p w:rsidR="00F45A0D" w:rsidRPr="00FD3713" w:rsidRDefault="00F45A0D" w:rsidP="004E2CDB">
            <w:pPr>
              <w:rPr>
                <w:rFonts w:asciiTheme="minorHAnsi" w:hAnsiTheme="minorHAnsi"/>
                <w:szCs w:val="24"/>
                <w:lang w:val="es-ES_tradnl"/>
              </w:rPr>
            </w:pPr>
            <w:bookmarkStart w:id="102" w:name="lt_pId282"/>
            <w:r w:rsidRPr="00FD3713">
              <w:rPr>
                <w:rFonts w:asciiTheme="minorHAnsi" w:hAnsiTheme="minorHAnsi"/>
                <w:szCs w:val="24"/>
                <w:lang w:val="es-ES_tradnl"/>
              </w:rPr>
              <w:t xml:space="preserve">En 2017 la </w:t>
            </w:r>
            <w:proofErr w:type="spellStart"/>
            <w:r w:rsidRPr="00FD3713">
              <w:rPr>
                <w:rFonts w:asciiTheme="minorHAnsi" w:hAnsiTheme="minorHAnsi"/>
                <w:szCs w:val="24"/>
                <w:lang w:val="es-ES_tradnl"/>
              </w:rPr>
              <w:t>BDT</w:t>
            </w:r>
            <w:proofErr w:type="spellEnd"/>
            <w:r w:rsidRPr="00FD3713">
              <w:rPr>
                <w:rFonts w:asciiTheme="minorHAnsi" w:hAnsiTheme="minorHAnsi"/>
                <w:szCs w:val="24"/>
                <w:lang w:val="es-ES_tradnl"/>
              </w:rPr>
              <w:t xml:space="preserve"> siguió prestando apoyo a los Miembros de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en particular</w:t>
            </w:r>
            <w:r w:rsidR="00EF39C0">
              <w:rPr>
                <w:rFonts w:asciiTheme="minorHAnsi" w:hAnsiTheme="minorHAnsi"/>
                <w:szCs w:val="24"/>
                <w:lang w:val="es-ES_tradnl"/>
              </w:rPr>
              <w:t xml:space="preserve"> a</w:t>
            </w:r>
            <w:r w:rsidRPr="00FD3713">
              <w:rPr>
                <w:rFonts w:asciiTheme="minorHAnsi" w:hAnsiTheme="minorHAnsi"/>
                <w:szCs w:val="24"/>
                <w:lang w:val="es-ES_tradnl"/>
              </w:rPr>
              <w:t xml:space="preserve"> los países en desarrollo, en la creación de confianza en la utilización de las TIC. Entre otras cosas, la </w:t>
            </w:r>
            <w:proofErr w:type="spellStart"/>
            <w:r w:rsidRPr="00FD3713">
              <w:rPr>
                <w:rFonts w:asciiTheme="minorHAnsi" w:hAnsiTheme="minorHAnsi"/>
                <w:szCs w:val="24"/>
                <w:lang w:val="es-ES_tradnl"/>
              </w:rPr>
              <w:t>BDT</w:t>
            </w:r>
            <w:proofErr w:type="spellEnd"/>
            <w:r w:rsidRPr="00FD3713">
              <w:rPr>
                <w:rFonts w:asciiTheme="minorHAnsi" w:hAnsiTheme="minorHAnsi"/>
                <w:szCs w:val="24"/>
                <w:lang w:val="es-ES_tradnl"/>
              </w:rPr>
              <w:t xml:space="preserve"> llevó a cabo iniciativas de capacitación y divulgación, actividades para realizar mejoras jurídicas y técnicas y cooperación internacional</w:t>
            </w:r>
            <w:bookmarkStart w:id="103" w:name="lt_pId283"/>
            <w:bookmarkEnd w:id="102"/>
            <w:r w:rsidRPr="00FD3713">
              <w:rPr>
                <w:rFonts w:asciiTheme="minorHAnsi" w:hAnsiTheme="minorHAnsi"/>
                <w:szCs w:val="24"/>
                <w:lang w:val="es-ES_tradnl"/>
              </w:rPr>
              <w:t>.</w:t>
            </w:r>
            <w:bookmarkEnd w:id="103"/>
          </w:p>
          <w:p w:rsidR="00F45A0D" w:rsidRPr="00FD3713" w:rsidRDefault="00F45A0D" w:rsidP="00F45A0D">
            <w:pPr>
              <w:rPr>
                <w:rFonts w:asciiTheme="minorHAnsi" w:hAnsiTheme="minorHAnsi"/>
                <w:szCs w:val="24"/>
                <w:lang w:val="es-ES_tradnl"/>
              </w:rPr>
            </w:pPr>
            <w:bookmarkStart w:id="104" w:name="lt_pId284"/>
            <w:r w:rsidRPr="00FD3713">
              <w:rPr>
                <w:rFonts w:asciiTheme="minorHAnsi" w:hAnsiTheme="minorHAnsi"/>
                <w:szCs w:val="24"/>
                <w:lang w:val="es-ES_tradnl"/>
              </w:rPr>
              <w:t xml:space="preserve">Se publicó la 2ª edición del Índice Mundial de </w:t>
            </w:r>
            <w:proofErr w:type="spellStart"/>
            <w:r w:rsidRPr="00FD3713">
              <w:rPr>
                <w:rFonts w:asciiTheme="minorHAnsi" w:hAnsiTheme="minorHAnsi"/>
                <w:szCs w:val="24"/>
                <w:lang w:val="es-ES_tradnl"/>
              </w:rPr>
              <w:t>Ciberseguridad</w:t>
            </w:r>
            <w:proofErr w:type="spellEnd"/>
            <w:r w:rsidRPr="00FD3713">
              <w:rPr>
                <w:rFonts w:asciiTheme="minorHAnsi" w:hAnsiTheme="minorHAnsi"/>
                <w:szCs w:val="24"/>
                <w:lang w:val="es-ES_tradnl"/>
              </w:rPr>
              <w:t xml:space="preserve">, cuyo objetivo es medir el nivel de compromiso de los Estados Miembros para con la </w:t>
            </w:r>
            <w:proofErr w:type="spellStart"/>
            <w:r w:rsidRPr="00FD3713">
              <w:rPr>
                <w:rFonts w:asciiTheme="minorHAnsi" w:hAnsiTheme="minorHAnsi"/>
                <w:szCs w:val="24"/>
                <w:lang w:val="es-ES_tradnl"/>
              </w:rPr>
              <w:t>ciberseguridad</w:t>
            </w:r>
            <w:bookmarkStart w:id="105" w:name="lt_pId285"/>
            <w:bookmarkEnd w:id="104"/>
            <w:proofErr w:type="spellEnd"/>
            <w:r w:rsidRPr="00FD3713">
              <w:rPr>
                <w:rFonts w:asciiTheme="minorHAnsi" w:hAnsiTheme="minorHAnsi"/>
                <w:szCs w:val="24"/>
                <w:lang w:val="es-ES_tradnl"/>
              </w:rPr>
              <w:t>.</w:t>
            </w:r>
            <w:bookmarkEnd w:id="105"/>
          </w:p>
          <w:p w:rsidR="00F45A0D" w:rsidRPr="00FD3713" w:rsidRDefault="00F45A0D" w:rsidP="00F45A0D">
            <w:pPr>
              <w:rPr>
                <w:rFonts w:asciiTheme="minorHAnsi" w:hAnsiTheme="minorHAnsi"/>
                <w:szCs w:val="24"/>
                <w:lang w:val="es-ES_tradnl"/>
              </w:rPr>
            </w:pPr>
            <w:bookmarkStart w:id="106" w:name="lt_pId286"/>
            <w:r w:rsidRPr="00FD3713">
              <w:rPr>
                <w:rFonts w:asciiTheme="minorHAnsi" w:hAnsiTheme="minorHAnsi"/>
                <w:szCs w:val="24"/>
                <w:lang w:val="es-ES_tradnl"/>
              </w:rPr>
              <w:t>Se llevaron a cabo diversas iniciativas y actividades en el ámbito de la protección de la infancia en línea, que incluyeron la formulación de directrices y estrategias (por ejemplo, en Egipto, el Caribe, Sudán, etc.).</w:t>
            </w:r>
            <w:bookmarkEnd w:id="106"/>
          </w:p>
          <w:p w:rsidR="00F45A0D" w:rsidRPr="00FD3713" w:rsidRDefault="00F45A0D" w:rsidP="00F45A0D">
            <w:pPr>
              <w:rPr>
                <w:rFonts w:asciiTheme="minorHAnsi" w:hAnsiTheme="minorHAnsi"/>
                <w:szCs w:val="24"/>
                <w:lang w:val="es-ES_tradnl"/>
              </w:rPr>
            </w:pPr>
            <w:bookmarkStart w:id="107" w:name="lt_pId287"/>
            <w:r w:rsidRPr="00FD3713">
              <w:rPr>
                <w:rFonts w:asciiTheme="minorHAnsi" w:hAnsiTheme="minorHAnsi"/>
                <w:szCs w:val="24"/>
                <w:lang w:val="es-ES_tradnl"/>
              </w:rPr>
              <w:t xml:space="preserve">La </w:t>
            </w:r>
            <w:proofErr w:type="spellStart"/>
            <w:r w:rsidRPr="00FD3713">
              <w:rPr>
                <w:rFonts w:asciiTheme="minorHAnsi" w:hAnsiTheme="minorHAnsi"/>
                <w:szCs w:val="24"/>
                <w:lang w:val="es-ES_tradnl"/>
              </w:rPr>
              <w:t>BDT</w:t>
            </w:r>
            <w:proofErr w:type="spellEnd"/>
            <w:r w:rsidRPr="00FD3713">
              <w:rPr>
                <w:rFonts w:asciiTheme="minorHAnsi" w:hAnsiTheme="minorHAnsi"/>
                <w:szCs w:val="24"/>
                <w:lang w:val="es-ES_tradnl"/>
              </w:rPr>
              <w:t xml:space="preserve"> contribuyó a crear y reforzar los </w:t>
            </w:r>
            <w:proofErr w:type="spellStart"/>
            <w:r w:rsidRPr="00FD3713">
              <w:rPr>
                <w:rFonts w:asciiTheme="minorHAnsi" w:hAnsiTheme="minorHAnsi"/>
                <w:szCs w:val="24"/>
                <w:lang w:val="es-ES_tradnl"/>
              </w:rPr>
              <w:t>EIII</w:t>
            </w:r>
            <w:proofErr w:type="spellEnd"/>
            <w:r w:rsidRPr="00FD3713">
              <w:rPr>
                <w:rFonts w:asciiTheme="minorHAnsi" w:hAnsiTheme="minorHAnsi"/>
                <w:szCs w:val="24"/>
                <w:lang w:val="es-ES_tradnl"/>
              </w:rPr>
              <w:t xml:space="preserve"> (por ejemplo, en Malí, la región Árabe, Namibia, Mauritania, </w:t>
            </w:r>
            <w:proofErr w:type="spellStart"/>
            <w:r w:rsidRPr="00FD3713">
              <w:rPr>
                <w:rFonts w:asciiTheme="minorHAnsi" w:hAnsiTheme="minorHAnsi"/>
                <w:szCs w:val="24"/>
                <w:lang w:val="es-ES_tradnl"/>
              </w:rPr>
              <w:t>Zimbabwe</w:t>
            </w:r>
            <w:proofErr w:type="spellEnd"/>
            <w:r w:rsidRPr="00FD3713">
              <w:rPr>
                <w:rFonts w:asciiTheme="minorHAnsi" w:hAnsiTheme="minorHAnsi"/>
                <w:szCs w:val="24"/>
                <w:lang w:val="es-ES_tradnl"/>
              </w:rPr>
              <w:t>, etc.).</w:t>
            </w:r>
            <w:bookmarkStart w:id="108" w:name="lt_pId288"/>
            <w:bookmarkEnd w:id="107"/>
            <w:r w:rsidR="004E2CDB" w:rsidRPr="00FD3713">
              <w:rPr>
                <w:rFonts w:asciiTheme="minorHAnsi" w:hAnsiTheme="minorHAnsi"/>
                <w:szCs w:val="24"/>
                <w:lang w:val="es-ES_tradnl"/>
              </w:rPr>
              <w:t xml:space="preserve"> </w:t>
            </w:r>
            <w:r w:rsidRPr="00FD3713">
              <w:rPr>
                <w:rFonts w:asciiTheme="minorHAnsi" w:hAnsiTheme="minorHAnsi"/>
                <w:szCs w:val="24"/>
                <w:lang w:val="es-ES_tradnl"/>
              </w:rPr>
              <w:t xml:space="preserve">Por ejemplo, se firmó en septiembre un proyecto de </w:t>
            </w:r>
            <w:proofErr w:type="spellStart"/>
            <w:r w:rsidRPr="00FD3713">
              <w:rPr>
                <w:rFonts w:asciiTheme="minorHAnsi" w:hAnsiTheme="minorHAnsi"/>
                <w:szCs w:val="24"/>
                <w:lang w:val="es-ES_tradnl"/>
              </w:rPr>
              <w:t>ciberseguridad</w:t>
            </w:r>
            <w:proofErr w:type="spellEnd"/>
            <w:r w:rsidRPr="00FD3713">
              <w:rPr>
                <w:rFonts w:asciiTheme="minorHAnsi" w:hAnsiTheme="minorHAnsi"/>
                <w:szCs w:val="24"/>
                <w:lang w:val="es-ES_tradnl"/>
              </w:rPr>
              <w:t xml:space="preserve"> con el Gobierno de Australia para ayudar a 4 países insulares del Pacífico a crear sus </w:t>
            </w:r>
            <w:proofErr w:type="spellStart"/>
            <w:r w:rsidRPr="00FD3713">
              <w:rPr>
                <w:rFonts w:asciiTheme="minorHAnsi" w:hAnsiTheme="minorHAnsi"/>
                <w:szCs w:val="24"/>
                <w:lang w:val="es-ES_tradnl"/>
              </w:rPr>
              <w:t>EIII</w:t>
            </w:r>
            <w:proofErr w:type="spellEnd"/>
            <w:r w:rsidRPr="00FD3713">
              <w:rPr>
                <w:rFonts w:asciiTheme="minorHAnsi" w:hAnsiTheme="minorHAnsi"/>
                <w:szCs w:val="24"/>
                <w:lang w:val="es-ES_tradnl"/>
              </w:rPr>
              <w:t xml:space="preserve"> nacionales.</w:t>
            </w:r>
            <w:bookmarkEnd w:id="108"/>
          </w:p>
          <w:p w:rsidR="00F45A0D" w:rsidRPr="00FD3713" w:rsidRDefault="00F45A0D" w:rsidP="00F45A0D">
            <w:pPr>
              <w:rPr>
                <w:rFonts w:asciiTheme="minorHAnsi" w:hAnsiTheme="minorHAnsi"/>
                <w:szCs w:val="24"/>
                <w:lang w:val="es-ES_tradnl"/>
              </w:rPr>
            </w:pPr>
            <w:bookmarkStart w:id="109" w:name="lt_pId289"/>
            <w:r w:rsidRPr="00FD3713">
              <w:rPr>
                <w:rFonts w:asciiTheme="minorHAnsi" w:hAnsiTheme="minorHAnsi"/>
                <w:szCs w:val="24"/>
                <w:lang w:val="es-ES_tradnl"/>
              </w:rPr>
              <w:t xml:space="preserve">Se organizaron </w:t>
            </w:r>
            <w:proofErr w:type="spellStart"/>
            <w:r w:rsidRPr="00FD3713">
              <w:rPr>
                <w:rFonts w:asciiTheme="minorHAnsi" w:hAnsiTheme="minorHAnsi"/>
                <w:szCs w:val="24"/>
                <w:lang w:val="es-ES_tradnl"/>
              </w:rPr>
              <w:t>cibersimulacros</w:t>
            </w:r>
            <w:proofErr w:type="spellEnd"/>
            <w:r w:rsidRPr="00FD3713">
              <w:rPr>
                <w:rFonts w:asciiTheme="minorHAnsi" w:hAnsiTheme="minorHAnsi"/>
                <w:szCs w:val="24"/>
                <w:lang w:val="es-ES_tradnl"/>
              </w:rPr>
              <w:t xml:space="preserve"> en diversos países y regiones (por ejemplo, el Caribe, la región Árabe, Uruguay, etc.).</w:t>
            </w:r>
            <w:bookmarkEnd w:id="109"/>
            <w:r w:rsidRPr="00FD3713">
              <w:rPr>
                <w:rFonts w:asciiTheme="minorHAnsi" w:hAnsiTheme="minorHAnsi"/>
                <w:szCs w:val="24"/>
                <w:lang w:val="es-ES_tradnl"/>
              </w:rPr>
              <w:t xml:space="preserve"> Puede citarse como ejemplo el </w:t>
            </w:r>
            <w:proofErr w:type="spellStart"/>
            <w:r w:rsidRPr="00FD3713">
              <w:rPr>
                <w:rFonts w:asciiTheme="minorHAnsi" w:hAnsiTheme="minorHAnsi"/>
                <w:szCs w:val="24"/>
                <w:lang w:val="es-ES_tradnl"/>
              </w:rPr>
              <w:t>Cibersimulacro</w:t>
            </w:r>
            <w:proofErr w:type="spellEnd"/>
            <w:r w:rsidRPr="00FD3713">
              <w:rPr>
                <w:rFonts w:asciiTheme="minorHAnsi" w:hAnsiTheme="minorHAnsi"/>
                <w:szCs w:val="24"/>
                <w:lang w:val="es-ES_tradnl"/>
              </w:rPr>
              <w:t xml:space="preserve"> </w:t>
            </w:r>
            <w:bookmarkStart w:id="110" w:name="lt_pId290"/>
            <w:r w:rsidRPr="00FD3713">
              <w:rPr>
                <w:rFonts w:asciiTheme="minorHAnsi" w:hAnsiTheme="minorHAnsi"/>
                <w:szCs w:val="24"/>
                <w:lang w:val="es-ES_tradnl"/>
              </w:rPr>
              <w:t xml:space="preserve">Regional </w:t>
            </w:r>
            <w:proofErr w:type="spellStart"/>
            <w:r w:rsidRPr="00FD3713">
              <w:rPr>
                <w:rFonts w:asciiTheme="minorHAnsi" w:hAnsiTheme="minorHAnsi"/>
                <w:szCs w:val="24"/>
                <w:lang w:val="es-ES_tradnl"/>
              </w:rPr>
              <w:t>ALERT</w:t>
            </w:r>
            <w:proofErr w:type="spellEnd"/>
            <w:r w:rsidRPr="00FD3713">
              <w:rPr>
                <w:rFonts w:asciiTheme="minorHAnsi" w:hAnsiTheme="minorHAnsi"/>
                <w:szCs w:val="24"/>
                <w:lang w:val="es-ES_tradnl"/>
              </w:rPr>
              <w:t xml:space="preserve"> (Enseñanza aplicada para equipos de intervención de emergencia) organizado en Doha, Qatar, en cooperación con el Centro de </w:t>
            </w:r>
            <w:proofErr w:type="spellStart"/>
            <w:r w:rsidRPr="00FD3713">
              <w:rPr>
                <w:rFonts w:asciiTheme="minorHAnsi" w:hAnsiTheme="minorHAnsi"/>
                <w:szCs w:val="24"/>
                <w:lang w:val="es-ES_tradnl"/>
              </w:rPr>
              <w:t>Ciberseguridad</w:t>
            </w:r>
            <w:proofErr w:type="spellEnd"/>
            <w:r w:rsidRPr="00FD3713">
              <w:rPr>
                <w:rFonts w:asciiTheme="minorHAnsi" w:hAnsiTheme="minorHAnsi"/>
                <w:szCs w:val="24"/>
                <w:lang w:val="es-ES_tradnl"/>
              </w:rPr>
              <w:t xml:space="preserve"> de la Región Árabe (</w:t>
            </w:r>
            <w:proofErr w:type="spellStart"/>
            <w:r w:rsidRPr="00FD3713">
              <w:rPr>
                <w:rFonts w:asciiTheme="minorHAnsi" w:hAnsiTheme="minorHAnsi"/>
                <w:szCs w:val="24"/>
                <w:lang w:val="es-ES_tradnl"/>
              </w:rPr>
              <w:t>ARCC</w:t>
            </w:r>
            <w:proofErr w:type="spellEnd"/>
            <w:r w:rsidRPr="00FD3713">
              <w:rPr>
                <w:rFonts w:asciiTheme="minorHAnsi" w:hAnsiTheme="minorHAnsi"/>
                <w:szCs w:val="24"/>
                <w:lang w:val="es-ES_tradnl"/>
              </w:rPr>
              <w:t>).</w:t>
            </w:r>
            <w:bookmarkEnd w:id="110"/>
            <w:r w:rsidRPr="00FD3713">
              <w:rPr>
                <w:rFonts w:asciiTheme="minorHAnsi" w:hAnsiTheme="minorHAnsi"/>
                <w:szCs w:val="24"/>
                <w:lang w:val="es-ES_tradnl"/>
              </w:rPr>
              <w:t xml:space="preserve"> </w:t>
            </w:r>
            <w:bookmarkStart w:id="111" w:name="lt_pId291"/>
            <w:r w:rsidRPr="00FD3713">
              <w:rPr>
                <w:rFonts w:asciiTheme="minorHAnsi" w:hAnsiTheme="minorHAnsi"/>
                <w:szCs w:val="24"/>
                <w:lang w:val="es-ES_tradnl"/>
              </w:rPr>
              <w:t xml:space="preserve">El simulacro contó con 100 participantes de 11 países. En distintos países y regiones se celebraron talleres y simposios sobre </w:t>
            </w:r>
            <w:proofErr w:type="spellStart"/>
            <w:r w:rsidRPr="00FD3713">
              <w:rPr>
                <w:rFonts w:asciiTheme="minorHAnsi" w:hAnsiTheme="minorHAnsi"/>
                <w:szCs w:val="24"/>
                <w:lang w:val="es-ES_tradnl"/>
              </w:rPr>
              <w:t>ciberseguridad</w:t>
            </w:r>
            <w:proofErr w:type="spellEnd"/>
            <w:r w:rsidRPr="00FD3713">
              <w:rPr>
                <w:rFonts w:asciiTheme="minorHAnsi" w:hAnsiTheme="minorHAnsi"/>
                <w:szCs w:val="24"/>
                <w:lang w:val="es-ES_tradnl"/>
              </w:rPr>
              <w:t xml:space="preserve"> (las Américas</w:t>
            </w:r>
            <w:bookmarkStart w:id="112" w:name="lt_pId292"/>
            <w:bookmarkEnd w:id="111"/>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Swazilandia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Djibouti</w:t>
            </w:r>
            <w:proofErr w:type="spellEnd"/>
            <w:r w:rsidRPr="00FD3713">
              <w:rPr>
                <w:rFonts w:asciiTheme="minorHAnsi" w:hAnsiTheme="minorHAnsi"/>
                <w:szCs w:val="24"/>
                <w:lang w:val="es-ES_tradnl"/>
              </w:rPr>
              <w:t>, etc.).</w:t>
            </w:r>
            <w:bookmarkEnd w:id="112"/>
          </w:p>
          <w:p w:rsidR="00F45A0D" w:rsidRPr="00FD3713" w:rsidRDefault="00F45A0D" w:rsidP="00F45A0D">
            <w:pPr>
              <w:spacing w:after="120"/>
              <w:rPr>
                <w:rFonts w:asciiTheme="minorHAnsi" w:hAnsiTheme="minorHAnsi"/>
                <w:szCs w:val="24"/>
                <w:highlight w:val="magenta"/>
                <w:lang w:val="es-ES_tradnl"/>
              </w:rPr>
            </w:pPr>
            <w:bookmarkStart w:id="113" w:name="lt_pId293"/>
            <w:r w:rsidRPr="00FD3713">
              <w:rPr>
                <w:rFonts w:asciiTheme="minorHAnsi" w:hAnsiTheme="minorHAnsi"/>
                <w:szCs w:val="24"/>
                <w:lang w:val="es-ES_tradnl"/>
              </w:rPr>
              <w:t xml:space="preserve">El Taller Regional de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sobre </w:t>
            </w:r>
            <w:proofErr w:type="spellStart"/>
            <w:r w:rsidRPr="00FD3713">
              <w:rPr>
                <w:rFonts w:asciiTheme="minorHAnsi" w:hAnsiTheme="minorHAnsi"/>
                <w:szCs w:val="24"/>
                <w:lang w:val="es-ES_tradnl"/>
              </w:rPr>
              <w:t>Ciberseguridad</w:t>
            </w:r>
            <w:proofErr w:type="spellEnd"/>
            <w:r w:rsidRPr="00FD3713">
              <w:rPr>
                <w:rFonts w:asciiTheme="minorHAnsi" w:hAnsiTheme="minorHAnsi"/>
                <w:szCs w:val="24"/>
                <w:lang w:val="es-ES_tradnl"/>
              </w:rPr>
              <w:t xml:space="preserve"> para la </w:t>
            </w:r>
            <w:proofErr w:type="spellStart"/>
            <w:r w:rsidRPr="00FD3713">
              <w:rPr>
                <w:rFonts w:asciiTheme="minorHAnsi" w:hAnsiTheme="minorHAnsi"/>
                <w:szCs w:val="24"/>
                <w:lang w:val="es-ES_tradnl"/>
              </w:rPr>
              <w:t>CEI</w:t>
            </w:r>
            <w:proofErr w:type="spellEnd"/>
            <w:r w:rsidRPr="00FD3713">
              <w:rPr>
                <w:rFonts w:asciiTheme="minorHAnsi" w:hAnsiTheme="minorHAnsi"/>
                <w:szCs w:val="24"/>
                <w:lang w:val="es-ES_tradnl"/>
              </w:rPr>
              <w:t xml:space="preserve"> sirvió de plataforma de intercambio de experiencias, incluso sobre los recientes ciberataques sufridos en la región, y de ideas sobre cómo luchar contra ellos. El taller atrajo a 56 participantes de 8 países</w:t>
            </w:r>
            <w:bookmarkStart w:id="114" w:name="lt_pId294"/>
            <w:bookmarkEnd w:id="113"/>
            <w:r w:rsidRPr="00FD3713">
              <w:rPr>
                <w:rFonts w:asciiTheme="minorHAnsi" w:hAnsiTheme="minorHAnsi"/>
                <w:szCs w:val="24"/>
                <w:lang w:val="es-ES_tradnl"/>
              </w:rPr>
              <w:t>.</w:t>
            </w:r>
            <w:bookmarkEnd w:id="114"/>
          </w:p>
        </w:tc>
      </w:tr>
      <w:tr w:rsidR="00F45A0D" w:rsidRPr="00FD3713" w:rsidTr="00F45A0D">
        <w:tc>
          <w:tcPr>
            <w:tcW w:w="2830" w:type="dxa"/>
          </w:tcPr>
          <w:p w:rsidR="00F45A0D" w:rsidRPr="00816122" w:rsidRDefault="00F45A0D" w:rsidP="00D74E64">
            <w:pPr>
              <w:keepNext/>
              <w:spacing w:before="60" w:after="60"/>
              <w:rPr>
                <w:rFonts w:asciiTheme="minorHAnsi" w:hAnsiTheme="minorHAnsi"/>
                <w:i/>
                <w:iCs/>
                <w:szCs w:val="24"/>
                <w:lang w:val="es-ES_tradnl"/>
              </w:rPr>
            </w:pPr>
            <w:proofErr w:type="spellStart"/>
            <w:r w:rsidRPr="00816122">
              <w:rPr>
                <w:rFonts w:asciiTheme="minorHAnsi" w:hAnsiTheme="minorHAnsi"/>
                <w:i/>
                <w:iCs/>
                <w:szCs w:val="24"/>
                <w:lang w:val="es-ES_tradnl"/>
              </w:rPr>
              <w:lastRenderedPageBreak/>
              <w:t>CMDT</w:t>
            </w:r>
            <w:proofErr w:type="spellEnd"/>
          </w:p>
        </w:tc>
        <w:tc>
          <w:tcPr>
            <w:tcW w:w="6798" w:type="dxa"/>
          </w:tcPr>
          <w:p w:rsidR="00F45A0D" w:rsidRPr="00FD3713" w:rsidRDefault="00F45A0D" w:rsidP="00D74E64">
            <w:pPr>
              <w:spacing w:before="60" w:after="60"/>
              <w:rPr>
                <w:rFonts w:asciiTheme="minorHAnsi" w:hAnsiTheme="minorHAnsi"/>
                <w:szCs w:val="24"/>
                <w:lang w:val="es-ES_tradnl"/>
              </w:rPr>
            </w:pPr>
            <w:bookmarkStart w:id="115" w:name="lt_pId296"/>
            <w:r w:rsidRPr="00FD3713">
              <w:rPr>
                <w:rFonts w:asciiTheme="minorHAnsi" w:hAnsiTheme="minorHAnsi"/>
                <w:szCs w:val="24"/>
                <w:lang w:val="es-ES_tradnl"/>
              </w:rPr>
              <w:t>Resoluciones 1, 5, 9, 15, 30, 33, 37, 45, 50, 59, 64, 67, 69, 78, 79</w:t>
            </w:r>
            <w:bookmarkEnd w:id="115"/>
          </w:p>
        </w:tc>
      </w:tr>
      <w:tr w:rsidR="00F45A0D" w:rsidRPr="008D434B" w:rsidTr="00F45A0D">
        <w:tc>
          <w:tcPr>
            <w:tcW w:w="2830" w:type="dxa"/>
          </w:tcPr>
          <w:p w:rsidR="00F45A0D" w:rsidRPr="00816122" w:rsidRDefault="00F45A0D" w:rsidP="00D74E64">
            <w:pPr>
              <w:spacing w:before="60" w:after="60"/>
              <w:rPr>
                <w:rFonts w:asciiTheme="minorHAnsi" w:hAnsiTheme="minorHAnsi"/>
                <w:i/>
                <w:iCs/>
                <w:szCs w:val="24"/>
                <w:lang w:val="es-ES_tradnl"/>
              </w:rPr>
            </w:pPr>
            <w:r w:rsidRPr="00816122">
              <w:rPr>
                <w:rFonts w:asciiTheme="minorHAnsi" w:hAnsiTheme="minorHAnsi"/>
                <w:i/>
                <w:iCs/>
                <w:szCs w:val="24"/>
                <w:lang w:val="es-ES_tradnl"/>
              </w:rPr>
              <w:t>Conferencia de Plenipotenciarios</w:t>
            </w:r>
          </w:p>
        </w:tc>
        <w:tc>
          <w:tcPr>
            <w:tcW w:w="6798" w:type="dxa"/>
          </w:tcPr>
          <w:p w:rsidR="00F45A0D" w:rsidRPr="00FD3713" w:rsidRDefault="00F45A0D" w:rsidP="00D74E64">
            <w:pPr>
              <w:spacing w:before="60" w:after="60"/>
              <w:rPr>
                <w:rFonts w:asciiTheme="minorHAnsi" w:hAnsiTheme="minorHAnsi"/>
                <w:szCs w:val="24"/>
                <w:lang w:val="es-ES_tradnl"/>
              </w:rPr>
            </w:pPr>
            <w:r w:rsidRPr="00FD3713">
              <w:rPr>
                <w:rFonts w:asciiTheme="minorHAnsi" w:hAnsiTheme="minorHAnsi"/>
                <w:szCs w:val="24"/>
                <w:lang w:val="es-ES_tradnl"/>
              </w:rPr>
              <w:t>Decisiones de la PP: 5 y 13</w:t>
            </w:r>
            <w:r w:rsidRPr="00FD3713">
              <w:rPr>
                <w:rFonts w:asciiTheme="minorHAnsi" w:hAnsiTheme="minorHAnsi"/>
                <w:szCs w:val="24"/>
                <w:lang w:val="es-ES_tradnl"/>
              </w:rPr>
              <w:br/>
              <w:t>Resoluciones de la PP: 25, 71, 72, 130, 179 y 181</w:t>
            </w:r>
          </w:p>
        </w:tc>
      </w:tr>
      <w:tr w:rsidR="00F45A0D" w:rsidRPr="00FD3713" w:rsidTr="00F45A0D">
        <w:tc>
          <w:tcPr>
            <w:tcW w:w="2830" w:type="dxa"/>
          </w:tcPr>
          <w:p w:rsidR="00F45A0D" w:rsidRPr="00816122" w:rsidRDefault="00F45A0D" w:rsidP="00B7462A">
            <w:pPr>
              <w:spacing w:before="60" w:after="60"/>
              <w:rPr>
                <w:rFonts w:asciiTheme="minorHAnsi" w:hAnsiTheme="minorHAnsi"/>
                <w:i/>
                <w:iCs/>
                <w:szCs w:val="24"/>
                <w:lang w:val="es-ES_tradnl"/>
              </w:rPr>
            </w:pPr>
            <w:proofErr w:type="spellStart"/>
            <w:r w:rsidRPr="00816122">
              <w:rPr>
                <w:rFonts w:asciiTheme="minorHAnsi" w:hAnsiTheme="minorHAnsi"/>
                <w:i/>
                <w:iCs/>
                <w:szCs w:val="24"/>
                <w:lang w:val="es-ES_tradnl"/>
              </w:rPr>
              <w:t>AMNT</w:t>
            </w:r>
            <w:proofErr w:type="spellEnd"/>
          </w:p>
        </w:tc>
        <w:tc>
          <w:tcPr>
            <w:tcW w:w="6798" w:type="dxa"/>
          </w:tcPr>
          <w:p w:rsidR="00F45A0D" w:rsidRPr="00FD3713" w:rsidRDefault="00F45A0D" w:rsidP="00D74E64">
            <w:pPr>
              <w:spacing w:before="60" w:after="60"/>
              <w:rPr>
                <w:rFonts w:asciiTheme="minorHAnsi" w:hAnsiTheme="minorHAnsi"/>
                <w:szCs w:val="24"/>
                <w:lang w:val="es-ES_tradnl"/>
              </w:rPr>
            </w:pPr>
            <w:bookmarkStart w:id="116" w:name="lt_pId301"/>
            <w:r w:rsidRPr="00FD3713">
              <w:rPr>
                <w:rFonts w:asciiTheme="minorHAnsi" w:hAnsiTheme="minorHAnsi"/>
                <w:szCs w:val="24"/>
                <w:lang w:val="es-ES_tradnl"/>
              </w:rPr>
              <w:t>Resoluciones 50, 52, 58</w:t>
            </w:r>
            <w:bookmarkEnd w:id="116"/>
          </w:p>
        </w:tc>
      </w:tr>
      <w:tr w:rsidR="00F45A0D" w:rsidRPr="008D434B" w:rsidTr="00F45A0D">
        <w:tc>
          <w:tcPr>
            <w:tcW w:w="2830" w:type="dxa"/>
          </w:tcPr>
          <w:p w:rsidR="00F45A0D" w:rsidRPr="00FD3713" w:rsidRDefault="00F45A0D" w:rsidP="00B7462A">
            <w:pPr>
              <w:spacing w:before="60" w:after="60"/>
              <w:rPr>
                <w:i/>
                <w:iCs/>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798" w:type="dxa"/>
          </w:tcPr>
          <w:p w:rsidR="00F45A0D" w:rsidRPr="00FD3713" w:rsidRDefault="00F45A0D" w:rsidP="00B7462A">
            <w:pPr>
              <w:spacing w:before="60" w:after="60"/>
              <w:rPr>
                <w:rFonts w:asciiTheme="minorHAnsi" w:hAnsiTheme="minorHAnsi"/>
                <w:szCs w:val="24"/>
                <w:lang w:val="es-ES_tradnl"/>
              </w:rPr>
            </w:pPr>
            <w:r w:rsidRPr="00FD3713">
              <w:rPr>
                <w:rFonts w:asciiTheme="minorHAnsi" w:hAnsiTheme="minorHAnsi"/>
                <w:szCs w:val="24"/>
                <w:lang w:val="es-ES_tradnl"/>
              </w:rPr>
              <w:t xml:space="preserve">Línea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C5</w:t>
            </w:r>
            <w:proofErr w:type="spellEnd"/>
          </w:p>
        </w:tc>
      </w:tr>
      <w:tr w:rsidR="00F45A0D" w:rsidRPr="008D434B" w:rsidTr="00F45A0D">
        <w:tc>
          <w:tcPr>
            <w:tcW w:w="2830" w:type="dxa"/>
          </w:tcPr>
          <w:p w:rsidR="00F45A0D" w:rsidRPr="00FD3713" w:rsidRDefault="00F45A0D" w:rsidP="00D74E64">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Contribución a las metas de los </w:t>
            </w:r>
            <w:proofErr w:type="spellStart"/>
            <w:r w:rsidRPr="00FD3713">
              <w:rPr>
                <w:rFonts w:asciiTheme="minorHAnsi" w:hAnsiTheme="minorHAnsi"/>
                <w:i/>
                <w:iCs/>
                <w:szCs w:val="24"/>
                <w:lang w:val="es-ES_tradnl"/>
              </w:rPr>
              <w:t>ODS</w:t>
            </w:r>
            <w:proofErr w:type="spellEnd"/>
          </w:p>
        </w:tc>
        <w:tc>
          <w:tcPr>
            <w:tcW w:w="6798" w:type="dxa"/>
          </w:tcPr>
          <w:p w:rsidR="00F45A0D" w:rsidRPr="00FD3713" w:rsidRDefault="00F45A0D" w:rsidP="00D74E64">
            <w:pPr>
              <w:spacing w:before="60" w:after="60"/>
              <w:rPr>
                <w:rFonts w:asciiTheme="minorHAnsi" w:hAnsiTheme="minorHAnsi"/>
                <w:szCs w:val="24"/>
                <w:lang w:val="es-ES_tradnl"/>
              </w:rPr>
            </w:pP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1, 3 (meta 3.5), 4 (meta </w:t>
            </w:r>
            <w:proofErr w:type="spellStart"/>
            <w:r w:rsidRPr="00FD3713">
              <w:rPr>
                <w:rFonts w:asciiTheme="minorHAnsi" w:hAnsiTheme="minorHAnsi"/>
                <w:szCs w:val="24"/>
                <w:lang w:val="es-ES_tradnl"/>
              </w:rPr>
              <w:t>4.a</w:t>
            </w:r>
            <w:proofErr w:type="spellEnd"/>
            <w:r w:rsidRPr="00FD3713">
              <w:rPr>
                <w:rFonts w:asciiTheme="minorHAnsi" w:hAnsiTheme="minorHAnsi"/>
                <w:szCs w:val="24"/>
                <w:lang w:val="es-ES_tradnl"/>
              </w:rPr>
              <w:t xml:space="preserve">), 5 (metas 5.2, 5.3, </w:t>
            </w:r>
            <w:proofErr w:type="spellStart"/>
            <w:r w:rsidRPr="00FD3713">
              <w:rPr>
                <w:rFonts w:asciiTheme="minorHAnsi" w:hAnsiTheme="minorHAnsi"/>
                <w:szCs w:val="24"/>
                <w:lang w:val="es-ES_tradnl"/>
              </w:rPr>
              <w:t>5.b</w:t>
            </w:r>
            <w:proofErr w:type="spellEnd"/>
            <w:r w:rsidRPr="00FD3713">
              <w:rPr>
                <w:rFonts w:asciiTheme="minorHAnsi" w:hAnsiTheme="minorHAnsi"/>
                <w:szCs w:val="24"/>
                <w:lang w:val="es-ES_tradnl"/>
              </w:rPr>
              <w:t>), 7, 8, 9, 10 (meta 10.2), 11, 16, 17</w:t>
            </w:r>
          </w:p>
        </w:tc>
      </w:tr>
    </w:tbl>
    <w:p w:rsidR="00F45A0D" w:rsidRPr="00FD3713" w:rsidRDefault="00F45A0D" w:rsidP="00854CF2">
      <w:pPr>
        <w:pStyle w:val="Heading2"/>
        <w:keepLines w:val="0"/>
        <w:spacing w:after="120"/>
        <w:rPr>
          <w:lang w:val="es-ES_tradnl"/>
        </w:rPr>
      </w:pPr>
      <w:r w:rsidRPr="00FD3713">
        <w:rPr>
          <w:lang w:val="es-ES_tradnl"/>
        </w:rPr>
        <w:t>3.2</w:t>
      </w:r>
      <w:r w:rsidRPr="00FD3713">
        <w:rPr>
          <w:lang w:val="es-ES_tradnl"/>
        </w:rPr>
        <w:tab/>
        <w:t>Aplicaciones y servicios TIC</w:t>
      </w:r>
    </w:p>
    <w:tbl>
      <w:tblPr>
        <w:tblStyle w:val="TableGrid"/>
        <w:tblW w:w="0" w:type="auto"/>
        <w:tblLook w:val="04A0" w:firstRow="1" w:lastRow="0" w:firstColumn="1" w:lastColumn="0" w:noHBand="0" w:noVBand="1"/>
      </w:tblPr>
      <w:tblGrid>
        <w:gridCol w:w="2921"/>
        <w:gridCol w:w="6707"/>
      </w:tblGrid>
      <w:tr w:rsidR="00F45A0D" w:rsidRPr="008D434B" w:rsidTr="00F45A0D">
        <w:tc>
          <w:tcPr>
            <w:tcW w:w="9628" w:type="dxa"/>
            <w:gridSpan w:val="2"/>
          </w:tcPr>
          <w:p w:rsidR="00F45A0D" w:rsidRPr="00FD3713" w:rsidRDefault="00F45A0D" w:rsidP="00F45A0D">
            <w:pPr>
              <w:rPr>
                <w:rFonts w:asciiTheme="minorHAnsi" w:hAnsiTheme="minorHAnsi"/>
                <w:szCs w:val="24"/>
                <w:lang w:val="es-ES_tradnl"/>
              </w:rPr>
            </w:pPr>
            <w:bookmarkStart w:id="117" w:name="lt_pId309"/>
            <w:r w:rsidRPr="00FD3713">
              <w:rPr>
                <w:rFonts w:asciiTheme="minorHAnsi" w:hAnsiTheme="minorHAnsi"/>
                <w:szCs w:val="24"/>
                <w:lang w:val="es-ES_tradnl"/>
              </w:rPr>
              <w:t xml:space="preserve">Para aumentar la capacidad de los Estados Miembros de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para elaborar </w:t>
            </w:r>
            <w:proofErr w:type="spellStart"/>
            <w:r w:rsidRPr="00FD3713">
              <w:rPr>
                <w:rFonts w:asciiTheme="minorHAnsi" w:hAnsiTheme="minorHAnsi"/>
                <w:szCs w:val="24"/>
                <w:lang w:val="es-ES_tradnl"/>
              </w:rPr>
              <w:t>ciberestrategias</w:t>
            </w:r>
            <w:proofErr w:type="spellEnd"/>
            <w:r w:rsidRPr="00FD3713">
              <w:rPr>
                <w:rFonts w:asciiTheme="minorHAnsi" w:hAnsiTheme="minorHAnsi"/>
                <w:szCs w:val="24"/>
                <w:lang w:val="es-ES_tradnl"/>
              </w:rPr>
              <w:t xml:space="preserve"> nacionales destinadas a crear un entorno propicio para la mejora de las aplicaciones de TIC se llevaron a cabo numerosas actividades, entre las que cabe destacar las siguientes:</w:t>
            </w:r>
            <w:bookmarkEnd w:id="117"/>
          </w:p>
          <w:p w:rsidR="00F45A0D" w:rsidRPr="00FD3713" w:rsidRDefault="00F45A0D" w:rsidP="00854CF2">
            <w:pPr>
              <w:keepNext/>
              <w:rPr>
                <w:rFonts w:asciiTheme="minorHAnsi" w:hAnsiTheme="minorHAnsi"/>
                <w:szCs w:val="24"/>
                <w:lang w:val="es-ES_tradnl"/>
              </w:rPr>
            </w:pPr>
            <w:proofErr w:type="spellStart"/>
            <w:r w:rsidRPr="00C803D6">
              <w:rPr>
                <w:rFonts w:asciiTheme="minorHAnsi" w:hAnsiTheme="minorHAnsi"/>
                <w:szCs w:val="24"/>
                <w:lang w:val="es-ES_tradnl"/>
              </w:rPr>
              <w:t>Cibersalud</w:t>
            </w:r>
            <w:proofErr w:type="spellEnd"/>
            <w:r w:rsidRPr="00C803D6">
              <w:rPr>
                <w:rFonts w:asciiTheme="minorHAnsi" w:hAnsiTheme="minorHAnsi"/>
                <w:szCs w:val="24"/>
                <w:lang w:val="es-ES_tradnl"/>
              </w:rPr>
              <w:t>:</w:t>
            </w:r>
          </w:p>
          <w:p w:rsidR="00F45A0D" w:rsidRPr="00FD3713" w:rsidRDefault="008C3301" w:rsidP="008C3301">
            <w:pPr>
              <w:pStyle w:val="enumlev1"/>
              <w:rPr>
                <w:rFonts w:asciiTheme="minorHAnsi" w:hAnsiTheme="minorHAnsi"/>
                <w:szCs w:val="24"/>
                <w:lang w:val="es-ES_tradnl"/>
              </w:rPr>
            </w:pPr>
            <w:bookmarkStart w:id="118" w:name="lt_pId311"/>
            <w:r w:rsidRPr="00FD3713">
              <w:rPr>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Se concluyó un importante acuerdo con la Comisión Europea y la OMS para crear un Centro de Conocimientos e Innovación de salud-m en Europa. En el Centro se recopilarán y divulgarán los estudios y experiencias de programas de salud-m a gran escala y se ayudará a los Estados Miembros a poner en pie programas de ese tipo</w:t>
            </w:r>
            <w:bookmarkStart w:id="119" w:name="lt_pId312"/>
            <w:bookmarkEnd w:id="118"/>
            <w:r w:rsidR="00F45A0D" w:rsidRPr="00FD3713">
              <w:rPr>
                <w:rFonts w:asciiTheme="minorHAnsi" w:hAnsiTheme="minorHAnsi"/>
                <w:szCs w:val="24"/>
                <w:lang w:val="es-ES_tradnl"/>
              </w:rPr>
              <w:t>.</w:t>
            </w:r>
            <w:bookmarkEnd w:id="119"/>
          </w:p>
          <w:p w:rsidR="00F45A0D" w:rsidRPr="00FD3713" w:rsidRDefault="008C3301" w:rsidP="008C3301">
            <w:pPr>
              <w:pStyle w:val="enumlev1"/>
              <w:rPr>
                <w:rFonts w:asciiTheme="minorHAnsi" w:hAnsiTheme="minorHAnsi"/>
                <w:szCs w:val="24"/>
                <w:lang w:val="es-ES_tradnl"/>
              </w:rPr>
            </w:pPr>
            <w:r w:rsidRPr="00FD3713">
              <w:rPr>
                <w:lang w:val="es-ES_tradnl"/>
              </w:rPr>
              <w:t>–</w:t>
            </w:r>
            <w:r w:rsidRPr="00FD3713">
              <w:rPr>
                <w:lang w:val="es-ES_tradnl"/>
              </w:rPr>
              <w:tab/>
            </w:r>
            <w:r w:rsidR="00F45A0D" w:rsidRPr="00C803D6">
              <w:rPr>
                <w:rFonts w:asciiTheme="minorHAnsi" w:hAnsiTheme="minorHAnsi"/>
                <w:szCs w:val="24"/>
                <w:lang w:val="es-ES_tradnl"/>
              </w:rPr>
              <w:t>Se elaboró un "Conjunto de herramientas y directrices para la implantación de una plataforma de salud digital" para guiar a los responsables de adoptar políticas y de la planificación de la salud en el diseño e implementación de una "plataforma nacional de salud digital".</w:t>
            </w:r>
          </w:p>
          <w:p w:rsidR="00F45A0D" w:rsidRPr="00FD3713" w:rsidRDefault="008C3301" w:rsidP="008C3301">
            <w:pPr>
              <w:pStyle w:val="enumlev1"/>
              <w:rPr>
                <w:rFonts w:asciiTheme="minorHAnsi" w:hAnsiTheme="minorHAnsi"/>
                <w:szCs w:val="24"/>
                <w:lang w:val="es-ES_tradnl"/>
              </w:rPr>
            </w:pPr>
            <w:r w:rsidRPr="00FD3713">
              <w:rPr>
                <w:rFonts w:asciiTheme="minorHAnsi" w:hAnsiTheme="minorHAnsi"/>
                <w:szCs w:val="24"/>
                <w:lang w:val="es-ES_tradnl"/>
              </w:rPr>
              <w:t>–</w:t>
            </w:r>
            <w:r w:rsidRPr="00FD3713">
              <w:rPr>
                <w:rFonts w:asciiTheme="minorHAnsi" w:hAnsiTheme="minorHAnsi"/>
                <w:szCs w:val="24"/>
                <w:lang w:val="es-ES_tradnl"/>
              </w:rPr>
              <w:tab/>
            </w:r>
            <w:bookmarkStart w:id="120" w:name="lt_pId314"/>
            <w:r w:rsidR="00F45A0D" w:rsidRPr="00FD3713">
              <w:rPr>
                <w:rFonts w:asciiTheme="minorHAnsi" w:hAnsiTheme="minorHAnsi"/>
                <w:szCs w:val="24"/>
                <w:lang w:val="es-ES_tradnl"/>
              </w:rPr>
              <w:t xml:space="preserve">Durante el Primer Foro de Salud en África de la OMS, celebrado en Kigali, </w:t>
            </w:r>
            <w:proofErr w:type="spellStart"/>
            <w:r w:rsidR="00F45A0D" w:rsidRPr="00FD3713">
              <w:rPr>
                <w:rFonts w:asciiTheme="minorHAnsi" w:hAnsiTheme="minorHAnsi"/>
                <w:szCs w:val="24"/>
                <w:lang w:val="es-ES_tradnl"/>
              </w:rPr>
              <w:t>Rwanda</w:t>
            </w:r>
            <w:proofErr w:type="spellEnd"/>
            <w:r w:rsidR="00F45A0D" w:rsidRPr="00FD3713">
              <w:rPr>
                <w:rFonts w:asciiTheme="minorHAnsi" w:hAnsiTheme="minorHAnsi"/>
                <w:szCs w:val="24"/>
                <w:lang w:val="es-ES_tradnl"/>
              </w:rPr>
              <w:t>, se presentó la nueva iniciativa conjunta con OMS Región Africana para perfeccionar los servicios sanitarios digitales en África.</w:t>
            </w:r>
            <w:bookmarkEnd w:id="120"/>
          </w:p>
          <w:p w:rsidR="00F45A0D" w:rsidRPr="00FD3713" w:rsidRDefault="008C3301" w:rsidP="008C3301">
            <w:pPr>
              <w:pStyle w:val="enumlev1"/>
              <w:rPr>
                <w:rFonts w:asciiTheme="minorHAnsi" w:hAnsiTheme="minorHAnsi"/>
                <w:szCs w:val="24"/>
                <w:lang w:val="es-ES_tradnl"/>
              </w:rPr>
            </w:pPr>
            <w:r w:rsidRPr="00FD3713">
              <w:rPr>
                <w:rFonts w:asciiTheme="minorHAnsi" w:hAnsiTheme="minorHAnsi"/>
                <w:szCs w:val="24"/>
                <w:lang w:val="es-ES_tradnl"/>
              </w:rPr>
              <w:t>–</w:t>
            </w:r>
            <w:r w:rsidRPr="00FD3713">
              <w:rPr>
                <w:rFonts w:asciiTheme="minorHAnsi" w:hAnsiTheme="minorHAnsi"/>
                <w:szCs w:val="24"/>
                <w:lang w:val="es-ES_tradnl"/>
              </w:rPr>
              <w:tab/>
            </w:r>
            <w:bookmarkStart w:id="121" w:name="lt_pId315"/>
            <w:r w:rsidRPr="00FD3713">
              <w:rPr>
                <w:rFonts w:asciiTheme="minorHAnsi" w:hAnsiTheme="minorHAnsi"/>
                <w:szCs w:val="24"/>
                <w:lang w:val="es-ES_tradnl"/>
              </w:rPr>
              <w:t>S</w:t>
            </w:r>
            <w:r w:rsidR="00F45A0D" w:rsidRPr="00FD3713">
              <w:rPr>
                <w:rFonts w:asciiTheme="minorHAnsi" w:hAnsiTheme="minorHAnsi"/>
                <w:szCs w:val="24"/>
                <w:lang w:val="es-ES_tradnl"/>
              </w:rPr>
              <w:t xml:space="preserve">e prestó asistencia a Senegal para elaborar su Plan de Acción de </w:t>
            </w:r>
            <w:proofErr w:type="spellStart"/>
            <w:r w:rsidR="00F45A0D" w:rsidRPr="00FD3713">
              <w:rPr>
                <w:rFonts w:asciiTheme="minorHAnsi" w:hAnsiTheme="minorHAnsi"/>
                <w:szCs w:val="24"/>
                <w:lang w:val="es-ES_tradnl"/>
              </w:rPr>
              <w:t>Cibersalud</w:t>
            </w:r>
            <w:proofErr w:type="spellEnd"/>
            <w:r w:rsidR="00F45A0D" w:rsidRPr="00FD3713">
              <w:rPr>
                <w:rFonts w:asciiTheme="minorHAnsi" w:hAnsiTheme="minorHAnsi"/>
                <w:szCs w:val="24"/>
                <w:lang w:val="es-ES_tradnl"/>
              </w:rPr>
              <w:t xml:space="preserve"> Nacional.</w:t>
            </w:r>
            <w:bookmarkEnd w:id="121"/>
          </w:p>
          <w:p w:rsidR="00F45A0D" w:rsidRPr="00FD3713" w:rsidRDefault="00F45A0D" w:rsidP="00F45A0D">
            <w:pPr>
              <w:rPr>
                <w:rFonts w:asciiTheme="minorHAnsi" w:hAnsiTheme="minorHAnsi"/>
                <w:szCs w:val="24"/>
                <w:lang w:val="es-ES_tradnl"/>
              </w:rPr>
            </w:pPr>
            <w:proofErr w:type="spellStart"/>
            <w:r w:rsidRPr="004338EB">
              <w:rPr>
                <w:rFonts w:asciiTheme="minorHAnsi" w:hAnsiTheme="minorHAnsi"/>
                <w:szCs w:val="24"/>
                <w:lang w:val="es-ES_tradnl"/>
              </w:rPr>
              <w:t>Ciberagricultura</w:t>
            </w:r>
            <w:proofErr w:type="spellEnd"/>
            <w:r w:rsidRPr="004338EB">
              <w:rPr>
                <w:rFonts w:asciiTheme="minorHAnsi" w:hAnsiTheme="minorHAnsi"/>
                <w:szCs w:val="24"/>
                <w:lang w:val="es-ES_tradnl"/>
              </w:rPr>
              <w:t>:</w:t>
            </w:r>
          </w:p>
          <w:p w:rsidR="00F45A0D" w:rsidRPr="00FD3713" w:rsidRDefault="008C3301" w:rsidP="008C3301">
            <w:pPr>
              <w:pStyle w:val="enumlev1"/>
              <w:rPr>
                <w:rFonts w:asciiTheme="minorHAnsi" w:hAnsiTheme="minorHAnsi"/>
                <w:szCs w:val="24"/>
                <w:lang w:val="es-ES_tradnl"/>
              </w:rPr>
            </w:pPr>
            <w:bookmarkStart w:id="122" w:name="lt_pId317"/>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 xml:space="preserve">Se firmó un acuerdo de cooperación con la FAO para estrechar la cooperación en materia de </w:t>
            </w:r>
            <w:proofErr w:type="spellStart"/>
            <w:r w:rsidR="00F45A0D" w:rsidRPr="00FD3713">
              <w:rPr>
                <w:rFonts w:asciiTheme="minorHAnsi" w:hAnsiTheme="minorHAnsi"/>
                <w:szCs w:val="24"/>
                <w:lang w:val="es-ES_tradnl"/>
              </w:rPr>
              <w:t>ciberagricultura</w:t>
            </w:r>
            <w:proofErr w:type="spellEnd"/>
            <w:r w:rsidR="00F45A0D" w:rsidRPr="00FD3713">
              <w:rPr>
                <w:rFonts w:asciiTheme="minorHAnsi" w:hAnsiTheme="minorHAnsi"/>
                <w:szCs w:val="24"/>
                <w:lang w:val="es-ES_tradnl"/>
              </w:rPr>
              <w:t xml:space="preserve"> y ampliar el ámbito y la profundidad de las actividades.</w:t>
            </w:r>
            <w:bookmarkEnd w:id="122"/>
          </w:p>
          <w:p w:rsidR="00F45A0D" w:rsidRPr="00FD3713" w:rsidRDefault="008C3301" w:rsidP="004338EB">
            <w:pPr>
              <w:pStyle w:val="enumlev1"/>
              <w:rPr>
                <w:rFonts w:asciiTheme="minorHAnsi" w:hAnsiTheme="minorHAnsi"/>
                <w:szCs w:val="24"/>
                <w:lang w:val="es-ES_tradnl"/>
              </w:rPr>
            </w:pPr>
            <w:bookmarkStart w:id="123" w:name="lt_pId318"/>
            <w:r w:rsidRPr="00FD3713">
              <w:rPr>
                <w:szCs w:val="24"/>
                <w:lang w:val="es-ES_tradnl"/>
              </w:rPr>
              <w:t>–</w:t>
            </w:r>
            <w:r w:rsidR="00F45A0D" w:rsidRPr="00FD3713">
              <w:rPr>
                <w:rFonts w:asciiTheme="minorHAnsi" w:hAnsiTheme="minorHAnsi"/>
                <w:szCs w:val="24"/>
                <w:lang w:val="es-ES_tradnl"/>
              </w:rPr>
              <w:tab/>
              <w:t xml:space="preserve">En asociación con la FAO, se perfiló la estrategia de </w:t>
            </w:r>
            <w:proofErr w:type="spellStart"/>
            <w:r w:rsidR="00F45A0D" w:rsidRPr="00FD3713">
              <w:rPr>
                <w:rFonts w:asciiTheme="minorHAnsi" w:hAnsiTheme="minorHAnsi"/>
                <w:szCs w:val="24"/>
                <w:lang w:val="es-ES_tradnl"/>
              </w:rPr>
              <w:t>ciberagricultura</w:t>
            </w:r>
            <w:proofErr w:type="spellEnd"/>
            <w:r w:rsidR="00F45A0D" w:rsidRPr="00FD3713">
              <w:rPr>
                <w:rFonts w:asciiTheme="minorHAnsi" w:hAnsiTheme="minorHAnsi"/>
                <w:szCs w:val="24"/>
                <w:lang w:val="es-ES_tradnl"/>
              </w:rPr>
              <w:t xml:space="preserve"> nacional de </w:t>
            </w:r>
            <w:proofErr w:type="spellStart"/>
            <w:r w:rsidR="00F45A0D" w:rsidRPr="00FD3713">
              <w:rPr>
                <w:rFonts w:asciiTheme="minorHAnsi" w:hAnsiTheme="minorHAnsi"/>
                <w:szCs w:val="24"/>
                <w:lang w:val="es-ES_tradnl"/>
              </w:rPr>
              <w:t>Pap</w:t>
            </w:r>
            <w:r w:rsidR="004338EB">
              <w:rPr>
                <w:rFonts w:asciiTheme="minorHAnsi" w:hAnsiTheme="minorHAnsi"/>
                <w:szCs w:val="24"/>
                <w:lang w:val="es-ES_tradnl"/>
              </w:rPr>
              <w:t>u</w:t>
            </w:r>
            <w:r w:rsidR="00F45A0D" w:rsidRPr="00FD3713">
              <w:rPr>
                <w:rFonts w:asciiTheme="minorHAnsi" w:hAnsiTheme="minorHAnsi"/>
                <w:szCs w:val="24"/>
                <w:lang w:val="es-ES_tradnl"/>
              </w:rPr>
              <w:t>a</w:t>
            </w:r>
            <w:proofErr w:type="spellEnd"/>
            <w:r w:rsidR="00F45A0D" w:rsidRPr="00FD3713">
              <w:rPr>
                <w:rFonts w:asciiTheme="minorHAnsi" w:hAnsiTheme="minorHAnsi"/>
                <w:szCs w:val="24"/>
                <w:lang w:val="es-ES_tradnl"/>
              </w:rPr>
              <w:t xml:space="preserve"> Nueva Guinea y se identificaron algunas soluciones prioritarias. Se consolidó el compromiso de las partes interesadas en su aplicación</w:t>
            </w:r>
            <w:bookmarkStart w:id="124" w:name="lt_pId319"/>
            <w:bookmarkEnd w:id="123"/>
            <w:r w:rsidR="00F45A0D" w:rsidRPr="00FD3713">
              <w:rPr>
                <w:rFonts w:asciiTheme="minorHAnsi" w:hAnsiTheme="minorHAnsi"/>
                <w:szCs w:val="24"/>
                <w:lang w:val="es-ES_tradnl"/>
              </w:rPr>
              <w:t>.</w:t>
            </w:r>
            <w:bookmarkEnd w:id="124"/>
          </w:p>
          <w:p w:rsidR="00F45A0D" w:rsidRPr="00FD3713" w:rsidRDefault="00F45A0D" w:rsidP="00F45A0D">
            <w:pPr>
              <w:rPr>
                <w:rFonts w:asciiTheme="minorHAnsi" w:hAnsiTheme="minorHAnsi"/>
                <w:szCs w:val="24"/>
                <w:lang w:val="es-ES_tradnl"/>
              </w:rPr>
            </w:pPr>
            <w:proofErr w:type="spellStart"/>
            <w:r w:rsidRPr="004338EB">
              <w:rPr>
                <w:rFonts w:asciiTheme="minorHAnsi" w:hAnsiTheme="minorHAnsi"/>
                <w:szCs w:val="24"/>
                <w:lang w:val="es-ES_tradnl"/>
              </w:rPr>
              <w:t>Ciberenseñanza</w:t>
            </w:r>
            <w:proofErr w:type="spellEnd"/>
            <w:r w:rsidRPr="004338EB">
              <w:rPr>
                <w:rFonts w:asciiTheme="minorHAnsi" w:hAnsiTheme="minorHAnsi"/>
                <w:szCs w:val="24"/>
                <w:lang w:val="es-ES_tradnl"/>
              </w:rPr>
              <w:t>:</w:t>
            </w:r>
          </w:p>
          <w:p w:rsidR="00F45A0D" w:rsidRPr="00FD3713" w:rsidRDefault="008C3301" w:rsidP="008C3301">
            <w:pPr>
              <w:pStyle w:val="enumlev1"/>
              <w:rPr>
                <w:rFonts w:asciiTheme="minorHAnsi" w:hAnsiTheme="minorHAnsi"/>
                <w:szCs w:val="24"/>
                <w:lang w:val="es-ES_tradnl"/>
              </w:rPr>
            </w:pPr>
            <w:r w:rsidRPr="00FD3713">
              <w:rPr>
                <w:szCs w:val="24"/>
                <w:lang w:val="es-ES_tradnl"/>
              </w:rPr>
              <w:t>–</w:t>
            </w:r>
            <w:bookmarkStart w:id="125" w:name="lt_pId321"/>
            <w:r w:rsidRPr="00FD3713">
              <w:rPr>
                <w:rFonts w:asciiTheme="minorHAnsi" w:hAnsiTheme="minorHAnsi"/>
                <w:szCs w:val="24"/>
                <w:lang w:val="es-ES_tradnl"/>
              </w:rPr>
              <w:tab/>
            </w:r>
            <w:r w:rsidR="00F45A0D" w:rsidRPr="00FD3713">
              <w:rPr>
                <w:rFonts w:asciiTheme="minorHAnsi" w:hAnsiTheme="minorHAnsi"/>
                <w:szCs w:val="24"/>
                <w:lang w:val="es-ES_tradnl"/>
              </w:rPr>
              <w:t>Se está preparando un acuerdo modelo de asociación entre distintos sectores (sanidad, agricultura, educación, etc.) y el sector de las TIC para facilitar la conclusión de acuerdos nacionales e institucionales destinados a mejorar los servicios que presta Las TIC para el Desarrollo aprovechando las asociaciones entre el sector público y el privado.</w:t>
            </w:r>
            <w:bookmarkEnd w:id="125"/>
          </w:p>
          <w:p w:rsidR="00F45A0D" w:rsidRPr="00FD3713" w:rsidRDefault="008C3301" w:rsidP="008C3301">
            <w:pPr>
              <w:pStyle w:val="enumlev1"/>
              <w:rPr>
                <w:rFonts w:asciiTheme="minorHAnsi" w:hAnsiTheme="minorHAnsi"/>
                <w:szCs w:val="24"/>
                <w:lang w:val="es-ES_tradnl"/>
              </w:rPr>
            </w:pPr>
            <w:r w:rsidRPr="00FD3713">
              <w:rPr>
                <w:szCs w:val="24"/>
                <w:lang w:val="es-ES_tradnl"/>
              </w:rPr>
              <w:t>–</w:t>
            </w:r>
            <w:bookmarkStart w:id="126" w:name="lt_pId322"/>
            <w:r w:rsidRPr="00FD3713">
              <w:rPr>
                <w:rFonts w:asciiTheme="minorHAnsi" w:hAnsiTheme="minorHAnsi"/>
                <w:szCs w:val="24"/>
                <w:lang w:val="es-ES_tradnl"/>
              </w:rPr>
              <w:tab/>
            </w:r>
            <w:r w:rsidR="00F45A0D" w:rsidRPr="00FD3713">
              <w:rPr>
                <w:rFonts w:asciiTheme="minorHAnsi" w:hAnsiTheme="minorHAnsi"/>
                <w:szCs w:val="24"/>
                <w:lang w:val="es-ES_tradnl"/>
              </w:rPr>
              <w:t xml:space="preserve">El "Foro político sobre aprendizaje móvil”, organizado conjuntamente por la UNESCO y la </w:t>
            </w:r>
            <w:proofErr w:type="spellStart"/>
            <w:r w:rsidR="00F45A0D" w:rsidRPr="00FD3713">
              <w:rPr>
                <w:rFonts w:asciiTheme="minorHAnsi" w:hAnsiTheme="minorHAnsi"/>
                <w:szCs w:val="24"/>
                <w:lang w:val="es-ES_tradnl"/>
              </w:rPr>
              <w:t>UIT</w:t>
            </w:r>
            <w:proofErr w:type="spellEnd"/>
            <w:r w:rsidR="00F45A0D" w:rsidRPr="00FD3713">
              <w:rPr>
                <w:rFonts w:asciiTheme="minorHAnsi" w:hAnsiTheme="minorHAnsi"/>
                <w:szCs w:val="24"/>
                <w:lang w:val="es-ES_tradnl"/>
              </w:rPr>
              <w:t xml:space="preserve"> cosechó un gran éxito y reunió a más de 300 participantes.</w:t>
            </w:r>
            <w:bookmarkStart w:id="127" w:name="lt_pId323"/>
            <w:bookmarkEnd w:id="126"/>
            <w:r w:rsidR="004E2CDB" w:rsidRPr="00FD3713">
              <w:rPr>
                <w:rFonts w:asciiTheme="minorHAnsi" w:hAnsiTheme="minorHAnsi"/>
                <w:szCs w:val="24"/>
                <w:lang w:val="es-ES_tradnl"/>
              </w:rPr>
              <w:t xml:space="preserve"> </w:t>
            </w:r>
            <w:r w:rsidR="00F45A0D" w:rsidRPr="00FD3713">
              <w:rPr>
                <w:rFonts w:asciiTheme="minorHAnsi" w:hAnsiTheme="minorHAnsi"/>
                <w:szCs w:val="24"/>
                <w:lang w:val="es-ES_tradnl"/>
              </w:rPr>
              <w:t xml:space="preserve">En ese Foro se subrayó la importancia de la colaboración </w:t>
            </w:r>
            <w:proofErr w:type="spellStart"/>
            <w:r w:rsidR="00F45A0D" w:rsidRPr="00FD3713">
              <w:rPr>
                <w:rFonts w:asciiTheme="minorHAnsi" w:hAnsiTheme="minorHAnsi"/>
                <w:szCs w:val="24"/>
                <w:lang w:val="es-ES_tradnl"/>
              </w:rPr>
              <w:t>transectorial</w:t>
            </w:r>
            <w:proofErr w:type="spellEnd"/>
            <w:r w:rsidR="00F45A0D" w:rsidRPr="00FD3713">
              <w:rPr>
                <w:rFonts w:asciiTheme="minorHAnsi" w:hAnsiTheme="minorHAnsi"/>
                <w:szCs w:val="24"/>
                <w:lang w:val="es-ES_tradnl"/>
              </w:rPr>
              <w:t xml:space="preserve"> a la hora de desarrollar las </w:t>
            </w:r>
            <w:proofErr w:type="spellStart"/>
            <w:r w:rsidR="00F45A0D" w:rsidRPr="00FD3713">
              <w:rPr>
                <w:rFonts w:asciiTheme="minorHAnsi" w:hAnsiTheme="minorHAnsi"/>
                <w:szCs w:val="24"/>
                <w:lang w:val="es-ES_tradnl"/>
              </w:rPr>
              <w:t>ciberdestrezas</w:t>
            </w:r>
            <w:proofErr w:type="spellEnd"/>
            <w:r w:rsidR="00F45A0D" w:rsidRPr="00FD3713">
              <w:rPr>
                <w:rFonts w:asciiTheme="minorHAnsi" w:hAnsiTheme="minorHAnsi"/>
                <w:szCs w:val="24"/>
                <w:lang w:val="es-ES_tradnl"/>
              </w:rPr>
              <w:t xml:space="preserve"> necesarias.</w:t>
            </w:r>
            <w:bookmarkEnd w:id="127"/>
          </w:p>
          <w:p w:rsidR="00F45A0D" w:rsidRPr="00FD3713" w:rsidRDefault="00F45A0D" w:rsidP="004338EB">
            <w:pPr>
              <w:keepNext/>
              <w:rPr>
                <w:rFonts w:asciiTheme="minorHAnsi" w:hAnsiTheme="minorHAnsi"/>
                <w:szCs w:val="24"/>
                <w:lang w:val="es-ES_tradnl"/>
              </w:rPr>
            </w:pPr>
            <w:bookmarkStart w:id="128" w:name="lt_pId324"/>
            <w:r w:rsidRPr="00FD3713">
              <w:rPr>
                <w:rFonts w:asciiTheme="minorHAnsi" w:hAnsiTheme="minorHAnsi"/>
                <w:szCs w:val="24"/>
                <w:lang w:val="es-ES_tradnl"/>
              </w:rPr>
              <w:lastRenderedPageBreak/>
              <w:t>Otros de los programas llevados a cabo fueron los siguientes:</w:t>
            </w:r>
            <w:bookmarkEnd w:id="128"/>
          </w:p>
          <w:p w:rsidR="00F45A0D" w:rsidRPr="00FD3713" w:rsidRDefault="008C3301" w:rsidP="008C3301">
            <w:pPr>
              <w:pStyle w:val="enumlev1"/>
              <w:rPr>
                <w:rFonts w:asciiTheme="minorHAnsi" w:hAnsiTheme="minorHAnsi"/>
                <w:szCs w:val="24"/>
                <w:lang w:val="es-ES_tradnl"/>
              </w:rPr>
            </w:pPr>
            <w:r w:rsidRPr="00FD3713">
              <w:rPr>
                <w:szCs w:val="24"/>
                <w:lang w:val="es-ES_tradnl"/>
              </w:rPr>
              <w:t>–</w:t>
            </w:r>
            <w:bookmarkStart w:id="129" w:name="lt_pId325"/>
            <w:r w:rsidRPr="00FD3713">
              <w:rPr>
                <w:rFonts w:asciiTheme="minorHAnsi" w:hAnsiTheme="minorHAnsi"/>
                <w:szCs w:val="24"/>
                <w:lang w:val="es-ES_tradnl"/>
              </w:rPr>
              <w:tab/>
            </w:r>
            <w:r w:rsidR="00F45A0D" w:rsidRPr="00FD3713">
              <w:rPr>
                <w:rFonts w:asciiTheme="minorHAnsi" w:hAnsiTheme="minorHAnsi"/>
                <w:szCs w:val="24"/>
                <w:lang w:val="es-ES_tradnl"/>
              </w:rPr>
              <w:t xml:space="preserve">se preparó el primer proyecto de Plataforma Común de las TIC para los </w:t>
            </w:r>
            <w:proofErr w:type="spellStart"/>
            <w:r w:rsidR="00F45A0D" w:rsidRPr="00FD3713">
              <w:rPr>
                <w:rFonts w:asciiTheme="minorHAnsi" w:hAnsiTheme="minorHAnsi"/>
                <w:szCs w:val="24"/>
                <w:lang w:val="es-ES_tradnl"/>
              </w:rPr>
              <w:t>ODS</w:t>
            </w:r>
            <w:proofErr w:type="spellEnd"/>
            <w:r w:rsidR="00F45A0D" w:rsidRPr="00FD3713">
              <w:rPr>
                <w:rFonts w:asciiTheme="minorHAnsi" w:hAnsiTheme="minorHAnsi"/>
                <w:szCs w:val="24"/>
                <w:lang w:val="es-ES_tradnl"/>
              </w:rPr>
              <w:t xml:space="preserve"> a fin de definir la arquitectura global de una infraestructura digital común que pueda ofrecer una serie de servicios integrados y transversales basados en normas comunes y principios empresariales.</w:t>
            </w:r>
            <w:bookmarkEnd w:id="129"/>
          </w:p>
          <w:p w:rsidR="00F45A0D" w:rsidRPr="00FD3713" w:rsidRDefault="008C3301" w:rsidP="008C3301">
            <w:pPr>
              <w:pStyle w:val="enumlev1"/>
              <w:rPr>
                <w:rFonts w:asciiTheme="minorHAnsi" w:hAnsiTheme="minorHAnsi"/>
                <w:szCs w:val="24"/>
                <w:lang w:val="es-ES_tradnl"/>
              </w:rPr>
            </w:pPr>
            <w:r w:rsidRPr="00FD3713">
              <w:rPr>
                <w:szCs w:val="24"/>
                <w:lang w:val="es-ES_tradnl"/>
              </w:rPr>
              <w:t>–</w:t>
            </w:r>
            <w:bookmarkStart w:id="130" w:name="lt_pId326"/>
            <w:r w:rsidRPr="00FD3713">
              <w:rPr>
                <w:rFonts w:asciiTheme="minorHAnsi" w:hAnsiTheme="minorHAnsi"/>
                <w:szCs w:val="24"/>
                <w:lang w:val="es-ES_tradnl"/>
              </w:rPr>
              <w:tab/>
            </w:r>
            <w:r w:rsidR="00F45A0D" w:rsidRPr="00FD3713">
              <w:rPr>
                <w:rFonts w:asciiTheme="minorHAnsi" w:hAnsiTheme="minorHAnsi"/>
                <w:szCs w:val="24"/>
                <w:lang w:val="es-ES_tradnl"/>
              </w:rPr>
              <w:t xml:space="preserve">se aumentó la colaboración regional en materia de ciudades inteligentes y se facilitó información sobre las tecnologías subyacentes y los retos que plantean en el Taller Regional de la </w:t>
            </w:r>
            <w:proofErr w:type="spellStart"/>
            <w:r w:rsidR="00F45A0D" w:rsidRPr="00FD3713">
              <w:rPr>
                <w:rFonts w:asciiTheme="minorHAnsi" w:hAnsiTheme="minorHAnsi"/>
                <w:szCs w:val="24"/>
                <w:lang w:val="es-ES_tradnl"/>
              </w:rPr>
              <w:t>UIT</w:t>
            </w:r>
            <w:proofErr w:type="spellEnd"/>
            <w:r w:rsidR="00F45A0D" w:rsidRPr="00FD3713">
              <w:rPr>
                <w:rFonts w:asciiTheme="minorHAnsi" w:hAnsiTheme="minorHAnsi"/>
                <w:szCs w:val="24"/>
                <w:lang w:val="es-ES_tradnl"/>
              </w:rPr>
              <w:t xml:space="preserve"> celebrado en Uzbekistán.</w:t>
            </w:r>
            <w:bookmarkEnd w:id="130"/>
          </w:p>
          <w:p w:rsidR="00F45A0D" w:rsidRPr="00FD3713" w:rsidRDefault="00F45A0D" w:rsidP="00F45A0D">
            <w:pPr>
              <w:tabs>
                <w:tab w:val="clear" w:pos="794"/>
                <w:tab w:val="clear" w:pos="1191"/>
                <w:tab w:val="clear" w:pos="1588"/>
                <w:tab w:val="clear" w:pos="1985"/>
              </w:tabs>
              <w:overflowPunct/>
              <w:autoSpaceDE/>
              <w:autoSpaceDN/>
              <w:adjustRightInd/>
              <w:spacing w:after="120"/>
              <w:textAlignment w:val="auto"/>
              <w:rPr>
                <w:szCs w:val="24"/>
                <w:lang w:val="es-ES_tradnl"/>
              </w:rPr>
            </w:pPr>
            <w:bookmarkStart w:id="131" w:name="lt_pId327"/>
            <w:r w:rsidRPr="00FD3713">
              <w:rPr>
                <w:rFonts w:asciiTheme="minorHAnsi" w:hAnsiTheme="minorHAnsi"/>
                <w:szCs w:val="24"/>
                <w:lang w:val="es-ES_tradnl"/>
              </w:rPr>
              <w:t xml:space="preserve">Se llevaron a cabo con éxito actividades en Filipinas (estrategia de </w:t>
            </w:r>
            <w:proofErr w:type="spellStart"/>
            <w:r w:rsidRPr="00FD3713">
              <w:rPr>
                <w:rFonts w:asciiTheme="minorHAnsi" w:hAnsiTheme="minorHAnsi"/>
                <w:szCs w:val="24"/>
                <w:lang w:val="es-ES_tradnl"/>
              </w:rPr>
              <w:t>ciberagricultura</w:t>
            </w:r>
            <w:proofErr w:type="spellEnd"/>
            <w:r w:rsidRPr="00FD3713">
              <w:rPr>
                <w:rFonts w:asciiTheme="minorHAnsi" w:hAnsiTheme="minorHAnsi"/>
                <w:szCs w:val="24"/>
                <w:lang w:val="es-ES_tradnl"/>
              </w:rPr>
              <w:t xml:space="preserve"> nacional), Rusia (Internet de las cosas y tecnologías de redes futuras), Kazajstán (desarrollo de servicios financieros digitales), Burkina Faso (programa Cáncer Cervical-m), Zambia (implantación de la salud-m), </w:t>
            </w:r>
            <w:proofErr w:type="spellStart"/>
            <w:r w:rsidRPr="00FD3713">
              <w:rPr>
                <w:rFonts w:asciiTheme="minorHAnsi" w:hAnsiTheme="minorHAnsi"/>
                <w:szCs w:val="24"/>
                <w:lang w:val="es-ES_tradnl"/>
              </w:rPr>
              <w:t>Zimbabwe</w:t>
            </w:r>
            <w:proofErr w:type="spellEnd"/>
            <w:r w:rsidRPr="00FD3713">
              <w:rPr>
                <w:rFonts w:asciiTheme="minorHAnsi" w:hAnsiTheme="minorHAnsi"/>
                <w:szCs w:val="24"/>
                <w:lang w:val="es-ES_tradnl"/>
              </w:rPr>
              <w:t xml:space="preserve"> (servicios de telemedicina), etc.</w:t>
            </w:r>
            <w:bookmarkEnd w:id="131"/>
          </w:p>
        </w:tc>
      </w:tr>
      <w:tr w:rsidR="00F45A0D" w:rsidRPr="00FD3713" w:rsidTr="00F45A0D">
        <w:tc>
          <w:tcPr>
            <w:tcW w:w="2921" w:type="dxa"/>
          </w:tcPr>
          <w:p w:rsidR="00F45A0D" w:rsidRPr="00FD3713" w:rsidRDefault="00F45A0D" w:rsidP="00D74E64">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707" w:type="dxa"/>
          </w:tcPr>
          <w:p w:rsidR="00F45A0D" w:rsidRPr="00FD3713" w:rsidRDefault="00F45A0D" w:rsidP="00D74E64">
            <w:pPr>
              <w:spacing w:before="60" w:after="60"/>
              <w:rPr>
                <w:rFonts w:asciiTheme="minorHAnsi" w:hAnsiTheme="minorHAnsi"/>
                <w:szCs w:val="24"/>
                <w:lang w:val="es-ES_tradnl"/>
              </w:rPr>
            </w:pPr>
            <w:bookmarkStart w:id="132" w:name="lt_pId329"/>
            <w:r w:rsidRPr="00FD3713">
              <w:rPr>
                <w:rFonts w:asciiTheme="minorHAnsi" w:hAnsiTheme="minorHAnsi"/>
                <w:szCs w:val="24"/>
                <w:lang w:val="es-ES_tradnl"/>
              </w:rPr>
              <w:t>Resoluciones 1, 5, 30, 54</w:t>
            </w:r>
            <w:bookmarkEnd w:id="132"/>
          </w:p>
        </w:tc>
      </w:tr>
      <w:tr w:rsidR="00F45A0D" w:rsidRPr="008D434B" w:rsidTr="00F45A0D">
        <w:tc>
          <w:tcPr>
            <w:tcW w:w="2921" w:type="dxa"/>
          </w:tcPr>
          <w:p w:rsidR="00F45A0D" w:rsidRPr="00FD3713" w:rsidRDefault="00F45A0D" w:rsidP="00D74E64">
            <w:pPr>
              <w:spacing w:before="60" w:after="60"/>
              <w:rPr>
                <w:i/>
                <w:iCs/>
                <w:szCs w:val="24"/>
                <w:lang w:val="es-ES_tradnl"/>
              </w:rPr>
            </w:pPr>
            <w:r w:rsidRPr="00FD3713">
              <w:rPr>
                <w:rFonts w:asciiTheme="minorHAnsi" w:hAnsiTheme="minorHAnsi"/>
                <w:i/>
                <w:iCs/>
                <w:szCs w:val="24"/>
                <w:lang w:val="es-ES_tradnl"/>
              </w:rPr>
              <w:t>Conferencia de Plenipotenciarios</w:t>
            </w:r>
          </w:p>
        </w:tc>
        <w:tc>
          <w:tcPr>
            <w:tcW w:w="6707" w:type="dxa"/>
          </w:tcPr>
          <w:p w:rsidR="00F45A0D" w:rsidRPr="00FD3713" w:rsidRDefault="00F45A0D" w:rsidP="00D74E64">
            <w:pPr>
              <w:spacing w:before="60" w:after="60"/>
              <w:rPr>
                <w:szCs w:val="24"/>
                <w:lang w:val="es-ES_tradnl"/>
              </w:rPr>
            </w:pPr>
            <w:r w:rsidRPr="00FD3713">
              <w:rPr>
                <w:rFonts w:asciiTheme="minorHAnsi" w:hAnsiTheme="minorHAnsi"/>
                <w:szCs w:val="24"/>
                <w:lang w:val="es-ES_tradnl"/>
              </w:rPr>
              <w:t>Decisiones de la PP: 5 y 13</w:t>
            </w:r>
            <w:r w:rsidRPr="00FD3713">
              <w:rPr>
                <w:rFonts w:asciiTheme="minorHAnsi" w:hAnsiTheme="minorHAnsi"/>
                <w:szCs w:val="24"/>
                <w:lang w:val="es-ES_tradnl"/>
              </w:rPr>
              <w:br/>
              <w:t>Resoluciones de la PP: 25, 71, 72, 139, 140, 183 y 202</w:t>
            </w:r>
          </w:p>
        </w:tc>
      </w:tr>
      <w:tr w:rsidR="00F45A0D" w:rsidRPr="008D434B" w:rsidTr="00F45A0D">
        <w:tc>
          <w:tcPr>
            <w:tcW w:w="2921" w:type="dxa"/>
          </w:tcPr>
          <w:p w:rsidR="00F45A0D" w:rsidRPr="00FD3713" w:rsidRDefault="00F45A0D" w:rsidP="00D74E64">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707" w:type="dxa"/>
          </w:tcPr>
          <w:p w:rsidR="00F45A0D" w:rsidRPr="00FD3713" w:rsidRDefault="00F45A0D" w:rsidP="00D74E64">
            <w:pPr>
              <w:spacing w:before="60" w:after="60"/>
              <w:rPr>
                <w:rFonts w:asciiTheme="minorHAnsi" w:hAnsiTheme="minorHAnsi"/>
                <w:szCs w:val="24"/>
                <w:lang w:val="es-ES_tradnl"/>
              </w:rPr>
            </w:pPr>
            <w:r w:rsidRPr="00FD3713">
              <w:rPr>
                <w:rFonts w:asciiTheme="minorHAnsi" w:hAnsiTheme="minorHAnsi"/>
                <w:szCs w:val="24"/>
                <w:lang w:val="es-ES_tradnl"/>
              </w:rPr>
              <w:t xml:space="preserve">Línea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C7</w:t>
            </w:r>
            <w:proofErr w:type="spellEnd"/>
            <w:r w:rsidRPr="00FD3713">
              <w:rPr>
                <w:rFonts w:asciiTheme="minorHAnsi" w:hAnsiTheme="minorHAnsi"/>
                <w:szCs w:val="24"/>
                <w:lang w:val="es-ES_tradnl"/>
              </w:rPr>
              <w:t xml:space="preserve"> del Plan de Acción de Ginebra</w:t>
            </w:r>
          </w:p>
        </w:tc>
      </w:tr>
      <w:tr w:rsidR="00F45A0D" w:rsidRPr="008D434B" w:rsidTr="00F45A0D">
        <w:tc>
          <w:tcPr>
            <w:tcW w:w="2921" w:type="dxa"/>
          </w:tcPr>
          <w:p w:rsidR="00F45A0D" w:rsidRPr="00FD3713" w:rsidRDefault="00F45A0D" w:rsidP="00D74E64">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Contribución a las metas de los </w:t>
            </w:r>
            <w:proofErr w:type="spellStart"/>
            <w:r w:rsidRPr="00FD3713">
              <w:rPr>
                <w:rFonts w:asciiTheme="minorHAnsi" w:hAnsiTheme="minorHAnsi"/>
                <w:i/>
                <w:iCs/>
                <w:szCs w:val="24"/>
                <w:lang w:val="es-ES_tradnl"/>
              </w:rPr>
              <w:t>ODS</w:t>
            </w:r>
            <w:proofErr w:type="spellEnd"/>
          </w:p>
        </w:tc>
        <w:tc>
          <w:tcPr>
            <w:tcW w:w="6707" w:type="dxa"/>
          </w:tcPr>
          <w:p w:rsidR="00F45A0D" w:rsidRPr="00FD3713" w:rsidRDefault="00F45A0D" w:rsidP="00D74E64">
            <w:pPr>
              <w:spacing w:before="60" w:after="60"/>
              <w:rPr>
                <w:rFonts w:asciiTheme="minorHAnsi" w:hAnsiTheme="minorHAnsi"/>
                <w:szCs w:val="24"/>
                <w:lang w:val="es-ES_tradnl"/>
              </w:rPr>
            </w:pP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2, 3, 4 (metas 4.1, 4.2, 4.3, 4.4,</w:t>
            </w:r>
            <w:r w:rsidR="00D74E64">
              <w:rPr>
                <w:rFonts w:asciiTheme="minorHAnsi" w:hAnsiTheme="minorHAnsi"/>
                <w:szCs w:val="24"/>
                <w:lang w:val="es-ES_tradnl"/>
              </w:rPr>
              <w:t xml:space="preserve"> 4.5, 4.6, 4.7), 6, 7, 8 (metas </w:t>
            </w:r>
            <w:r w:rsidRPr="00FD3713">
              <w:rPr>
                <w:rFonts w:asciiTheme="minorHAnsi" w:hAnsiTheme="minorHAnsi"/>
                <w:szCs w:val="24"/>
                <w:lang w:val="es-ES_tradnl"/>
              </w:rPr>
              <w:t xml:space="preserve">8.1, 8.3, 8.8), 9 (metas 9.1, </w:t>
            </w:r>
            <w:proofErr w:type="spellStart"/>
            <w:r w:rsidRPr="00FD3713">
              <w:rPr>
                <w:rFonts w:asciiTheme="minorHAnsi" w:hAnsiTheme="minorHAnsi"/>
                <w:szCs w:val="24"/>
                <w:lang w:val="es-ES_tradnl"/>
              </w:rPr>
              <w:t>9.b</w:t>
            </w:r>
            <w:proofErr w:type="spellEnd"/>
            <w:r w:rsidRPr="00FD3713">
              <w:rPr>
                <w:rFonts w:asciiTheme="minorHAnsi" w:hAnsiTheme="minorHAnsi"/>
                <w:szCs w:val="24"/>
                <w:lang w:val="es-ES_tradnl"/>
              </w:rPr>
              <w:t>), 11</w:t>
            </w:r>
          </w:p>
        </w:tc>
      </w:tr>
    </w:tbl>
    <w:p w:rsidR="00F45A0D" w:rsidRPr="00FD3713" w:rsidRDefault="00F45A0D" w:rsidP="004E2CDB">
      <w:pPr>
        <w:pStyle w:val="Heading1"/>
        <w:rPr>
          <w:i/>
          <w:iCs/>
          <w:lang w:val="es-ES_tradnl"/>
        </w:rPr>
      </w:pPr>
      <w:r w:rsidRPr="00FD3713">
        <w:rPr>
          <w:lang w:val="es-ES_tradnl"/>
        </w:rPr>
        <w:t>4</w:t>
      </w:r>
      <w:r w:rsidRPr="00FD3713">
        <w:rPr>
          <w:lang w:val="es-ES_tradnl"/>
        </w:rPr>
        <w:tab/>
        <w:t>Objetivo 4:</w:t>
      </w:r>
      <w:r w:rsidRPr="00FD3713">
        <w:rPr>
          <w:i/>
          <w:iCs/>
          <w:lang w:val="es-ES_tradnl"/>
        </w:rPr>
        <w:t xml:space="preserve"> </w:t>
      </w:r>
      <w:r w:rsidR="004E2CDB" w:rsidRPr="00FD3713">
        <w:rPr>
          <w:i/>
          <w:iCs/>
          <w:lang w:val="es-ES_tradnl"/>
        </w:rPr>
        <w:t>"</w:t>
      </w:r>
      <w:r w:rsidRPr="00FD3713">
        <w:rPr>
          <w:i/>
          <w:iCs/>
          <w:lang w:val="es-ES_tradnl"/>
        </w:rPr>
        <w:t>Crear capacidad humana e institucional, facilitar datos y estadísticas, promover la integración digital y proporcionar una asistencia concentrada a países con necesidades especiales</w:t>
      </w:r>
      <w:r w:rsidR="004E2CDB" w:rsidRPr="00FD3713">
        <w:rPr>
          <w:i/>
          <w:iCs/>
          <w:lang w:val="es-ES_tradnl"/>
        </w:rPr>
        <w:t>"</w:t>
      </w:r>
    </w:p>
    <w:p w:rsidR="00F45A0D" w:rsidRPr="00FD3713" w:rsidRDefault="00F45A0D" w:rsidP="00482C61">
      <w:pPr>
        <w:pStyle w:val="Heading2"/>
        <w:spacing w:after="120"/>
        <w:rPr>
          <w:lang w:val="es-ES_tradnl"/>
        </w:rPr>
      </w:pPr>
      <w:r w:rsidRPr="00FD3713">
        <w:rPr>
          <w:lang w:val="es-ES_tradnl"/>
        </w:rPr>
        <w:t>4.1</w:t>
      </w:r>
      <w:r w:rsidRPr="00FD3713">
        <w:rPr>
          <w:lang w:val="es-ES_tradnl"/>
        </w:rPr>
        <w:tab/>
        <w:t xml:space="preserve">Capacitación </w:t>
      </w:r>
    </w:p>
    <w:tbl>
      <w:tblPr>
        <w:tblStyle w:val="TableGrid"/>
        <w:tblW w:w="0" w:type="auto"/>
        <w:tblLook w:val="04A0" w:firstRow="1" w:lastRow="0" w:firstColumn="1" w:lastColumn="0" w:noHBand="0" w:noVBand="1"/>
      </w:tblPr>
      <w:tblGrid>
        <w:gridCol w:w="2830"/>
        <w:gridCol w:w="6798"/>
      </w:tblGrid>
      <w:tr w:rsidR="00F45A0D" w:rsidRPr="008D434B" w:rsidTr="00F45A0D">
        <w:tc>
          <w:tcPr>
            <w:tcW w:w="9628" w:type="dxa"/>
            <w:gridSpan w:val="2"/>
          </w:tcPr>
          <w:p w:rsidR="00F45A0D" w:rsidRPr="00FD3713" w:rsidRDefault="00F45A0D" w:rsidP="00F45A0D">
            <w:pPr>
              <w:rPr>
                <w:rFonts w:asciiTheme="minorHAnsi" w:eastAsia="PMingLiU-ExtB" w:hAnsiTheme="minorHAnsi"/>
                <w:szCs w:val="24"/>
                <w:lang w:val="es-ES_tradnl"/>
              </w:rPr>
            </w:pPr>
            <w:bookmarkStart w:id="133" w:name="lt_pId343"/>
            <w:r w:rsidRPr="00FD3713">
              <w:rPr>
                <w:rFonts w:asciiTheme="minorHAnsi" w:eastAsia="PMingLiU-ExtB" w:hAnsiTheme="minorHAnsi"/>
                <w:szCs w:val="24"/>
                <w:lang w:val="es-ES_tradnl"/>
              </w:rPr>
              <w:t xml:space="preserve">En 2017 la </w:t>
            </w:r>
            <w:proofErr w:type="spellStart"/>
            <w:r w:rsidRPr="00FD3713">
              <w:rPr>
                <w:rFonts w:asciiTheme="minorHAnsi" w:eastAsia="PMingLiU-ExtB" w:hAnsiTheme="minorHAnsi"/>
                <w:szCs w:val="24"/>
                <w:lang w:val="es-ES_tradnl"/>
              </w:rPr>
              <w:t>BDT</w:t>
            </w:r>
            <w:proofErr w:type="spellEnd"/>
            <w:r w:rsidRPr="00FD3713">
              <w:rPr>
                <w:rFonts w:asciiTheme="minorHAnsi" w:eastAsia="PMingLiU-ExtB" w:hAnsiTheme="minorHAnsi"/>
                <w:szCs w:val="24"/>
                <w:lang w:val="es-ES_tradnl"/>
              </w:rPr>
              <w:t xml:space="preserve"> siguió elaborando políticas, estrategias y directrices de capacitación, que facilitó a los Miembros de la </w:t>
            </w:r>
            <w:proofErr w:type="spellStart"/>
            <w:r w:rsidRPr="00FD3713">
              <w:rPr>
                <w:rFonts w:asciiTheme="minorHAnsi" w:eastAsia="PMingLiU-ExtB" w:hAnsiTheme="minorHAnsi"/>
                <w:szCs w:val="24"/>
                <w:lang w:val="es-ES_tradnl"/>
              </w:rPr>
              <w:t>UIT</w:t>
            </w:r>
            <w:proofErr w:type="spellEnd"/>
            <w:r w:rsidRPr="00FD3713">
              <w:rPr>
                <w:rFonts w:asciiTheme="minorHAnsi" w:eastAsia="PMingLiU-ExtB" w:hAnsiTheme="minorHAnsi"/>
                <w:szCs w:val="24"/>
                <w:lang w:val="es-ES_tradnl"/>
              </w:rPr>
              <w:t xml:space="preserve"> para ayudarlos a mejorar y aumentar sus capacidades humanas e institucionales y crear programas nacionales. Entre otras, se llevaron a cabo con éxito las siguientes actividades logrando los resultados previstos</w:t>
            </w:r>
            <w:bookmarkStart w:id="134" w:name="lt_pId344"/>
            <w:bookmarkEnd w:id="133"/>
            <w:r w:rsidRPr="00FD3713">
              <w:rPr>
                <w:rFonts w:asciiTheme="minorHAnsi" w:eastAsia="PMingLiU-ExtB" w:hAnsiTheme="minorHAnsi"/>
                <w:szCs w:val="24"/>
                <w:lang w:val="es-ES_tradnl"/>
              </w:rPr>
              <w:t>:</w:t>
            </w:r>
            <w:bookmarkEnd w:id="134"/>
          </w:p>
          <w:p w:rsidR="00F45A0D" w:rsidRPr="00FD3713" w:rsidRDefault="008C3301" w:rsidP="008C3301">
            <w:pPr>
              <w:pStyle w:val="enumlev1"/>
              <w:rPr>
                <w:rFonts w:asciiTheme="minorHAnsi" w:hAnsiTheme="minorHAnsi"/>
                <w:szCs w:val="24"/>
                <w:lang w:val="es-ES_tradnl"/>
              </w:rPr>
            </w:pPr>
            <w:bookmarkStart w:id="135" w:name="lt_pId345"/>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 xml:space="preserve">En el marco de la red de Centros de Excelencia de la Academia </w:t>
            </w:r>
            <w:proofErr w:type="spellStart"/>
            <w:r w:rsidR="00F45A0D" w:rsidRPr="00FD3713">
              <w:rPr>
                <w:rFonts w:asciiTheme="minorHAnsi" w:hAnsiTheme="minorHAnsi"/>
                <w:szCs w:val="24"/>
                <w:lang w:val="es-ES_tradnl"/>
              </w:rPr>
              <w:t>UIT</w:t>
            </w:r>
            <w:proofErr w:type="spellEnd"/>
            <w:r w:rsidR="00F45A0D" w:rsidRPr="00FD3713">
              <w:rPr>
                <w:rFonts w:asciiTheme="minorHAnsi" w:hAnsiTheme="minorHAnsi"/>
                <w:szCs w:val="24"/>
                <w:lang w:val="es-ES_tradnl"/>
              </w:rPr>
              <w:t>, se impartieron entre enero y diciembre de 2017 64 cursos de formación a 1 551 participantes de todo el mundo.</w:t>
            </w:r>
            <w:bookmarkEnd w:id="135"/>
          </w:p>
          <w:p w:rsidR="00F45A0D" w:rsidRPr="00FD3713" w:rsidRDefault="008C3301" w:rsidP="004E2CDB">
            <w:pPr>
              <w:pStyle w:val="enumlev1"/>
              <w:rPr>
                <w:rFonts w:asciiTheme="minorHAnsi" w:hAnsiTheme="minorHAnsi"/>
                <w:szCs w:val="24"/>
                <w:lang w:val="es-ES_tradnl"/>
              </w:rPr>
            </w:pPr>
            <w:bookmarkStart w:id="136" w:name="lt_pId346"/>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 xml:space="preserve">Publicación </w:t>
            </w:r>
            <w:r w:rsidR="004E2CDB" w:rsidRPr="00FD3713">
              <w:rPr>
                <w:rFonts w:asciiTheme="minorHAnsi" w:hAnsiTheme="minorHAnsi"/>
                <w:szCs w:val="24"/>
                <w:lang w:val="es-ES_tradnl"/>
              </w:rPr>
              <w:t>"</w:t>
            </w:r>
            <w:r w:rsidR="00F45A0D" w:rsidRPr="00FD3713">
              <w:rPr>
                <w:rFonts w:asciiTheme="minorHAnsi" w:hAnsiTheme="minorHAnsi"/>
                <w:szCs w:val="24"/>
                <w:lang w:val="es-ES_tradnl"/>
              </w:rPr>
              <w:t>Capacitación en un entorno de TIC en evolución</w:t>
            </w:r>
            <w:r w:rsidR="004E2CDB" w:rsidRPr="00FD3713">
              <w:rPr>
                <w:rFonts w:asciiTheme="minorHAnsi" w:hAnsiTheme="minorHAnsi"/>
                <w:szCs w:val="24"/>
                <w:lang w:val="es-ES_tradnl"/>
              </w:rPr>
              <w:t>"</w:t>
            </w:r>
            <w:r w:rsidR="00F45A0D" w:rsidRPr="00FD3713">
              <w:rPr>
                <w:rFonts w:asciiTheme="minorHAnsi" w:hAnsiTheme="minorHAnsi"/>
                <w:szCs w:val="24"/>
                <w:lang w:val="es-ES_tradnl"/>
              </w:rPr>
              <w:t>.</w:t>
            </w:r>
            <w:bookmarkEnd w:id="136"/>
          </w:p>
          <w:p w:rsidR="00F45A0D" w:rsidRPr="00FD3713" w:rsidRDefault="008C3301" w:rsidP="008C3301">
            <w:pPr>
              <w:pStyle w:val="enumlev1"/>
              <w:rPr>
                <w:rFonts w:asciiTheme="minorHAnsi" w:hAnsiTheme="minorHAnsi"/>
                <w:szCs w:val="24"/>
                <w:lang w:val="es-ES_tradnl"/>
              </w:rPr>
            </w:pPr>
            <w:bookmarkStart w:id="137" w:name="lt_pId347"/>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Se finalizó el Informe sobre desarrollo de la capacitación en gobernanza de Internet.</w:t>
            </w:r>
            <w:bookmarkEnd w:id="137"/>
          </w:p>
          <w:p w:rsidR="00F45A0D" w:rsidRPr="00FD3713" w:rsidRDefault="008C3301" w:rsidP="008C3301">
            <w:pPr>
              <w:pStyle w:val="enumlev1"/>
              <w:rPr>
                <w:rFonts w:asciiTheme="minorHAnsi" w:hAnsiTheme="minorHAnsi"/>
                <w:szCs w:val="24"/>
                <w:lang w:val="es-ES_tradnl"/>
              </w:rPr>
            </w:pPr>
            <w:bookmarkStart w:id="138" w:name="lt_pId348"/>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Se finalizaron los materiales docentes para el Programa de formación sobre las TIC y el cambio climático.</w:t>
            </w:r>
            <w:bookmarkEnd w:id="138"/>
          </w:p>
          <w:p w:rsidR="00F45A0D" w:rsidRPr="00FD3713" w:rsidRDefault="008C3301" w:rsidP="008C3301">
            <w:pPr>
              <w:pStyle w:val="enumlev1"/>
              <w:rPr>
                <w:rFonts w:asciiTheme="minorHAnsi" w:hAnsiTheme="minorHAnsi"/>
                <w:szCs w:val="24"/>
                <w:lang w:val="es-ES_tradnl"/>
              </w:rPr>
            </w:pPr>
            <w:bookmarkStart w:id="139" w:name="lt_pId349"/>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Se completó el Informe sobre el desarrollo del programa de formación sobre Internet de las cosas (</w:t>
            </w:r>
            <w:proofErr w:type="spellStart"/>
            <w:r w:rsidR="00F45A0D" w:rsidRPr="00FD3713">
              <w:rPr>
                <w:rFonts w:asciiTheme="minorHAnsi" w:hAnsiTheme="minorHAnsi"/>
                <w:szCs w:val="24"/>
                <w:lang w:val="es-ES_tradnl"/>
              </w:rPr>
              <w:t>IoT</w:t>
            </w:r>
            <w:proofErr w:type="spellEnd"/>
            <w:r w:rsidR="00F45A0D" w:rsidRPr="00FD3713">
              <w:rPr>
                <w:rFonts w:asciiTheme="minorHAnsi" w:hAnsiTheme="minorHAnsi"/>
                <w:szCs w:val="24"/>
                <w:lang w:val="es-ES_tradnl"/>
              </w:rPr>
              <w:t>). El programa contará con un total de 15 módulos (8 de nivel básico y 7 de nivel avanzado). Se ha iniciado la contratación de expertos para la preparación de módulos individuales, que se prevé estén listos a finales de abril de</w:t>
            </w:r>
            <w:bookmarkStart w:id="140" w:name="lt_pId352"/>
            <w:bookmarkEnd w:id="139"/>
            <w:r w:rsidR="00F45A0D" w:rsidRPr="00FD3713">
              <w:rPr>
                <w:rFonts w:asciiTheme="minorHAnsi" w:hAnsiTheme="minorHAnsi"/>
                <w:szCs w:val="24"/>
                <w:lang w:val="es-ES_tradnl"/>
              </w:rPr>
              <w:t xml:space="preserve"> 2018.</w:t>
            </w:r>
            <w:bookmarkEnd w:id="140"/>
          </w:p>
          <w:p w:rsidR="00F45A0D" w:rsidRPr="00FD3713" w:rsidRDefault="008C3301" w:rsidP="00F60552">
            <w:pPr>
              <w:pStyle w:val="enumlev1"/>
              <w:rPr>
                <w:rFonts w:asciiTheme="minorHAnsi" w:hAnsiTheme="minorHAnsi"/>
                <w:szCs w:val="24"/>
                <w:lang w:val="es-ES_tradnl"/>
              </w:rPr>
            </w:pPr>
            <w:bookmarkStart w:id="141" w:name="lt_pId353"/>
            <w:r w:rsidRPr="00FD3713">
              <w:rPr>
                <w:rFonts w:asciiTheme="minorHAnsi" w:hAnsiTheme="minorHAnsi"/>
                <w:szCs w:val="24"/>
                <w:lang w:val="es-ES_tradnl"/>
              </w:rPr>
              <w:lastRenderedPageBreak/>
              <w:t>–</w:t>
            </w:r>
            <w:r w:rsidRPr="00FD3713">
              <w:rPr>
                <w:rFonts w:asciiTheme="minorHAnsi" w:hAnsiTheme="minorHAnsi"/>
                <w:szCs w:val="24"/>
                <w:lang w:val="es-ES_tradnl"/>
              </w:rPr>
              <w:tab/>
            </w:r>
            <w:r w:rsidR="00F45A0D" w:rsidRPr="00FD3713">
              <w:rPr>
                <w:rFonts w:asciiTheme="minorHAnsi" w:hAnsiTheme="minorHAnsi"/>
                <w:szCs w:val="24"/>
                <w:lang w:val="es-ES_tradnl"/>
              </w:rPr>
              <w:t>El Programa de formación en gestión del espectro (</w:t>
            </w:r>
            <w:proofErr w:type="spellStart"/>
            <w:r w:rsidR="00F45A0D" w:rsidRPr="00FD3713">
              <w:rPr>
                <w:rFonts w:asciiTheme="minorHAnsi" w:hAnsiTheme="minorHAnsi"/>
                <w:szCs w:val="24"/>
                <w:lang w:val="es-ES_tradnl"/>
              </w:rPr>
              <w:t>SMTP</w:t>
            </w:r>
            <w:proofErr w:type="spellEnd"/>
            <w:r w:rsidR="00F45A0D" w:rsidRPr="00FD3713">
              <w:rPr>
                <w:rFonts w:asciiTheme="minorHAnsi" w:hAnsiTheme="minorHAnsi"/>
                <w:szCs w:val="24"/>
                <w:lang w:val="es-ES_tradnl"/>
              </w:rPr>
              <w:t>) se sometió a un examen complet</w:t>
            </w:r>
            <w:r w:rsidR="00F60552">
              <w:rPr>
                <w:rFonts w:asciiTheme="minorHAnsi" w:hAnsiTheme="minorHAnsi"/>
                <w:szCs w:val="24"/>
                <w:lang w:val="es-ES_tradnl"/>
              </w:rPr>
              <w:t>o</w:t>
            </w:r>
            <w:r w:rsidR="00F45A0D" w:rsidRPr="00FD3713">
              <w:rPr>
                <w:rFonts w:asciiTheme="minorHAnsi" w:hAnsiTheme="minorHAnsi"/>
                <w:szCs w:val="24"/>
                <w:lang w:val="es-ES_tradnl"/>
              </w:rPr>
              <w:t xml:space="preserve"> y se actualizó para garantizar que los materiales contienen las últimas novedades en este campo.</w:t>
            </w:r>
            <w:bookmarkEnd w:id="141"/>
          </w:p>
          <w:p w:rsidR="00F45A0D" w:rsidRPr="00FD3713" w:rsidRDefault="008C3301" w:rsidP="008C3301">
            <w:pPr>
              <w:pStyle w:val="enumlev1"/>
              <w:rPr>
                <w:rFonts w:asciiTheme="minorHAnsi" w:hAnsiTheme="minorHAnsi"/>
                <w:szCs w:val="24"/>
                <w:lang w:val="es-ES_tradnl"/>
              </w:rPr>
            </w:pPr>
            <w:bookmarkStart w:id="142" w:name="lt_pId354"/>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 xml:space="preserve">En la región Asia-Pacífico se impartieron siete formaciones de Centros de Excelencia de la </w:t>
            </w:r>
            <w:proofErr w:type="spellStart"/>
            <w:r w:rsidR="00F45A0D" w:rsidRPr="00FD3713">
              <w:rPr>
                <w:rFonts w:asciiTheme="minorHAnsi" w:hAnsiTheme="minorHAnsi"/>
                <w:szCs w:val="24"/>
                <w:lang w:val="es-ES_tradnl"/>
              </w:rPr>
              <w:t>UIT</w:t>
            </w:r>
            <w:proofErr w:type="spellEnd"/>
            <w:r w:rsidR="00F45A0D" w:rsidRPr="00FD3713">
              <w:rPr>
                <w:rFonts w:asciiTheme="minorHAnsi" w:hAnsiTheme="minorHAnsi"/>
                <w:szCs w:val="24"/>
                <w:lang w:val="es-ES_tradnl"/>
              </w:rPr>
              <w:t xml:space="preserve"> sobre gestión del espectro, seguridad de Internet y la infraestructura </w:t>
            </w:r>
            <w:proofErr w:type="spellStart"/>
            <w:r w:rsidR="00F45A0D" w:rsidRPr="00FD3713">
              <w:rPr>
                <w:rFonts w:asciiTheme="minorHAnsi" w:hAnsiTheme="minorHAnsi"/>
                <w:szCs w:val="24"/>
                <w:lang w:val="es-ES_tradnl"/>
              </w:rPr>
              <w:t>IPv6</w:t>
            </w:r>
            <w:proofErr w:type="spellEnd"/>
            <w:r w:rsidR="00F45A0D" w:rsidRPr="00FD3713">
              <w:rPr>
                <w:rFonts w:asciiTheme="minorHAnsi" w:hAnsiTheme="minorHAnsi"/>
                <w:szCs w:val="24"/>
                <w:lang w:val="es-ES_tradnl"/>
              </w:rPr>
              <w:t>, conformidad e interoperabilidad (</w:t>
            </w:r>
            <w:proofErr w:type="spellStart"/>
            <w:r w:rsidR="00F45A0D" w:rsidRPr="00FD3713">
              <w:rPr>
                <w:rFonts w:asciiTheme="minorHAnsi" w:hAnsiTheme="minorHAnsi"/>
                <w:szCs w:val="24"/>
                <w:lang w:val="es-ES_tradnl"/>
              </w:rPr>
              <w:t>C+I</w:t>
            </w:r>
            <w:proofErr w:type="spellEnd"/>
            <w:r w:rsidR="00F45A0D" w:rsidRPr="00FD3713">
              <w:rPr>
                <w:rFonts w:asciiTheme="minorHAnsi" w:hAnsiTheme="minorHAnsi"/>
                <w:szCs w:val="24"/>
                <w:lang w:val="es-ES_tradnl"/>
              </w:rPr>
              <w:t xml:space="preserve">) para </w:t>
            </w:r>
            <w:proofErr w:type="spellStart"/>
            <w:r w:rsidR="00F45A0D" w:rsidRPr="00FD3713">
              <w:rPr>
                <w:rFonts w:asciiTheme="minorHAnsi" w:hAnsiTheme="minorHAnsi"/>
                <w:szCs w:val="24"/>
                <w:lang w:val="es-ES_tradnl"/>
              </w:rPr>
              <w:t>4G</w:t>
            </w:r>
            <w:proofErr w:type="spellEnd"/>
            <w:r w:rsidR="00F45A0D" w:rsidRPr="00FD3713">
              <w:rPr>
                <w:rFonts w:asciiTheme="minorHAnsi" w:hAnsiTheme="minorHAnsi"/>
                <w:szCs w:val="24"/>
                <w:lang w:val="es-ES_tradnl"/>
              </w:rPr>
              <w:t xml:space="preserve"> </w:t>
            </w:r>
            <w:proofErr w:type="spellStart"/>
            <w:r w:rsidR="00F45A0D" w:rsidRPr="00FD3713">
              <w:rPr>
                <w:rFonts w:asciiTheme="minorHAnsi" w:hAnsiTheme="minorHAnsi"/>
                <w:szCs w:val="24"/>
                <w:lang w:val="es-ES_tradnl"/>
              </w:rPr>
              <w:t>LTE</w:t>
            </w:r>
            <w:proofErr w:type="spellEnd"/>
            <w:r w:rsidR="00F45A0D" w:rsidRPr="00FD3713">
              <w:rPr>
                <w:rFonts w:asciiTheme="minorHAnsi" w:hAnsiTheme="minorHAnsi"/>
                <w:szCs w:val="24"/>
                <w:lang w:val="es-ES_tradnl"/>
              </w:rPr>
              <w:t xml:space="preserve">, tecnología </w:t>
            </w:r>
            <w:proofErr w:type="spellStart"/>
            <w:r w:rsidR="00F45A0D" w:rsidRPr="00FD3713">
              <w:rPr>
                <w:rFonts w:asciiTheme="minorHAnsi" w:hAnsiTheme="minorHAnsi"/>
                <w:szCs w:val="24"/>
                <w:lang w:val="es-ES_tradnl"/>
              </w:rPr>
              <w:t>IoT</w:t>
            </w:r>
            <w:proofErr w:type="spellEnd"/>
            <w:r w:rsidR="00F45A0D" w:rsidRPr="00FD3713">
              <w:rPr>
                <w:rFonts w:asciiTheme="minorHAnsi" w:hAnsiTheme="minorHAnsi"/>
                <w:szCs w:val="24"/>
                <w:lang w:val="es-ES_tradnl"/>
              </w:rPr>
              <w:t xml:space="preserve">, normas y planificación, mecanismos reglamentarios </w:t>
            </w:r>
            <w:proofErr w:type="spellStart"/>
            <w:r w:rsidR="00F45A0D" w:rsidRPr="00FD3713">
              <w:rPr>
                <w:rFonts w:asciiTheme="minorHAnsi" w:hAnsiTheme="minorHAnsi"/>
                <w:szCs w:val="24"/>
                <w:lang w:val="es-ES_tradnl"/>
              </w:rPr>
              <w:t>transectoriales</w:t>
            </w:r>
            <w:proofErr w:type="spellEnd"/>
            <w:r w:rsidR="00F45A0D" w:rsidRPr="00FD3713">
              <w:rPr>
                <w:rFonts w:asciiTheme="minorHAnsi" w:hAnsiTheme="minorHAnsi"/>
                <w:szCs w:val="24"/>
                <w:lang w:val="es-ES_tradnl"/>
              </w:rPr>
              <w:t xml:space="preserve"> colaborativos y análisis competitivo en la economía digital, ingeniería del espectro y coordinación transfronteriza de radiofrecuencias, planificación de redes móviles de banda ancha y de Internet de las cosas (detallado en otras secciones).</w:t>
            </w:r>
            <w:bookmarkEnd w:id="142"/>
          </w:p>
          <w:p w:rsidR="00F45A0D" w:rsidRPr="00FD3713" w:rsidRDefault="00F45A0D" w:rsidP="00F45A0D">
            <w:pPr>
              <w:rPr>
                <w:rFonts w:asciiTheme="minorHAnsi" w:eastAsia="PMingLiU-ExtB" w:hAnsiTheme="minorHAnsi"/>
                <w:szCs w:val="24"/>
                <w:lang w:val="es-ES_tradnl"/>
              </w:rPr>
            </w:pPr>
            <w:r w:rsidRPr="00D8378B">
              <w:rPr>
                <w:rFonts w:asciiTheme="minorHAnsi" w:eastAsia="PMingLiU-ExtB" w:hAnsiTheme="minorHAnsi"/>
                <w:szCs w:val="24"/>
                <w:lang w:val="es-ES_tradnl"/>
              </w:rPr>
              <w:t xml:space="preserve">Las actividades de este Producto han contribuido a incrementar la cooperación entre la </w:t>
            </w:r>
            <w:proofErr w:type="spellStart"/>
            <w:r w:rsidRPr="00D8378B">
              <w:rPr>
                <w:rFonts w:asciiTheme="minorHAnsi" w:eastAsia="PMingLiU-ExtB" w:hAnsiTheme="minorHAnsi"/>
                <w:szCs w:val="24"/>
                <w:lang w:val="es-ES_tradnl"/>
              </w:rPr>
              <w:t>UIT</w:t>
            </w:r>
            <w:proofErr w:type="spellEnd"/>
            <w:r w:rsidRPr="00D8378B">
              <w:rPr>
                <w:rFonts w:asciiTheme="minorHAnsi" w:eastAsia="PMingLiU-ExtB" w:hAnsiTheme="minorHAnsi"/>
                <w:szCs w:val="24"/>
                <w:lang w:val="es-ES_tradnl"/>
              </w:rPr>
              <w:t xml:space="preserve"> y los socios relevantes en el campo de la capacitación</w:t>
            </w:r>
            <w:r w:rsidRPr="00FD3713">
              <w:rPr>
                <w:rFonts w:asciiTheme="minorHAnsi" w:eastAsia="PMingLiU-ExtB" w:hAnsiTheme="minorHAnsi"/>
                <w:szCs w:val="24"/>
                <w:lang w:val="es-ES_tradnl"/>
              </w:rPr>
              <w:t xml:space="preserve">. </w:t>
            </w:r>
            <w:bookmarkStart w:id="143" w:name="lt_pId356"/>
            <w:r w:rsidRPr="00FD3713">
              <w:rPr>
                <w:rFonts w:asciiTheme="minorHAnsi" w:eastAsia="PMingLiU-ExtB" w:hAnsiTheme="minorHAnsi"/>
                <w:szCs w:val="24"/>
                <w:lang w:val="es-ES_tradnl"/>
              </w:rPr>
              <w:t>Se firm</w:t>
            </w:r>
            <w:r w:rsidR="00D8378B">
              <w:rPr>
                <w:rFonts w:asciiTheme="minorHAnsi" w:eastAsia="PMingLiU-ExtB" w:hAnsiTheme="minorHAnsi"/>
                <w:szCs w:val="24"/>
                <w:lang w:val="es-ES_tradnl"/>
              </w:rPr>
              <w:t>ó un acuerdo de cooperación con </w:t>
            </w:r>
            <w:proofErr w:type="spellStart"/>
            <w:r w:rsidRPr="00FD3713">
              <w:rPr>
                <w:rFonts w:asciiTheme="minorHAnsi" w:eastAsia="PMingLiU-ExtB" w:hAnsiTheme="minorHAnsi"/>
                <w:szCs w:val="24"/>
                <w:lang w:val="es-ES_tradnl"/>
              </w:rPr>
              <w:t>ARCTEL</w:t>
            </w:r>
            <w:proofErr w:type="spellEnd"/>
            <w:r w:rsidRPr="00FD3713">
              <w:rPr>
                <w:rFonts w:asciiTheme="minorHAnsi" w:eastAsia="PMingLiU-ExtB" w:hAnsiTheme="minorHAnsi"/>
                <w:szCs w:val="24"/>
                <w:lang w:val="es-ES_tradnl"/>
              </w:rPr>
              <w:t xml:space="preserve"> para la implementación conjunta de un curso acelerado de gestión para ejecutivos de telecomunicaciones, cuyo objetivo es ofrecer a los gestores del sector de las telecomunicaciones una formación certificada y de alta calidad. Se organizaron con distintos socios eventos regionales entre los que cabe citar los siguientes</w:t>
            </w:r>
            <w:bookmarkStart w:id="144" w:name="lt_pId358"/>
            <w:bookmarkEnd w:id="143"/>
            <w:r w:rsidRPr="00FD3713">
              <w:rPr>
                <w:rFonts w:asciiTheme="minorHAnsi" w:eastAsia="PMingLiU-ExtB" w:hAnsiTheme="minorHAnsi"/>
                <w:szCs w:val="24"/>
                <w:lang w:val="es-ES_tradnl"/>
              </w:rPr>
              <w:t>:</w:t>
            </w:r>
            <w:bookmarkEnd w:id="144"/>
          </w:p>
          <w:p w:rsidR="00F45A0D" w:rsidRPr="00FD3713" w:rsidRDefault="00A9568F" w:rsidP="00A9568F">
            <w:pPr>
              <w:pStyle w:val="enumlev1"/>
              <w:rPr>
                <w:rFonts w:asciiTheme="minorHAnsi" w:hAnsiTheme="minorHAnsi"/>
                <w:szCs w:val="24"/>
                <w:lang w:val="es-ES_tradnl"/>
              </w:rPr>
            </w:pPr>
            <w:bookmarkStart w:id="145" w:name="lt_pId359"/>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Se organizaron Talleres</w:t>
            </w:r>
            <w:r w:rsidRPr="00FD3713">
              <w:rPr>
                <w:rFonts w:asciiTheme="minorHAnsi" w:hAnsiTheme="minorHAnsi"/>
                <w:szCs w:val="24"/>
                <w:lang w:val="es-ES_tradnl"/>
              </w:rPr>
              <w:t xml:space="preserve"> regionales de formación sobre "</w:t>
            </w:r>
            <w:r w:rsidR="00F45A0D" w:rsidRPr="00FD3713">
              <w:rPr>
                <w:rFonts w:asciiTheme="minorHAnsi" w:hAnsiTheme="minorHAnsi"/>
                <w:szCs w:val="24"/>
                <w:lang w:val="es-ES_tradnl"/>
              </w:rPr>
              <w:t>Comunicaciones por satélite</w:t>
            </w:r>
            <w:r w:rsidRPr="00FD3713">
              <w:rPr>
                <w:rFonts w:asciiTheme="minorHAnsi" w:hAnsiTheme="minorHAnsi"/>
                <w:szCs w:val="24"/>
                <w:lang w:val="es-ES_tradnl"/>
              </w:rPr>
              <w:t>"</w:t>
            </w:r>
            <w:r w:rsidR="00F45A0D" w:rsidRPr="00FD3713">
              <w:rPr>
                <w:rFonts w:asciiTheme="minorHAnsi" w:hAnsiTheme="minorHAnsi"/>
                <w:szCs w:val="24"/>
                <w:lang w:val="es-ES_tradnl"/>
              </w:rPr>
              <w:t xml:space="preserve"> en África, la región Árabe y el Caribe. Estos talleres se organizaron en el marco del acuerdo de asociación con la Organización Internacional de Telecomunicaciones por Satélite</w:t>
            </w:r>
            <w:bookmarkStart w:id="146" w:name="lt_pId360"/>
            <w:bookmarkEnd w:id="145"/>
            <w:r w:rsidR="00D8378B">
              <w:rPr>
                <w:rFonts w:asciiTheme="minorHAnsi" w:hAnsiTheme="minorHAnsi"/>
                <w:szCs w:val="24"/>
                <w:lang w:val="es-ES_tradnl"/>
              </w:rPr>
              <w:t> </w:t>
            </w:r>
            <w:r w:rsidR="00F45A0D" w:rsidRPr="00FD3713">
              <w:rPr>
                <w:rFonts w:asciiTheme="minorHAnsi" w:hAnsiTheme="minorHAnsi"/>
                <w:szCs w:val="24"/>
                <w:lang w:val="es-ES_tradnl"/>
              </w:rPr>
              <w:t>(</w:t>
            </w:r>
            <w:proofErr w:type="spellStart"/>
            <w:r w:rsidR="00F45A0D" w:rsidRPr="00FD3713">
              <w:rPr>
                <w:rFonts w:asciiTheme="minorHAnsi" w:hAnsiTheme="minorHAnsi"/>
                <w:szCs w:val="24"/>
                <w:lang w:val="es-ES_tradnl"/>
              </w:rPr>
              <w:t>ITSO</w:t>
            </w:r>
            <w:proofErr w:type="spellEnd"/>
            <w:r w:rsidR="00F45A0D" w:rsidRPr="00FD3713">
              <w:rPr>
                <w:rFonts w:asciiTheme="minorHAnsi" w:hAnsiTheme="minorHAnsi"/>
                <w:szCs w:val="24"/>
                <w:lang w:val="es-ES_tradnl"/>
              </w:rPr>
              <w:t>).</w:t>
            </w:r>
            <w:bookmarkEnd w:id="146"/>
          </w:p>
          <w:p w:rsidR="00F45A0D" w:rsidRPr="00FD3713" w:rsidRDefault="00A9568F" w:rsidP="00D8378B">
            <w:pPr>
              <w:pStyle w:val="enumlev1"/>
              <w:rPr>
                <w:rFonts w:asciiTheme="minorHAnsi" w:eastAsia="PMingLiU-ExtB" w:hAnsiTheme="minorHAnsi"/>
                <w:szCs w:val="24"/>
                <w:lang w:val="es-ES_tradnl"/>
              </w:rPr>
            </w:pPr>
            <w:bookmarkStart w:id="147" w:name="lt_pId361"/>
            <w:r w:rsidRPr="00FD3713">
              <w:rPr>
                <w:rFonts w:asciiTheme="minorHAnsi" w:hAnsiTheme="minorHAnsi"/>
                <w:szCs w:val="24"/>
                <w:lang w:val="es-ES_tradnl"/>
              </w:rPr>
              <w:t>–</w:t>
            </w:r>
            <w:r w:rsidRPr="00FD3713">
              <w:rPr>
                <w:rFonts w:asciiTheme="minorHAnsi" w:hAnsiTheme="minorHAnsi"/>
                <w:szCs w:val="24"/>
                <w:lang w:val="es-ES_tradnl"/>
              </w:rPr>
              <w:tab/>
            </w:r>
            <w:r w:rsidR="00F45A0D" w:rsidRPr="00D8378B">
              <w:rPr>
                <w:rFonts w:asciiTheme="minorHAnsi" w:eastAsia="PMingLiU-ExtB" w:hAnsiTheme="minorHAnsi"/>
                <w:szCs w:val="24"/>
                <w:lang w:val="es-ES_tradnl"/>
              </w:rPr>
              <w:t xml:space="preserve">Se organizó un </w:t>
            </w:r>
            <w:r w:rsidR="00F45A0D" w:rsidRPr="00D8378B">
              <w:rPr>
                <w:rFonts w:ascii="Calibri" w:hAnsi="Calibri" w:cs="Calibri Light"/>
                <w:color w:val="000000"/>
                <w:szCs w:val="24"/>
                <w:lang w:val="es-ES_tradnl"/>
              </w:rPr>
              <w:t xml:space="preserve">curso regional de Fundamentos de la Fibra y las Redes Ópticas en Túnez en cooperación con </w:t>
            </w:r>
            <w:proofErr w:type="spellStart"/>
            <w:r w:rsidR="00F45A0D" w:rsidRPr="00D8378B">
              <w:rPr>
                <w:rFonts w:ascii="Calibri" w:hAnsi="Calibri" w:cs="Calibri Light"/>
                <w:color w:val="000000"/>
                <w:szCs w:val="24"/>
                <w:lang w:val="es-ES_tradnl"/>
              </w:rPr>
              <w:t>CIFODECOM</w:t>
            </w:r>
            <w:bookmarkEnd w:id="147"/>
            <w:proofErr w:type="spellEnd"/>
            <w:r w:rsidR="00F45A0D" w:rsidRPr="00D8378B">
              <w:rPr>
                <w:rFonts w:ascii="Calibri" w:hAnsi="Calibri" w:cs="Calibri Light"/>
                <w:color w:val="000000"/>
                <w:szCs w:val="24"/>
                <w:lang w:val="es-ES_tradnl"/>
              </w:rPr>
              <w:t>.</w:t>
            </w:r>
          </w:p>
          <w:p w:rsidR="00F45A0D" w:rsidRPr="00FD3713" w:rsidRDefault="00A9568F" w:rsidP="004E2CDB">
            <w:pPr>
              <w:pStyle w:val="enumlev1"/>
              <w:rPr>
                <w:rFonts w:asciiTheme="minorHAnsi" w:eastAsia="PMingLiU-ExtB" w:hAnsiTheme="minorHAnsi"/>
                <w:szCs w:val="24"/>
                <w:lang w:val="es-ES_tradnl"/>
              </w:rPr>
            </w:pPr>
            <w:bookmarkStart w:id="148" w:name="lt_pId362"/>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szCs w:val="24"/>
                <w:lang w:val="es-ES_tradnl"/>
              </w:rPr>
              <w:t>En</w:t>
            </w:r>
            <w:r w:rsidR="00F45A0D" w:rsidRPr="00FD3713">
              <w:rPr>
                <w:rFonts w:asciiTheme="minorHAnsi" w:eastAsia="PMingLiU-ExtB" w:hAnsiTheme="minorHAnsi"/>
                <w:szCs w:val="24"/>
                <w:lang w:val="es-ES_tradnl"/>
              </w:rPr>
              <w:t xml:space="preserve"> asociación con la </w:t>
            </w:r>
            <w:proofErr w:type="spellStart"/>
            <w:r w:rsidR="00F45A0D" w:rsidRPr="00FD3713">
              <w:rPr>
                <w:rFonts w:asciiTheme="minorHAnsi" w:eastAsia="PMingLiU-ExtB" w:hAnsiTheme="minorHAnsi"/>
                <w:szCs w:val="24"/>
                <w:lang w:val="es-ES_tradnl"/>
              </w:rPr>
              <w:t>Telecomunidad</w:t>
            </w:r>
            <w:proofErr w:type="spellEnd"/>
            <w:r w:rsidR="00F45A0D" w:rsidRPr="00FD3713">
              <w:rPr>
                <w:rFonts w:asciiTheme="minorHAnsi" w:eastAsia="PMingLiU-ExtB" w:hAnsiTheme="minorHAnsi"/>
                <w:szCs w:val="24"/>
                <w:lang w:val="es-ES_tradnl"/>
              </w:rPr>
              <w:t xml:space="preserve"> Asia-Pacífico (</w:t>
            </w:r>
            <w:proofErr w:type="spellStart"/>
            <w:r w:rsidR="00F45A0D" w:rsidRPr="00FD3713">
              <w:rPr>
                <w:rFonts w:asciiTheme="minorHAnsi" w:eastAsia="PMingLiU-ExtB" w:hAnsiTheme="minorHAnsi"/>
                <w:szCs w:val="24"/>
                <w:lang w:val="es-ES_tradnl"/>
              </w:rPr>
              <w:t>APT</w:t>
            </w:r>
            <w:proofErr w:type="spellEnd"/>
            <w:r w:rsidR="00F45A0D" w:rsidRPr="00FD3713">
              <w:rPr>
                <w:rFonts w:asciiTheme="minorHAnsi" w:eastAsia="PMingLiU-ExtB" w:hAnsiTheme="minorHAnsi"/>
                <w:szCs w:val="24"/>
                <w:lang w:val="es-ES_tradnl"/>
              </w:rPr>
              <w:t xml:space="preserve">) se organizó la formación </w:t>
            </w:r>
            <w:r w:rsidR="004E2CDB" w:rsidRPr="00FD3713">
              <w:rPr>
                <w:rFonts w:asciiTheme="minorHAnsi" w:eastAsia="PMingLiU-ExtB" w:hAnsiTheme="minorHAnsi"/>
                <w:szCs w:val="24"/>
                <w:lang w:val="es-ES_tradnl"/>
              </w:rPr>
              <w:t>"</w:t>
            </w:r>
            <w:r w:rsidR="00F45A0D" w:rsidRPr="00FD3713">
              <w:rPr>
                <w:rFonts w:asciiTheme="minorHAnsi" w:eastAsia="PMingLiU-ExtB" w:hAnsiTheme="minorHAnsi"/>
                <w:szCs w:val="24"/>
                <w:lang w:val="es-ES_tradnl"/>
              </w:rPr>
              <w:t>Preparación para las Conferencias internacionales, 2017</w:t>
            </w:r>
            <w:r w:rsidR="004E2CDB" w:rsidRPr="00FD3713">
              <w:rPr>
                <w:rFonts w:asciiTheme="minorHAnsi" w:eastAsia="PMingLiU-ExtB" w:hAnsiTheme="minorHAnsi"/>
                <w:szCs w:val="24"/>
                <w:lang w:val="es-ES_tradnl"/>
              </w:rPr>
              <w:t>"</w:t>
            </w:r>
            <w:r w:rsidR="00F45A0D" w:rsidRPr="00FD3713">
              <w:rPr>
                <w:rFonts w:asciiTheme="minorHAnsi" w:eastAsia="PMingLiU-ExtB" w:hAnsiTheme="minorHAnsi"/>
                <w:szCs w:val="24"/>
                <w:lang w:val="es-ES_tradnl"/>
              </w:rPr>
              <w:t>, que se impartió en dos fases (en línea y presencial</w:t>
            </w:r>
            <w:bookmarkStart w:id="149" w:name="lt_pId363"/>
            <w:bookmarkEnd w:id="148"/>
            <w:r w:rsidR="00F45A0D" w:rsidRPr="00FD3713">
              <w:rPr>
                <w:rFonts w:asciiTheme="minorHAnsi" w:eastAsia="PMingLiU-ExtB" w:hAnsiTheme="minorHAnsi"/>
                <w:szCs w:val="24"/>
                <w:lang w:val="es-ES_tradnl"/>
              </w:rPr>
              <w:t>).</w:t>
            </w:r>
            <w:bookmarkEnd w:id="149"/>
          </w:p>
          <w:p w:rsidR="00F45A0D" w:rsidRPr="00FD3713" w:rsidRDefault="00A9568F" w:rsidP="008C3301">
            <w:pPr>
              <w:pStyle w:val="enumlev1"/>
              <w:rPr>
                <w:rFonts w:asciiTheme="minorHAnsi" w:eastAsia="PMingLiU-ExtB" w:hAnsiTheme="minorHAnsi"/>
                <w:szCs w:val="24"/>
                <w:lang w:val="es-ES_tradnl"/>
              </w:rPr>
            </w:pPr>
            <w:bookmarkStart w:id="150" w:name="lt_pId364"/>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PMingLiU-ExtB" w:hAnsiTheme="minorHAnsi"/>
                <w:szCs w:val="24"/>
                <w:lang w:val="es-ES_tradnl"/>
              </w:rPr>
              <w:t xml:space="preserve">Se celebró en Budapest, Hungría, la Reunión de Asociación </w:t>
            </w:r>
            <w:proofErr w:type="spellStart"/>
            <w:r w:rsidR="00F45A0D" w:rsidRPr="00FD3713">
              <w:rPr>
                <w:rFonts w:asciiTheme="minorHAnsi" w:eastAsia="PMingLiU-ExtB" w:hAnsiTheme="minorHAnsi"/>
                <w:szCs w:val="24"/>
                <w:lang w:val="es-ES_tradnl"/>
              </w:rPr>
              <w:t>UIT</w:t>
            </w:r>
            <w:proofErr w:type="spellEnd"/>
            <w:r w:rsidR="00F45A0D" w:rsidRPr="00FD3713">
              <w:rPr>
                <w:rFonts w:asciiTheme="minorHAnsi" w:eastAsia="PMingLiU-ExtB" w:hAnsiTheme="minorHAnsi"/>
                <w:szCs w:val="24"/>
                <w:lang w:val="es-ES_tradnl"/>
              </w:rPr>
              <w:t xml:space="preserve">-Instituciones Académicas: Desarrollo formativo para la era digital. Gracias a esta reunión se estrechó la cooperación entre la </w:t>
            </w:r>
            <w:proofErr w:type="spellStart"/>
            <w:r w:rsidR="00F45A0D" w:rsidRPr="00FD3713">
              <w:rPr>
                <w:rFonts w:asciiTheme="minorHAnsi" w:eastAsia="PMingLiU-ExtB" w:hAnsiTheme="minorHAnsi"/>
                <w:szCs w:val="24"/>
                <w:lang w:val="es-ES_tradnl"/>
              </w:rPr>
              <w:t>UIT</w:t>
            </w:r>
            <w:proofErr w:type="spellEnd"/>
            <w:r w:rsidR="00F45A0D" w:rsidRPr="00FD3713">
              <w:rPr>
                <w:rFonts w:asciiTheme="minorHAnsi" w:eastAsia="PMingLiU-ExtB" w:hAnsiTheme="minorHAnsi"/>
                <w:szCs w:val="24"/>
                <w:lang w:val="es-ES_tradnl"/>
              </w:rPr>
              <w:t xml:space="preserve"> y las Instituciones Académicas y entre estas últimas y los Centros de Excelencia</w:t>
            </w:r>
            <w:bookmarkStart w:id="151" w:name="lt_pId366"/>
            <w:bookmarkEnd w:id="150"/>
            <w:r w:rsidR="00F45A0D" w:rsidRPr="00FD3713">
              <w:rPr>
                <w:rFonts w:asciiTheme="minorHAnsi" w:eastAsia="PMingLiU-ExtB" w:hAnsiTheme="minorHAnsi"/>
                <w:szCs w:val="24"/>
                <w:lang w:val="es-ES_tradnl"/>
              </w:rPr>
              <w:t>.</w:t>
            </w:r>
            <w:bookmarkEnd w:id="151"/>
          </w:p>
          <w:p w:rsidR="00F45A0D" w:rsidRPr="00FD3713" w:rsidRDefault="00A9568F" w:rsidP="00D8378B">
            <w:pPr>
              <w:pStyle w:val="enumlev1"/>
              <w:rPr>
                <w:rFonts w:asciiTheme="minorHAnsi" w:eastAsia="PMingLiU-ExtB" w:hAnsiTheme="minorHAnsi"/>
                <w:szCs w:val="24"/>
                <w:lang w:val="es-ES_tradnl"/>
              </w:rPr>
            </w:pPr>
            <w:bookmarkStart w:id="152" w:name="lt_pId367"/>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PMingLiU-ExtB" w:hAnsiTheme="minorHAnsi"/>
                <w:szCs w:val="24"/>
                <w:lang w:val="es-ES_tradnl"/>
              </w:rPr>
              <w:t xml:space="preserve">Se organizó una formación regional en cooperación con </w:t>
            </w:r>
            <w:proofErr w:type="spellStart"/>
            <w:r w:rsidR="00F45A0D" w:rsidRPr="00FD3713">
              <w:rPr>
                <w:rFonts w:asciiTheme="minorHAnsi" w:eastAsia="PMingLiU-ExtB" w:hAnsiTheme="minorHAnsi"/>
                <w:szCs w:val="24"/>
                <w:lang w:val="es-ES_tradnl"/>
              </w:rPr>
              <w:t>SUDACAD</w:t>
            </w:r>
            <w:proofErr w:type="spellEnd"/>
            <w:r w:rsidR="00F45A0D" w:rsidRPr="00FD3713">
              <w:rPr>
                <w:rFonts w:asciiTheme="minorHAnsi" w:eastAsia="PMingLiU-ExtB" w:hAnsiTheme="minorHAnsi"/>
                <w:szCs w:val="24"/>
                <w:lang w:val="es-ES_tradnl"/>
              </w:rPr>
              <w:t xml:space="preserve"> en Sudán a fin de aumentar la capacidad de los participantes de identificar riesgos en proyectos y empresas de TIC y establecer un proceso estructurado para la gestión de riesgos de TIC.</w:t>
            </w:r>
            <w:bookmarkEnd w:id="152"/>
          </w:p>
          <w:p w:rsidR="00F45A0D" w:rsidRPr="00FD3713" w:rsidRDefault="00A9568F" w:rsidP="00A9568F">
            <w:pPr>
              <w:pStyle w:val="enumlev1"/>
              <w:rPr>
                <w:rFonts w:asciiTheme="minorHAnsi" w:eastAsia="PMingLiU-ExtB" w:hAnsiTheme="minorHAnsi"/>
                <w:szCs w:val="24"/>
                <w:lang w:val="es-ES_tradnl"/>
              </w:rPr>
            </w:pPr>
            <w:r w:rsidRPr="00FD3713">
              <w:rPr>
                <w:rFonts w:asciiTheme="minorHAnsi" w:hAnsiTheme="minorHAnsi"/>
                <w:szCs w:val="24"/>
                <w:lang w:val="es-ES_tradnl"/>
              </w:rPr>
              <w:t>–</w:t>
            </w:r>
            <w:r w:rsidRPr="00FD3713">
              <w:rPr>
                <w:rFonts w:asciiTheme="minorHAnsi" w:hAnsiTheme="minorHAnsi"/>
                <w:szCs w:val="24"/>
                <w:lang w:val="es-ES_tradnl"/>
              </w:rPr>
              <w:tab/>
            </w:r>
            <w:r w:rsidR="00F45A0D" w:rsidRPr="00D8378B">
              <w:rPr>
                <w:rFonts w:asciiTheme="minorHAnsi" w:eastAsia="PMingLiU-ExtB" w:hAnsiTheme="minorHAnsi"/>
                <w:szCs w:val="24"/>
                <w:lang w:val="es-ES_tradnl"/>
              </w:rPr>
              <w:t>Dentro del marco de la iniciativa de asociación con la Autoridad Reguladora de las Telecomunicaciones (</w:t>
            </w:r>
            <w:proofErr w:type="spellStart"/>
            <w:r w:rsidR="00F45A0D" w:rsidRPr="00D8378B">
              <w:rPr>
                <w:rFonts w:asciiTheme="minorHAnsi" w:eastAsia="PMingLiU-ExtB" w:hAnsiTheme="minorHAnsi"/>
                <w:szCs w:val="24"/>
                <w:lang w:val="es-ES_tradnl"/>
              </w:rPr>
              <w:t>TRA-UAE</w:t>
            </w:r>
            <w:proofErr w:type="spellEnd"/>
            <w:r w:rsidR="00F45A0D" w:rsidRPr="00D8378B">
              <w:rPr>
                <w:rFonts w:asciiTheme="minorHAnsi" w:eastAsia="PMingLiU-ExtB" w:hAnsiTheme="minorHAnsi"/>
                <w:szCs w:val="24"/>
                <w:lang w:val="es-ES_tradnl"/>
              </w:rPr>
              <w:t xml:space="preserve">), se firmó un proyecto regional de capacitación de recursos humanos sobre </w:t>
            </w:r>
            <w:proofErr w:type="spellStart"/>
            <w:r w:rsidR="00F45A0D" w:rsidRPr="00D8378B">
              <w:rPr>
                <w:rFonts w:asciiTheme="minorHAnsi" w:eastAsia="PMingLiU-ExtB" w:hAnsiTheme="minorHAnsi"/>
                <w:szCs w:val="24"/>
                <w:lang w:val="es-ES_tradnl"/>
              </w:rPr>
              <w:t>IPv6</w:t>
            </w:r>
            <w:proofErr w:type="spellEnd"/>
            <w:r w:rsidR="00F45A0D" w:rsidRPr="00D8378B">
              <w:rPr>
                <w:rFonts w:asciiTheme="minorHAnsi" w:eastAsia="PMingLiU-ExtB" w:hAnsiTheme="minorHAnsi"/>
                <w:szCs w:val="24"/>
                <w:lang w:val="es-ES_tradnl"/>
              </w:rPr>
              <w:t xml:space="preserve"> para los </w:t>
            </w:r>
            <w:proofErr w:type="spellStart"/>
            <w:r w:rsidR="00F45A0D" w:rsidRPr="00D8378B">
              <w:rPr>
                <w:rFonts w:asciiTheme="minorHAnsi" w:eastAsia="PMingLiU-ExtB" w:hAnsiTheme="minorHAnsi"/>
                <w:szCs w:val="24"/>
                <w:lang w:val="es-ES_tradnl"/>
              </w:rPr>
              <w:t>PMA</w:t>
            </w:r>
            <w:proofErr w:type="spellEnd"/>
            <w:r w:rsidR="00F45A0D" w:rsidRPr="00D8378B">
              <w:rPr>
                <w:rFonts w:asciiTheme="minorHAnsi" w:eastAsia="PMingLiU-ExtB" w:hAnsiTheme="minorHAnsi"/>
                <w:szCs w:val="24"/>
                <w:lang w:val="es-ES_tradnl"/>
              </w:rPr>
              <w:t xml:space="preserve"> árabes y Palestina.</w:t>
            </w:r>
          </w:p>
          <w:p w:rsidR="00F45A0D" w:rsidRPr="00FD3713" w:rsidRDefault="00F45A0D" w:rsidP="00F45A0D">
            <w:pPr>
              <w:rPr>
                <w:rFonts w:asciiTheme="minorHAnsi" w:hAnsiTheme="minorHAnsi"/>
                <w:szCs w:val="24"/>
                <w:lang w:val="es-ES_tradnl"/>
              </w:rPr>
            </w:pPr>
            <w:bookmarkStart w:id="153" w:name="lt_pId369"/>
            <w:r w:rsidRPr="00FD3713">
              <w:rPr>
                <w:rFonts w:asciiTheme="minorHAnsi" w:eastAsia="PMingLiU-ExtB" w:hAnsiTheme="minorHAnsi"/>
                <w:szCs w:val="24"/>
                <w:lang w:val="es-ES_tradnl"/>
              </w:rPr>
              <w:t>Entre otros eventos de capacitación y formaciones cabe mencionar los siguientes</w:t>
            </w:r>
            <w:r w:rsidRPr="00FD3713">
              <w:rPr>
                <w:rFonts w:asciiTheme="minorHAnsi" w:hAnsiTheme="minorHAnsi"/>
                <w:szCs w:val="24"/>
                <w:lang w:val="es-ES_tradnl"/>
              </w:rPr>
              <w:t>:</w:t>
            </w:r>
            <w:bookmarkEnd w:id="153"/>
          </w:p>
          <w:p w:rsidR="00F45A0D" w:rsidRPr="00FD3713" w:rsidRDefault="00A9568F" w:rsidP="00A9568F">
            <w:pPr>
              <w:pStyle w:val="enumlev1"/>
              <w:rPr>
                <w:rFonts w:asciiTheme="minorHAnsi" w:eastAsia="PMingLiU-ExtB" w:hAnsiTheme="minorHAnsi"/>
                <w:szCs w:val="24"/>
                <w:lang w:val="es-ES_tradnl"/>
              </w:rPr>
            </w:pPr>
            <w:bookmarkStart w:id="154" w:name="lt_pId370"/>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PMingLiU-ExtB" w:hAnsiTheme="minorHAnsi"/>
                <w:szCs w:val="24"/>
                <w:lang w:val="es-ES_tradnl"/>
              </w:rPr>
              <w:t>Se celebró en Mauricio un Taller regional anual sobre capacitación de recursos humanos para los países africanos al que asistieron 121 participantes de 27 países. El taller permitió a los profesionales de TIC del sector público, el sector privado y las Instituciones Académicas entender mejor los problemas que plantean los ecosistemas de Internet de las cosas en África</w:t>
            </w:r>
            <w:bookmarkStart w:id="155" w:name="lt_pId371"/>
            <w:bookmarkEnd w:id="154"/>
            <w:r w:rsidR="00F45A0D" w:rsidRPr="00FD3713">
              <w:rPr>
                <w:rFonts w:asciiTheme="minorHAnsi" w:eastAsia="PMingLiU-ExtB" w:hAnsiTheme="minorHAnsi"/>
                <w:szCs w:val="24"/>
                <w:lang w:val="es-ES_tradnl"/>
              </w:rPr>
              <w:t>.</w:t>
            </w:r>
            <w:bookmarkEnd w:id="155"/>
            <w:r w:rsidR="00F45A0D" w:rsidRPr="00FD3713">
              <w:rPr>
                <w:rFonts w:asciiTheme="minorHAnsi" w:eastAsia="PMingLiU-ExtB" w:hAnsiTheme="minorHAnsi"/>
                <w:szCs w:val="24"/>
                <w:lang w:val="es-ES_tradnl"/>
              </w:rPr>
              <w:t xml:space="preserve"> </w:t>
            </w:r>
          </w:p>
          <w:p w:rsidR="00F45A0D" w:rsidRPr="00FD3713" w:rsidRDefault="00A9568F" w:rsidP="00A9568F">
            <w:pPr>
              <w:pStyle w:val="enumlev1"/>
              <w:rPr>
                <w:rFonts w:asciiTheme="minorHAnsi" w:eastAsia="PMingLiU-ExtB" w:hAnsiTheme="minorHAnsi"/>
                <w:szCs w:val="24"/>
                <w:lang w:val="es-ES_tradnl"/>
              </w:rPr>
            </w:pPr>
            <w:bookmarkStart w:id="156" w:name="lt_pId372"/>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PMingLiU-ExtB" w:hAnsiTheme="minorHAnsi"/>
                <w:szCs w:val="24"/>
                <w:lang w:val="es-ES_tradnl"/>
              </w:rPr>
              <w:t>Profesionales de la capacitación intercambiaron experienc</w:t>
            </w:r>
            <w:r w:rsidRPr="00FD3713">
              <w:rPr>
                <w:rFonts w:asciiTheme="minorHAnsi" w:eastAsia="PMingLiU-ExtB" w:hAnsiTheme="minorHAnsi"/>
                <w:szCs w:val="24"/>
                <w:lang w:val="es-ES_tradnl"/>
              </w:rPr>
              <w:t>ias en el Taller Regional de la </w:t>
            </w:r>
            <w:proofErr w:type="spellStart"/>
            <w:r w:rsidR="00F45A0D" w:rsidRPr="00FD3713">
              <w:rPr>
                <w:rFonts w:asciiTheme="minorHAnsi" w:eastAsia="PMingLiU-ExtB" w:hAnsiTheme="minorHAnsi"/>
                <w:szCs w:val="24"/>
                <w:lang w:val="es-ES_tradnl"/>
              </w:rPr>
              <w:t>UIT</w:t>
            </w:r>
            <w:proofErr w:type="spellEnd"/>
            <w:r w:rsidR="00F45A0D" w:rsidRPr="00FD3713">
              <w:rPr>
                <w:rFonts w:asciiTheme="minorHAnsi" w:eastAsia="PMingLiU-ExtB" w:hAnsiTheme="minorHAnsi"/>
                <w:szCs w:val="24"/>
                <w:lang w:val="es-ES_tradnl"/>
              </w:rPr>
              <w:t xml:space="preserve"> en Ucrania.</w:t>
            </w:r>
            <w:bookmarkEnd w:id="156"/>
          </w:p>
          <w:p w:rsidR="00F45A0D" w:rsidRPr="00FD3713" w:rsidRDefault="00A9568F" w:rsidP="00A9568F">
            <w:pPr>
              <w:pStyle w:val="enumlev1"/>
              <w:spacing w:after="120"/>
              <w:rPr>
                <w:rFonts w:asciiTheme="minorHAnsi" w:eastAsia="PMingLiU-ExtB" w:hAnsiTheme="minorHAnsi"/>
                <w:szCs w:val="24"/>
                <w:lang w:val="es-ES_tradnl"/>
              </w:rPr>
            </w:pPr>
            <w:bookmarkStart w:id="157" w:name="lt_pId373"/>
            <w:r w:rsidRPr="00FD3713">
              <w:rPr>
                <w:rFonts w:asciiTheme="minorHAnsi" w:hAnsiTheme="minorHAnsi"/>
                <w:szCs w:val="24"/>
                <w:lang w:val="es-ES_tradnl"/>
              </w:rPr>
              <w:lastRenderedPageBreak/>
              <w:t>–</w:t>
            </w:r>
            <w:r w:rsidRPr="00FD3713">
              <w:rPr>
                <w:rFonts w:asciiTheme="minorHAnsi" w:hAnsiTheme="minorHAnsi"/>
                <w:szCs w:val="24"/>
                <w:lang w:val="es-ES_tradnl"/>
              </w:rPr>
              <w:tab/>
            </w:r>
            <w:r w:rsidR="00F45A0D" w:rsidRPr="00FD3713">
              <w:rPr>
                <w:rFonts w:asciiTheme="minorHAnsi" w:eastAsia="PMingLiU-ExtB" w:hAnsiTheme="minorHAnsi"/>
                <w:szCs w:val="24"/>
                <w:lang w:val="es-ES_tradnl"/>
              </w:rPr>
              <w:t xml:space="preserve">Se celebró en Brasil el Taller regional </w:t>
            </w:r>
            <w:r w:rsidRPr="00FD3713">
              <w:rPr>
                <w:rFonts w:asciiTheme="minorHAnsi" w:eastAsia="PMingLiU-ExtB" w:hAnsiTheme="minorHAnsi"/>
                <w:szCs w:val="24"/>
                <w:lang w:val="es-ES_tradnl"/>
              </w:rPr>
              <w:t>"</w:t>
            </w:r>
            <w:r w:rsidR="00F45A0D" w:rsidRPr="00FD3713">
              <w:rPr>
                <w:rFonts w:asciiTheme="minorHAnsi" w:eastAsia="PMingLiU-ExtB" w:hAnsiTheme="minorHAnsi"/>
                <w:szCs w:val="24"/>
                <w:lang w:val="es-ES_tradnl"/>
              </w:rPr>
              <w:t>Fortalecimiento de las capacidades en materia de gobernanza de Internet internacional</w:t>
            </w:r>
            <w:bookmarkEnd w:id="157"/>
            <w:r w:rsidRPr="00FD3713">
              <w:rPr>
                <w:rFonts w:asciiTheme="minorHAnsi" w:eastAsia="PMingLiU-ExtB" w:hAnsiTheme="minorHAnsi"/>
                <w:szCs w:val="24"/>
                <w:lang w:val="es-ES_tradnl"/>
              </w:rPr>
              <w:t>"</w:t>
            </w:r>
            <w:r w:rsidR="00F45A0D" w:rsidRPr="00FD3713">
              <w:rPr>
                <w:rFonts w:asciiTheme="minorHAnsi" w:eastAsia="PMingLiU-ExtB" w:hAnsiTheme="minorHAnsi"/>
                <w:szCs w:val="24"/>
                <w:lang w:val="es-ES_tradnl"/>
              </w:rPr>
              <w:t>.</w:t>
            </w:r>
          </w:p>
        </w:tc>
      </w:tr>
      <w:tr w:rsidR="00F45A0D" w:rsidRPr="00FD3713" w:rsidTr="00F45A0D">
        <w:tc>
          <w:tcPr>
            <w:tcW w:w="2830" w:type="dxa"/>
          </w:tcPr>
          <w:p w:rsidR="00F45A0D" w:rsidRPr="00FD3713" w:rsidRDefault="00F45A0D" w:rsidP="00D74E64">
            <w:pPr>
              <w:spacing w:before="60" w:after="60"/>
              <w:rPr>
                <w:rFonts w:asciiTheme="minorHAnsi" w:eastAsia="PMingLiU-ExtB"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798" w:type="dxa"/>
          </w:tcPr>
          <w:p w:rsidR="00F45A0D" w:rsidRPr="00FD3713" w:rsidRDefault="00F45A0D" w:rsidP="00D74E64">
            <w:pPr>
              <w:spacing w:before="60" w:after="60"/>
              <w:rPr>
                <w:rFonts w:eastAsia="PMingLiU-ExtB"/>
                <w:szCs w:val="24"/>
                <w:lang w:val="es-ES_tradnl"/>
              </w:rPr>
            </w:pPr>
            <w:bookmarkStart w:id="158" w:name="lt_pId375"/>
            <w:r w:rsidRPr="00D74E64">
              <w:rPr>
                <w:rFonts w:asciiTheme="minorHAnsi" w:hAnsiTheme="minorHAnsi"/>
                <w:szCs w:val="24"/>
                <w:lang w:val="es-ES_tradnl"/>
              </w:rPr>
              <w:t>Resoluciones</w:t>
            </w:r>
            <w:r w:rsidRPr="00FD3713">
              <w:rPr>
                <w:rFonts w:asciiTheme="minorHAnsi" w:eastAsia="PMingLiU-ExtB" w:hAnsiTheme="minorHAnsi"/>
                <w:szCs w:val="24"/>
                <w:lang w:val="es-ES_tradnl"/>
              </w:rPr>
              <w:t xml:space="preserve"> 1, 5, 9, 15, 20, 21, 22, 30, 32, 33, 36, 40, 50, 59, 73, 77</w:t>
            </w:r>
            <w:bookmarkEnd w:id="158"/>
          </w:p>
        </w:tc>
      </w:tr>
      <w:tr w:rsidR="00F45A0D" w:rsidRPr="008D434B" w:rsidTr="00F45A0D">
        <w:tc>
          <w:tcPr>
            <w:tcW w:w="2830" w:type="dxa"/>
          </w:tcPr>
          <w:p w:rsidR="00F45A0D" w:rsidRPr="00D8378B" w:rsidRDefault="00F45A0D" w:rsidP="00D74E64">
            <w:pPr>
              <w:spacing w:before="60" w:after="60"/>
              <w:rPr>
                <w:rFonts w:asciiTheme="minorHAnsi" w:eastAsia="PMingLiU-ExtB" w:hAnsiTheme="minorHAnsi"/>
                <w:i/>
                <w:iCs/>
                <w:szCs w:val="24"/>
                <w:lang w:val="es-ES_tradnl"/>
              </w:rPr>
            </w:pPr>
            <w:r w:rsidRPr="00D8378B">
              <w:rPr>
                <w:rFonts w:asciiTheme="minorHAnsi" w:hAnsiTheme="minorHAnsi"/>
                <w:i/>
                <w:iCs/>
                <w:szCs w:val="24"/>
                <w:lang w:val="es-ES_tradnl"/>
              </w:rPr>
              <w:t>Conferencia de Plenipotenciarios</w:t>
            </w:r>
          </w:p>
        </w:tc>
        <w:tc>
          <w:tcPr>
            <w:tcW w:w="6798" w:type="dxa"/>
          </w:tcPr>
          <w:p w:rsidR="00F45A0D" w:rsidRPr="00FD3713" w:rsidRDefault="00F45A0D" w:rsidP="00D74E64">
            <w:pPr>
              <w:spacing w:before="60" w:after="60"/>
              <w:rPr>
                <w:rFonts w:eastAsia="PMingLiU-ExtB"/>
                <w:szCs w:val="24"/>
                <w:lang w:val="es-ES_tradnl"/>
              </w:rPr>
            </w:pPr>
            <w:r w:rsidRPr="00FD3713">
              <w:rPr>
                <w:rFonts w:asciiTheme="minorHAnsi" w:eastAsia="PMingLiU-ExtB" w:hAnsiTheme="minorHAnsi"/>
                <w:szCs w:val="24"/>
                <w:lang w:val="es-ES_tradnl"/>
              </w:rPr>
              <w:t>Decisiones 5 y 13 de la PP</w:t>
            </w:r>
            <w:r w:rsidRPr="00FD3713">
              <w:rPr>
                <w:rFonts w:asciiTheme="minorHAnsi" w:eastAsia="PMingLiU-ExtB" w:hAnsiTheme="minorHAnsi"/>
                <w:szCs w:val="24"/>
                <w:lang w:val="es-ES_tradnl"/>
              </w:rPr>
              <w:br/>
              <w:t>Resoluciones de la PP: 25, 71, 72, 137, 139, 140, 176, 188, 189, 197, 199 y 202</w:t>
            </w:r>
          </w:p>
        </w:tc>
      </w:tr>
      <w:tr w:rsidR="00F45A0D" w:rsidRPr="00FD3713" w:rsidTr="00F45A0D">
        <w:tc>
          <w:tcPr>
            <w:tcW w:w="2830" w:type="dxa"/>
          </w:tcPr>
          <w:p w:rsidR="00F45A0D" w:rsidRPr="00FD3713" w:rsidRDefault="00F45A0D" w:rsidP="006A3F08">
            <w:pPr>
              <w:spacing w:before="60" w:after="60"/>
              <w:rPr>
                <w:rFonts w:asciiTheme="minorHAnsi" w:eastAsia="PMingLiU-ExtB" w:hAnsiTheme="minorHAnsi"/>
                <w:i/>
                <w:iCs/>
                <w:szCs w:val="24"/>
                <w:lang w:val="es-ES_tradnl"/>
              </w:rPr>
            </w:pPr>
            <w:r w:rsidRPr="00FD3713">
              <w:rPr>
                <w:rFonts w:asciiTheme="minorHAnsi" w:hAnsiTheme="minorHAnsi"/>
                <w:i/>
                <w:iCs/>
                <w:szCs w:val="24"/>
                <w:lang w:val="es-ES_tradnl"/>
              </w:rPr>
              <w:t>Consejo</w:t>
            </w:r>
          </w:p>
        </w:tc>
        <w:tc>
          <w:tcPr>
            <w:tcW w:w="6798" w:type="dxa"/>
          </w:tcPr>
          <w:p w:rsidR="00F45A0D" w:rsidRPr="00FD3713" w:rsidRDefault="00F45A0D" w:rsidP="006A3F08">
            <w:pPr>
              <w:spacing w:before="60" w:after="60"/>
              <w:rPr>
                <w:rFonts w:asciiTheme="minorHAnsi" w:eastAsia="PMingLiU-ExtB" w:hAnsiTheme="minorHAnsi"/>
                <w:szCs w:val="24"/>
                <w:lang w:val="es-ES_tradnl"/>
              </w:rPr>
            </w:pPr>
            <w:bookmarkStart w:id="159" w:name="lt_pId380"/>
            <w:r w:rsidRPr="00FD3713">
              <w:rPr>
                <w:rFonts w:asciiTheme="minorHAnsi" w:hAnsiTheme="minorHAnsi"/>
                <w:szCs w:val="24"/>
                <w:lang w:val="es-ES_tradnl"/>
              </w:rPr>
              <w:t>Resolución 1143</w:t>
            </w:r>
            <w:bookmarkEnd w:id="159"/>
          </w:p>
        </w:tc>
      </w:tr>
      <w:tr w:rsidR="00F45A0D" w:rsidRPr="00FD3713" w:rsidTr="00F45A0D">
        <w:tc>
          <w:tcPr>
            <w:tcW w:w="2830" w:type="dxa"/>
          </w:tcPr>
          <w:p w:rsidR="00F45A0D" w:rsidRPr="00FD3713" w:rsidRDefault="00F45A0D" w:rsidP="006A3F08">
            <w:pPr>
              <w:spacing w:before="60" w:after="60"/>
              <w:rPr>
                <w:rFonts w:asciiTheme="minorHAnsi" w:eastAsia="PMingLiU-ExtB" w:hAnsiTheme="minorHAnsi"/>
                <w:i/>
                <w:iCs/>
                <w:szCs w:val="24"/>
                <w:lang w:val="es-ES_tradnl"/>
              </w:rPr>
            </w:pPr>
            <w:proofErr w:type="spellStart"/>
            <w:r w:rsidRPr="00FD3713">
              <w:rPr>
                <w:rFonts w:asciiTheme="minorHAnsi" w:hAnsiTheme="minorHAnsi"/>
                <w:i/>
                <w:iCs/>
                <w:szCs w:val="24"/>
                <w:lang w:val="es-ES_tradnl"/>
              </w:rPr>
              <w:t>AMNT</w:t>
            </w:r>
            <w:proofErr w:type="spellEnd"/>
          </w:p>
        </w:tc>
        <w:tc>
          <w:tcPr>
            <w:tcW w:w="6798" w:type="dxa"/>
          </w:tcPr>
          <w:p w:rsidR="00F45A0D" w:rsidRPr="00FD3713" w:rsidRDefault="00F45A0D" w:rsidP="006A3F08">
            <w:pPr>
              <w:spacing w:before="60" w:after="60"/>
              <w:rPr>
                <w:rFonts w:asciiTheme="minorHAnsi" w:eastAsia="PMingLiU-ExtB" w:hAnsiTheme="minorHAnsi"/>
                <w:szCs w:val="24"/>
                <w:lang w:val="es-ES_tradnl"/>
              </w:rPr>
            </w:pPr>
            <w:bookmarkStart w:id="160" w:name="lt_pId382"/>
            <w:r w:rsidRPr="00FD3713">
              <w:rPr>
                <w:rFonts w:asciiTheme="minorHAnsi" w:hAnsiTheme="minorHAnsi"/>
                <w:szCs w:val="24"/>
                <w:lang w:val="es-ES_tradnl"/>
              </w:rPr>
              <w:t>Resoluciones 54, 59, 72</w:t>
            </w:r>
            <w:bookmarkEnd w:id="160"/>
          </w:p>
        </w:tc>
      </w:tr>
      <w:tr w:rsidR="00F45A0D" w:rsidRPr="008D434B" w:rsidTr="00F45A0D">
        <w:tc>
          <w:tcPr>
            <w:tcW w:w="2830" w:type="dxa"/>
          </w:tcPr>
          <w:p w:rsidR="00F45A0D" w:rsidRPr="00FD3713" w:rsidRDefault="00F45A0D" w:rsidP="00D74E64">
            <w:pPr>
              <w:spacing w:before="60" w:after="60"/>
              <w:rPr>
                <w:i/>
                <w:iCs/>
                <w:szCs w:val="24"/>
                <w:lang w:val="es-ES_tradnl"/>
              </w:rPr>
            </w:pPr>
            <w:r w:rsidRPr="00FD3713">
              <w:rPr>
                <w:rFonts w:asciiTheme="minorHAnsi" w:eastAsia="PMingLiU-ExtB" w:hAnsiTheme="minorHAnsi"/>
                <w:i/>
                <w:iCs/>
                <w:szCs w:val="24"/>
                <w:lang w:val="es-ES_tradnl"/>
              </w:rPr>
              <w:t xml:space="preserve">Línea de Acción de la </w:t>
            </w:r>
            <w:proofErr w:type="spellStart"/>
            <w:r w:rsidRPr="00FD3713">
              <w:rPr>
                <w:rFonts w:asciiTheme="minorHAnsi" w:eastAsia="PMingLiU-ExtB" w:hAnsiTheme="minorHAnsi"/>
                <w:i/>
                <w:iCs/>
                <w:szCs w:val="24"/>
                <w:lang w:val="es-ES_tradnl"/>
              </w:rPr>
              <w:t>CMSI</w:t>
            </w:r>
            <w:proofErr w:type="spellEnd"/>
          </w:p>
        </w:tc>
        <w:tc>
          <w:tcPr>
            <w:tcW w:w="6798" w:type="dxa"/>
          </w:tcPr>
          <w:p w:rsidR="00F45A0D" w:rsidRPr="00FD3713" w:rsidRDefault="00F45A0D" w:rsidP="00D74E64">
            <w:pPr>
              <w:spacing w:before="60" w:after="60"/>
              <w:rPr>
                <w:szCs w:val="24"/>
                <w:lang w:val="es-ES_tradnl"/>
              </w:rPr>
            </w:pPr>
            <w:r w:rsidRPr="00FD3713">
              <w:rPr>
                <w:rFonts w:asciiTheme="minorHAnsi" w:eastAsia="PMingLiU-ExtB" w:hAnsiTheme="minorHAnsi"/>
                <w:szCs w:val="24"/>
                <w:lang w:val="es-ES_tradnl"/>
              </w:rPr>
              <w:t xml:space="preserve">Línea de Acción de la </w:t>
            </w:r>
            <w:proofErr w:type="spellStart"/>
            <w:r w:rsidRPr="00FD3713">
              <w:rPr>
                <w:rFonts w:asciiTheme="minorHAnsi" w:eastAsia="PMingLiU-ExtB" w:hAnsiTheme="minorHAnsi"/>
                <w:szCs w:val="24"/>
                <w:lang w:val="es-ES_tradnl"/>
              </w:rPr>
              <w:t>CMSI</w:t>
            </w:r>
            <w:proofErr w:type="spellEnd"/>
            <w:r w:rsidRPr="00FD3713">
              <w:rPr>
                <w:rFonts w:asciiTheme="minorHAnsi" w:eastAsia="PMingLiU-ExtB" w:hAnsiTheme="minorHAnsi"/>
                <w:szCs w:val="24"/>
                <w:lang w:val="es-ES_tradnl"/>
              </w:rPr>
              <w:t xml:space="preserve"> </w:t>
            </w:r>
            <w:proofErr w:type="spellStart"/>
            <w:r w:rsidRPr="00FD3713">
              <w:rPr>
                <w:rFonts w:asciiTheme="minorHAnsi" w:eastAsia="PMingLiU-ExtB" w:hAnsiTheme="minorHAnsi"/>
                <w:szCs w:val="24"/>
                <w:lang w:val="es-ES_tradnl"/>
              </w:rPr>
              <w:t>C4</w:t>
            </w:r>
            <w:proofErr w:type="spellEnd"/>
            <w:r w:rsidRPr="00FD3713">
              <w:rPr>
                <w:rFonts w:asciiTheme="minorHAnsi" w:eastAsia="PMingLiU-ExtB" w:hAnsiTheme="minorHAnsi"/>
                <w:szCs w:val="24"/>
                <w:lang w:val="es-ES_tradnl"/>
              </w:rPr>
              <w:t xml:space="preserve"> del Plan de Acción de Ginebra y los párrafos 8, 22, </w:t>
            </w:r>
            <w:proofErr w:type="spellStart"/>
            <w:r w:rsidRPr="00FD3713">
              <w:rPr>
                <w:rFonts w:asciiTheme="minorHAnsi" w:eastAsia="PMingLiU-ExtB" w:hAnsiTheme="minorHAnsi"/>
                <w:szCs w:val="24"/>
                <w:lang w:val="es-ES_tradnl"/>
              </w:rPr>
              <w:t>23a</w:t>
            </w:r>
            <w:proofErr w:type="spellEnd"/>
            <w:r w:rsidRPr="00FD3713">
              <w:rPr>
                <w:rFonts w:asciiTheme="minorHAnsi" w:eastAsia="PMingLiU-ExtB" w:hAnsiTheme="minorHAnsi"/>
                <w:szCs w:val="24"/>
                <w:lang w:val="es-ES_tradnl"/>
              </w:rPr>
              <w:t xml:space="preserve">, </w:t>
            </w:r>
            <w:proofErr w:type="spellStart"/>
            <w:r w:rsidRPr="00FD3713">
              <w:rPr>
                <w:rFonts w:asciiTheme="minorHAnsi" w:eastAsia="PMingLiU-ExtB" w:hAnsiTheme="minorHAnsi"/>
                <w:szCs w:val="24"/>
                <w:lang w:val="es-ES_tradnl"/>
              </w:rPr>
              <w:t>26g</w:t>
            </w:r>
            <w:proofErr w:type="spellEnd"/>
            <w:r w:rsidRPr="00FD3713">
              <w:rPr>
                <w:rFonts w:asciiTheme="minorHAnsi" w:eastAsia="PMingLiU-ExtB" w:hAnsiTheme="minorHAnsi"/>
                <w:szCs w:val="24"/>
                <w:lang w:val="es-ES_tradnl"/>
              </w:rPr>
              <w:t xml:space="preserve">, 49, 51, 65, </w:t>
            </w:r>
            <w:proofErr w:type="spellStart"/>
            <w:r w:rsidRPr="00FD3713">
              <w:rPr>
                <w:rFonts w:asciiTheme="minorHAnsi" w:eastAsia="PMingLiU-ExtB" w:hAnsiTheme="minorHAnsi"/>
                <w:szCs w:val="24"/>
                <w:lang w:val="es-ES_tradnl"/>
              </w:rPr>
              <w:t>72h</w:t>
            </w:r>
            <w:proofErr w:type="spellEnd"/>
            <w:r w:rsidRPr="00FD3713">
              <w:rPr>
                <w:rFonts w:asciiTheme="minorHAnsi" w:eastAsia="PMingLiU-ExtB" w:hAnsiTheme="minorHAnsi"/>
                <w:szCs w:val="24"/>
                <w:lang w:val="es-ES_tradnl"/>
              </w:rPr>
              <w:t xml:space="preserve">, 86, 87, </w:t>
            </w:r>
            <w:proofErr w:type="spellStart"/>
            <w:r w:rsidRPr="00FD3713">
              <w:rPr>
                <w:rFonts w:asciiTheme="minorHAnsi" w:eastAsia="PMingLiU-ExtB" w:hAnsiTheme="minorHAnsi"/>
                <w:szCs w:val="24"/>
                <w:lang w:val="es-ES_tradnl"/>
              </w:rPr>
              <w:t>90c</w:t>
            </w:r>
            <w:proofErr w:type="spellEnd"/>
            <w:r w:rsidRPr="00FD3713">
              <w:rPr>
                <w:rFonts w:asciiTheme="minorHAnsi" w:eastAsia="PMingLiU-ExtB" w:hAnsiTheme="minorHAnsi"/>
                <w:szCs w:val="24"/>
                <w:lang w:val="es-ES_tradnl"/>
              </w:rPr>
              <w:t xml:space="preserve">, d, f, 95 y </w:t>
            </w:r>
            <w:proofErr w:type="spellStart"/>
            <w:r w:rsidRPr="00FD3713">
              <w:rPr>
                <w:rFonts w:asciiTheme="minorHAnsi" w:eastAsia="PMingLiU-ExtB" w:hAnsiTheme="minorHAnsi"/>
                <w:szCs w:val="24"/>
                <w:lang w:val="es-ES_tradnl"/>
              </w:rPr>
              <w:t>114b</w:t>
            </w:r>
            <w:proofErr w:type="spellEnd"/>
            <w:r w:rsidRPr="00FD3713">
              <w:rPr>
                <w:rFonts w:asciiTheme="minorHAnsi" w:eastAsia="PMingLiU-ExtB" w:hAnsiTheme="minorHAnsi"/>
                <w:szCs w:val="24"/>
                <w:lang w:val="es-ES_tradnl"/>
              </w:rPr>
              <w:t xml:space="preserve"> de la Agenda de Túnez para la Sociedad de la Información.</w:t>
            </w:r>
          </w:p>
        </w:tc>
      </w:tr>
      <w:tr w:rsidR="00F45A0D" w:rsidRPr="008D434B" w:rsidTr="00F45A0D">
        <w:tc>
          <w:tcPr>
            <w:tcW w:w="2830" w:type="dxa"/>
          </w:tcPr>
          <w:p w:rsidR="00F45A0D" w:rsidRPr="00FD3713" w:rsidRDefault="00F45A0D" w:rsidP="00D74E64">
            <w:pPr>
              <w:spacing w:before="60" w:after="60"/>
              <w:rPr>
                <w:rFonts w:asciiTheme="minorHAnsi" w:eastAsia="PMingLiU-ExtB" w:hAnsiTheme="minorHAnsi"/>
                <w:i/>
                <w:iCs/>
                <w:szCs w:val="24"/>
                <w:lang w:val="es-ES_tradnl"/>
              </w:rPr>
            </w:pPr>
            <w:r w:rsidRPr="00FD3713">
              <w:rPr>
                <w:rFonts w:asciiTheme="minorHAnsi" w:eastAsia="PMingLiU-ExtB" w:hAnsiTheme="minorHAnsi"/>
                <w:i/>
                <w:iCs/>
                <w:szCs w:val="24"/>
                <w:lang w:val="es-ES_tradnl"/>
              </w:rPr>
              <w:t xml:space="preserve">Contribución a las metas de los </w:t>
            </w:r>
            <w:proofErr w:type="spellStart"/>
            <w:r w:rsidRPr="00FD3713">
              <w:rPr>
                <w:rFonts w:asciiTheme="minorHAnsi" w:eastAsia="PMingLiU-ExtB" w:hAnsiTheme="minorHAnsi"/>
                <w:i/>
                <w:iCs/>
                <w:szCs w:val="24"/>
                <w:lang w:val="es-ES_tradnl"/>
              </w:rPr>
              <w:t>ODS</w:t>
            </w:r>
            <w:proofErr w:type="spellEnd"/>
          </w:p>
        </w:tc>
        <w:tc>
          <w:tcPr>
            <w:tcW w:w="6798" w:type="dxa"/>
          </w:tcPr>
          <w:p w:rsidR="00F45A0D" w:rsidRPr="00FD3713" w:rsidRDefault="00F45A0D" w:rsidP="00D74E64">
            <w:pPr>
              <w:spacing w:before="60" w:after="60"/>
              <w:rPr>
                <w:rFonts w:asciiTheme="minorHAnsi" w:eastAsia="PMingLiU-ExtB" w:hAnsiTheme="minorHAnsi"/>
                <w:szCs w:val="24"/>
                <w:lang w:val="es-ES_tradnl"/>
              </w:rPr>
            </w:pPr>
            <w:proofErr w:type="spellStart"/>
            <w:r w:rsidRPr="00FD3713">
              <w:rPr>
                <w:rFonts w:asciiTheme="minorHAnsi" w:eastAsia="PMingLiU-ExtB" w:hAnsiTheme="minorHAnsi"/>
                <w:szCs w:val="24"/>
                <w:lang w:val="es-ES_tradnl"/>
              </w:rPr>
              <w:t>ODS</w:t>
            </w:r>
            <w:proofErr w:type="spellEnd"/>
            <w:r w:rsidRPr="00FD3713">
              <w:rPr>
                <w:rFonts w:asciiTheme="minorHAnsi" w:eastAsia="PMingLiU-ExtB" w:hAnsiTheme="minorHAnsi"/>
                <w:szCs w:val="24"/>
                <w:lang w:val="es-ES_tradnl"/>
              </w:rPr>
              <w:t xml:space="preserve">: 1 (meta </w:t>
            </w:r>
            <w:proofErr w:type="spellStart"/>
            <w:r w:rsidRPr="00FD3713">
              <w:rPr>
                <w:rFonts w:asciiTheme="minorHAnsi" w:eastAsia="PMingLiU-ExtB" w:hAnsiTheme="minorHAnsi"/>
                <w:szCs w:val="24"/>
                <w:lang w:val="es-ES_tradnl"/>
              </w:rPr>
              <w:t>1.b</w:t>
            </w:r>
            <w:proofErr w:type="spellEnd"/>
            <w:r w:rsidRPr="00FD3713">
              <w:rPr>
                <w:rFonts w:asciiTheme="minorHAnsi" w:eastAsia="PMingLiU-ExtB" w:hAnsiTheme="minorHAnsi"/>
                <w:szCs w:val="24"/>
                <w:lang w:val="es-ES_tradnl"/>
              </w:rPr>
              <w:t xml:space="preserve">), 2 (meta 2.3), 3 (metas 3.7. </w:t>
            </w:r>
            <w:proofErr w:type="spellStart"/>
            <w:r w:rsidRPr="00FD3713">
              <w:rPr>
                <w:rFonts w:asciiTheme="minorHAnsi" w:eastAsia="PMingLiU-ExtB" w:hAnsiTheme="minorHAnsi"/>
                <w:szCs w:val="24"/>
                <w:lang w:val="es-ES_tradnl"/>
              </w:rPr>
              <w:t>3.b</w:t>
            </w:r>
            <w:proofErr w:type="spellEnd"/>
            <w:r w:rsidRPr="00FD3713">
              <w:rPr>
                <w:rFonts w:asciiTheme="minorHAnsi" w:eastAsia="PMingLiU-ExtB" w:hAnsiTheme="minorHAnsi"/>
                <w:szCs w:val="24"/>
                <w:lang w:val="es-ES_tradnl"/>
              </w:rPr>
              <w:t xml:space="preserve">. </w:t>
            </w:r>
            <w:proofErr w:type="spellStart"/>
            <w:r w:rsidRPr="00FD3713">
              <w:rPr>
                <w:rFonts w:asciiTheme="minorHAnsi" w:eastAsia="PMingLiU-ExtB" w:hAnsiTheme="minorHAnsi"/>
                <w:szCs w:val="24"/>
                <w:lang w:val="es-ES_tradnl"/>
              </w:rPr>
              <w:t>3.d</w:t>
            </w:r>
            <w:proofErr w:type="spellEnd"/>
            <w:r w:rsidRPr="00FD3713">
              <w:rPr>
                <w:rFonts w:asciiTheme="minorHAnsi" w:eastAsia="PMingLiU-ExtB" w:hAnsiTheme="minorHAnsi"/>
                <w:szCs w:val="24"/>
                <w:lang w:val="es-ES_tradnl"/>
              </w:rPr>
              <w:t xml:space="preserve">) , 4 (metas 4.4, 4.7), 5 (metas 5.5, </w:t>
            </w:r>
            <w:proofErr w:type="spellStart"/>
            <w:r w:rsidRPr="00FD3713">
              <w:rPr>
                <w:rFonts w:asciiTheme="minorHAnsi" w:eastAsia="PMingLiU-ExtB" w:hAnsiTheme="minorHAnsi"/>
                <w:szCs w:val="24"/>
                <w:lang w:val="es-ES_tradnl"/>
              </w:rPr>
              <w:t>5.b</w:t>
            </w:r>
            <w:proofErr w:type="spellEnd"/>
            <w:r w:rsidRPr="00FD3713">
              <w:rPr>
                <w:rFonts w:asciiTheme="minorHAnsi" w:eastAsia="PMingLiU-ExtB" w:hAnsiTheme="minorHAnsi"/>
                <w:szCs w:val="24"/>
                <w:lang w:val="es-ES_tradnl"/>
              </w:rPr>
              <w:t xml:space="preserve">), 6 (meta </w:t>
            </w:r>
            <w:proofErr w:type="spellStart"/>
            <w:r w:rsidRPr="00FD3713">
              <w:rPr>
                <w:rFonts w:asciiTheme="minorHAnsi" w:eastAsia="PMingLiU-ExtB" w:hAnsiTheme="minorHAnsi"/>
                <w:szCs w:val="24"/>
                <w:lang w:val="es-ES_tradnl"/>
              </w:rPr>
              <w:t>6.a</w:t>
            </w:r>
            <w:proofErr w:type="spellEnd"/>
            <w:r w:rsidRPr="00FD3713">
              <w:rPr>
                <w:rFonts w:asciiTheme="minorHAnsi" w:eastAsia="PMingLiU-ExtB" w:hAnsiTheme="minorHAnsi"/>
                <w:szCs w:val="24"/>
                <w:lang w:val="es-ES_tradnl"/>
              </w:rPr>
              <w:t xml:space="preserve">), 8 (meta 8.2), 9 (metas 9.1, </w:t>
            </w:r>
            <w:proofErr w:type="spellStart"/>
            <w:r w:rsidRPr="00FD3713">
              <w:rPr>
                <w:rFonts w:asciiTheme="minorHAnsi" w:eastAsia="PMingLiU-ExtB" w:hAnsiTheme="minorHAnsi"/>
                <w:szCs w:val="24"/>
                <w:lang w:val="es-ES_tradnl"/>
              </w:rPr>
              <w:t>9.b</w:t>
            </w:r>
            <w:proofErr w:type="spellEnd"/>
            <w:r w:rsidRPr="00FD3713">
              <w:rPr>
                <w:rFonts w:asciiTheme="minorHAnsi" w:eastAsia="PMingLiU-ExtB" w:hAnsiTheme="minorHAnsi"/>
                <w:szCs w:val="24"/>
                <w:lang w:val="es-ES_tradnl"/>
              </w:rPr>
              <w:t xml:space="preserve">, </w:t>
            </w:r>
            <w:proofErr w:type="spellStart"/>
            <w:r w:rsidRPr="00FD3713">
              <w:rPr>
                <w:rFonts w:asciiTheme="minorHAnsi" w:eastAsia="PMingLiU-ExtB" w:hAnsiTheme="minorHAnsi"/>
                <w:szCs w:val="24"/>
                <w:lang w:val="es-ES_tradnl"/>
              </w:rPr>
              <w:t>9.c</w:t>
            </w:r>
            <w:proofErr w:type="spellEnd"/>
            <w:r w:rsidRPr="00FD3713">
              <w:rPr>
                <w:rFonts w:asciiTheme="minorHAnsi" w:eastAsia="PMingLiU-ExtB" w:hAnsiTheme="minorHAnsi"/>
                <w:szCs w:val="24"/>
                <w:lang w:val="es-ES_tradnl"/>
              </w:rPr>
              <w:t xml:space="preserve">), 12 (metas 12.7, 12.8, </w:t>
            </w:r>
            <w:proofErr w:type="spellStart"/>
            <w:r w:rsidRPr="00FD3713">
              <w:rPr>
                <w:rFonts w:asciiTheme="minorHAnsi" w:eastAsia="PMingLiU-ExtB" w:hAnsiTheme="minorHAnsi"/>
                <w:szCs w:val="24"/>
                <w:lang w:val="es-ES_tradnl"/>
              </w:rPr>
              <w:t>12.a</w:t>
            </w:r>
            <w:proofErr w:type="spellEnd"/>
            <w:r w:rsidRPr="00FD3713">
              <w:rPr>
                <w:rFonts w:asciiTheme="minorHAnsi" w:eastAsia="PMingLiU-ExtB" w:hAnsiTheme="minorHAnsi"/>
                <w:szCs w:val="24"/>
                <w:lang w:val="es-ES_tradnl"/>
              </w:rPr>
              <w:t xml:space="preserve">, </w:t>
            </w:r>
            <w:proofErr w:type="spellStart"/>
            <w:r w:rsidRPr="00FD3713">
              <w:rPr>
                <w:rFonts w:asciiTheme="minorHAnsi" w:eastAsia="PMingLiU-ExtB" w:hAnsiTheme="minorHAnsi"/>
                <w:szCs w:val="24"/>
                <w:lang w:val="es-ES_tradnl"/>
              </w:rPr>
              <w:t>12.b</w:t>
            </w:r>
            <w:proofErr w:type="spellEnd"/>
            <w:r w:rsidRPr="00FD3713">
              <w:rPr>
                <w:rFonts w:asciiTheme="minorHAnsi" w:eastAsia="PMingLiU-ExtB" w:hAnsiTheme="minorHAnsi"/>
                <w:szCs w:val="24"/>
                <w:lang w:val="es-ES_tradnl"/>
              </w:rPr>
              <w:t xml:space="preserve">), 13 (metas 13.2, 13.3, </w:t>
            </w:r>
            <w:proofErr w:type="spellStart"/>
            <w:r w:rsidRPr="00FD3713">
              <w:rPr>
                <w:rFonts w:asciiTheme="minorHAnsi" w:eastAsia="PMingLiU-ExtB" w:hAnsiTheme="minorHAnsi"/>
                <w:szCs w:val="24"/>
                <w:lang w:val="es-ES_tradnl"/>
              </w:rPr>
              <w:t>13.b</w:t>
            </w:r>
            <w:proofErr w:type="spellEnd"/>
            <w:r w:rsidRPr="00FD3713">
              <w:rPr>
                <w:rFonts w:asciiTheme="minorHAnsi" w:eastAsia="PMingLiU-ExtB" w:hAnsiTheme="minorHAnsi"/>
                <w:szCs w:val="24"/>
                <w:lang w:val="es-ES_tradnl"/>
              </w:rPr>
              <w:t xml:space="preserve">), 14 (meta </w:t>
            </w:r>
            <w:proofErr w:type="spellStart"/>
            <w:r w:rsidRPr="00FD3713">
              <w:rPr>
                <w:rFonts w:asciiTheme="minorHAnsi" w:eastAsia="PMingLiU-ExtB" w:hAnsiTheme="minorHAnsi"/>
                <w:szCs w:val="24"/>
                <w:lang w:val="es-ES_tradnl"/>
              </w:rPr>
              <w:t>14.a</w:t>
            </w:r>
            <w:proofErr w:type="spellEnd"/>
            <w:r w:rsidRPr="00FD3713">
              <w:rPr>
                <w:rFonts w:asciiTheme="minorHAnsi" w:eastAsia="PMingLiU-ExtB" w:hAnsiTheme="minorHAnsi"/>
                <w:szCs w:val="24"/>
                <w:lang w:val="es-ES_tradnl"/>
              </w:rPr>
              <w:t xml:space="preserve">), 16 (meta </w:t>
            </w:r>
            <w:proofErr w:type="spellStart"/>
            <w:r w:rsidRPr="00FD3713">
              <w:rPr>
                <w:rFonts w:asciiTheme="minorHAnsi" w:eastAsia="PMingLiU-ExtB" w:hAnsiTheme="minorHAnsi"/>
                <w:szCs w:val="24"/>
                <w:lang w:val="es-ES_tradnl"/>
              </w:rPr>
              <w:t>1</w:t>
            </w:r>
            <w:r w:rsidR="00D8378B">
              <w:rPr>
                <w:rFonts w:asciiTheme="minorHAnsi" w:eastAsia="PMingLiU-ExtB" w:hAnsiTheme="minorHAnsi"/>
                <w:szCs w:val="24"/>
                <w:lang w:val="es-ES_tradnl"/>
              </w:rPr>
              <w:t>6.a</w:t>
            </w:r>
            <w:proofErr w:type="spellEnd"/>
            <w:r w:rsidR="00D8378B">
              <w:rPr>
                <w:rFonts w:asciiTheme="minorHAnsi" w:eastAsia="PMingLiU-ExtB" w:hAnsiTheme="minorHAnsi"/>
                <w:szCs w:val="24"/>
                <w:lang w:val="es-ES_tradnl"/>
              </w:rPr>
              <w:t>), 17 (metas 17.9, 17.18)</w:t>
            </w:r>
          </w:p>
        </w:tc>
      </w:tr>
    </w:tbl>
    <w:p w:rsidR="00F45A0D" w:rsidRPr="00FD3713" w:rsidRDefault="00F45A0D" w:rsidP="00482C61">
      <w:pPr>
        <w:pStyle w:val="Heading2"/>
        <w:spacing w:after="120"/>
        <w:rPr>
          <w:lang w:val="es-ES_tradnl"/>
        </w:rPr>
      </w:pPr>
      <w:r w:rsidRPr="00FD3713">
        <w:rPr>
          <w:lang w:val="es-ES_tradnl"/>
        </w:rPr>
        <w:t>4.2</w:t>
      </w:r>
      <w:r w:rsidRPr="00FD3713">
        <w:rPr>
          <w:lang w:val="es-ES_tradnl"/>
        </w:rPr>
        <w:tab/>
        <w:t xml:space="preserve">Estadísticas de las telecomunicaciones/TIC </w:t>
      </w:r>
    </w:p>
    <w:tbl>
      <w:tblPr>
        <w:tblStyle w:val="TableGrid"/>
        <w:tblW w:w="0" w:type="auto"/>
        <w:tblLook w:val="04A0" w:firstRow="1" w:lastRow="0" w:firstColumn="1" w:lastColumn="0" w:noHBand="0" w:noVBand="1"/>
      </w:tblPr>
      <w:tblGrid>
        <w:gridCol w:w="2830"/>
        <w:gridCol w:w="6798"/>
      </w:tblGrid>
      <w:tr w:rsidR="00F45A0D" w:rsidRPr="008D434B" w:rsidTr="00F45A0D">
        <w:tc>
          <w:tcPr>
            <w:tcW w:w="9628" w:type="dxa"/>
            <w:gridSpan w:val="2"/>
          </w:tcPr>
          <w:p w:rsidR="00F45A0D" w:rsidRPr="00FD3713" w:rsidRDefault="00F45A0D" w:rsidP="00F45A0D">
            <w:pPr>
              <w:rPr>
                <w:rFonts w:asciiTheme="minorHAnsi" w:hAnsiTheme="minorHAnsi"/>
                <w:szCs w:val="24"/>
                <w:lang w:val="es-ES_tradnl"/>
              </w:rPr>
            </w:pPr>
            <w:r w:rsidRPr="007C3EC3">
              <w:rPr>
                <w:rFonts w:asciiTheme="minorHAnsi" w:hAnsiTheme="minorHAnsi"/>
                <w:szCs w:val="24"/>
                <w:lang w:val="es-ES_tradnl"/>
              </w:rPr>
              <w:t xml:space="preserve">La </w:t>
            </w:r>
            <w:proofErr w:type="spellStart"/>
            <w:r w:rsidRPr="007C3EC3">
              <w:rPr>
                <w:rFonts w:asciiTheme="minorHAnsi" w:hAnsiTheme="minorHAnsi"/>
                <w:szCs w:val="24"/>
                <w:lang w:val="es-ES_tradnl"/>
              </w:rPr>
              <w:t>BDT</w:t>
            </w:r>
            <w:proofErr w:type="spellEnd"/>
            <w:r w:rsidRPr="007C3EC3">
              <w:rPr>
                <w:rFonts w:asciiTheme="minorHAnsi" w:hAnsiTheme="minorHAnsi"/>
                <w:szCs w:val="24"/>
                <w:lang w:val="es-ES_tradnl"/>
              </w:rPr>
              <w:t xml:space="preserve"> posee la mayor colección de datos y estadísticas de TIC del mundo sobre diversas áreas temáticas, entre ellas infraestructuras de las TIC, acceso y utilización, políticas y reglamentación, así como sobre diversas cuestiones relacionadas con políticas de imputación de costos y fijación de tarifas. El trabajo de la </w:t>
            </w:r>
            <w:proofErr w:type="spellStart"/>
            <w:r w:rsidRPr="007C3EC3">
              <w:rPr>
                <w:rFonts w:asciiTheme="minorHAnsi" w:hAnsiTheme="minorHAnsi"/>
                <w:szCs w:val="24"/>
                <w:lang w:val="es-ES_tradnl"/>
              </w:rPr>
              <w:t>UIT</w:t>
            </w:r>
            <w:proofErr w:type="spellEnd"/>
            <w:r w:rsidRPr="007C3EC3">
              <w:rPr>
                <w:rFonts w:asciiTheme="minorHAnsi" w:hAnsiTheme="minorHAnsi"/>
                <w:szCs w:val="24"/>
                <w:lang w:val="es-ES_tradnl"/>
              </w:rPr>
              <w:t xml:space="preserve"> en el ámbito de este Producto ha tenido como resultado una mejor disponibilidad y distribución de las bases de datos de estadísticas de TIC, internacionalmente comparables y oportunas en el tiempo.</w:t>
            </w:r>
          </w:p>
          <w:p w:rsidR="00F45A0D" w:rsidRPr="008D434B" w:rsidRDefault="00F45A0D" w:rsidP="004E2CDB">
            <w:pPr>
              <w:rPr>
                <w:lang w:val="es-ES_tradnl"/>
              </w:rPr>
            </w:pPr>
            <w:bookmarkStart w:id="161" w:name="lt_pId393"/>
            <w:r w:rsidRPr="00FD3713">
              <w:rPr>
                <w:rFonts w:asciiTheme="minorHAnsi" w:hAnsiTheme="minorHAnsi"/>
                <w:szCs w:val="24"/>
                <w:lang w:val="es-ES_tradnl"/>
              </w:rPr>
              <w:t>El 15º Simposio Mundial de Indicadores de Telecomunicaciones/TIC (</w:t>
            </w:r>
            <w:proofErr w:type="spellStart"/>
            <w:r w:rsidRPr="00FD3713">
              <w:rPr>
                <w:rFonts w:asciiTheme="minorHAnsi" w:hAnsiTheme="minorHAnsi"/>
                <w:szCs w:val="24"/>
                <w:lang w:val="es-ES_tradnl"/>
              </w:rPr>
              <w:t>SMIT</w:t>
            </w:r>
            <w:proofErr w:type="spellEnd"/>
            <w:r w:rsidRPr="00FD3713">
              <w:rPr>
                <w:rFonts w:asciiTheme="minorHAnsi" w:hAnsiTheme="minorHAnsi"/>
                <w:szCs w:val="24"/>
                <w:lang w:val="es-ES_tradnl"/>
              </w:rPr>
              <w:t>) se celebró en Túnez en noviembre de 2017.</w:t>
            </w:r>
            <w:bookmarkEnd w:id="161"/>
            <w:r w:rsidRPr="00FD3713">
              <w:rPr>
                <w:rFonts w:asciiTheme="minorHAnsi" w:hAnsiTheme="minorHAnsi"/>
                <w:szCs w:val="24"/>
                <w:lang w:val="es-ES_tradnl"/>
              </w:rPr>
              <w:t xml:space="preserve"> En el marco del </w:t>
            </w:r>
            <w:proofErr w:type="spellStart"/>
            <w:r w:rsidRPr="00FD3713">
              <w:rPr>
                <w:rFonts w:asciiTheme="minorHAnsi" w:hAnsiTheme="minorHAnsi"/>
                <w:szCs w:val="24"/>
                <w:lang w:val="es-ES_tradnl"/>
              </w:rPr>
              <w:t>SMIT</w:t>
            </w:r>
            <w:bookmarkStart w:id="162" w:name="lt_pId394"/>
            <w:proofErr w:type="spellEnd"/>
            <w:r w:rsidRPr="00FD3713">
              <w:rPr>
                <w:rFonts w:asciiTheme="minorHAnsi" w:hAnsiTheme="minorHAnsi"/>
                <w:szCs w:val="24"/>
                <w:lang w:val="es-ES_tradnl"/>
              </w:rPr>
              <w:t xml:space="preserve">-17 se ofrecieron conferencias sobre datos de TIC para la inversión y las nuevas tendencias de TIC en los campos de la inteligencia artificial, los </w:t>
            </w:r>
            <w:proofErr w:type="spellStart"/>
            <w:r w:rsidRPr="00FD3713">
              <w:rPr>
                <w:rFonts w:asciiTheme="minorHAnsi" w:hAnsiTheme="minorHAnsi"/>
                <w:szCs w:val="24"/>
                <w:lang w:val="es-ES_tradnl"/>
              </w:rPr>
              <w:t>macrodatos</w:t>
            </w:r>
            <w:proofErr w:type="spellEnd"/>
            <w:r w:rsidRPr="00FD3713">
              <w:rPr>
                <w:rFonts w:asciiTheme="minorHAnsi" w:hAnsiTheme="minorHAnsi"/>
                <w:szCs w:val="24"/>
                <w:lang w:val="es-ES_tradnl"/>
              </w:rPr>
              <w:t xml:space="preserve">, la computación en la nube y la Internet de las cosas. Los participantes también pudieron disfrutar de una serie de demostraciones, tutoriales y breves charlas sobre visualización de datos y herramientas de análisis de </w:t>
            </w:r>
            <w:proofErr w:type="spellStart"/>
            <w:r w:rsidRPr="00FD3713">
              <w:rPr>
                <w:rFonts w:asciiTheme="minorHAnsi" w:hAnsiTheme="minorHAnsi"/>
                <w:szCs w:val="24"/>
                <w:lang w:val="es-ES_tradnl"/>
              </w:rPr>
              <w:t>macrodatos</w:t>
            </w:r>
            <w:proofErr w:type="spellEnd"/>
            <w:r w:rsidRPr="00FD3713">
              <w:rPr>
                <w:rFonts w:asciiTheme="minorHAnsi" w:hAnsiTheme="minorHAnsi"/>
                <w:szCs w:val="24"/>
                <w:lang w:val="es-ES_tradnl"/>
              </w:rPr>
              <w:t xml:space="preserve">, financiación participativa, redes de la próxima generación y seguimiento de la economía digital. En el </w:t>
            </w:r>
            <w:proofErr w:type="spellStart"/>
            <w:r w:rsidRPr="00FD3713">
              <w:rPr>
                <w:rFonts w:asciiTheme="minorHAnsi" w:hAnsiTheme="minorHAnsi"/>
                <w:szCs w:val="24"/>
                <w:lang w:val="es-ES_tradnl"/>
              </w:rPr>
              <w:t>SMIT</w:t>
            </w:r>
            <w:proofErr w:type="spellEnd"/>
            <w:r w:rsidRPr="00FD3713">
              <w:rPr>
                <w:rFonts w:asciiTheme="minorHAnsi" w:hAnsiTheme="minorHAnsi"/>
                <w:szCs w:val="24"/>
                <w:lang w:val="es-ES_tradnl"/>
              </w:rPr>
              <w:t xml:space="preserve">-17 se presentó la última edición del </w:t>
            </w:r>
            <w:r w:rsidR="004E2CDB" w:rsidRPr="00FD3713">
              <w:rPr>
                <w:rFonts w:asciiTheme="minorHAnsi" w:hAnsiTheme="minorHAnsi"/>
                <w:szCs w:val="24"/>
                <w:lang w:val="es-ES_tradnl"/>
              </w:rPr>
              <w:t>"</w:t>
            </w:r>
            <w:r w:rsidRPr="00FD3713">
              <w:rPr>
                <w:rFonts w:asciiTheme="minorHAnsi" w:hAnsiTheme="minorHAnsi"/>
                <w:szCs w:val="24"/>
                <w:lang w:val="es-ES_tradnl"/>
              </w:rPr>
              <w:t>Informe sobre la Medición de la Sociedad de la Informaci</w:t>
            </w:r>
            <w:r w:rsidR="004E2CDB" w:rsidRPr="00FD3713">
              <w:rPr>
                <w:rFonts w:asciiTheme="minorHAnsi" w:hAnsiTheme="minorHAnsi"/>
                <w:szCs w:val="24"/>
                <w:lang w:val="es-ES_tradnl"/>
              </w:rPr>
              <w:t>ón"</w:t>
            </w:r>
            <w:r w:rsidRPr="00FD3713">
              <w:rPr>
                <w:rFonts w:asciiTheme="minorHAnsi" w:hAnsiTheme="minorHAnsi"/>
                <w:szCs w:val="24"/>
                <w:lang w:val="es-ES_tradnl"/>
              </w:rPr>
              <w:t xml:space="preserve">, que contiene los resultados del </w:t>
            </w:r>
            <w:r w:rsidR="004E2CDB" w:rsidRPr="00FD3713">
              <w:rPr>
                <w:rFonts w:asciiTheme="minorHAnsi" w:hAnsiTheme="minorHAnsi"/>
                <w:szCs w:val="24"/>
                <w:lang w:val="es-ES_tradnl"/>
              </w:rPr>
              <w:t xml:space="preserve">último Índice de Desarrollo de </w:t>
            </w:r>
            <w:r w:rsidRPr="00FD3713">
              <w:rPr>
                <w:rFonts w:asciiTheme="minorHAnsi" w:hAnsiTheme="minorHAnsi"/>
                <w:szCs w:val="24"/>
                <w:lang w:val="es-ES_tradnl"/>
              </w:rPr>
              <w:t>las TIC</w:t>
            </w:r>
            <w:bookmarkStart w:id="163" w:name="lt_pId396"/>
            <w:bookmarkEnd w:id="162"/>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IDI</w:t>
            </w:r>
            <w:proofErr w:type="spellEnd"/>
            <w:r w:rsidRPr="00FD3713">
              <w:rPr>
                <w:rFonts w:asciiTheme="minorHAnsi" w:hAnsiTheme="minorHAnsi"/>
                <w:szCs w:val="24"/>
                <w:lang w:val="es-ES_tradnl"/>
              </w:rPr>
              <w:t>), que es el más importante índice mundial que mide el desarrollo de las TIC en más de 170 países de todo el mundo.</w:t>
            </w:r>
            <w:bookmarkStart w:id="164" w:name="lt_pId397"/>
            <w:bookmarkEnd w:id="163"/>
            <w:r w:rsidRPr="00FD3713">
              <w:rPr>
                <w:szCs w:val="24"/>
                <w:lang w:val="es-ES_tradnl"/>
              </w:rPr>
              <w:t xml:space="preserve"> </w:t>
            </w:r>
            <w:bookmarkEnd w:id="164"/>
            <w:r w:rsidRPr="00E0172D">
              <w:rPr>
                <w:rFonts w:asciiTheme="minorHAnsi" w:hAnsiTheme="minorHAnsi"/>
                <w:szCs w:val="24"/>
                <w:lang w:val="es-ES_tradnl"/>
              </w:rPr>
              <w:t xml:space="preserve">Este </w:t>
            </w:r>
            <w:r w:rsidRPr="007C3EC3">
              <w:rPr>
                <w:rFonts w:asciiTheme="minorHAnsi" w:hAnsiTheme="minorHAnsi"/>
                <w:szCs w:val="24"/>
                <w:lang w:val="es-ES_tradnl"/>
              </w:rPr>
              <w:t>Informe ha ampliado el conocimiento de los responsables de políticas, los inversores y los profesionales del negocio sobre las tendencias actuales de las TIC, permitiéndoles tomar decisiones con conocimiento de causa y proporcionando un análisis riguroso de la evolución de las telecomunicaciones/TIC en el mundo.</w:t>
            </w:r>
          </w:p>
          <w:p w:rsidR="00F45A0D" w:rsidRPr="008D434B" w:rsidRDefault="00F45A0D" w:rsidP="00F45A0D">
            <w:pPr>
              <w:rPr>
                <w:lang w:val="es-ES_tradnl"/>
              </w:rPr>
            </w:pPr>
            <w:r w:rsidRPr="007C3EC3">
              <w:rPr>
                <w:rFonts w:asciiTheme="minorHAnsi" w:hAnsiTheme="minorHAnsi"/>
                <w:szCs w:val="24"/>
                <w:lang w:val="es-ES_tradnl"/>
              </w:rPr>
              <w:t>En 2017, para mejorar la información y conocimientos de los responsables de políticas y otras partes interesadas, se publicaron varios productos estadísticos sobre las tendencias actuales de las TIC/Telecomunicaciones y su evolución a partir de estadísticas de calidad, comparables a escala internacional.</w:t>
            </w:r>
          </w:p>
          <w:p w:rsidR="00F45A0D" w:rsidRPr="00FD3713" w:rsidRDefault="00A9568F" w:rsidP="007C3EC3">
            <w:pPr>
              <w:pStyle w:val="enumlev1"/>
              <w:keepLines/>
              <w:spacing w:after="120"/>
              <w:rPr>
                <w:rFonts w:asciiTheme="minorHAnsi" w:eastAsia="PMingLiU-ExtB" w:hAnsiTheme="minorHAnsi"/>
                <w:szCs w:val="24"/>
                <w:lang w:val="es-ES_tradnl"/>
              </w:rPr>
            </w:pPr>
            <w:bookmarkStart w:id="165" w:name="lt_pId399"/>
            <w:r w:rsidRPr="00FD3713">
              <w:rPr>
                <w:rFonts w:asciiTheme="minorHAnsi" w:hAnsiTheme="minorHAnsi"/>
                <w:szCs w:val="24"/>
                <w:lang w:val="es-ES_tradnl"/>
              </w:rPr>
              <w:lastRenderedPageBreak/>
              <w:t>–</w:t>
            </w:r>
            <w:r w:rsidRPr="00FD3713">
              <w:rPr>
                <w:rFonts w:asciiTheme="minorHAnsi" w:hAnsiTheme="minorHAnsi"/>
                <w:szCs w:val="24"/>
                <w:lang w:val="es-ES_tradnl"/>
              </w:rPr>
              <w:tab/>
            </w:r>
            <w:r w:rsidR="00F45A0D" w:rsidRPr="00FD3713">
              <w:rPr>
                <w:rFonts w:asciiTheme="minorHAnsi" w:eastAsia="PMingLiU-ExtB" w:hAnsiTheme="minorHAnsi"/>
                <w:szCs w:val="24"/>
                <w:lang w:val="es-ES_tradnl"/>
              </w:rPr>
              <w:t xml:space="preserve">Las últimas ediciones de la Base de datos de Indicadores mundiales de telecomunicaciones/TIC y de la publicación </w:t>
            </w:r>
            <w:r w:rsidR="004E2CDB" w:rsidRPr="00FD3713">
              <w:rPr>
                <w:rFonts w:asciiTheme="minorHAnsi" w:eastAsia="PMingLiU-ExtB" w:hAnsiTheme="minorHAnsi"/>
                <w:szCs w:val="24"/>
                <w:lang w:val="es-ES_tradnl"/>
              </w:rPr>
              <w:t>"</w:t>
            </w:r>
            <w:proofErr w:type="spellStart"/>
            <w:r w:rsidR="00F45A0D" w:rsidRPr="00FD3713">
              <w:rPr>
                <w:rFonts w:asciiTheme="minorHAnsi" w:eastAsia="PMingLiU-ExtB" w:hAnsiTheme="minorHAnsi"/>
                <w:szCs w:val="24"/>
                <w:lang w:val="es-ES_tradnl"/>
              </w:rPr>
              <w:t>The</w:t>
            </w:r>
            <w:proofErr w:type="spellEnd"/>
            <w:r w:rsidR="00F45A0D" w:rsidRPr="00FD3713">
              <w:rPr>
                <w:rFonts w:asciiTheme="minorHAnsi" w:eastAsia="PMingLiU-ExtB" w:hAnsiTheme="minorHAnsi"/>
                <w:szCs w:val="24"/>
                <w:lang w:val="es-ES_tradnl"/>
              </w:rPr>
              <w:t xml:space="preserve"> Little Data Book </w:t>
            </w:r>
            <w:proofErr w:type="spellStart"/>
            <w:r w:rsidR="00F45A0D" w:rsidRPr="00FD3713">
              <w:rPr>
                <w:rFonts w:asciiTheme="minorHAnsi" w:eastAsia="PMingLiU-ExtB" w:hAnsiTheme="minorHAnsi"/>
                <w:szCs w:val="24"/>
                <w:lang w:val="es-ES_tradnl"/>
              </w:rPr>
              <w:t>on</w:t>
            </w:r>
            <w:proofErr w:type="spellEnd"/>
            <w:r w:rsidR="00F45A0D" w:rsidRPr="00FD3713">
              <w:rPr>
                <w:rFonts w:asciiTheme="minorHAnsi" w:eastAsia="PMingLiU-ExtB" w:hAnsiTheme="minorHAnsi"/>
                <w:szCs w:val="24"/>
                <w:lang w:val="es-ES_tradnl"/>
              </w:rPr>
              <w:t xml:space="preserve"> </w:t>
            </w:r>
            <w:proofErr w:type="spellStart"/>
            <w:r w:rsidR="00F45A0D" w:rsidRPr="00FD3713">
              <w:rPr>
                <w:rFonts w:asciiTheme="minorHAnsi" w:eastAsia="PMingLiU-ExtB" w:hAnsiTheme="minorHAnsi"/>
                <w:szCs w:val="24"/>
                <w:lang w:val="es-ES_tradnl"/>
              </w:rPr>
              <w:t>Information</w:t>
            </w:r>
            <w:proofErr w:type="spellEnd"/>
            <w:r w:rsidR="00F45A0D" w:rsidRPr="00FD3713">
              <w:rPr>
                <w:rFonts w:asciiTheme="minorHAnsi" w:eastAsia="PMingLiU-ExtB" w:hAnsiTheme="minorHAnsi"/>
                <w:szCs w:val="24"/>
                <w:lang w:val="es-ES_tradnl"/>
              </w:rPr>
              <w:t xml:space="preserve"> and </w:t>
            </w:r>
            <w:proofErr w:type="spellStart"/>
            <w:r w:rsidR="00F45A0D" w:rsidRPr="00FD3713">
              <w:rPr>
                <w:rFonts w:asciiTheme="minorHAnsi" w:eastAsia="PMingLiU-ExtB" w:hAnsiTheme="minorHAnsi"/>
                <w:szCs w:val="24"/>
                <w:lang w:val="es-ES_tradnl"/>
              </w:rPr>
              <w:t>Communication</w:t>
            </w:r>
            <w:proofErr w:type="spellEnd"/>
            <w:r w:rsidR="00F45A0D" w:rsidRPr="00FD3713">
              <w:rPr>
                <w:rFonts w:asciiTheme="minorHAnsi" w:eastAsia="PMingLiU-ExtB" w:hAnsiTheme="minorHAnsi"/>
                <w:szCs w:val="24"/>
                <w:lang w:val="es-ES_tradnl"/>
              </w:rPr>
              <w:t xml:space="preserve"> </w:t>
            </w:r>
            <w:proofErr w:type="spellStart"/>
            <w:r w:rsidR="00F45A0D" w:rsidRPr="00FD3713">
              <w:rPr>
                <w:rFonts w:asciiTheme="minorHAnsi" w:eastAsia="PMingLiU-ExtB" w:hAnsiTheme="minorHAnsi"/>
                <w:szCs w:val="24"/>
                <w:lang w:val="es-ES_tradnl"/>
              </w:rPr>
              <w:t>Technology</w:t>
            </w:r>
            <w:proofErr w:type="spellEnd"/>
            <w:r w:rsidR="00F45A0D" w:rsidRPr="00FD3713">
              <w:rPr>
                <w:rFonts w:asciiTheme="minorHAnsi" w:eastAsia="PMingLiU-ExtB" w:hAnsiTheme="minorHAnsi"/>
                <w:szCs w:val="24"/>
                <w:lang w:val="es-ES_tradnl"/>
              </w:rPr>
              <w:t xml:space="preserve"> 2017</w:t>
            </w:r>
            <w:r w:rsidR="004E2CDB" w:rsidRPr="00FD3713">
              <w:rPr>
                <w:rFonts w:asciiTheme="minorHAnsi" w:eastAsia="PMingLiU-ExtB" w:hAnsiTheme="minorHAnsi"/>
                <w:szCs w:val="24"/>
                <w:lang w:val="es-ES_tradnl"/>
              </w:rPr>
              <w:t>"</w:t>
            </w:r>
            <w:r w:rsidR="00F45A0D" w:rsidRPr="00FD3713">
              <w:rPr>
                <w:rFonts w:asciiTheme="minorHAnsi" w:eastAsia="PMingLiU-ExtB" w:hAnsiTheme="minorHAnsi"/>
                <w:szCs w:val="24"/>
                <w:lang w:val="es-ES_tradnl"/>
              </w:rPr>
              <w:t xml:space="preserve"> de la </w:t>
            </w:r>
            <w:proofErr w:type="spellStart"/>
            <w:r w:rsidR="00F45A0D" w:rsidRPr="00FD3713">
              <w:rPr>
                <w:rFonts w:asciiTheme="minorHAnsi" w:eastAsia="PMingLiU-ExtB" w:hAnsiTheme="minorHAnsi"/>
                <w:szCs w:val="24"/>
                <w:lang w:val="es-ES_tradnl"/>
              </w:rPr>
              <w:t>UIT</w:t>
            </w:r>
            <w:proofErr w:type="spellEnd"/>
            <w:r w:rsidR="00F45A0D" w:rsidRPr="00FD3713">
              <w:rPr>
                <w:rFonts w:asciiTheme="minorHAnsi" w:eastAsia="PMingLiU-ExtB" w:hAnsiTheme="minorHAnsi"/>
                <w:szCs w:val="24"/>
                <w:lang w:val="es-ES_tradnl"/>
              </w:rPr>
              <w:t>/Banco Mundial se publicaron en enero y junio de 2017 respectivamente. Con estos datos los usuarios podrán tomar con conocimiento de causa decisiones sobre TIC basadas en estadísticas comparables a escala internacional</w:t>
            </w:r>
            <w:bookmarkStart w:id="166" w:name="lt_pId400"/>
            <w:bookmarkEnd w:id="165"/>
            <w:r w:rsidR="00F45A0D" w:rsidRPr="00FD3713">
              <w:rPr>
                <w:rFonts w:asciiTheme="minorHAnsi" w:eastAsia="PMingLiU-ExtB" w:hAnsiTheme="minorHAnsi"/>
                <w:szCs w:val="24"/>
                <w:lang w:val="es-ES_tradnl"/>
              </w:rPr>
              <w:t>.</w:t>
            </w:r>
            <w:bookmarkEnd w:id="166"/>
          </w:p>
          <w:p w:rsidR="00F45A0D" w:rsidRPr="00FD3713" w:rsidRDefault="00A9568F" w:rsidP="004E2CDB">
            <w:pPr>
              <w:pStyle w:val="enumlev1"/>
              <w:spacing w:after="120"/>
              <w:rPr>
                <w:rFonts w:asciiTheme="minorHAnsi" w:eastAsia="PMingLiU-ExtB" w:hAnsiTheme="minorHAnsi"/>
                <w:szCs w:val="24"/>
                <w:lang w:val="es-ES_tradnl"/>
              </w:rPr>
            </w:pPr>
            <w:bookmarkStart w:id="167" w:name="lt_pId401"/>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PMingLiU-ExtB" w:hAnsiTheme="minorHAnsi"/>
                <w:szCs w:val="24"/>
                <w:lang w:val="es-ES_tradnl"/>
              </w:rPr>
              <w:t xml:space="preserve">Los Informes </w:t>
            </w:r>
            <w:r w:rsidR="004E2CDB" w:rsidRPr="00FD3713">
              <w:rPr>
                <w:rFonts w:asciiTheme="minorHAnsi" w:eastAsia="PMingLiU-ExtB" w:hAnsiTheme="minorHAnsi"/>
                <w:szCs w:val="24"/>
                <w:lang w:val="es-ES_tradnl"/>
              </w:rPr>
              <w:t>"</w:t>
            </w:r>
            <w:r w:rsidR="00F45A0D" w:rsidRPr="00FD3713">
              <w:rPr>
                <w:rFonts w:asciiTheme="minorHAnsi" w:eastAsia="PMingLiU-ExtB" w:hAnsiTheme="minorHAnsi"/>
                <w:szCs w:val="24"/>
                <w:lang w:val="es-ES_tradnl"/>
              </w:rPr>
              <w:t>Tendencias y evolución de las TIC</w:t>
            </w:r>
            <w:r w:rsidR="004E2CDB" w:rsidRPr="00FD3713">
              <w:rPr>
                <w:rFonts w:asciiTheme="minorHAnsi" w:eastAsia="PMingLiU-ExtB" w:hAnsiTheme="minorHAnsi"/>
                <w:szCs w:val="24"/>
                <w:lang w:val="es-ES_tradnl"/>
              </w:rPr>
              <w:t>"</w:t>
            </w:r>
            <w:r w:rsidR="00F45A0D" w:rsidRPr="00FD3713">
              <w:rPr>
                <w:rFonts w:asciiTheme="minorHAnsi" w:eastAsia="PMingLiU-ExtB" w:hAnsiTheme="minorHAnsi"/>
                <w:szCs w:val="24"/>
                <w:lang w:val="es-ES_tradnl"/>
              </w:rPr>
              <w:t xml:space="preserve"> para las Américas, Asia y el Pacífico y Europa se finalizaron y presentaron a las Reuniones Preparatorias Regionales (</w:t>
            </w:r>
            <w:proofErr w:type="spellStart"/>
            <w:r w:rsidR="00F45A0D" w:rsidRPr="00FD3713">
              <w:rPr>
                <w:rFonts w:asciiTheme="minorHAnsi" w:eastAsia="PMingLiU-ExtB" w:hAnsiTheme="minorHAnsi"/>
                <w:szCs w:val="24"/>
                <w:lang w:val="es-ES_tradnl"/>
              </w:rPr>
              <w:t>RPR</w:t>
            </w:r>
            <w:proofErr w:type="spellEnd"/>
            <w:r w:rsidR="00F45A0D" w:rsidRPr="00FD3713">
              <w:rPr>
                <w:rFonts w:asciiTheme="minorHAnsi" w:eastAsia="PMingLiU-ExtB" w:hAnsiTheme="minorHAnsi"/>
                <w:szCs w:val="24"/>
                <w:lang w:val="es-ES_tradnl"/>
              </w:rPr>
              <w:t xml:space="preserve">). Gracias a estos informes, los Miembros de la </w:t>
            </w:r>
            <w:proofErr w:type="spellStart"/>
            <w:r w:rsidR="00F45A0D" w:rsidRPr="00FD3713">
              <w:rPr>
                <w:rFonts w:asciiTheme="minorHAnsi" w:eastAsia="PMingLiU-ExtB" w:hAnsiTheme="minorHAnsi"/>
                <w:szCs w:val="24"/>
                <w:lang w:val="es-ES_tradnl"/>
              </w:rPr>
              <w:t>UIT</w:t>
            </w:r>
            <w:proofErr w:type="spellEnd"/>
            <w:r w:rsidR="00F45A0D" w:rsidRPr="00FD3713">
              <w:rPr>
                <w:rFonts w:asciiTheme="minorHAnsi" w:eastAsia="PMingLiU-ExtB" w:hAnsiTheme="minorHAnsi"/>
                <w:szCs w:val="24"/>
                <w:lang w:val="es-ES_tradnl"/>
              </w:rPr>
              <w:t xml:space="preserve"> pudiero</w:t>
            </w:r>
            <w:r w:rsidR="00BB4A23">
              <w:rPr>
                <w:rFonts w:asciiTheme="minorHAnsi" w:eastAsia="PMingLiU-ExtB" w:hAnsiTheme="minorHAnsi"/>
                <w:szCs w:val="24"/>
                <w:lang w:val="es-ES_tradnl"/>
              </w:rPr>
              <w:t>n evaluar las tendencias de las </w:t>
            </w:r>
            <w:r w:rsidR="00F45A0D" w:rsidRPr="00FD3713">
              <w:rPr>
                <w:rFonts w:asciiTheme="minorHAnsi" w:eastAsia="PMingLiU-ExtB" w:hAnsiTheme="minorHAnsi"/>
                <w:szCs w:val="24"/>
                <w:lang w:val="es-ES_tradnl"/>
              </w:rPr>
              <w:t xml:space="preserve">TIC en sus regiones antes de entablar los debates en las </w:t>
            </w:r>
            <w:proofErr w:type="spellStart"/>
            <w:r w:rsidR="00F45A0D" w:rsidRPr="00FD3713">
              <w:rPr>
                <w:rFonts w:asciiTheme="minorHAnsi" w:eastAsia="PMingLiU-ExtB" w:hAnsiTheme="minorHAnsi"/>
                <w:szCs w:val="24"/>
                <w:lang w:val="es-ES_tradnl"/>
              </w:rPr>
              <w:t>RPR</w:t>
            </w:r>
            <w:bookmarkStart w:id="168" w:name="lt_pId402"/>
            <w:bookmarkEnd w:id="167"/>
            <w:proofErr w:type="spellEnd"/>
            <w:r w:rsidR="00F45A0D" w:rsidRPr="00FD3713">
              <w:rPr>
                <w:rFonts w:asciiTheme="minorHAnsi" w:eastAsia="PMingLiU-ExtB" w:hAnsiTheme="minorHAnsi"/>
                <w:szCs w:val="24"/>
                <w:lang w:val="es-ES_tradnl"/>
              </w:rPr>
              <w:t>.</w:t>
            </w:r>
            <w:bookmarkEnd w:id="168"/>
          </w:p>
          <w:p w:rsidR="00F45A0D" w:rsidRPr="00FD3713" w:rsidRDefault="00A9568F" w:rsidP="00A9568F">
            <w:pPr>
              <w:pStyle w:val="enumlev1"/>
              <w:spacing w:after="120"/>
              <w:rPr>
                <w:rFonts w:asciiTheme="minorHAnsi" w:eastAsia="PMingLiU-ExtB" w:hAnsiTheme="minorHAnsi"/>
                <w:szCs w:val="24"/>
                <w:lang w:val="es-ES_tradnl"/>
              </w:rPr>
            </w:pPr>
            <w:bookmarkStart w:id="169" w:name="lt_pId403"/>
            <w:r w:rsidRPr="00FD3713">
              <w:rPr>
                <w:rFonts w:eastAsia="PMingLiU-ExtB"/>
                <w:szCs w:val="24"/>
                <w:lang w:val="es-ES_tradnl"/>
              </w:rPr>
              <w:t>–</w:t>
            </w:r>
            <w:r w:rsidRPr="00FD3713">
              <w:rPr>
                <w:rFonts w:asciiTheme="minorHAnsi" w:eastAsia="PMingLiU-ExtB" w:hAnsiTheme="minorHAnsi"/>
                <w:szCs w:val="24"/>
                <w:lang w:val="es-ES_tradnl"/>
              </w:rPr>
              <w:tab/>
            </w:r>
            <w:r w:rsidR="00F45A0D" w:rsidRPr="00FD3713">
              <w:rPr>
                <w:rFonts w:asciiTheme="minorHAnsi" w:eastAsia="PMingLiU-ExtB" w:hAnsiTheme="minorHAnsi"/>
                <w:szCs w:val="24"/>
                <w:lang w:val="es-ES_tradnl"/>
              </w:rPr>
              <w:t>Se completó la recopilación de datos del cuestionario largo de 2017. Cerca de</w:t>
            </w:r>
            <w:bookmarkStart w:id="170" w:name="lt_pId404"/>
            <w:bookmarkEnd w:id="169"/>
            <w:r w:rsidRPr="00FD3713">
              <w:rPr>
                <w:rFonts w:asciiTheme="minorHAnsi" w:eastAsia="PMingLiU-ExtB" w:hAnsiTheme="minorHAnsi"/>
                <w:szCs w:val="24"/>
                <w:lang w:val="es-ES_tradnl"/>
              </w:rPr>
              <w:t> </w:t>
            </w:r>
            <w:r w:rsidR="00F45A0D" w:rsidRPr="00FD3713">
              <w:rPr>
                <w:rFonts w:asciiTheme="minorHAnsi" w:eastAsia="PMingLiU-ExtB" w:hAnsiTheme="minorHAnsi"/>
                <w:szCs w:val="24"/>
                <w:lang w:val="es-ES_tradnl"/>
              </w:rPr>
              <w:t>150 países comunicaron sus respuestas al Cuestionario largo WTI 2017.</w:t>
            </w:r>
            <w:bookmarkEnd w:id="170"/>
            <w:r w:rsidR="00F45A0D" w:rsidRPr="00FD3713">
              <w:rPr>
                <w:rFonts w:asciiTheme="minorHAnsi" w:eastAsia="PMingLiU-ExtB" w:hAnsiTheme="minorHAnsi"/>
                <w:szCs w:val="24"/>
                <w:lang w:val="es-ES_tradnl"/>
              </w:rPr>
              <w:t xml:space="preserve"> </w:t>
            </w:r>
            <w:bookmarkStart w:id="171" w:name="lt_pId405"/>
            <w:r w:rsidR="00F45A0D" w:rsidRPr="00FD3713">
              <w:rPr>
                <w:rFonts w:asciiTheme="minorHAnsi" w:eastAsia="PMingLiU-ExtB" w:hAnsiTheme="minorHAnsi"/>
                <w:szCs w:val="24"/>
                <w:lang w:val="es-ES_tradnl"/>
              </w:rPr>
              <w:t>Alrededor de</w:t>
            </w:r>
            <w:r w:rsidRPr="00FD3713">
              <w:rPr>
                <w:rFonts w:asciiTheme="minorHAnsi" w:eastAsia="PMingLiU-ExtB" w:hAnsiTheme="minorHAnsi"/>
                <w:szCs w:val="24"/>
                <w:lang w:val="es-ES_tradnl"/>
              </w:rPr>
              <w:t> </w:t>
            </w:r>
            <w:r w:rsidR="00F45A0D" w:rsidRPr="00FD3713">
              <w:rPr>
                <w:rFonts w:asciiTheme="minorHAnsi" w:eastAsia="PMingLiU-ExtB" w:hAnsiTheme="minorHAnsi"/>
                <w:szCs w:val="24"/>
                <w:lang w:val="es-ES_tradnl"/>
              </w:rPr>
              <w:t>60 países respondieron al Cuestionario corto TIC domésticas 2017 y 114 países respondieron al Cuestionario sobre precios de las TIC 2017.</w:t>
            </w:r>
            <w:bookmarkEnd w:id="171"/>
          </w:p>
          <w:p w:rsidR="00F45A0D" w:rsidRPr="00FD3713" w:rsidRDefault="00F45A0D" w:rsidP="00F45A0D">
            <w:pPr>
              <w:rPr>
                <w:rFonts w:asciiTheme="minorHAnsi" w:hAnsiTheme="minorHAnsi"/>
                <w:szCs w:val="24"/>
                <w:lang w:val="es-ES_tradnl"/>
              </w:rPr>
            </w:pPr>
            <w:bookmarkStart w:id="172" w:name="lt_pId406"/>
            <w:r w:rsidRPr="00FD3713">
              <w:rPr>
                <w:rFonts w:asciiTheme="minorHAnsi" w:hAnsiTheme="minorHAnsi"/>
                <w:szCs w:val="24"/>
                <w:lang w:val="es-ES_tradnl"/>
              </w:rPr>
              <w:t xml:space="preserve">Se finalizó con éxito el proyecto de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sobre </w:t>
            </w:r>
            <w:proofErr w:type="spellStart"/>
            <w:r w:rsidRPr="00FD3713">
              <w:rPr>
                <w:rFonts w:asciiTheme="minorHAnsi" w:hAnsiTheme="minorHAnsi"/>
                <w:szCs w:val="24"/>
                <w:lang w:val="es-ES_tradnl"/>
              </w:rPr>
              <w:t>macrodatos</w:t>
            </w:r>
            <w:proofErr w:type="spellEnd"/>
            <w:r w:rsidRPr="00FD3713">
              <w:rPr>
                <w:rFonts w:asciiTheme="minorHAnsi" w:hAnsiTheme="minorHAnsi"/>
                <w:szCs w:val="24"/>
                <w:lang w:val="es-ES_tradnl"/>
              </w:rPr>
              <w:t xml:space="preserve"> para la medición de la sociedad de la información, formado por estudios piloto realizados en seis países</w:t>
            </w:r>
            <w:bookmarkStart w:id="173" w:name="lt_pId407"/>
            <w:bookmarkEnd w:id="172"/>
            <w:r w:rsidRPr="00FD3713">
              <w:rPr>
                <w:rFonts w:asciiTheme="minorHAnsi" w:hAnsiTheme="minorHAnsi"/>
                <w:szCs w:val="24"/>
                <w:lang w:val="es-ES_tradnl"/>
              </w:rPr>
              <w:t xml:space="preserve"> (Colombia, Georgia, </w:t>
            </w:r>
            <w:proofErr w:type="spellStart"/>
            <w:r w:rsidRPr="00FD3713">
              <w:rPr>
                <w:rFonts w:asciiTheme="minorHAnsi" w:hAnsiTheme="minorHAnsi"/>
                <w:szCs w:val="24"/>
                <w:lang w:val="es-ES_tradnl"/>
              </w:rPr>
              <w:t>Kenya</w:t>
            </w:r>
            <w:proofErr w:type="spellEnd"/>
            <w:r w:rsidRPr="00FD3713">
              <w:rPr>
                <w:rFonts w:asciiTheme="minorHAnsi" w:hAnsiTheme="minorHAnsi"/>
                <w:szCs w:val="24"/>
                <w:lang w:val="es-ES_tradnl"/>
              </w:rPr>
              <w:t xml:space="preserve">, Filipinas, Suecia y Emiratos Árabes Unidos), cuyo objetivo era explorar cómo los </w:t>
            </w:r>
            <w:proofErr w:type="spellStart"/>
            <w:r w:rsidRPr="00FD3713">
              <w:rPr>
                <w:rFonts w:asciiTheme="minorHAnsi" w:hAnsiTheme="minorHAnsi"/>
                <w:szCs w:val="24"/>
                <w:lang w:val="es-ES_tradnl"/>
              </w:rPr>
              <w:t>macrodatos</w:t>
            </w:r>
            <w:proofErr w:type="spellEnd"/>
            <w:r w:rsidRPr="00FD3713">
              <w:rPr>
                <w:rFonts w:asciiTheme="minorHAnsi" w:hAnsiTheme="minorHAnsi"/>
                <w:szCs w:val="24"/>
                <w:lang w:val="es-ES_tradnl"/>
              </w:rPr>
              <w:t xml:space="preserve"> de la industria de las TIC, en particular de los operadores de telecomunicaciones, pueden contribuir a crear nuevos indicadores de medición de la sociedad de la información o a completar los existentes. Entre los productos del proyecto se cuentan seis informes de países y un documento metodológico en el que se describen los indicadores de TIC de </w:t>
            </w:r>
            <w:proofErr w:type="spellStart"/>
            <w:r w:rsidRPr="00FD3713">
              <w:rPr>
                <w:rFonts w:asciiTheme="minorHAnsi" w:hAnsiTheme="minorHAnsi"/>
                <w:szCs w:val="24"/>
                <w:lang w:val="es-ES_tradnl"/>
              </w:rPr>
              <w:t>macrodatos</w:t>
            </w:r>
            <w:proofErr w:type="spellEnd"/>
            <w:r w:rsidRPr="00FD3713">
              <w:rPr>
                <w:rFonts w:asciiTheme="minorHAnsi" w:hAnsiTheme="minorHAnsi"/>
                <w:szCs w:val="24"/>
                <w:lang w:val="es-ES_tradnl"/>
              </w:rPr>
              <w:t xml:space="preserve"> y cómo los operadores y proveedores de servicios pueden producirlos para su compilación a nivel nacional. El documento se preparó y perfeccionó a partir de las experiencias de los países piloto. La utilización de la metodolog</w:t>
            </w:r>
            <w:r w:rsidR="00BB4A23">
              <w:rPr>
                <w:rFonts w:asciiTheme="minorHAnsi" w:hAnsiTheme="minorHAnsi"/>
                <w:szCs w:val="24"/>
                <w:lang w:val="es-ES_tradnl"/>
              </w:rPr>
              <w:t>ía garantizará</w:t>
            </w:r>
            <w:r w:rsidRPr="00FD3713">
              <w:rPr>
                <w:rFonts w:asciiTheme="minorHAnsi" w:hAnsiTheme="minorHAnsi"/>
                <w:szCs w:val="24"/>
                <w:lang w:val="es-ES_tradnl"/>
              </w:rPr>
              <w:t xml:space="preserve"> la comparabilidad internacional de los indicadores de TIC producidos a partir de </w:t>
            </w:r>
            <w:proofErr w:type="spellStart"/>
            <w:r w:rsidRPr="00FD3713">
              <w:rPr>
                <w:rFonts w:asciiTheme="minorHAnsi" w:hAnsiTheme="minorHAnsi"/>
                <w:szCs w:val="24"/>
                <w:lang w:val="es-ES_tradnl"/>
              </w:rPr>
              <w:t>macrodatos</w:t>
            </w:r>
            <w:bookmarkStart w:id="174" w:name="lt_pId410"/>
            <w:bookmarkEnd w:id="173"/>
            <w:proofErr w:type="spellEnd"/>
            <w:r w:rsidRPr="00FD3713">
              <w:rPr>
                <w:rFonts w:asciiTheme="minorHAnsi" w:hAnsiTheme="minorHAnsi"/>
                <w:szCs w:val="24"/>
                <w:lang w:val="es-ES_tradnl"/>
              </w:rPr>
              <w:t>.</w:t>
            </w:r>
            <w:bookmarkEnd w:id="174"/>
          </w:p>
          <w:p w:rsidR="00F45A0D" w:rsidRPr="00FD3713" w:rsidRDefault="00F45A0D" w:rsidP="00F45A0D">
            <w:pPr>
              <w:rPr>
                <w:rFonts w:asciiTheme="minorHAnsi" w:hAnsiTheme="minorHAnsi"/>
                <w:szCs w:val="24"/>
                <w:lang w:val="es-ES_tradnl"/>
              </w:rPr>
            </w:pPr>
            <w:r w:rsidRPr="00BF4F86">
              <w:rPr>
                <w:rFonts w:asciiTheme="minorHAnsi" w:hAnsiTheme="minorHAnsi"/>
                <w:szCs w:val="24"/>
                <w:lang w:val="es-ES_tradnl"/>
              </w:rPr>
              <w:t xml:space="preserve">Las actividades de la </w:t>
            </w:r>
            <w:proofErr w:type="spellStart"/>
            <w:r w:rsidRPr="00BF4F86">
              <w:rPr>
                <w:rFonts w:asciiTheme="minorHAnsi" w:hAnsiTheme="minorHAnsi"/>
                <w:szCs w:val="24"/>
                <w:lang w:val="es-ES_tradnl"/>
              </w:rPr>
              <w:t>UIT</w:t>
            </w:r>
            <w:proofErr w:type="spellEnd"/>
            <w:r w:rsidRPr="00BF4F86">
              <w:rPr>
                <w:rFonts w:asciiTheme="minorHAnsi" w:hAnsiTheme="minorHAnsi"/>
                <w:szCs w:val="24"/>
                <w:lang w:val="es-ES_tradnl"/>
              </w:rPr>
              <w:t xml:space="preserve"> en el ámbito de este Producto han contribuido a incrementar la cooperación y mejorar las metodologías y las normas internacionales sobre estadísticas de TIC mediante el trabajo del Grupo de Expertos en Indicadores de Telecomunicaciones/TIC (</w:t>
            </w:r>
            <w:proofErr w:type="spellStart"/>
            <w:r w:rsidRPr="00BF4F86">
              <w:rPr>
                <w:rFonts w:asciiTheme="minorHAnsi" w:hAnsiTheme="minorHAnsi"/>
                <w:szCs w:val="24"/>
                <w:lang w:val="es-ES_tradnl"/>
              </w:rPr>
              <w:t>GEIT</w:t>
            </w:r>
            <w:proofErr w:type="spellEnd"/>
            <w:r w:rsidRPr="00BF4F86">
              <w:rPr>
                <w:rFonts w:asciiTheme="minorHAnsi" w:hAnsiTheme="minorHAnsi"/>
                <w:szCs w:val="24"/>
                <w:lang w:val="es-ES_tradnl"/>
              </w:rPr>
              <w:t>) y el Grupo de Expertos sobre Indicadores de TIC en el Hogar (</w:t>
            </w:r>
            <w:proofErr w:type="spellStart"/>
            <w:r w:rsidRPr="00BF4F86">
              <w:rPr>
                <w:rFonts w:asciiTheme="minorHAnsi" w:hAnsiTheme="minorHAnsi"/>
                <w:szCs w:val="24"/>
                <w:lang w:val="es-ES_tradnl"/>
              </w:rPr>
              <w:t>GEH</w:t>
            </w:r>
            <w:proofErr w:type="spellEnd"/>
            <w:r w:rsidRPr="00BF4F86">
              <w:rPr>
                <w:rFonts w:asciiTheme="minorHAnsi" w:hAnsiTheme="minorHAnsi"/>
                <w:szCs w:val="24"/>
                <w:lang w:val="es-ES_tradnl"/>
              </w:rPr>
              <w:t xml:space="preserve">). </w:t>
            </w:r>
            <w:bookmarkStart w:id="175" w:name="lt_pId412"/>
            <w:r w:rsidRPr="00BF4F86">
              <w:rPr>
                <w:rFonts w:asciiTheme="minorHAnsi" w:hAnsiTheme="minorHAnsi"/>
                <w:szCs w:val="24"/>
                <w:lang w:val="es-ES_tradnl"/>
              </w:rPr>
              <w:t>Las reuniones del Grupo de Expertos en Indicadores de Telecomunicaciones/TIC (</w:t>
            </w:r>
            <w:proofErr w:type="spellStart"/>
            <w:r w:rsidRPr="00BF4F86">
              <w:rPr>
                <w:rFonts w:asciiTheme="minorHAnsi" w:hAnsiTheme="minorHAnsi"/>
                <w:szCs w:val="24"/>
                <w:lang w:val="es-ES_tradnl"/>
              </w:rPr>
              <w:t>GEIT</w:t>
            </w:r>
            <w:proofErr w:type="spellEnd"/>
            <w:r w:rsidRPr="00BF4F86">
              <w:rPr>
                <w:rFonts w:asciiTheme="minorHAnsi" w:hAnsiTheme="minorHAnsi"/>
                <w:szCs w:val="24"/>
                <w:lang w:val="es-ES_tradnl"/>
              </w:rPr>
              <w:t>) y del</w:t>
            </w:r>
            <w:r w:rsidRPr="00FD3713">
              <w:rPr>
                <w:rFonts w:asciiTheme="minorHAnsi" w:hAnsiTheme="minorHAnsi"/>
                <w:szCs w:val="24"/>
                <w:lang w:val="es-ES_tradnl"/>
              </w:rPr>
              <w:t xml:space="preserve"> Grupo de Expertos sobre Indicadores de TIC en el Hogar (</w:t>
            </w:r>
            <w:proofErr w:type="spellStart"/>
            <w:r w:rsidRPr="00FD3713">
              <w:rPr>
                <w:rFonts w:asciiTheme="minorHAnsi" w:hAnsiTheme="minorHAnsi"/>
                <w:szCs w:val="24"/>
                <w:lang w:val="es-ES_tradnl"/>
              </w:rPr>
              <w:t>GEH</w:t>
            </w:r>
            <w:proofErr w:type="spellEnd"/>
            <w:r w:rsidRPr="00FD3713">
              <w:rPr>
                <w:rFonts w:asciiTheme="minorHAnsi" w:hAnsiTheme="minorHAnsi"/>
                <w:szCs w:val="24"/>
                <w:lang w:val="es-ES_tradnl"/>
              </w:rPr>
              <w:t>) se celebraron en Ginebra, Suiza, en septiembre. Asistieron a las reuniones casi</w:t>
            </w:r>
            <w:bookmarkStart w:id="176" w:name="lt_pId413"/>
            <w:bookmarkEnd w:id="175"/>
            <w:r w:rsidRPr="00FD3713">
              <w:rPr>
                <w:rFonts w:asciiTheme="minorHAnsi" w:hAnsiTheme="minorHAnsi"/>
                <w:szCs w:val="24"/>
                <w:lang w:val="es-ES_tradnl"/>
              </w:rPr>
              <w:t xml:space="preserve"> 100 expertos en estadística procedentes de ministerios de TIC, oficinas nacionales de estadística, reguladores de telecomunicaciones y organizaciones internacionales de 48 países, que debatieron acerca de la mejor manera de efectuar el seguimiento del acceso y la utilización de las TIC a nivel doméstico y particular, la manera en que se pueden utilizar los datos procedentes de los proveedores de servicios de TIC para informar a los políticos y reguladores y para supervisar y propiciar el desarrollo de las TIC.</w:t>
            </w:r>
            <w:bookmarkEnd w:id="176"/>
          </w:p>
          <w:p w:rsidR="00F45A0D" w:rsidRPr="00FD3713" w:rsidRDefault="00F45A0D" w:rsidP="00F45A0D">
            <w:pPr>
              <w:rPr>
                <w:lang w:val="es-ES_tradnl"/>
              </w:rPr>
            </w:pPr>
            <w:r w:rsidRPr="00BF4F86">
              <w:rPr>
                <w:rFonts w:asciiTheme="minorHAnsi" w:hAnsiTheme="minorHAnsi"/>
                <w:szCs w:val="24"/>
                <w:lang w:val="es-ES_tradnl"/>
              </w:rPr>
              <w:t>Se incrementó la capacidad y las competencias de los productores de estadísticas de TIC para la recolección de datos, la producción y análisis de indicadores de TIC comparables a escala internacional, mediante varias actividades de capacitación, entre las que se cuentan las siguientes</w:t>
            </w:r>
            <w:r w:rsidR="00A9568F" w:rsidRPr="00BF4F86">
              <w:rPr>
                <w:rFonts w:asciiTheme="minorHAnsi" w:hAnsiTheme="minorHAnsi"/>
                <w:szCs w:val="24"/>
                <w:lang w:val="es-ES_tradnl"/>
              </w:rPr>
              <w:t>:</w:t>
            </w:r>
          </w:p>
          <w:p w:rsidR="00F45A0D" w:rsidRPr="00FD3713" w:rsidRDefault="00A9568F" w:rsidP="00BF4F86">
            <w:pPr>
              <w:pStyle w:val="enumlev1"/>
              <w:spacing w:after="120"/>
              <w:rPr>
                <w:rFonts w:asciiTheme="minorHAnsi" w:eastAsia="PMingLiU-ExtB" w:hAnsiTheme="minorHAnsi"/>
                <w:szCs w:val="24"/>
                <w:lang w:val="es-ES_tradnl"/>
              </w:rPr>
            </w:pPr>
            <w:bookmarkStart w:id="177" w:name="lt_pId415"/>
            <w:r w:rsidRPr="00FD3713">
              <w:rPr>
                <w:rFonts w:eastAsia="PMingLiU-ExtB"/>
                <w:szCs w:val="24"/>
                <w:lang w:val="es-ES_tradnl"/>
              </w:rPr>
              <w:t>–</w:t>
            </w:r>
            <w:r w:rsidRPr="00FD3713">
              <w:rPr>
                <w:rFonts w:asciiTheme="minorHAnsi" w:eastAsia="PMingLiU-ExtB" w:hAnsiTheme="minorHAnsi"/>
                <w:szCs w:val="24"/>
                <w:lang w:val="es-ES_tradnl"/>
              </w:rPr>
              <w:tab/>
            </w:r>
            <w:r w:rsidR="00F45A0D" w:rsidRPr="00FD3713">
              <w:rPr>
                <w:rFonts w:asciiTheme="minorHAnsi" w:eastAsia="PMingLiU-ExtB" w:hAnsiTheme="minorHAnsi"/>
                <w:szCs w:val="24"/>
                <w:lang w:val="es-ES_tradnl"/>
              </w:rPr>
              <w:t xml:space="preserve">Se celebró en </w:t>
            </w:r>
            <w:proofErr w:type="spellStart"/>
            <w:r w:rsidR="00F45A0D" w:rsidRPr="00FD3713">
              <w:rPr>
                <w:rFonts w:asciiTheme="minorHAnsi" w:eastAsia="PMingLiU-ExtB" w:hAnsiTheme="minorHAnsi"/>
                <w:szCs w:val="24"/>
                <w:lang w:val="es-ES_tradnl"/>
              </w:rPr>
              <w:t>Rwanda</w:t>
            </w:r>
            <w:proofErr w:type="spellEnd"/>
            <w:r w:rsidR="00F45A0D" w:rsidRPr="00FD3713">
              <w:rPr>
                <w:rFonts w:asciiTheme="minorHAnsi" w:eastAsia="PMingLiU-ExtB" w:hAnsiTheme="minorHAnsi"/>
                <w:szCs w:val="24"/>
                <w:lang w:val="es-ES_tradnl"/>
              </w:rPr>
              <w:t xml:space="preserve"> un Taller nacional sobre Indicadores de TIC.</w:t>
            </w:r>
            <w:bookmarkEnd w:id="177"/>
          </w:p>
          <w:p w:rsidR="00F45A0D" w:rsidRPr="00FD3713" w:rsidRDefault="00A9568F" w:rsidP="00BF4F86">
            <w:pPr>
              <w:pStyle w:val="enumlev1"/>
              <w:keepNext/>
              <w:spacing w:after="120"/>
              <w:rPr>
                <w:szCs w:val="24"/>
                <w:lang w:val="es-ES_tradnl"/>
              </w:rPr>
            </w:pPr>
            <w:r w:rsidRPr="00BF4F86">
              <w:rPr>
                <w:szCs w:val="24"/>
                <w:lang w:val="es-ES_tradnl"/>
              </w:rPr>
              <w:lastRenderedPageBreak/>
              <w:t>–</w:t>
            </w:r>
            <w:r w:rsidRPr="00BF4F86">
              <w:rPr>
                <w:rFonts w:asciiTheme="minorHAnsi" w:hAnsiTheme="minorHAnsi"/>
                <w:szCs w:val="24"/>
                <w:lang w:val="es-ES_tradnl"/>
              </w:rPr>
              <w:tab/>
            </w:r>
            <w:r w:rsidR="00F45A0D" w:rsidRPr="00BF4F86">
              <w:rPr>
                <w:rFonts w:asciiTheme="minorHAnsi" w:hAnsiTheme="minorHAnsi"/>
                <w:szCs w:val="24"/>
                <w:lang w:val="es-ES_tradnl"/>
              </w:rPr>
              <w:t>Se impartió en Mongolia un Taller Nacional de Formación sobre Estadísticas de las TIC</w:t>
            </w:r>
            <w:r w:rsidR="00BF4F86" w:rsidRPr="00BF4F86">
              <w:rPr>
                <w:rFonts w:ascii="Calibri" w:hAnsi="Calibri"/>
                <w:b/>
                <w:color w:val="800000"/>
                <w:szCs w:val="24"/>
                <w:lang w:val="es-ES_tradnl"/>
              </w:rPr>
              <w:t>.</w:t>
            </w:r>
          </w:p>
          <w:p w:rsidR="00F45A0D" w:rsidRPr="00FD3713" w:rsidRDefault="00A9568F" w:rsidP="00A9568F">
            <w:pPr>
              <w:pStyle w:val="enumlev1"/>
              <w:spacing w:after="120"/>
              <w:rPr>
                <w:rFonts w:asciiTheme="minorHAnsi" w:hAnsiTheme="minorHAnsi"/>
                <w:szCs w:val="24"/>
                <w:lang w:val="es-ES_tradnl"/>
              </w:rPr>
            </w:pPr>
            <w:bookmarkStart w:id="178" w:name="lt_pId417"/>
            <w:r w:rsidRPr="00FD3713">
              <w:rPr>
                <w:rFonts w:eastAsia="PMingLiU-ExtB"/>
                <w:szCs w:val="24"/>
                <w:lang w:val="es-ES_tradnl"/>
              </w:rPr>
              <w:t>–</w:t>
            </w:r>
            <w:r w:rsidRPr="00FD3713">
              <w:rPr>
                <w:rFonts w:asciiTheme="minorHAnsi" w:eastAsia="PMingLiU-ExtB" w:hAnsiTheme="minorHAnsi"/>
                <w:szCs w:val="24"/>
                <w:lang w:val="es-ES_tradnl"/>
              </w:rPr>
              <w:tab/>
            </w:r>
            <w:r w:rsidR="00F45A0D" w:rsidRPr="00FD3713">
              <w:rPr>
                <w:rFonts w:asciiTheme="minorHAnsi" w:eastAsia="PMingLiU-ExtB" w:hAnsiTheme="minorHAnsi"/>
                <w:szCs w:val="24"/>
                <w:lang w:val="es-ES_tradnl"/>
              </w:rPr>
              <w:t>En China se celebró el Taller regional Asia-Pacífico sobre estadísticas de TIC.</w:t>
            </w:r>
            <w:bookmarkEnd w:id="178"/>
          </w:p>
        </w:tc>
      </w:tr>
      <w:tr w:rsidR="00F45A0D" w:rsidRPr="00FD3713" w:rsidTr="00A9568F">
        <w:tc>
          <w:tcPr>
            <w:tcW w:w="2830" w:type="dxa"/>
          </w:tcPr>
          <w:p w:rsidR="00F45A0D" w:rsidRPr="00FD3713" w:rsidRDefault="00F45A0D" w:rsidP="00DF4014">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798" w:type="dxa"/>
          </w:tcPr>
          <w:p w:rsidR="00F45A0D" w:rsidRPr="00FD3713" w:rsidRDefault="00F45A0D" w:rsidP="00DF4014">
            <w:pPr>
              <w:spacing w:before="60" w:after="60"/>
              <w:rPr>
                <w:rFonts w:asciiTheme="minorHAnsi" w:hAnsiTheme="minorHAnsi"/>
                <w:szCs w:val="24"/>
                <w:lang w:val="es-ES_tradnl"/>
              </w:rPr>
            </w:pPr>
            <w:bookmarkStart w:id="179" w:name="lt_pId419"/>
            <w:r w:rsidRPr="00FD3713">
              <w:rPr>
                <w:rFonts w:asciiTheme="minorHAnsi" w:hAnsiTheme="minorHAnsi"/>
                <w:szCs w:val="24"/>
                <w:lang w:val="es-ES_tradnl"/>
              </w:rPr>
              <w:t>Resoluciones 1, 5, 8, 30, 33, 37, 43, 50, 51, 52, 57, 59, 60</w:t>
            </w:r>
            <w:bookmarkEnd w:id="179"/>
          </w:p>
        </w:tc>
      </w:tr>
      <w:tr w:rsidR="00F45A0D" w:rsidRPr="008D434B" w:rsidTr="00A9568F">
        <w:tc>
          <w:tcPr>
            <w:tcW w:w="2830" w:type="dxa"/>
          </w:tcPr>
          <w:p w:rsidR="00F45A0D" w:rsidRPr="00BF4F86" w:rsidRDefault="00F45A0D" w:rsidP="00DF4014">
            <w:pPr>
              <w:spacing w:before="60" w:after="60"/>
              <w:rPr>
                <w:rFonts w:asciiTheme="minorHAnsi" w:hAnsiTheme="minorHAnsi"/>
                <w:i/>
                <w:iCs/>
                <w:szCs w:val="24"/>
                <w:lang w:val="es-ES_tradnl"/>
              </w:rPr>
            </w:pPr>
            <w:r w:rsidRPr="00DF4014">
              <w:rPr>
                <w:rFonts w:asciiTheme="minorHAnsi" w:eastAsia="PMingLiU-ExtB" w:hAnsiTheme="minorHAnsi"/>
                <w:i/>
                <w:iCs/>
                <w:szCs w:val="24"/>
                <w:lang w:val="es-ES_tradnl"/>
              </w:rPr>
              <w:t>Conferencia</w:t>
            </w:r>
            <w:r w:rsidRPr="00BF4F86">
              <w:rPr>
                <w:rFonts w:asciiTheme="minorHAnsi" w:hAnsiTheme="minorHAnsi"/>
                <w:i/>
                <w:iCs/>
                <w:szCs w:val="24"/>
                <w:lang w:val="es-ES_tradnl"/>
              </w:rPr>
              <w:t xml:space="preserve"> de Plenipotenciarios</w:t>
            </w:r>
          </w:p>
        </w:tc>
        <w:tc>
          <w:tcPr>
            <w:tcW w:w="6798" w:type="dxa"/>
          </w:tcPr>
          <w:p w:rsidR="00F45A0D" w:rsidRPr="00FD3713" w:rsidRDefault="00F45A0D" w:rsidP="00DF4014">
            <w:pPr>
              <w:spacing w:before="60" w:after="60"/>
              <w:rPr>
                <w:szCs w:val="24"/>
                <w:lang w:val="es-ES_tradnl"/>
              </w:rPr>
            </w:pPr>
            <w:bookmarkStart w:id="180" w:name="lt_pId421"/>
            <w:r w:rsidRPr="00DF4014">
              <w:rPr>
                <w:rFonts w:asciiTheme="minorHAnsi" w:hAnsiTheme="minorHAnsi"/>
                <w:szCs w:val="24"/>
                <w:lang w:val="es-ES_tradnl"/>
              </w:rPr>
              <w:t>Decisiones</w:t>
            </w:r>
            <w:r w:rsidRPr="00FD3713">
              <w:rPr>
                <w:szCs w:val="24"/>
                <w:lang w:val="es-ES_tradnl"/>
              </w:rPr>
              <w:t xml:space="preserve"> 5, 13</w:t>
            </w:r>
            <w:bookmarkEnd w:id="180"/>
            <w:r w:rsidRPr="00FD3713">
              <w:rPr>
                <w:szCs w:val="24"/>
                <w:lang w:val="es-ES_tradnl"/>
              </w:rPr>
              <w:t xml:space="preserve"> </w:t>
            </w:r>
            <w:r w:rsidRPr="00FD3713">
              <w:rPr>
                <w:rFonts w:asciiTheme="minorHAnsi" w:eastAsia="PMingLiU-ExtB" w:hAnsiTheme="minorHAnsi"/>
                <w:szCs w:val="24"/>
                <w:lang w:val="es-ES_tradnl"/>
              </w:rPr>
              <w:t>de la PP</w:t>
            </w:r>
          </w:p>
          <w:p w:rsidR="00F45A0D" w:rsidRPr="00FD3713" w:rsidRDefault="00F45A0D" w:rsidP="00DF4014">
            <w:pPr>
              <w:spacing w:before="60" w:after="60"/>
              <w:rPr>
                <w:szCs w:val="24"/>
                <w:lang w:val="es-ES_tradnl"/>
              </w:rPr>
            </w:pPr>
            <w:bookmarkStart w:id="181" w:name="lt_pId422"/>
            <w:r w:rsidRPr="00DF4014">
              <w:rPr>
                <w:rFonts w:asciiTheme="minorHAnsi" w:hAnsiTheme="minorHAnsi"/>
                <w:szCs w:val="24"/>
                <w:lang w:val="es-ES_tradnl"/>
              </w:rPr>
              <w:t>Resoluciones</w:t>
            </w:r>
            <w:r w:rsidRPr="00FD3713">
              <w:rPr>
                <w:rFonts w:asciiTheme="minorHAnsi" w:eastAsia="PMingLiU-ExtB" w:hAnsiTheme="minorHAnsi"/>
                <w:szCs w:val="24"/>
                <w:lang w:val="es-ES_tradnl"/>
              </w:rPr>
              <w:t xml:space="preserve"> de la PP:</w:t>
            </w:r>
            <w:r w:rsidRPr="00FD3713">
              <w:rPr>
                <w:szCs w:val="24"/>
                <w:lang w:val="es-ES_tradnl"/>
              </w:rPr>
              <w:t xml:space="preserve"> 25, 71, 72, 137, 139, 140, 176, 188, 189, 197, 199, 202</w:t>
            </w:r>
            <w:bookmarkEnd w:id="181"/>
          </w:p>
        </w:tc>
      </w:tr>
      <w:tr w:rsidR="00F45A0D" w:rsidRPr="008D434B" w:rsidTr="00A9568F">
        <w:tc>
          <w:tcPr>
            <w:tcW w:w="2830" w:type="dxa"/>
          </w:tcPr>
          <w:p w:rsidR="00F45A0D" w:rsidRPr="00FD3713" w:rsidRDefault="00F45A0D" w:rsidP="00DF4014">
            <w:pPr>
              <w:spacing w:before="60" w:after="60"/>
              <w:rPr>
                <w:i/>
                <w:iCs/>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798" w:type="dxa"/>
          </w:tcPr>
          <w:p w:rsidR="00F45A0D" w:rsidRPr="00FD3713" w:rsidRDefault="00F45A0D" w:rsidP="00DF4014">
            <w:pPr>
              <w:spacing w:before="60" w:after="60"/>
              <w:rPr>
                <w:szCs w:val="24"/>
                <w:lang w:val="es-ES_tradnl"/>
              </w:rPr>
            </w:pPr>
            <w:r w:rsidRPr="00FD3713">
              <w:rPr>
                <w:rFonts w:asciiTheme="minorHAnsi" w:hAnsiTheme="minorHAnsi"/>
                <w:szCs w:val="24"/>
                <w:lang w:val="es-ES_tradnl"/>
              </w:rPr>
              <w:t>Las estadísticas de telecomunicaciones/TIC son relevantes para el control de la implementación de t</w:t>
            </w:r>
            <w:r w:rsidR="00A9568F" w:rsidRPr="00FD3713">
              <w:rPr>
                <w:rFonts w:asciiTheme="minorHAnsi" w:hAnsiTheme="minorHAnsi"/>
                <w:szCs w:val="24"/>
                <w:lang w:val="es-ES_tradnl"/>
              </w:rPr>
              <w:t>odas las Líneas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del Plan de Acción de Ginebra y se hace referencia en los párrafos 112-119 de la Agenda de Túnez para la Sociedad de la Información, así como en el párrafo 70 del Documento final de la Reunión de Alto Nivel de la Asamblea de las Naciones Unidas sobre el examen general de la aplicación de los resultados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w:t>
            </w:r>
          </w:p>
        </w:tc>
      </w:tr>
      <w:tr w:rsidR="00F45A0D" w:rsidRPr="008D434B" w:rsidTr="00A9568F">
        <w:tc>
          <w:tcPr>
            <w:tcW w:w="2830" w:type="dxa"/>
          </w:tcPr>
          <w:p w:rsidR="00F45A0D" w:rsidRPr="00FD3713" w:rsidRDefault="00F45A0D" w:rsidP="00DF4014">
            <w:pPr>
              <w:spacing w:before="60" w:after="60"/>
              <w:rPr>
                <w:rFonts w:asciiTheme="minorHAnsi" w:hAnsiTheme="minorHAnsi"/>
                <w:i/>
                <w:iCs/>
                <w:szCs w:val="24"/>
                <w:lang w:val="es-ES_tradnl"/>
              </w:rPr>
            </w:pPr>
            <w:r w:rsidRPr="00DF4014">
              <w:rPr>
                <w:rFonts w:asciiTheme="minorHAnsi" w:eastAsia="PMingLiU-ExtB" w:hAnsiTheme="minorHAnsi"/>
                <w:i/>
                <w:iCs/>
                <w:szCs w:val="24"/>
                <w:lang w:val="es-ES_tradnl"/>
              </w:rPr>
              <w:t>Contribución</w:t>
            </w:r>
            <w:r w:rsidRPr="00FD3713">
              <w:rPr>
                <w:rFonts w:asciiTheme="minorHAnsi" w:hAnsiTheme="minorHAnsi"/>
                <w:i/>
                <w:iCs/>
                <w:szCs w:val="24"/>
                <w:lang w:val="es-ES_tradnl"/>
              </w:rPr>
              <w:t xml:space="preserve"> a las metas de los </w:t>
            </w:r>
            <w:proofErr w:type="spellStart"/>
            <w:r w:rsidRPr="00FD3713">
              <w:rPr>
                <w:rFonts w:asciiTheme="minorHAnsi" w:hAnsiTheme="minorHAnsi"/>
                <w:i/>
                <w:iCs/>
                <w:szCs w:val="24"/>
                <w:lang w:val="es-ES_tradnl"/>
              </w:rPr>
              <w:t>ODS</w:t>
            </w:r>
            <w:proofErr w:type="spellEnd"/>
          </w:p>
        </w:tc>
        <w:tc>
          <w:tcPr>
            <w:tcW w:w="6798" w:type="dxa"/>
          </w:tcPr>
          <w:p w:rsidR="00F45A0D" w:rsidRPr="00FD3713" w:rsidRDefault="00F45A0D" w:rsidP="00DF4014">
            <w:pPr>
              <w:spacing w:before="60" w:after="60"/>
              <w:rPr>
                <w:rFonts w:asciiTheme="minorHAnsi" w:hAnsiTheme="minorHAnsi"/>
                <w:szCs w:val="24"/>
                <w:lang w:val="es-ES_tradnl"/>
              </w:rPr>
            </w:pPr>
            <w:r w:rsidRPr="00FD3713">
              <w:rPr>
                <w:rFonts w:asciiTheme="minorHAnsi" w:hAnsiTheme="minorHAnsi"/>
                <w:szCs w:val="24"/>
                <w:lang w:val="es-ES_tradnl"/>
              </w:rPr>
              <w:t xml:space="preserve">Las estadísticas de telecomunicaciones/TIC son relevantes para el control de la implementación de todos los </w:t>
            </w: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y se hace referencia en los párrafos 48, 57, 74-76, 83 de la Agenda 2030 para el Desarrollo Sostenible.</w:t>
            </w:r>
          </w:p>
        </w:tc>
      </w:tr>
    </w:tbl>
    <w:p w:rsidR="00F45A0D" w:rsidRPr="00FD3713" w:rsidRDefault="00F45A0D" w:rsidP="00482C61">
      <w:pPr>
        <w:pStyle w:val="Heading2"/>
        <w:spacing w:after="120"/>
        <w:rPr>
          <w:lang w:val="es-ES_tradnl"/>
        </w:rPr>
      </w:pPr>
      <w:r w:rsidRPr="00FD3713">
        <w:rPr>
          <w:lang w:val="es-ES_tradnl"/>
        </w:rPr>
        <w:t>4.3</w:t>
      </w:r>
      <w:r w:rsidRPr="00FD3713">
        <w:rPr>
          <w:lang w:val="es-ES_tradnl"/>
        </w:rPr>
        <w:tab/>
        <w:t xml:space="preserve">Integración digital de personas con necesidades especiales </w:t>
      </w:r>
    </w:p>
    <w:tbl>
      <w:tblPr>
        <w:tblStyle w:val="TableGrid"/>
        <w:tblW w:w="0" w:type="auto"/>
        <w:tblLook w:val="04A0" w:firstRow="1" w:lastRow="0" w:firstColumn="1" w:lastColumn="0" w:noHBand="0" w:noVBand="1"/>
      </w:tblPr>
      <w:tblGrid>
        <w:gridCol w:w="2830"/>
        <w:gridCol w:w="6798"/>
      </w:tblGrid>
      <w:tr w:rsidR="00F45A0D" w:rsidRPr="008D434B" w:rsidTr="00F45A0D">
        <w:tc>
          <w:tcPr>
            <w:tcW w:w="9628" w:type="dxa"/>
            <w:gridSpan w:val="2"/>
          </w:tcPr>
          <w:p w:rsidR="00F45A0D" w:rsidRPr="00D139CE" w:rsidRDefault="00F45A0D" w:rsidP="00D139CE">
            <w:pPr>
              <w:rPr>
                <w:lang w:val="es-ES_tradnl"/>
              </w:rPr>
            </w:pPr>
            <w:bookmarkStart w:id="182" w:name="lt_pId429"/>
            <w:r w:rsidRPr="00461B45">
              <w:rPr>
                <w:rFonts w:asciiTheme="minorHAnsi" w:hAnsiTheme="minorHAnsi"/>
                <w:szCs w:val="24"/>
                <w:lang w:val="es-ES_tradnl"/>
              </w:rPr>
              <w:t>En 2017, se siguieron aumentando las capacidades de los Estados Miembros para elaborar e implementar políticas, estrategias y directrices de integración digital que garanticen la accesibilidad de las telecomunicaciones/TIC a personas con discapacidad</w:t>
            </w:r>
            <w:bookmarkEnd w:id="182"/>
            <w:r w:rsidRPr="00461B45">
              <w:rPr>
                <w:rFonts w:asciiTheme="minorHAnsi" w:hAnsiTheme="minorHAnsi"/>
                <w:szCs w:val="24"/>
                <w:lang w:val="es-ES_tradnl"/>
              </w:rPr>
              <w:t>.</w:t>
            </w:r>
          </w:p>
          <w:p w:rsidR="00F45A0D" w:rsidRPr="00D139CE" w:rsidRDefault="00F45A0D" w:rsidP="00461B45">
            <w:pPr>
              <w:rPr>
                <w:lang w:val="es-ES_tradnl"/>
              </w:rPr>
            </w:pPr>
            <w:r w:rsidRPr="00FD3713">
              <w:rPr>
                <w:rFonts w:asciiTheme="minorHAnsi" w:hAnsiTheme="minorHAnsi"/>
                <w:szCs w:val="24"/>
                <w:lang w:val="es-ES_tradnl"/>
              </w:rPr>
              <w:t xml:space="preserve">El 27 de abril se celebraron en todo el mundo, incluidas la Sede de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y todas las Oficinas Regionales de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actos de conmemoración del Día de las Niñas en las TIC para dar a conocer la causa y crear en todo el mundo las condiciones necesarias para empoderar y animar a las niñas y jóvenes a emprender estudios y carreras en el cada vez más amplio campo de las TIC.</w:t>
            </w:r>
            <w:bookmarkStart w:id="183" w:name="lt_pId431"/>
            <w:r w:rsidRPr="00FD3713">
              <w:rPr>
                <w:szCs w:val="24"/>
                <w:lang w:val="es-ES_tradnl"/>
              </w:rPr>
              <w:t xml:space="preserve"> </w:t>
            </w:r>
            <w:r w:rsidRPr="00461B45">
              <w:rPr>
                <w:rFonts w:asciiTheme="minorHAnsi" w:hAnsiTheme="minorHAnsi" w:cs="Calibri Light"/>
                <w:color w:val="000000"/>
                <w:szCs w:val="24"/>
                <w:lang w:val="es-ES_tradnl"/>
              </w:rPr>
              <w:t>Desde 2011, cuando se celebró el primer Día Internacional de las Niñas en las TIC, se han celebrado más de 9 000 eventos en 166 países y empoderado a más de 300 000 niñas y mujeres jóvenes de todo el mundo.</w:t>
            </w:r>
            <w:bookmarkEnd w:id="183"/>
            <w:r w:rsidRPr="00461B45">
              <w:rPr>
                <w:rFonts w:ascii="Calibri" w:hAnsi="Calibri"/>
                <w:b/>
                <w:color w:val="800000"/>
                <w:szCs w:val="24"/>
                <w:lang w:val="es-ES_tradnl"/>
              </w:rPr>
              <w:t xml:space="preserve"> </w:t>
            </w:r>
            <w:r w:rsidRPr="00461B45">
              <w:rPr>
                <w:rFonts w:asciiTheme="minorHAnsi" w:hAnsiTheme="minorHAnsi" w:cs="Calibri Light"/>
                <w:color w:val="000000"/>
                <w:szCs w:val="24"/>
                <w:lang w:val="es-ES_tradnl"/>
              </w:rPr>
              <w:t xml:space="preserve">En 2017, unas 70 000 niñas de 134 </w:t>
            </w:r>
            <w:r w:rsidR="00E0172D">
              <w:rPr>
                <w:rFonts w:asciiTheme="minorHAnsi" w:hAnsiTheme="minorHAnsi" w:cs="Calibri Light"/>
                <w:color w:val="000000"/>
                <w:szCs w:val="24"/>
                <w:lang w:val="es-ES_tradnl"/>
              </w:rPr>
              <w:t>países participaron en más de </w:t>
            </w:r>
            <w:r w:rsidR="00461B45" w:rsidRPr="00461B45">
              <w:rPr>
                <w:rFonts w:asciiTheme="minorHAnsi" w:hAnsiTheme="minorHAnsi" w:cs="Calibri Light"/>
                <w:color w:val="000000"/>
                <w:szCs w:val="24"/>
                <w:lang w:val="es-ES_tradnl"/>
              </w:rPr>
              <w:t>2 </w:t>
            </w:r>
            <w:r w:rsidRPr="00461B45">
              <w:rPr>
                <w:rFonts w:asciiTheme="minorHAnsi" w:hAnsiTheme="minorHAnsi" w:cs="Calibri Light"/>
                <w:color w:val="000000"/>
                <w:szCs w:val="24"/>
                <w:lang w:val="es-ES_tradnl"/>
              </w:rPr>
              <w:t xml:space="preserve">100 actos: entre ellos los celebrados en 30 países de la Región de África, 33 de la Región de las Américas, 12 en los Estados Árabes, 20 en la Región de Asia-Pacífico, seis en la Comunidad de Estados Independientes y 33 en la Región de Europa. El portal de las Niñas en las TIC de la </w:t>
            </w:r>
            <w:proofErr w:type="spellStart"/>
            <w:r w:rsidRPr="00461B45">
              <w:rPr>
                <w:rFonts w:asciiTheme="minorHAnsi" w:hAnsiTheme="minorHAnsi" w:cs="Calibri Light"/>
                <w:color w:val="000000"/>
                <w:szCs w:val="24"/>
                <w:lang w:val="es-ES_tradnl"/>
              </w:rPr>
              <w:t>UIT</w:t>
            </w:r>
            <w:proofErr w:type="spellEnd"/>
            <w:r w:rsidRPr="00461B45">
              <w:rPr>
                <w:rFonts w:asciiTheme="minorHAnsi" w:hAnsiTheme="minorHAnsi" w:cs="Calibri Light"/>
                <w:color w:val="000000"/>
                <w:szCs w:val="24"/>
                <w:lang w:val="es-ES_tradnl"/>
              </w:rPr>
              <w:t xml:space="preserve"> recibió 1 117 695 visitas entre enero y septiembre de 2017. Esto contrasta con las 383 552 visitas de 2016 y las 337 936 visitas de 2015.</w:t>
            </w:r>
            <w:r w:rsidRPr="00461B45">
              <w:rPr>
                <w:rFonts w:asciiTheme="minorHAnsi" w:hAnsiTheme="minorHAnsi"/>
                <w:szCs w:val="24"/>
                <w:lang w:val="es-ES_tradnl"/>
              </w:rPr>
              <w:t xml:space="preserve"> </w:t>
            </w:r>
            <w:bookmarkStart w:id="184" w:name="lt_pId436"/>
            <w:r w:rsidRPr="00461B45">
              <w:rPr>
                <w:rFonts w:asciiTheme="minorHAnsi" w:hAnsiTheme="minorHAnsi" w:cs="Calibri Light"/>
                <w:color w:val="000000"/>
                <w:szCs w:val="24"/>
                <w:lang w:val="es-ES_tradnl"/>
              </w:rPr>
              <w:t xml:space="preserve">La sensibilización acerca del Día </w:t>
            </w:r>
            <w:r w:rsidR="00461B45" w:rsidRPr="00461B45">
              <w:rPr>
                <w:rFonts w:asciiTheme="minorHAnsi" w:hAnsiTheme="minorHAnsi" w:cs="Calibri Light"/>
                <w:color w:val="000000"/>
                <w:szCs w:val="24"/>
                <w:lang w:val="es-ES_tradnl"/>
              </w:rPr>
              <w:t>de las Niñas en las </w:t>
            </w:r>
            <w:r w:rsidRPr="00461B45">
              <w:rPr>
                <w:rFonts w:asciiTheme="minorHAnsi" w:hAnsiTheme="minorHAnsi" w:cs="Calibri Light"/>
                <w:color w:val="000000"/>
                <w:szCs w:val="24"/>
                <w:lang w:val="es-ES_tradnl"/>
              </w:rPr>
              <w:t>TIC ha alcanzado a decenas de millones de personas de todo el mundo y se trató en la televisión del Servicio Mundial de la BBC en 2017. Además, la etiqueta #</w:t>
            </w:r>
            <w:proofErr w:type="spellStart"/>
            <w:r w:rsidRPr="00461B45">
              <w:rPr>
                <w:rFonts w:asciiTheme="minorHAnsi" w:hAnsiTheme="minorHAnsi" w:cs="Calibri Light"/>
                <w:color w:val="000000"/>
                <w:szCs w:val="24"/>
                <w:lang w:val="es-ES_tradnl"/>
              </w:rPr>
              <w:t>GirlsinICT</w:t>
            </w:r>
            <w:proofErr w:type="spellEnd"/>
            <w:r w:rsidRPr="00461B45">
              <w:rPr>
                <w:rFonts w:asciiTheme="minorHAnsi" w:hAnsiTheme="minorHAnsi" w:cs="Calibri Light"/>
                <w:color w:val="000000"/>
                <w:szCs w:val="24"/>
                <w:lang w:val="es-ES_tradnl"/>
              </w:rPr>
              <w:t xml:space="preserve"> ha llegado a más de 63 millones de cuentas de Twitter con 255 057 360 mensajes durante este año.</w:t>
            </w:r>
            <w:bookmarkEnd w:id="184"/>
          </w:p>
          <w:p w:rsidR="00F45A0D" w:rsidRPr="00FD3713" w:rsidRDefault="00F45A0D" w:rsidP="00A67682">
            <w:pPr>
              <w:rPr>
                <w:rFonts w:asciiTheme="minorHAnsi" w:hAnsiTheme="minorHAnsi"/>
                <w:szCs w:val="24"/>
                <w:lang w:val="es-ES_tradnl"/>
              </w:rPr>
            </w:pPr>
            <w:r w:rsidRPr="00461B45">
              <w:rPr>
                <w:rFonts w:asciiTheme="minorHAnsi" w:hAnsiTheme="minorHAnsi" w:cs="Calibri Light"/>
                <w:color w:val="000000"/>
                <w:szCs w:val="24"/>
                <w:lang w:val="es-ES_tradnl"/>
              </w:rPr>
              <w:t xml:space="preserve">Se sensibilizó a los Miembros de la </w:t>
            </w:r>
            <w:proofErr w:type="spellStart"/>
            <w:r w:rsidRPr="00461B45">
              <w:rPr>
                <w:rFonts w:asciiTheme="minorHAnsi" w:hAnsiTheme="minorHAnsi" w:cs="Calibri Light"/>
                <w:color w:val="000000"/>
                <w:szCs w:val="24"/>
                <w:lang w:val="es-ES_tradnl"/>
              </w:rPr>
              <w:t>UIT</w:t>
            </w:r>
            <w:proofErr w:type="spellEnd"/>
            <w:r w:rsidRPr="00461B45">
              <w:rPr>
                <w:rFonts w:asciiTheme="minorHAnsi" w:hAnsiTheme="minorHAnsi" w:cs="Calibri Light"/>
                <w:color w:val="000000"/>
                <w:szCs w:val="24"/>
                <w:lang w:val="es-ES_tradnl"/>
              </w:rPr>
              <w:t xml:space="preserve">, y se facilitó el intercambio de prácticas óptimas entre ellos, entre mediante la publicación semanal de prácticas y estrategias innovadoras de integración digital en el diario del </w:t>
            </w:r>
            <w:proofErr w:type="spellStart"/>
            <w:r w:rsidRPr="00461B45">
              <w:rPr>
                <w:rFonts w:asciiTheme="minorHAnsi" w:hAnsiTheme="minorHAnsi" w:cs="Calibri Light"/>
                <w:color w:val="000000"/>
                <w:szCs w:val="24"/>
                <w:lang w:val="es-ES_tradnl"/>
              </w:rPr>
              <w:t>UIT</w:t>
            </w:r>
            <w:proofErr w:type="spellEnd"/>
            <w:r w:rsidRPr="00461B45">
              <w:rPr>
                <w:rFonts w:asciiTheme="minorHAnsi" w:hAnsiTheme="minorHAnsi" w:cs="Calibri Light"/>
                <w:color w:val="000000"/>
                <w:szCs w:val="24"/>
                <w:lang w:val="es-ES_tradnl"/>
              </w:rPr>
              <w:t>-D Noticias de integración digital</w:t>
            </w:r>
            <w:r w:rsidRPr="00461B45">
              <w:rPr>
                <w:rFonts w:asciiTheme="minorHAnsi" w:hAnsiTheme="minorHAnsi"/>
                <w:szCs w:val="24"/>
                <w:lang w:val="es-ES_tradnl"/>
              </w:rPr>
              <w:t>.</w:t>
            </w:r>
            <w:bookmarkStart w:id="185" w:name="lt_pId439"/>
            <w:r w:rsidRPr="00461B45">
              <w:rPr>
                <w:rFonts w:asciiTheme="minorHAnsi" w:hAnsiTheme="minorHAnsi"/>
                <w:szCs w:val="24"/>
                <w:lang w:val="es-ES_tradnl"/>
              </w:rPr>
              <w:t xml:space="preserve"> Entre</w:t>
            </w:r>
            <w:r w:rsidRPr="00FD3713">
              <w:rPr>
                <w:rFonts w:asciiTheme="minorHAnsi" w:hAnsiTheme="minorHAnsi"/>
                <w:szCs w:val="24"/>
                <w:lang w:val="es-ES_tradnl"/>
              </w:rPr>
              <w:t xml:space="preserve"> enero y septiembre de 2017 Noticias de integración digital ofreció 181 programas y prácticas de integración digital en la dirección </w:t>
            </w:r>
            <w:hyperlink r:id="rId19" w:history="1">
              <w:r w:rsidRPr="00FD3713">
                <w:rPr>
                  <w:rStyle w:val="Hyperlink"/>
                  <w:rFonts w:asciiTheme="minorHAnsi" w:hAnsiTheme="minorHAnsi"/>
                  <w:szCs w:val="24"/>
                  <w:lang w:val="es-ES_tradnl"/>
                </w:rPr>
                <w:t>http://</w:t>
              </w:r>
              <w:proofErr w:type="spellStart"/>
              <w:r w:rsidRPr="00FD3713">
                <w:rPr>
                  <w:rStyle w:val="Hyperlink"/>
                  <w:rFonts w:asciiTheme="minorHAnsi" w:hAnsiTheme="minorHAnsi"/>
                  <w:szCs w:val="24"/>
                  <w:lang w:val="es-ES_tradnl"/>
                </w:rPr>
                <w:t>digitalinclusionnewslog.itu.int</w:t>
              </w:r>
              <w:proofErr w:type="spellEnd"/>
              <w:r w:rsidRPr="00FD3713">
                <w:rPr>
                  <w:rStyle w:val="Hyperlink"/>
                  <w:rFonts w:asciiTheme="minorHAnsi" w:hAnsiTheme="minorHAnsi"/>
                  <w:szCs w:val="24"/>
                  <w:lang w:val="es-ES_tradnl"/>
                </w:rPr>
                <w:t>/</w:t>
              </w:r>
            </w:hyperlink>
            <w:r w:rsidRPr="00FD3713">
              <w:rPr>
                <w:rFonts w:asciiTheme="minorHAnsi" w:hAnsiTheme="minorHAnsi"/>
                <w:szCs w:val="24"/>
                <w:lang w:val="es-ES_tradnl"/>
              </w:rPr>
              <w:t xml:space="preserve"> y durante ese periodo se recibieron más de</w:t>
            </w:r>
            <w:r w:rsidR="00A67682">
              <w:rPr>
                <w:rFonts w:asciiTheme="minorHAnsi" w:hAnsiTheme="minorHAnsi"/>
                <w:szCs w:val="24"/>
                <w:lang w:val="es-ES_tradnl"/>
              </w:rPr>
              <w:t> </w:t>
            </w:r>
            <w:r w:rsidRPr="00FD3713">
              <w:rPr>
                <w:rFonts w:asciiTheme="minorHAnsi" w:hAnsiTheme="minorHAnsi"/>
                <w:szCs w:val="24"/>
                <w:lang w:val="es-ES_tradnl"/>
              </w:rPr>
              <w:t>6 757 visitas.</w:t>
            </w:r>
            <w:bookmarkEnd w:id="185"/>
          </w:p>
          <w:p w:rsidR="00F45A0D" w:rsidRPr="00FD3713" w:rsidRDefault="00F45A0D" w:rsidP="004E2CDB">
            <w:pPr>
              <w:keepNext/>
              <w:keepLines/>
              <w:rPr>
                <w:rFonts w:asciiTheme="minorHAnsi" w:hAnsiTheme="minorHAnsi"/>
                <w:szCs w:val="24"/>
                <w:lang w:val="es-ES_tradnl"/>
              </w:rPr>
            </w:pPr>
            <w:bookmarkStart w:id="186" w:name="lt_pId440"/>
            <w:r w:rsidRPr="00FD3713">
              <w:rPr>
                <w:rFonts w:asciiTheme="minorHAnsi" w:hAnsiTheme="minorHAnsi"/>
                <w:szCs w:val="24"/>
                <w:lang w:val="es-ES_tradnl"/>
              </w:rPr>
              <w:lastRenderedPageBreak/>
              <w:t xml:space="preserve">Durante el </w:t>
            </w:r>
            <w:r w:rsidR="004E2CDB" w:rsidRPr="00FD3713">
              <w:rPr>
                <w:rFonts w:asciiTheme="minorHAnsi" w:hAnsiTheme="minorHAnsi"/>
                <w:szCs w:val="24"/>
                <w:lang w:val="es-ES_tradnl"/>
              </w:rPr>
              <w:t>"</w:t>
            </w:r>
            <w:r w:rsidRPr="00FD3713">
              <w:rPr>
                <w:rFonts w:asciiTheme="minorHAnsi" w:hAnsiTheme="minorHAnsi"/>
                <w:szCs w:val="24"/>
                <w:lang w:val="es-ES_tradnl"/>
              </w:rPr>
              <w:t>Diálogo de Alto Nivel sobre Habilidades digitales para el empleo decente de los jóvenes</w:t>
            </w:r>
            <w:r w:rsidR="004E2CDB" w:rsidRPr="00FD3713">
              <w:rPr>
                <w:rFonts w:asciiTheme="minorHAnsi" w:hAnsiTheme="minorHAnsi"/>
                <w:szCs w:val="24"/>
                <w:lang w:val="es-ES_tradnl"/>
              </w:rPr>
              <w:t>"</w:t>
            </w:r>
            <w:r w:rsidRPr="00FD3713">
              <w:rPr>
                <w:rFonts w:asciiTheme="minorHAnsi" w:hAnsiTheme="minorHAnsi"/>
                <w:szCs w:val="24"/>
                <w:lang w:val="es-ES_tradnl"/>
              </w:rPr>
              <w:t xml:space="preserve"> celebrado en el marco del Foro de la Cumbre Mundial sobre la Sociedad de la Información, celebrado en junio de 2017, se sensibilizó a cerca de 200 partes interesadas acerca de la importancia de impartir a los jóvenes una formación digital para la entrada en el mercado laboral. Esta sesión marcó el inicio de la campaña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-OIT </w:t>
            </w:r>
            <w:r w:rsidR="004E2CDB" w:rsidRPr="00FD3713">
              <w:rPr>
                <w:rFonts w:asciiTheme="minorHAnsi" w:hAnsiTheme="minorHAnsi"/>
                <w:szCs w:val="24"/>
                <w:lang w:val="es-ES_tradnl"/>
              </w:rPr>
              <w:t>"</w:t>
            </w:r>
            <w:r w:rsidRPr="00FD3713">
              <w:rPr>
                <w:rFonts w:asciiTheme="minorHAnsi" w:hAnsiTheme="minorHAnsi"/>
                <w:szCs w:val="24"/>
                <w:lang w:val="es-ES_tradnl"/>
              </w:rPr>
              <w:t>Habilidades digitales para el empleo decente de los jóvenes</w:t>
            </w:r>
            <w:r w:rsidR="004E2CDB" w:rsidRPr="00FD3713">
              <w:rPr>
                <w:rFonts w:asciiTheme="minorHAnsi" w:hAnsiTheme="minorHAnsi"/>
                <w:szCs w:val="24"/>
                <w:lang w:val="es-ES_tradnl"/>
              </w:rPr>
              <w:t>"</w:t>
            </w:r>
            <w:r w:rsidRPr="00FD3713">
              <w:rPr>
                <w:rFonts w:asciiTheme="minorHAnsi" w:hAnsiTheme="minorHAnsi"/>
                <w:szCs w:val="24"/>
                <w:lang w:val="es-ES_tradnl"/>
              </w:rPr>
              <w:t>, cuyo objetivo es incentivar a toda una serie de partes interesadas a formar a 5 millones de jóvenes para su entrada en el mercado laboral antes de</w:t>
            </w:r>
            <w:bookmarkStart w:id="187" w:name="lt_pId441"/>
            <w:bookmarkEnd w:id="186"/>
            <w:r w:rsidRPr="00FD3713">
              <w:rPr>
                <w:rFonts w:asciiTheme="minorHAnsi" w:hAnsiTheme="minorHAnsi"/>
                <w:szCs w:val="24"/>
                <w:lang w:val="es-ES_tradnl"/>
              </w:rPr>
              <w:t xml:space="preserve"> 2030.</w:t>
            </w:r>
            <w:bookmarkEnd w:id="187"/>
            <w:r w:rsidRPr="00FD3713">
              <w:rPr>
                <w:rFonts w:asciiTheme="minorHAnsi" w:hAnsiTheme="minorHAnsi"/>
                <w:szCs w:val="24"/>
                <w:lang w:val="es-ES_tradnl"/>
              </w:rPr>
              <w:t xml:space="preserve"> </w:t>
            </w:r>
            <w:bookmarkStart w:id="188" w:name="lt_pId442"/>
            <w:r w:rsidRPr="00FD3713">
              <w:rPr>
                <w:rFonts w:asciiTheme="minorHAnsi" w:hAnsiTheme="minorHAnsi"/>
                <w:szCs w:val="24"/>
                <w:lang w:val="es-ES_tradnl"/>
              </w:rPr>
              <w:t xml:space="preserve">Esta campaña se enmarca en la </w:t>
            </w:r>
            <w:r w:rsidR="004E2CDB" w:rsidRPr="00FD3713">
              <w:rPr>
                <w:rFonts w:asciiTheme="minorHAnsi" w:hAnsiTheme="minorHAnsi"/>
                <w:szCs w:val="24"/>
                <w:lang w:val="es-ES_tradnl"/>
              </w:rPr>
              <w:t>"</w:t>
            </w:r>
            <w:r w:rsidRPr="00FD3713">
              <w:rPr>
                <w:rFonts w:asciiTheme="minorHAnsi" w:hAnsiTheme="minorHAnsi"/>
                <w:szCs w:val="24"/>
                <w:lang w:val="es-ES_tradnl"/>
              </w:rPr>
              <w:t>Iniciativa mundial para el empleo decente de los jóvenes</w:t>
            </w:r>
            <w:r w:rsidR="004E2CDB" w:rsidRPr="00FD3713">
              <w:rPr>
                <w:rFonts w:asciiTheme="minorHAnsi" w:hAnsiTheme="minorHAnsi"/>
                <w:szCs w:val="24"/>
                <w:lang w:val="es-ES_tradnl"/>
              </w:rPr>
              <w:t>"</w:t>
            </w:r>
            <w:r w:rsidRPr="00FD3713">
              <w:rPr>
                <w:rFonts w:asciiTheme="minorHAnsi" w:hAnsiTheme="minorHAnsi"/>
                <w:szCs w:val="24"/>
                <w:lang w:val="es-ES_tradnl"/>
              </w:rPr>
              <w:t xml:space="preserve">, que cuenta con el apoyo de 22 organismos de las Naciones Unidas.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lidera la esfera de las capacidades digitales de la Iniciativa mundial para el empleo decente de los jóvenes con el objetivo de intensificar las actividades a nivel nacional</w:t>
            </w:r>
            <w:bookmarkStart w:id="189" w:name="lt_pId443"/>
            <w:bookmarkEnd w:id="188"/>
            <w:r w:rsidRPr="00FD3713">
              <w:rPr>
                <w:rFonts w:asciiTheme="minorHAnsi" w:hAnsiTheme="minorHAnsi"/>
                <w:szCs w:val="24"/>
                <w:lang w:val="es-ES_tradnl"/>
              </w:rPr>
              <w:t xml:space="preserve"> (</w:t>
            </w:r>
            <w:proofErr w:type="spellStart"/>
            <w:r w:rsidR="009174B9" w:rsidRPr="00FD3713">
              <w:rPr>
                <w:lang w:val="fr-FR"/>
              </w:rPr>
              <w:fldChar w:fldCharType="begin"/>
            </w:r>
            <w:r w:rsidR="009174B9" w:rsidRPr="00FD3713">
              <w:rPr>
                <w:lang w:val="es-ES_tradnl"/>
              </w:rPr>
              <w:instrText xml:space="preserve"> HYPERLINK "http://www.itu.int/digitalskills" </w:instrText>
            </w:r>
            <w:r w:rsidR="009174B9" w:rsidRPr="00FD3713">
              <w:rPr>
                <w:lang w:val="fr-FR"/>
              </w:rPr>
              <w:fldChar w:fldCharType="separate"/>
            </w:r>
            <w:r w:rsidRPr="00FD3713">
              <w:rPr>
                <w:rStyle w:val="Hyperlink"/>
                <w:rFonts w:asciiTheme="minorHAnsi" w:hAnsiTheme="minorHAnsi"/>
                <w:szCs w:val="24"/>
                <w:lang w:val="es-ES_tradnl"/>
              </w:rPr>
              <w:t>www.itu.int</w:t>
            </w:r>
            <w:proofErr w:type="spellEnd"/>
            <w:r w:rsidRPr="00FD3713">
              <w:rPr>
                <w:rStyle w:val="Hyperlink"/>
                <w:rFonts w:asciiTheme="minorHAnsi" w:hAnsiTheme="minorHAnsi"/>
                <w:szCs w:val="24"/>
                <w:lang w:val="es-ES_tradnl"/>
              </w:rPr>
              <w:t>/</w:t>
            </w:r>
            <w:proofErr w:type="spellStart"/>
            <w:r w:rsidRPr="00FD3713">
              <w:rPr>
                <w:rStyle w:val="Hyperlink"/>
                <w:rFonts w:asciiTheme="minorHAnsi" w:hAnsiTheme="minorHAnsi"/>
                <w:szCs w:val="24"/>
                <w:lang w:val="es-ES_tradnl"/>
              </w:rPr>
              <w:t>digitalskills</w:t>
            </w:r>
            <w:proofErr w:type="spellEnd"/>
            <w:r w:rsidR="009174B9" w:rsidRPr="00FD3713">
              <w:rPr>
                <w:rStyle w:val="Hyperlink"/>
                <w:szCs w:val="24"/>
                <w:lang w:val="es-ES_tradnl"/>
              </w:rPr>
              <w:fldChar w:fldCharType="end"/>
            </w:r>
            <w:r w:rsidRPr="00FD3713">
              <w:rPr>
                <w:rFonts w:asciiTheme="minorHAnsi" w:hAnsiTheme="minorHAnsi"/>
                <w:szCs w:val="24"/>
                <w:lang w:val="es-ES_tradnl"/>
              </w:rPr>
              <w:t>).</w:t>
            </w:r>
            <w:bookmarkEnd w:id="189"/>
          </w:p>
          <w:p w:rsidR="00F45A0D" w:rsidRPr="00FD3713" w:rsidRDefault="00F45A0D" w:rsidP="00F45A0D">
            <w:pPr>
              <w:rPr>
                <w:rFonts w:asciiTheme="minorHAnsi" w:hAnsiTheme="minorHAnsi"/>
                <w:szCs w:val="24"/>
                <w:lang w:val="es-ES_tradnl"/>
              </w:rPr>
            </w:pPr>
            <w:bookmarkStart w:id="190" w:name="lt_pId444"/>
            <w:r w:rsidRPr="00FD3713">
              <w:rPr>
                <w:rFonts w:asciiTheme="minorHAnsi" w:hAnsiTheme="minorHAnsi"/>
                <w:szCs w:val="24"/>
                <w:lang w:val="es-ES_tradnl"/>
              </w:rPr>
              <w:t>Entre otras actividades de sensibilización y capacitación pueden citarse las siguientes:</w:t>
            </w:r>
            <w:bookmarkEnd w:id="190"/>
          </w:p>
          <w:p w:rsidR="00F45A0D" w:rsidRPr="00FD3713" w:rsidRDefault="002E6E3F" w:rsidP="002E6E3F">
            <w:pPr>
              <w:pStyle w:val="enumlev1"/>
              <w:rPr>
                <w:rFonts w:asciiTheme="minorHAnsi" w:hAnsiTheme="minorHAnsi"/>
                <w:lang w:val="es-ES_tradnl"/>
              </w:rPr>
            </w:pPr>
            <w:bookmarkStart w:id="191" w:name="lt_pId445"/>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lang w:val="es-ES_tradnl"/>
              </w:rPr>
              <w:t>Se prestó asistencia a Egipto en la elaboración de una política nacional de accesibilidad de las TIC.</w:t>
            </w:r>
            <w:bookmarkEnd w:id="191"/>
          </w:p>
          <w:p w:rsidR="00F45A0D" w:rsidRPr="00FD3713" w:rsidRDefault="002E6E3F" w:rsidP="002E6E3F">
            <w:pPr>
              <w:pStyle w:val="enumlev1"/>
              <w:rPr>
                <w:rFonts w:asciiTheme="minorHAnsi" w:hAnsiTheme="minorHAnsi"/>
                <w:lang w:val="es-ES_tradnl"/>
              </w:rPr>
            </w:pPr>
            <w:bookmarkStart w:id="192" w:name="lt_pId446"/>
            <w:r w:rsidRPr="00FD3713">
              <w:rPr>
                <w:rFonts w:asciiTheme="minorHAnsi" w:hAnsiTheme="minorHAnsi"/>
                <w:lang w:val="es-ES_tradnl"/>
              </w:rPr>
              <w:t>–</w:t>
            </w:r>
            <w:r w:rsidRPr="00FD3713">
              <w:rPr>
                <w:rFonts w:asciiTheme="minorHAnsi" w:hAnsiTheme="minorHAnsi"/>
                <w:lang w:val="es-ES_tradnl"/>
              </w:rPr>
              <w:tab/>
            </w:r>
            <w:r w:rsidR="00F45A0D" w:rsidRPr="00FD3713">
              <w:rPr>
                <w:rFonts w:asciiTheme="minorHAnsi" w:hAnsiTheme="minorHAnsi"/>
                <w:lang w:val="es-ES_tradnl"/>
              </w:rPr>
              <w:t xml:space="preserve">Se creó en </w:t>
            </w:r>
            <w:proofErr w:type="spellStart"/>
            <w:r w:rsidR="00F45A0D" w:rsidRPr="00FD3713">
              <w:rPr>
                <w:rFonts w:asciiTheme="minorHAnsi" w:hAnsiTheme="minorHAnsi"/>
                <w:lang w:val="es-ES_tradnl"/>
              </w:rPr>
              <w:t>Belarús</w:t>
            </w:r>
            <w:proofErr w:type="spellEnd"/>
            <w:r w:rsidR="00F45A0D" w:rsidRPr="00FD3713">
              <w:rPr>
                <w:rFonts w:asciiTheme="minorHAnsi" w:hAnsiTheme="minorHAnsi"/>
                <w:lang w:val="es-ES_tradnl"/>
              </w:rPr>
              <w:t xml:space="preserve"> en marzo de 2017 el Centro de formación y acceso a Internet para personas con discapacidad auditiva.</w:t>
            </w:r>
            <w:bookmarkEnd w:id="192"/>
          </w:p>
          <w:p w:rsidR="00F45A0D" w:rsidRPr="00FD3713" w:rsidRDefault="002E6E3F" w:rsidP="002E6E3F">
            <w:pPr>
              <w:pStyle w:val="enumlev1"/>
              <w:rPr>
                <w:rFonts w:asciiTheme="minorHAnsi" w:hAnsiTheme="minorHAnsi"/>
                <w:lang w:val="es-ES_tradnl"/>
              </w:rPr>
            </w:pPr>
            <w:bookmarkStart w:id="193" w:name="lt_pId447"/>
            <w:r w:rsidRPr="00FD3713">
              <w:rPr>
                <w:rFonts w:asciiTheme="minorHAnsi" w:hAnsiTheme="minorHAnsi"/>
                <w:lang w:val="es-ES_tradnl"/>
              </w:rPr>
              <w:t>–</w:t>
            </w:r>
            <w:r w:rsidRPr="00FD3713">
              <w:rPr>
                <w:rFonts w:asciiTheme="minorHAnsi" w:hAnsiTheme="minorHAnsi"/>
                <w:lang w:val="es-ES_tradnl"/>
              </w:rPr>
              <w:tab/>
            </w:r>
            <w:r w:rsidR="00F45A0D" w:rsidRPr="00FD3713">
              <w:rPr>
                <w:rFonts w:asciiTheme="minorHAnsi" w:hAnsiTheme="minorHAnsi"/>
                <w:lang w:val="es-ES_tradnl"/>
              </w:rPr>
              <w:t xml:space="preserve">Se prestó apoyo a más de 100 líderes indígenas de los Estados Miembros de la </w:t>
            </w:r>
            <w:proofErr w:type="spellStart"/>
            <w:r w:rsidR="00F45A0D" w:rsidRPr="00FD3713">
              <w:rPr>
                <w:rFonts w:asciiTheme="minorHAnsi" w:hAnsiTheme="minorHAnsi"/>
                <w:lang w:val="es-ES_tradnl"/>
              </w:rPr>
              <w:t>UIT</w:t>
            </w:r>
            <w:proofErr w:type="spellEnd"/>
            <w:r w:rsidR="00F45A0D" w:rsidRPr="00FD3713">
              <w:rPr>
                <w:rFonts w:asciiTheme="minorHAnsi" w:hAnsiTheme="minorHAnsi"/>
                <w:lang w:val="es-ES_tradnl"/>
              </w:rPr>
              <w:t xml:space="preserve"> de la región de las Américas para desarrollar sus capacidades de utilización de las telecomunicaciones/TIC para el desarrollo socioeconómico.</w:t>
            </w:r>
            <w:bookmarkEnd w:id="193"/>
          </w:p>
          <w:p w:rsidR="00F45A0D" w:rsidRPr="00E31423" w:rsidRDefault="00E31423" w:rsidP="00AB15A2">
            <w:pPr>
              <w:pStyle w:val="enumlev1"/>
              <w:rPr>
                <w:rFonts w:asciiTheme="minorHAnsi" w:hAnsiTheme="minorHAnsi"/>
                <w:lang w:val="es-ES_tradnl"/>
              </w:rPr>
            </w:pPr>
            <w:bookmarkStart w:id="194" w:name="lt_pId448"/>
            <w:r w:rsidRPr="00E31423">
              <w:rPr>
                <w:lang w:val="es-ES_tradnl"/>
              </w:rPr>
              <w:t>–</w:t>
            </w:r>
            <w:r>
              <w:rPr>
                <w:rFonts w:asciiTheme="minorHAnsi" w:hAnsiTheme="minorHAnsi"/>
                <w:lang w:val="es-ES_tradnl"/>
              </w:rPr>
              <w:tab/>
            </w:r>
            <w:r w:rsidR="00F45A0D" w:rsidRPr="00E31423">
              <w:rPr>
                <w:rFonts w:asciiTheme="minorHAnsi" w:hAnsiTheme="minorHAnsi"/>
                <w:lang w:val="es-ES_tradnl"/>
              </w:rPr>
              <w:t>Se prepar</w:t>
            </w:r>
            <w:r w:rsidR="00AB15A2">
              <w:rPr>
                <w:rFonts w:asciiTheme="minorHAnsi" w:hAnsiTheme="minorHAnsi"/>
                <w:lang w:val="es-ES_tradnl"/>
              </w:rPr>
              <w:t>a</w:t>
            </w:r>
            <w:r w:rsidR="00F45A0D" w:rsidRPr="00E31423">
              <w:rPr>
                <w:rFonts w:asciiTheme="minorHAnsi" w:hAnsiTheme="minorHAnsi"/>
                <w:lang w:val="es-ES_tradnl"/>
              </w:rPr>
              <w:t xml:space="preserve"> un programa nacional de formación sobre accesibilidad web, </w:t>
            </w:r>
            <w:r w:rsidR="004E2CDB" w:rsidRPr="00E31423">
              <w:rPr>
                <w:rFonts w:asciiTheme="minorHAnsi" w:hAnsiTheme="minorHAnsi"/>
                <w:lang w:val="es-ES_tradnl"/>
              </w:rPr>
              <w:t>"</w:t>
            </w:r>
            <w:r w:rsidR="00F47CF3">
              <w:rPr>
                <w:rFonts w:asciiTheme="minorHAnsi" w:hAnsiTheme="minorHAnsi"/>
                <w:lang w:val="es-ES_tradnl"/>
              </w:rPr>
              <w:t xml:space="preserve">Internet </w:t>
            </w:r>
            <w:proofErr w:type="spellStart"/>
            <w:r w:rsidR="00F47CF3">
              <w:rPr>
                <w:rFonts w:asciiTheme="minorHAnsi" w:hAnsiTheme="minorHAnsi"/>
                <w:lang w:val="es-ES_tradnl"/>
              </w:rPr>
              <w:t>for</w:t>
            </w:r>
            <w:proofErr w:type="spellEnd"/>
            <w:r w:rsidR="00F47CF3">
              <w:rPr>
                <w:rFonts w:asciiTheme="minorHAnsi" w:hAnsiTheme="minorHAnsi"/>
                <w:lang w:val="es-ES_tradnl"/>
              </w:rPr>
              <w:t> </w:t>
            </w:r>
            <w:r w:rsidR="00F45A0D" w:rsidRPr="00E31423">
              <w:rPr>
                <w:rFonts w:asciiTheme="minorHAnsi" w:hAnsiTheme="minorHAnsi"/>
                <w:lang w:val="es-ES_tradnl"/>
              </w:rPr>
              <w:t>@ll</w:t>
            </w:r>
            <w:r w:rsidR="004E2CDB" w:rsidRPr="00E31423">
              <w:rPr>
                <w:rFonts w:asciiTheme="minorHAnsi" w:hAnsiTheme="minorHAnsi"/>
                <w:lang w:val="es-ES_tradnl"/>
              </w:rPr>
              <w:t>"</w:t>
            </w:r>
            <w:r w:rsidR="00F45A0D" w:rsidRPr="00E31423">
              <w:rPr>
                <w:rFonts w:asciiTheme="minorHAnsi" w:hAnsiTheme="minorHAnsi"/>
                <w:lang w:val="es-ES_tradnl"/>
              </w:rPr>
              <w:t xml:space="preserve">, compuesto por un módulo político nacional sobre accesibilidad de las TIC y dos cursos de formación continua sobre contenido web accesible y diseño y desarrollo de sitios web accesibles conformes con las normas de accesibilidad web </w:t>
            </w:r>
            <w:proofErr w:type="spellStart"/>
            <w:r w:rsidR="00F45A0D" w:rsidRPr="00E31423">
              <w:rPr>
                <w:rFonts w:asciiTheme="minorHAnsi" w:hAnsiTheme="minorHAnsi"/>
                <w:lang w:val="es-ES_tradnl"/>
              </w:rPr>
              <w:t>WCAG</w:t>
            </w:r>
            <w:proofErr w:type="spellEnd"/>
            <w:r w:rsidR="00F45A0D" w:rsidRPr="00E31423">
              <w:rPr>
                <w:rFonts w:asciiTheme="minorHAnsi" w:hAnsiTheme="minorHAnsi"/>
                <w:lang w:val="es-ES_tradnl"/>
              </w:rPr>
              <w:t xml:space="preserve"> 2.0. Los contenidos de este programa nacional de formación sobre accesibilidad web están disponibles en inglés, francés y árabe y se traducirán a lo</w:t>
            </w:r>
            <w:r w:rsidR="00E0172D">
              <w:rPr>
                <w:rFonts w:asciiTheme="minorHAnsi" w:hAnsiTheme="minorHAnsi"/>
                <w:lang w:val="es-ES_tradnl"/>
              </w:rPr>
              <w:t>s demás idiomas oficiales de la </w:t>
            </w:r>
            <w:proofErr w:type="spellStart"/>
            <w:r w:rsidR="00F45A0D" w:rsidRPr="00E31423">
              <w:rPr>
                <w:rFonts w:asciiTheme="minorHAnsi" w:hAnsiTheme="minorHAnsi"/>
                <w:lang w:val="es-ES_tradnl"/>
              </w:rPr>
              <w:t>UIT</w:t>
            </w:r>
            <w:proofErr w:type="spellEnd"/>
            <w:r w:rsidR="00F45A0D" w:rsidRPr="00E31423">
              <w:rPr>
                <w:rFonts w:asciiTheme="minorHAnsi" w:hAnsiTheme="minorHAnsi"/>
                <w:lang w:val="es-ES_tradnl"/>
              </w:rPr>
              <w:t xml:space="preserve"> en</w:t>
            </w:r>
            <w:bookmarkStart w:id="195" w:name="lt_pId449"/>
            <w:bookmarkEnd w:id="194"/>
            <w:r w:rsidR="00F45A0D" w:rsidRPr="00E31423">
              <w:rPr>
                <w:rFonts w:asciiTheme="minorHAnsi" w:hAnsiTheme="minorHAnsi"/>
                <w:lang w:val="es-ES_tradnl"/>
              </w:rPr>
              <w:t xml:space="preserve"> 2018.</w:t>
            </w:r>
            <w:bookmarkEnd w:id="195"/>
          </w:p>
          <w:p w:rsidR="00F45A0D" w:rsidRPr="00FD3713" w:rsidRDefault="00E31423" w:rsidP="00E31423">
            <w:pPr>
              <w:pStyle w:val="enumlev1"/>
              <w:spacing w:after="120"/>
              <w:rPr>
                <w:szCs w:val="24"/>
                <w:lang w:val="es-ES_tradnl"/>
              </w:rPr>
            </w:pPr>
            <w:bookmarkStart w:id="196" w:name="lt_pId450"/>
            <w:r w:rsidRPr="00E31423">
              <w:rPr>
                <w:lang w:val="es-ES_tradnl"/>
              </w:rPr>
              <w:t>–</w:t>
            </w:r>
            <w:r>
              <w:rPr>
                <w:rFonts w:asciiTheme="minorHAnsi" w:hAnsiTheme="minorHAnsi"/>
                <w:lang w:val="es-ES_tradnl"/>
              </w:rPr>
              <w:tab/>
            </w:r>
            <w:r w:rsidR="00F45A0D" w:rsidRPr="00E31423">
              <w:rPr>
                <w:rFonts w:asciiTheme="minorHAnsi" w:hAnsiTheme="minorHAnsi"/>
                <w:lang w:val="es-ES_tradnl"/>
              </w:rPr>
              <w:t>Se prestó asistencia al Ministerio de Comunicaciones y Tecnología de la Información de Egipto para la formulación de la política de accesibilidad de las TIC de Egipto.</w:t>
            </w:r>
            <w:bookmarkEnd w:id="196"/>
          </w:p>
        </w:tc>
      </w:tr>
      <w:tr w:rsidR="00F45A0D" w:rsidRPr="00FD3713" w:rsidTr="00F45A0D">
        <w:tc>
          <w:tcPr>
            <w:tcW w:w="2830" w:type="dxa"/>
          </w:tcPr>
          <w:p w:rsidR="00F45A0D" w:rsidRPr="00FD3713" w:rsidRDefault="00F45A0D" w:rsidP="00DF4014">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798" w:type="dxa"/>
          </w:tcPr>
          <w:p w:rsidR="00F45A0D" w:rsidRPr="00FD3713" w:rsidRDefault="00F45A0D" w:rsidP="00DF4014">
            <w:pPr>
              <w:spacing w:before="60" w:after="60"/>
              <w:rPr>
                <w:rFonts w:asciiTheme="minorHAnsi" w:hAnsiTheme="minorHAnsi"/>
                <w:szCs w:val="24"/>
                <w:lang w:val="es-ES_tradnl"/>
              </w:rPr>
            </w:pPr>
            <w:bookmarkStart w:id="197" w:name="lt_pId452"/>
            <w:r w:rsidRPr="00FD3713">
              <w:rPr>
                <w:rFonts w:asciiTheme="minorHAnsi" w:hAnsiTheme="minorHAnsi"/>
                <w:szCs w:val="24"/>
                <w:lang w:val="es-ES_tradnl"/>
              </w:rPr>
              <w:t>Resoluciones 1, 5, 9, 11, 15, 20, 21, 22, 23, 30, 32, 55, 58, 68, 76, 77</w:t>
            </w:r>
            <w:bookmarkEnd w:id="197"/>
          </w:p>
        </w:tc>
      </w:tr>
      <w:tr w:rsidR="00F45A0D" w:rsidRPr="008D434B" w:rsidTr="00F45A0D">
        <w:tc>
          <w:tcPr>
            <w:tcW w:w="2830" w:type="dxa"/>
          </w:tcPr>
          <w:p w:rsidR="00F45A0D" w:rsidRPr="00AB15A2" w:rsidRDefault="00F45A0D" w:rsidP="00DF4014">
            <w:pPr>
              <w:spacing w:before="60" w:after="60"/>
              <w:rPr>
                <w:rFonts w:asciiTheme="minorHAnsi" w:hAnsiTheme="minorHAnsi"/>
                <w:i/>
                <w:iCs/>
                <w:szCs w:val="24"/>
                <w:lang w:val="es-ES_tradnl"/>
              </w:rPr>
            </w:pPr>
            <w:r w:rsidRPr="00AB15A2">
              <w:rPr>
                <w:rFonts w:asciiTheme="minorHAnsi" w:hAnsiTheme="minorHAnsi"/>
                <w:i/>
                <w:iCs/>
                <w:szCs w:val="24"/>
                <w:lang w:val="es-ES_tradnl"/>
              </w:rPr>
              <w:t>Conferencia de Plenipotenciarios</w:t>
            </w:r>
          </w:p>
        </w:tc>
        <w:tc>
          <w:tcPr>
            <w:tcW w:w="6798" w:type="dxa"/>
          </w:tcPr>
          <w:p w:rsidR="00F45A0D" w:rsidRPr="00FD3713" w:rsidRDefault="00F45A0D" w:rsidP="00DF4014">
            <w:pPr>
              <w:spacing w:before="60" w:after="60"/>
              <w:rPr>
                <w:rFonts w:asciiTheme="minorHAnsi" w:hAnsiTheme="minorHAnsi"/>
                <w:szCs w:val="24"/>
                <w:lang w:val="es-ES_tradnl"/>
              </w:rPr>
            </w:pPr>
            <w:r w:rsidRPr="00FD3713">
              <w:rPr>
                <w:rFonts w:asciiTheme="minorHAnsi" w:hAnsiTheme="minorHAnsi"/>
                <w:szCs w:val="24"/>
                <w:lang w:val="es-ES_tradnl"/>
              </w:rPr>
              <w:t>Decisiones de la PP: 5 y 13</w:t>
            </w:r>
            <w:r w:rsidRPr="00FD3713">
              <w:rPr>
                <w:rFonts w:asciiTheme="minorHAnsi" w:hAnsiTheme="minorHAnsi"/>
                <w:szCs w:val="24"/>
                <w:lang w:val="es-ES_tradnl"/>
              </w:rPr>
              <w:br/>
              <w:t>Resoluciones de la PP: 25, 30, 32, 33, 34, 36, 37, 64, 70, 71, 131, 139, 140, 175, 184, 198 y 202</w:t>
            </w:r>
          </w:p>
        </w:tc>
      </w:tr>
      <w:tr w:rsidR="00F45A0D" w:rsidRPr="00FD3713" w:rsidTr="00F45A0D">
        <w:tc>
          <w:tcPr>
            <w:tcW w:w="2830" w:type="dxa"/>
          </w:tcPr>
          <w:p w:rsidR="00F45A0D" w:rsidRPr="00FD3713" w:rsidRDefault="00F45A0D" w:rsidP="00E0172D">
            <w:pPr>
              <w:spacing w:before="60" w:after="60"/>
              <w:rPr>
                <w:rFonts w:asciiTheme="minorHAnsi" w:hAnsiTheme="minorHAnsi"/>
                <w:szCs w:val="24"/>
                <w:lang w:val="es-ES_tradnl"/>
              </w:rPr>
            </w:pPr>
            <w:proofErr w:type="spellStart"/>
            <w:r w:rsidRPr="00FD3713">
              <w:rPr>
                <w:rFonts w:asciiTheme="minorHAnsi" w:hAnsiTheme="minorHAnsi"/>
                <w:i/>
                <w:iCs/>
                <w:szCs w:val="24"/>
                <w:lang w:val="es-ES_tradnl"/>
              </w:rPr>
              <w:t>AMNT</w:t>
            </w:r>
            <w:proofErr w:type="spellEnd"/>
          </w:p>
        </w:tc>
        <w:tc>
          <w:tcPr>
            <w:tcW w:w="6798" w:type="dxa"/>
          </w:tcPr>
          <w:p w:rsidR="00F45A0D" w:rsidRPr="00FD3713" w:rsidRDefault="00F45A0D" w:rsidP="00E0172D">
            <w:pPr>
              <w:spacing w:before="60" w:after="60"/>
              <w:rPr>
                <w:rFonts w:asciiTheme="minorHAnsi" w:hAnsiTheme="minorHAnsi"/>
                <w:szCs w:val="24"/>
                <w:lang w:val="es-ES_tradnl"/>
              </w:rPr>
            </w:pPr>
            <w:bookmarkStart w:id="198" w:name="lt_pId457"/>
            <w:r w:rsidRPr="00FD3713">
              <w:rPr>
                <w:rFonts w:asciiTheme="minorHAnsi" w:hAnsiTheme="minorHAnsi"/>
                <w:szCs w:val="24"/>
                <w:lang w:val="es-ES_tradnl"/>
              </w:rPr>
              <w:t>Resoluciones 55, 69</w:t>
            </w:r>
            <w:bookmarkEnd w:id="198"/>
          </w:p>
        </w:tc>
      </w:tr>
      <w:tr w:rsidR="00F45A0D" w:rsidRPr="008D434B" w:rsidTr="00F45A0D">
        <w:tc>
          <w:tcPr>
            <w:tcW w:w="2830" w:type="dxa"/>
          </w:tcPr>
          <w:p w:rsidR="00F45A0D" w:rsidRPr="00FD3713" w:rsidRDefault="00F45A0D" w:rsidP="00DF4014">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Línea </w:t>
            </w:r>
            <w:r w:rsidRPr="00E31423">
              <w:rPr>
                <w:rFonts w:asciiTheme="minorHAnsi" w:hAnsiTheme="minorHAnsi"/>
                <w:szCs w:val="24"/>
                <w:lang w:val="es-ES_tradnl"/>
              </w:rPr>
              <w:t>de</w:t>
            </w:r>
            <w:r w:rsidRPr="00FD3713">
              <w:rPr>
                <w:rFonts w:asciiTheme="minorHAnsi" w:hAnsiTheme="minorHAnsi"/>
                <w:i/>
                <w:iCs/>
                <w:szCs w:val="24"/>
                <w:lang w:val="es-ES_tradnl"/>
              </w:rPr>
              <w:t xml:space="preserve"> Acción de la </w:t>
            </w:r>
            <w:proofErr w:type="spellStart"/>
            <w:r w:rsidRPr="00FD3713">
              <w:rPr>
                <w:rFonts w:asciiTheme="minorHAnsi" w:hAnsiTheme="minorHAnsi"/>
                <w:i/>
                <w:iCs/>
                <w:szCs w:val="24"/>
                <w:lang w:val="es-ES_tradnl"/>
              </w:rPr>
              <w:t>CMSI</w:t>
            </w:r>
            <w:proofErr w:type="spellEnd"/>
          </w:p>
        </w:tc>
        <w:tc>
          <w:tcPr>
            <w:tcW w:w="6798" w:type="dxa"/>
          </w:tcPr>
          <w:p w:rsidR="00F45A0D" w:rsidRPr="00FD3713" w:rsidRDefault="00F45A0D" w:rsidP="00DF4014">
            <w:pPr>
              <w:spacing w:before="60" w:after="60"/>
              <w:rPr>
                <w:rFonts w:asciiTheme="minorHAnsi" w:hAnsiTheme="minorHAnsi"/>
                <w:szCs w:val="24"/>
                <w:lang w:val="es-ES_tradnl"/>
              </w:rPr>
            </w:pPr>
            <w:r w:rsidRPr="00FD3713">
              <w:rPr>
                <w:rFonts w:asciiTheme="minorHAnsi" w:hAnsiTheme="minorHAnsi"/>
                <w:szCs w:val="24"/>
                <w:lang w:val="es-ES_tradnl"/>
              </w:rPr>
              <w:t xml:space="preserve">Líneas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C2</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C4</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C7</w:t>
            </w:r>
            <w:proofErr w:type="spellEnd"/>
            <w:r w:rsidRPr="00FD3713">
              <w:rPr>
                <w:rFonts w:asciiTheme="minorHAnsi" w:hAnsiTheme="minorHAnsi"/>
                <w:szCs w:val="24"/>
                <w:lang w:val="es-ES_tradnl"/>
              </w:rPr>
              <w:t xml:space="preserve"> y </w:t>
            </w:r>
            <w:proofErr w:type="spellStart"/>
            <w:r w:rsidRPr="00FD3713">
              <w:rPr>
                <w:rFonts w:asciiTheme="minorHAnsi" w:hAnsiTheme="minorHAnsi"/>
                <w:szCs w:val="24"/>
                <w:lang w:val="es-ES_tradnl"/>
              </w:rPr>
              <w:t>C8</w:t>
            </w:r>
            <w:proofErr w:type="spellEnd"/>
            <w:r w:rsidRPr="00FD3713">
              <w:rPr>
                <w:rFonts w:asciiTheme="minorHAnsi" w:hAnsiTheme="minorHAnsi"/>
                <w:szCs w:val="24"/>
                <w:lang w:val="es-ES_tradnl"/>
              </w:rPr>
              <w:t xml:space="preserve"> del Plan de Acción de Ginebra y el párrafo 90 de la Agenda de Túnez para la Sociedad de la Información.</w:t>
            </w:r>
          </w:p>
        </w:tc>
      </w:tr>
      <w:tr w:rsidR="00F45A0D" w:rsidRPr="008D434B" w:rsidTr="00F45A0D">
        <w:tc>
          <w:tcPr>
            <w:tcW w:w="2830" w:type="dxa"/>
          </w:tcPr>
          <w:p w:rsidR="00F45A0D" w:rsidRPr="00FD3713" w:rsidRDefault="00F45A0D" w:rsidP="00DF4014">
            <w:pPr>
              <w:spacing w:before="60" w:after="60"/>
              <w:rPr>
                <w:rFonts w:asciiTheme="minorHAnsi" w:hAnsiTheme="minorHAnsi"/>
                <w:i/>
                <w:iCs/>
                <w:szCs w:val="24"/>
                <w:lang w:val="es-ES_tradnl"/>
              </w:rPr>
            </w:pPr>
            <w:r w:rsidRPr="00E31423">
              <w:rPr>
                <w:rFonts w:asciiTheme="minorHAnsi" w:hAnsiTheme="minorHAnsi"/>
                <w:szCs w:val="24"/>
                <w:lang w:val="es-ES_tradnl"/>
              </w:rPr>
              <w:t>Contribución</w:t>
            </w:r>
            <w:r w:rsidRPr="00FD3713">
              <w:rPr>
                <w:rFonts w:asciiTheme="minorHAnsi" w:hAnsiTheme="minorHAnsi"/>
                <w:i/>
                <w:iCs/>
                <w:szCs w:val="24"/>
                <w:lang w:val="es-ES_tradnl"/>
              </w:rPr>
              <w:t xml:space="preserve"> a las metas de los </w:t>
            </w:r>
            <w:proofErr w:type="spellStart"/>
            <w:r w:rsidRPr="00FD3713">
              <w:rPr>
                <w:rFonts w:asciiTheme="minorHAnsi" w:hAnsiTheme="minorHAnsi"/>
                <w:i/>
                <w:iCs/>
                <w:szCs w:val="24"/>
                <w:lang w:val="es-ES_tradnl"/>
              </w:rPr>
              <w:t>ODS</w:t>
            </w:r>
            <w:proofErr w:type="spellEnd"/>
          </w:p>
        </w:tc>
        <w:tc>
          <w:tcPr>
            <w:tcW w:w="6798" w:type="dxa"/>
          </w:tcPr>
          <w:p w:rsidR="00F45A0D" w:rsidRPr="00FD3713" w:rsidRDefault="00F45A0D" w:rsidP="00DF4014">
            <w:pPr>
              <w:spacing w:before="60" w:after="60"/>
              <w:rPr>
                <w:rFonts w:asciiTheme="minorHAnsi" w:hAnsiTheme="minorHAnsi"/>
                <w:szCs w:val="24"/>
                <w:lang w:val="es-ES_tradnl"/>
              </w:rPr>
            </w:pP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1 (metas 1.2, 1.4, </w:t>
            </w:r>
            <w:proofErr w:type="spellStart"/>
            <w:r w:rsidRPr="00FD3713">
              <w:rPr>
                <w:rFonts w:asciiTheme="minorHAnsi" w:hAnsiTheme="minorHAnsi"/>
                <w:szCs w:val="24"/>
                <w:lang w:val="es-ES_tradnl"/>
              </w:rPr>
              <w:t>1.a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1.b</w:t>
            </w:r>
            <w:proofErr w:type="spellEnd"/>
            <w:r w:rsidRPr="00FD3713">
              <w:rPr>
                <w:rFonts w:asciiTheme="minorHAnsi" w:hAnsiTheme="minorHAnsi"/>
                <w:szCs w:val="24"/>
                <w:lang w:val="es-ES_tradnl"/>
              </w:rPr>
              <w:t xml:space="preserve">), 4 (metas 4.1, 4.2, 4.3, 4.4, 4.5, </w:t>
            </w:r>
            <w:proofErr w:type="spellStart"/>
            <w:r w:rsidRPr="00FD3713">
              <w:rPr>
                <w:rFonts w:asciiTheme="minorHAnsi" w:hAnsiTheme="minorHAnsi"/>
                <w:szCs w:val="24"/>
                <w:lang w:val="es-ES_tradnl"/>
              </w:rPr>
              <w:t>4.a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4.b</w:t>
            </w:r>
            <w:proofErr w:type="spellEnd"/>
            <w:r w:rsidRPr="00FD3713">
              <w:rPr>
                <w:rFonts w:asciiTheme="minorHAnsi" w:hAnsiTheme="minorHAnsi"/>
                <w:szCs w:val="24"/>
                <w:lang w:val="es-ES_tradnl"/>
              </w:rPr>
              <w:t xml:space="preserve">), 5 (5.1, 5.5, </w:t>
            </w:r>
            <w:proofErr w:type="spellStart"/>
            <w:r w:rsidRPr="00FD3713">
              <w:rPr>
                <w:rFonts w:asciiTheme="minorHAnsi" w:hAnsiTheme="minorHAnsi"/>
                <w:szCs w:val="24"/>
                <w:lang w:val="es-ES_tradnl"/>
              </w:rPr>
              <w:t>5.b</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5.c</w:t>
            </w:r>
            <w:proofErr w:type="spellEnd"/>
            <w:r w:rsidRPr="00FD3713">
              <w:rPr>
                <w:rFonts w:asciiTheme="minorHAnsi" w:hAnsiTheme="minorHAnsi"/>
                <w:szCs w:val="24"/>
                <w:lang w:val="es-ES_tradnl"/>
              </w:rPr>
              <w:t xml:space="preserve">), 8 (metas 8.2, 8.3, 8.5, 8.6, 8.10, </w:t>
            </w:r>
            <w:proofErr w:type="spellStart"/>
            <w:r w:rsidRPr="00FD3713">
              <w:rPr>
                <w:rFonts w:asciiTheme="minorHAnsi" w:hAnsiTheme="minorHAnsi"/>
                <w:szCs w:val="24"/>
                <w:lang w:val="es-ES_tradnl"/>
              </w:rPr>
              <w:t>8.b</w:t>
            </w:r>
            <w:proofErr w:type="spellEnd"/>
            <w:r w:rsidRPr="00FD3713">
              <w:rPr>
                <w:rFonts w:asciiTheme="minorHAnsi" w:hAnsiTheme="minorHAnsi"/>
                <w:szCs w:val="24"/>
                <w:lang w:val="es-ES_tradnl"/>
              </w:rPr>
              <w:t xml:space="preserve">), 9 (meta </w:t>
            </w:r>
            <w:proofErr w:type="spellStart"/>
            <w:r w:rsidRPr="00FD3713">
              <w:rPr>
                <w:rFonts w:asciiTheme="minorHAnsi" w:hAnsiTheme="minorHAnsi"/>
                <w:szCs w:val="24"/>
                <w:lang w:val="es-ES_tradnl"/>
              </w:rPr>
              <w:t>9.c</w:t>
            </w:r>
            <w:proofErr w:type="spellEnd"/>
            <w:r w:rsidRPr="00FD3713">
              <w:rPr>
                <w:rFonts w:asciiTheme="minorHAnsi" w:hAnsiTheme="minorHAnsi"/>
                <w:szCs w:val="24"/>
                <w:lang w:val="es-ES_tradnl"/>
              </w:rPr>
              <w:t xml:space="preserve">), 10 (metas 10.2, 10.3), 11 (metas 11.2, 11.7, </w:t>
            </w:r>
            <w:proofErr w:type="spellStart"/>
            <w:r w:rsidRPr="00FD3713">
              <w:rPr>
                <w:rFonts w:asciiTheme="minorHAnsi" w:hAnsiTheme="minorHAnsi"/>
                <w:szCs w:val="24"/>
                <w:lang w:val="es-ES_tradnl"/>
              </w:rPr>
              <w:t>11.c</w:t>
            </w:r>
            <w:proofErr w:type="spellEnd"/>
            <w:r w:rsidRPr="00FD3713">
              <w:rPr>
                <w:rFonts w:asciiTheme="minorHAnsi" w:hAnsiTheme="minorHAnsi"/>
                <w:szCs w:val="24"/>
                <w:lang w:val="es-ES_tradnl"/>
              </w:rPr>
              <w:t xml:space="preserve">), 16 (meta </w:t>
            </w:r>
            <w:proofErr w:type="spellStart"/>
            <w:r w:rsidRPr="00FD3713">
              <w:rPr>
                <w:rFonts w:asciiTheme="minorHAnsi" w:hAnsiTheme="minorHAnsi"/>
                <w:szCs w:val="24"/>
                <w:lang w:val="es-ES_tradnl"/>
              </w:rPr>
              <w:t>16.b</w:t>
            </w:r>
            <w:proofErr w:type="spellEnd"/>
            <w:r w:rsidRPr="00FD3713">
              <w:rPr>
                <w:rFonts w:asciiTheme="minorHAnsi" w:hAnsiTheme="minorHAnsi"/>
                <w:szCs w:val="24"/>
                <w:lang w:val="es-ES_tradnl"/>
              </w:rPr>
              <w:t>), 17 (metas 17.6, 17.7, 17.8, 17.17)</w:t>
            </w:r>
          </w:p>
        </w:tc>
      </w:tr>
    </w:tbl>
    <w:p w:rsidR="001F0733" w:rsidRDefault="001F0733">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rsidR="001F0733" w:rsidRDefault="001F0733">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Pr>
          <w:lang w:val="es-ES_tradnl"/>
        </w:rPr>
        <w:br w:type="page"/>
      </w:r>
    </w:p>
    <w:p w:rsidR="00F45A0D" w:rsidRPr="00FD3713" w:rsidRDefault="00F45A0D" w:rsidP="00482C61">
      <w:pPr>
        <w:pStyle w:val="Heading2"/>
        <w:spacing w:after="120"/>
        <w:rPr>
          <w:lang w:val="es-ES_tradnl"/>
        </w:rPr>
      </w:pPr>
      <w:r w:rsidRPr="00FD3713">
        <w:rPr>
          <w:lang w:val="es-ES_tradnl"/>
        </w:rPr>
        <w:lastRenderedPageBreak/>
        <w:t>4.4</w:t>
      </w:r>
      <w:r w:rsidRPr="00FD3713">
        <w:rPr>
          <w:lang w:val="es-ES_tradnl"/>
        </w:rPr>
        <w:tab/>
        <w:t xml:space="preserve">Asistencia intensiva a los </w:t>
      </w:r>
      <w:proofErr w:type="spellStart"/>
      <w:r w:rsidRPr="00FD3713">
        <w:rPr>
          <w:lang w:val="es-ES_tradnl"/>
        </w:rPr>
        <w:t>PMA</w:t>
      </w:r>
      <w:proofErr w:type="spellEnd"/>
      <w:r w:rsidRPr="00FD3713">
        <w:rPr>
          <w:lang w:val="es-ES_tradnl"/>
        </w:rPr>
        <w:t xml:space="preserve">, </w:t>
      </w:r>
      <w:proofErr w:type="spellStart"/>
      <w:r w:rsidRPr="00FD3713">
        <w:rPr>
          <w:lang w:val="es-ES_tradnl"/>
        </w:rPr>
        <w:t>PEID</w:t>
      </w:r>
      <w:proofErr w:type="spellEnd"/>
      <w:r w:rsidRPr="00FD3713">
        <w:rPr>
          <w:lang w:val="es-ES_tradnl"/>
        </w:rPr>
        <w:t xml:space="preserve"> y </w:t>
      </w:r>
      <w:proofErr w:type="spellStart"/>
      <w:r w:rsidRPr="00FD3713">
        <w:rPr>
          <w:lang w:val="es-ES_tradnl"/>
        </w:rPr>
        <w:t>PDSL</w:t>
      </w:r>
      <w:proofErr w:type="spellEnd"/>
    </w:p>
    <w:tbl>
      <w:tblPr>
        <w:tblStyle w:val="TableGrid"/>
        <w:tblW w:w="0" w:type="auto"/>
        <w:tblLook w:val="04A0" w:firstRow="1" w:lastRow="0" w:firstColumn="1" w:lastColumn="0" w:noHBand="0" w:noVBand="1"/>
      </w:tblPr>
      <w:tblGrid>
        <w:gridCol w:w="2830"/>
        <w:gridCol w:w="6798"/>
      </w:tblGrid>
      <w:tr w:rsidR="00F45A0D" w:rsidRPr="00FD3713" w:rsidTr="00F45A0D">
        <w:tc>
          <w:tcPr>
            <w:tcW w:w="9628" w:type="dxa"/>
            <w:gridSpan w:val="2"/>
          </w:tcPr>
          <w:p w:rsidR="00F45A0D" w:rsidRPr="00FD3713" w:rsidRDefault="00F45A0D" w:rsidP="00F45A0D">
            <w:pPr>
              <w:rPr>
                <w:rFonts w:asciiTheme="minorHAnsi" w:hAnsiTheme="minorHAnsi"/>
                <w:szCs w:val="24"/>
                <w:lang w:val="es-ES_tradnl"/>
              </w:rPr>
            </w:pPr>
            <w:bookmarkStart w:id="199" w:name="lt_pId465"/>
            <w:r w:rsidRPr="00FD3713">
              <w:rPr>
                <w:rFonts w:asciiTheme="minorHAnsi" w:hAnsiTheme="minorHAnsi"/>
                <w:szCs w:val="24"/>
                <w:lang w:val="es-ES_tradnl"/>
              </w:rPr>
              <w:t xml:space="preserve">En 2017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siguió empeñándose en concienciar sobre la importancia de las TIC para el desarrollo sostenible, en prestar asistencia intensiva y en aumentar la capacidad de los países menos adelantados (</w:t>
            </w:r>
            <w:proofErr w:type="spellStart"/>
            <w:r w:rsidRPr="00FD3713">
              <w:rPr>
                <w:rFonts w:asciiTheme="minorHAnsi" w:hAnsiTheme="minorHAnsi"/>
                <w:szCs w:val="24"/>
                <w:lang w:val="es-ES_tradnl"/>
              </w:rPr>
              <w:t>PMA</w:t>
            </w:r>
            <w:proofErr w:type="spellEnd"/>
            <w:r w:rsidRPr="00FD3713">
              <w:rPr>
                <w:rFonts w:asciiTheme="minorHAnsi" w:hAnsiTheme="minorHAnsi"/>
                <w:szCs w:val="24"/>
                <w:lang w:val="es-ES_tradnl"/>
              </w:rPr>
              <w:t>), los países en desarrollo sin litoral (</w:t>
            </w:r>
            <w:proofErr w:type="spellStart"/>
            <w:r w:rsidRPr="00FD3713">
              <w:rPr>
                <w:rFonts w:asciiTheme="minorHAnsi" w:hAnsiTheme="minorHAnsi"/>
                <w:szCs w:val="24"/>
                <w:lang w:val="es-ES_tradnl"/>
              </w:rPr>
              <w:t>PDSL</w:t>
            </w:r>
            <w:proofErr w:type="spellEnd"/>
            <w:r w:rsidRPr="00FD3713">
              <w:rPr>
                <w:rFonts w:asciiTheme="minorHAnsi" w:hAnsiTheme="minorHAnsi"/>
                <w:szCs w:val="24"/>
                <w:lang w:val="es-ES_tradnl"/>
              </w:rPr>
              <w:t>) y los pequeños Estados insulares en desarrollo (</w:t>
            </w:r>
            <w:proofErr w:type="spellStart"/>
            <w:r w:rsidRPr="00FD3713">
              <w:rPr>
                <w:rFonts w:asciiTheme="minorHAnsi" w:hAnsiTheme="minorHAnsi"/>
                <w:szCs w:val="24"/>
                <w:lang w:val="es-ES_tradnl"/>
              </w:rPr>
              <w:t>PEID</w:t>
            </w:r>
            <w:proofErr w:type="spellEnd"/>
            <w:r w:rsidRPr="00FD3713">
              <w:rPr>
                <w:rFonts w:asciiTheme="minorHAnsi" w:hAnsiTheme="minorHAnsi"/>
                <w:szCs w:val="24"/>
                <w:lang w:val="es-ES_tradnl"/>
              </w:rPr>
              <w:t>). En los países concernidos se llevaron a cabo diversas actividades, iniciativas, programas y proyectos relacionados con las TIC</w:t>
            </w:r>
            <w:bookmarkStart w:id="200" w:name="lt_pId466"/>
            <w:bookmarkEnd w:id="199"/>
            <w:r w:rsidRPr="00FD3713">
              <w:rPr>
                <w:rFonts w:asciiTheme="minorHAnsi" w:hAnsiTheme="minorHAnsi"/>
                <w:szCs w:val="24"/>
                <w:lang w:val="es-ES_tradnl"/>
              </w:rPr>
              <w:t>.</w:t>
            </w:r>
            <w:bookmarkEnd w:id="200"/>
          </w:p>
          <w:p w:rsidR="00F45A0D" w:rsidRPr="00FD3713" w:rsidRDefault="00F45A0D" w:rsidP="00F45A0D">
            <w:pPr>
              <w:rPr>
                <w:rFonts w:asciiTheme="minorHAnsi" w:hAnsiTheme="minorHAnsi"/>
                <w:szCs w:val="24"/>
                <w:lang w:val="es-ES_tradnl"/>
              </w:rPr>
            </w:pPr>
            <w:bookmarkStart w:id="201" w:name="lt_pId467"/>
            <w:r w:rsidRPr="00FD3713">
              <w:rPr>
                <w:rFonts w:asciiTheme="minorHAnsi" w:hAnsiTheme="minorHAnsi"/>
                <w:szCs w:val="24"/>
                <w:lang w:val="es-ES_tradnl"/>
              </w:rPr>
              <w:t xml:space="preserve">En octubre de 2017 se celebró una Mesa Redonda Ministerial previa a la </w:t>
            </w:r>
            <w:proofErr w:type="spellStart"/>
            <w:r w:rsidRPr="00FD3713">
              <w:rPr>
                <w:rFonts w:asciiTheme="minorHAnsi" w:hAnsiTheme="minorHAnsi"/>
                <w:szCs w:val="24"/>
                <w:lang w:val="es-ES_tradnl"/>
              </w:rPr>
              <w:t>CMDT</w:t>
            </w:r>
            <w:proofErr w:type="spellEnd"/>
            <w:r w:rsidRPr="00FD3713">
              <w:rPr>
                <w:rFonts w:asciiTheme="minorHAnsi" w:hAnsiTheme="minorHAnsi"/>
                <w:szCs w:val="24"/>
                <w:lang w:val="es-ES_tradnl"/>
              </w:rPr>
              <w:t xml:space="preserve">-17 dedicada a la iniciativa </w:t>
            </w:r>
            <w:proofErr w:type="spellStart"/>
            <w:r w:rsidRPr="00FD3713">
              <w:rPr>
                <w:rFonts w:asciiTheme="minorHAnsi" w:hAnsiTheme="minorHAnsi"/>
                <w:szCs w:val="24"/>
                <w:lang w:val="es-ES_tradnl"/>
              </w:rPr>
              <w:t>ICT</w:t>
            </w:r>
            <w:r w:rsidRPr="00FD3713">
              <w:rPr>
                <w:rFonts w:asciiTheme="minorHAnsi" w:hAnsiTheme="minorHAnsi" w:cs="Cambria Math"/>
                <w:szCs w:val="24"/>
                <w:lang w:val="es-ES_tradnl"/>
              </w:rPr>
              <w:t>④</w:t>
            </w:r>
            <w:r w:rsidRPr="00FD3713">
              <w:rPr>
                <w:rFonts w:asciiTheme="minorHAnsi" w:hAnsiTheme="minorHAnsi"/>
                <w:szCs w:val="24"/>
                <w:lang w:val="es-ES_tradnl"/>
              </w:rPr>
              <w:t>SDGs</w:t>
            </w:r>
            <w:proofErr w:type="spellEnd"/>
            <w:r w:rsidRPr="00FD3713">
              <w:rPr>
                <w:rFonts w:asciiTheme="minorHAnsi" w:hAnsiTheme="minorHAnsi"/>
                <w:szCs w:val="24"/>
                <w:lang w:val="es-ES_tradnl"/>
              </w:rPr>
              <w:t xml:space="preserve"> en los </w:t>
            </w:r>
            <w:proofErr w:type="spellStart"/>
            <w:r w:rsidRPr="00FD3713">
              <w:rPr>
                <w:rFonts w:asciiTheme="minorHAnsi" w:hAnsiTheme="minorHAnsi"/>
                <w:szCs w:val="24"/>
                <w:lang w:val="es-ES_tradnl"/>
              </w:rPr>
              <w:t>PMA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PDSL</w:t>
            </w:r>
            <w:proofErr w:type="spellEnd"/>
            <w:r w:rsidRPr="00FD3713">
              <w:rPr>
                <w:rFonts w:asciiTheme="minorHAnsi" w:hAnsiTheme="minorHAnsi"/>
                <w:szCs w:val="24"/>
                <w:lang w:val="es-ES_tradnl"/>
              </w:rPr>
              <w:t xml:space="preserve"> y </w:t>
            </w:r>
            <w:proofErr w:type="spellStart"/>
            <w:r w:rsidRPr="00FD3713">
              <w:rPr>
                <w:rFonts w:asciiTheme="minorHAnsi" w:hAnsiTheme="minorHAnsi"/>
                <w:szCs w:val="24"/>
                <w:lang w:val="es-ES_tradnl"/>
              </w:rPr>
              <w:t>PEID</w:t>
            </w:r>
            <w:proofErr w:type="spellEnd"/>
            <w:r w:rsidRPr="00FD3713">
              <w:rPr>
                <w:rFonts w:asciiTheme="minorHAnsi" w:hAnsiTheme="minorHAnsi"/>
                <w:szCs w:val="24"/>
                <w:lang w:val="es-ES_tradnl"/>
              </w:rPr>
              <w:t xml:space="preserve"> a la que asistieron unos 90 participantes. En la Mesa Redonda se puso de manifiesto cómo las TIC están acelerando la consecución de los </w:t>
            </w: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y se abordaron iniciativas nacionales para superar y suprimir los obstáculos a la asequibilidad y la conectividad de las TIC, así como su acceso y utilización</w:t>
            </w:r>
            <w:bookmarkStart w:id="202" w:name="lt_pId468"/>
            <w:bookmarkEnd w:id="201"/>
            <w:r w:rsidRPr="00FD3713">
              <w:rPr>
                <w:rFonts w:asciiTheme="minorHAnsi" w:hAnsiTheme="minorHAnsi"/>
                <w:szCs w:val="24"/>
                <w:lang w:val="es-ES_tradnl"/>
              </w:rPr>
              <w:t>.</w:t>
            </w:r>
            <w:bookmarkEnd w:id="202"/>
          </w:p>
          <w:p w:rsidR="00F45A0D" w:rsidRPr="00FD3713" w:rsidRDefault="00F45A0D" w:rsidP="00F45A0D">
            <w:pPr>
              <w:rPr>
                <w:rFonts w:asciiTheme="minorHAnsi" w:hAnsiTheme="minorHAnsi"/>
                <w:szCs w:val="24"/>
                <w:lang w:val="es-ES_tradnl"/>
              </w:rPr>
            </w:pPr>
            <w:bookmarkStart w:id="203" w:name="lt_pId469"/>
            <w:r w:rsidRPr="00FD3713">
              <w:rPr>
                <w:rFonts w:asciiTheme="minorHAnsi" w:hAnsiTheme="minorHAnsi"/>
                <w:szCs w:val="24"/>
                <w:lang w:val="es-ES_tradnl"/>
              </w:rPr>
              <w:t>Se realizaron importantes actividades de concienciación y divulgación durante los eventos organizados por el Alto Representante de la Oficina de las Naciones Unidas para países menos adelantados, países en desarrollo sin litoral y pequeños Esta</w:t>
            </w:r>
            <w:r w:rsidR="001F0733">
              <w:rPr>
                <w:rFonts w:asciiTheme="minorHAnsi" w:hAnsiTheme="minorHAnsi"/>
                <w:szCs w:val="24"/>
                <w:lang w:val="es-ES_tradnl"/>
              </w:rPr>
              <w:t>dos insulares en desarrollo (UN</w:t>
            </w:r>
            <w:r w:rsidR="001F0733">
              <w:rPr>
                <w:rFonts w:asciiTheme="minorHAnsi" w:hAnsiTheme="minorHAnsi"/>
                <w:szCs w:val="24"/>
                <w:lang w:val="es-ES_tradnl"/>
              </w:rPr>
              <w:noBreakHyphen/>
            </w:r>
            <w:proofErr w:type="spellStart"/>
            <w:r w:rsidRPr="00FD3713">
              <w:rPr>
                <w:rFonts w:asciiTheme="minorHAnsi" w:hAnsiTheme="minorHAnsi"/>
                <w:szCs w:val="24"/>
                <w:lang w:val="es-ES_tradnl"/>
              </w:rPr>
              <w:t>OHRLLS</w:t>
            </w:r>
            <w:proofErr w:type="spellEnd"/>
            <w:r w:rsidRPr="00FD3713">
              <w:rPr>
                <w:rFonts w:asciiTheme="minorHAnsi" w:hAnsiTheme="minorHAnsi"/>
                <w:szCs w:val="24"/>
                <w:lang w:val="es-ES_tradnl"/>
              </w:rPr>
              <w:t>).</w:t>
            </w:r>
            <w:bookmarkEnd w:id="203"/>
            <w:r w:rsidRPr="00FD3713">
              <w:rPr>
                <w:rFonts w:asciiTheme="minorHAnsi" w:hAnsiTheme="minorHAnsi"/>
                <w:szCs w:val="24"/>
                <w:lang w:val="es-ES_tradnl"/>
              </w:rPr>
              <w:t xml:space="preserve"> </w:t>
            </w:r>
            <w:bookmarkStart w:id="204" w:name="lt_pId470"/>
            <w:r w:rsidRPr="00FD3713">
              <w:rPr>
                <w:rFonts w:asciiTheme="minorHAnsi" w:hAnsiTheme="minorHAnsi"/>
                <w:szCs w:val="24"/>
                <w:lang w:val="es-ES_tradnl"/>
              </w:rPr>
              <w:t xml:space="preserve">Entre esos eventos pueden contarse la Reunión regional de los </w:t>
            </w:r>
            <w:proofErr w:type="spellStart"/>
            <w:r w:rsidRPr="00FD3713">
              <w:rPr>
                <w:rFonts w:asciiTheme="minorHAnsi" w:hAnsiTheme="minorHAnsi"/>
                <w:szCs w:val="24"/>
                <w:lang w:val="es-ES_tradnl"/>
              </w:rPr>
              <w:t>PMA</w:t>
            </w:r>
            <w:proofErr w:type="spellEnd"/>
            <w:r w:rsidRPr="00FD3713">
              <w:rPr>
                <w:rFonts w:asciiTheme="minorHAnsi" w:hAnsiTheme="minorHAnsi"/>
                <w:szCs w:val="24"/>
                <w:lang w:val="es-ES_tradnl"/>
              </w:rPr>
              <w:t xml:space="preserve"> de África, celebrada en Senegal, y la Reunión del Grupo de Expertos en financiación del desarrollo infraestructural para una mejor integración de los </w:t>
            </w:r>
            <w:proofErr w:type="spellStart"/>
            <w:r w:rsidRPr="00FD3713">
              <w:rPr>
                <w:rFonts w:asciiTheme="minorHAnsi" w:hAnsiTheme="minorHAnsi"/>
                <w:szCs w:val="24"/>
                <w:lang w:val="es-ES_tradnl"/>
              </w:rPr>
              <w:t>PDSL</w:t>
            </w:r>
            <w:proofErr w:type="spellEnd"/>
            <w:r w:rsidRPr="00FD3713">
              <w:rPr>
                <w:rFonts w:asciiTheme="minorHAnsi" w:hAnsiTheme="minorHAnsi"/>
                <w:szCs w:val="24"/>
                <w:lang w:val="es-ES_tradnl"/>
              </w:rPr>
              <w:t xml:space="preserve"> en el</w:t>
            </w:r>
            <w:r w:rsidR="004E2CDB" w:rsidRPr="00FD3713">
              <w:rPr>
                <w:rFonts w:asciiTheme="minorHAnsi" w:hAnsiTheme="minorHAnsi"/>
                <w:szCs w:val="24"/>
                <w:lang w:val="es-ES_tradnl"/>
              </w:rPr>
              <w:t xml:space="preserve"> comercio mundial, además de la </w:t>
            </w:r>
            <w:r w:rsidRPr="00FD3713">
              <w:rPr>
                <w:rFonts w:asciiTheme="minorHAnsi" w:hAnsiTheme="minorHAnsi"/>
                <w:szCs w:val="24"/>
                <w:lang w:val="es-ES_tradnl"/>
              </w:rPr>
              <w:t xml:space="preserve">15ª reunión del Grupo Consultivo </w:t>
            </w:r>
            <w:proofErr w:type="spellStart"/>
            <w:r w:rsidRPr="00FD3713">
              <w:rPr>
                <w:rFonts w:asciiTheme="minorHAnsi" w:hAnsiTheme="minorHAnsi"/>
                <w:szCs w:val="24"/>
                <w:lang w:val="es-ES_tradnl"/>
              </w:rPr>
              <w:t>Interorganismos</w:t>
            </w:r>
            <w:proofErr w:type="spellEnd"/>
            <w:r w:rsidRPr="00FD3713">
              <w:rPr>
                <w:rFonts w:asciiTheme="minorHAnsi" w:hAnsiTheme="minorHAnsi"/>
                <w:szCs w:val="24"/>
                <w:lang w:val="es-ES_tradnl"/>
              </w:rPr>
              <w:t xml:space="preserve"> del sistema de las Naciones Unidas y las organizaciones internacionales sobre la implementación del </w:t>
            </w:r>
            <w:proofErr w:type="spellStart"/>
            <w:r w:rsidRPr="00FD3713">
              <w:rPr>
                <w:rFonts w:asciiTheme="minorHAnsi" w:hAnsiTheme="minorHAnsi"/>
                <w:szCs w:val="24"/>
                <w:lang w:val="es-ES_tradnl"/>
              </w:rPr>
              <w:t>IPoA</w:t>
            </w:r>
            <w:proofErr w:type="spellEnd"/>
            <w:r w:rsidRPr="00FD3713">
              <w:rPr>
                <w:rFonts w:asciiTheme="minorHAnsi" w:hAnsiTheme="minorHAnsi"/>
                <w:szCs w:val="24"/>
                <w:lang w:val="es-ES_tradnl"/>
              </w:rPr>
              <w:t xml:space="preserve"> para los </w:t>
            </w:r>
            <w:proofErr w:type="spellStart"/>
            <w:r w:rsidRPr="00FD3713">
              <w:rPr>
                <w:rFonts w:asciiTheme="minorHAnsi" w:hAnsiTheme="minorHAnsi"/>
                <w:szCs w:val="24"/>
                <w:lang w:val="es-ES_tradnl"/>
              </w:rPr>
              <w:t>PMA</w:t>
            </w:r>
            <w:proofErr w:type="spellEnd"/>
            <w:r w:rsidRPr="00FD3713">
              <w:rPr>
                <w:rFonts w:asciiTheme="minorHAnsi" w:hAnsiTheme="minorHAnsi"/>
                <w:szCs w:val="24"/>
                <w:lang w:val="es-ES_tradnl"/>
              </w:rPr>
              <w:t xml:space="preserve"> en la década</w:t>
            </w:r>
            <w:r w:rsidR="004E2CDB" w:rsidRPr="00FD3713">
              <w:rPr>
                <w:rFonts w:asciiTheme="minorHAnsi" w:hAnsiTheme="minorHAnsi"/>
                <w:szCs w:val="24"/>
                <w:lang w:val="es-ES_tradnl"/>
              </w:rPr>
              <w:t> </w:t>
            </w:r>
            <w:r w:rsidRPr="00FD3713">
              <w:rPr>
                <w:rFonts w:asciiTheme="minorHAnsi" w:hAnsiTheme="minorHAnsi"/>
                <w:szCs w:val="24"/>
                <w:lang w:val="es-ES_tradnl"/>
              </w:rPr>
              <w:t>2011-2020, ambas celebradas en Nueva York.</w:t>
            </w:r>
            <w:bookmarkEnd w:id="204"/>
          </w:p>
          <w:p w:rsidR="00F45A0D" w:rsidRPr="00FD3713" w:rsidRDefault="00F45A0D" w:rsidP="004E2CDB">
            <w:pPr>
              <w:rPr>
                <w:rFonts w:asciiTheme="minorHAnsi" w:hAnsiTheme="minorHAnsi"/>
                <w:szCs w:val="24"/>
                <w:lang w:val="es-ES_tradnl"/>
              </w:rPr>
            </w:pPr>
            <w:bookmarkStart w:id="205" w:name="lt_pId471"/>
            <w:r w:rsidRPr="00FD3713">
              <w:rPr>
                <w:rFonts w:asciiTheme="minorHAnsi" w:hAnsiTheme="minorHAnsi"/>
                <w:szCs w:val="24"/>
                <w:lang w:val="es-ES_tradnl"/>
              </w:rPr>
              <w:t xml:space="preserve">Se están preparando dos Informes, </w:t>
            </w:r>
            <w:r w:rsidR="004E2CDB" w:rsidRPr="00FD3713">
              <w:rPr>
                <w:rFonts w:asciiTheme="minorHAnsi" w:hAnsiTheme="minorHAnsi"/>
                <w:szCs w:val="24"/>
                <w:lang w:val="es-ES_tradnl"/>
              </w:rPr>
              <w:t>"</w:t>
            </w:r>
            <w:r w:rsidRPr="00FD3713">
              <w:rPr>
                <w:rFonts w:asciiTheme="minorHAnsi" w:hAnsiTheme="minorHAnsi"/>
                <w:szCs w:val="24"/>
                <w:lang w:val="es-ES_tradnl"/>
              </w:rPr>
              <w:t>Países en desarrollo sin litoral (</w:t>
            </w:r>
            <w:proofErr w:type="spellStart"/>
            <w:r w:rsidRPr="00FD3713">
              <w:rPr>
                <w:rFonts w:asciiTheme="minorHAnsi" w:hAnsiTheme="minorHAnsi"/>
                <w:szCs w:val="24"/>
                <w:lang w:val="es-ES_tradnl"/>
              </w:rPr>
              <w:t>PDSL</w:t>
            </w:r>
            <w:proofErr w:type="spellEnd"/>
            <w:r w:rsidRPr="00FD3713">
              <w:rPr>
                <w:rFonts w:asciiTheme="minorHAnsi" w:hAnsiTheme="minorHAnsi"/>
                <w:szCs w:val="24"/>
                <w:lang w:val="es-ES_tradnl"/>
              </w:rPr>
              <w:t>) de las Américas: Oportunidades y retos de conectividad en</w:t>
            </w:r>
            <w:bookmarkStart w:id="206" w:name="lt_pId472"/>
            <w:bookmarkEnd w:id="205"/>
            <w:r w:rsidRPr="00FD3713">
              <w:rPr>
                <w:rFonts w:asciiTheme="minorHAnsi" w:hAnsiTheme="minorHAnsi"/>
                <w:szCs w:val="24"/>
                <w:lang w:val="es-ES_tradnl"/>
              </w:rPr>
              <w:t xml:space="preserve"> Bolivia y Paraguay</w:t>
            </w:r>
            <w:r w:rsidR="004E2CDB" w:rsidRPr="00FD3713">
              <w:rPr>
                <w:rFonts w:asciiTheme="minorHAnsi" w:hAnsiTheme="minorHAnsi"/>
                <w:szCs w:val="24"/>
                <w:lang w:val="es-ES_tradnl"/>
              </w:rPr>
              <w:t>"</w:t>
            </w:r>
            <w:r w:rsidRPr="00FD3713">
              <w:rPr>
                <w:rFonts w:asciiTheme="minorHAnsi" w:hAnsiTheme="minorHAnsi"/>
                <w:szCs w:val="24"/>
                <w:lang w:val="es-ES_tradnl"/>
              </w:rPr>
              <w:t xml:space="preserve">, destinados a aumentar las capacidades de los </w:t>
            </w:r>
            <w:proofErr w:type="spellStart"/>
            <w:r w:rsidRPr="00FD3713">
              <w:rPr>
                <w:rFonts w:asciiTheme="minorHAnsi" w:hAnsiTheme="minorHAnsi"/>
                <w:szCs w:val="24"/>
                <w:lang w:val="es-ES_tradnl"/>
              </w:rPr>
              <w:t>PDSL</w:t>
            </w:r>
            <w:proofErr w:type="spellEnd"/>
            <w:r w:rsidRPr="00FD3713">
              <w:rPr>
                <w:rFonts w:asciiTheme="minorHAnsi" w:hAnsiTheme="minorHAnsi"/>
                <w:szCs w:val="24"/>
                <w:lang w:val="es-ES_tradnl"/>
              </w:rPr>
              <w:t>. Se está finalizando el Plan Estratégico Corporativo de la recientemente creada Comisión de las TIC</w:t>
            </w:r>
            <w:bookmarkStart w:id="207" w:name="lt_pId473"/>
            <w:bookmarkEnd w:id="206"/>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ICTC</w:t>
            </w:r>
            <w:proofErr w:type="spellEnd"/>
            <w:r w:rsidRPr="00FD3713">
              <w:rPr>
                <w:rFonts w:asciiTheme="minorHAnsi" w:hAnsiTheme="minorHAnsi"/>
                <w:szCs w:val="24"/>
                <w:lang w:val="es-ES_tradnl"/>
              </w:rPr>
              <w:t xml:space="preserve">) de </w:t>
            </w:r>
            <w:proofErr w:type="spellStart"/>
            <w:r w:rsidRPr="00FD3713">
              <w:rPr>
                <w:rFonts w:asciiTheme="minorHAnsi" w:hAnsiTheme="minorHAnsi"/>
                <w:szCs w:val="24"/>
                <w:lang w:val="es-ES_tradnl"/>
              </w:rPr>
              <w:t>Tanzanía</w:t>
            </w:r>
            <w:proofErr w:type="spellEnd"/>
            <w:r w:rsidRPr="00FD3713">
              <w:rPr>
                <w:rFonts w:asciiTheme="minorHAnsi" w:hAnsiTheme="minorHAnsi"/>
                <w:szCs w:val="24"/>
                <w:lang w:val="es-ES_tradnl"/>
              </w:rPr>
              <w:t xml:space="preserve">. Este Plan ayudará a </w:t>
            </w:r>
            <w:proofErr w:type="spellStart"/>
            <w:r w:rsidRPr="00FD3713">
              <w:rPr>
                <w:rFonts w:asciiTheme="minorHAnsi" w:hAnsiTheme="minorHAnsi"/>
                <w:szCs w:val="24"/>
                <w:lang w:val="es-ES_tradnl"/>
              </w:rPr>
              <w:t>Tanzanía</w:t>
            </w:r>
            <w:proofErr w:type="spellEnd"/>
            <w:r w:rsidRPr="00FD3713">
              <w:rPr>
                <w:rFonts w:asciiTheme="minorHAnsi" w:hAnsiTheme="minorHAnsi"/>
                <w:szCs w:val="24"/>
                <w:lang w:val="es-ES_tradnl"/>
              </w:rPr>
              <w:t xml:space="preserve"> a ejecutar un programa estructurado de desarrollo de las TIC en el país</w:t>
            </w:r>
            <w:bookmarkStart w:id="208" w:name="lt_pId474"/>
            <w:bookmarkEnd w:id="207"/>
            <w:r w:rsidRPr="00FD3713">
              <w:rPr>
                <w:rFonts w:asciiTheme="minorHAnsi" w:hAnsiTheme="minorHAnsi"/>
                <w:szCs w:val="24"/>
                <w:lang w:val="es-ES_tradnl"/>
              </w:rPr>
              <w:t>.</w:t>
            </w:r>
            <w:bookmarkEnd w:id="208"/>
          </w:p>
          <w:p w:rsidR="00F45A0D" w:rsidRPr="008D434B" w:rsidRDefault="00F45A0D" w:rsidP="00097567">
            <w:pPr>
              <w:rPr>
                <w:lang w:val="es-ES_tradnl"/>
              </w:rPr>
            </w:pPr>
            <w:r w:rsidRPr="008D434B">
              <w:rPr>
                <w:rFonts w:asciiTheme="minorHAnsi" w:hAnsiTheme="minorHAnsi"/>
                <w:lang w:val="es-ES_tradnl"/>
              </w:rPr>
              <w:t xml:space="preserve">La </w:t>
            </w:r>
            <w:proofErr w:type="spellStart"/>
            <w:r w:rsidRPr="008D434B">
              <w:rPr>
                <w:rFonts w:asciiTheme="minorHAnsi" w:hAnsiTheme="minorHAnsi"/>
                <w:lang w:val="es-ES_tradnl"/>
              </w:rPr>
              <w:t>UIT</w:t>
            </w:r>
            <w:proofErr w:type="spellEnd"/>
            <w:r w:rsidRPr="008D434B">
              <w:rPr>
                <w:rFonts w:asciiTheme="minorHAnsi" w:hAnsiTheme="minorHAnsi"/>
                <w:lang w:val="es-ES_tradnl"/>
              </w:rPr>
              <w:t xml:space="preserve"> ha prestado apoyo a países afectados por catástrofes naturales, para restablecer sus redes de comunicación después de los mismos, aportando asistencia directa con la realización de evaluaciones de daños de equipos e infraestructuras, y con la reconstrucción y rehabilitación de las infraestructuras de telecomunicaciones</w:t>
            </w:r>
            <w:r w:rsidRPr="008D434B">
              <w:rPr>
                <w:lang w:val="es-ES_tradnl"/>
              </w:rPr>
              <w:t>.</w:t>
            </w:r>
          </w:p>
          <w:p w:rsidR="00F45A0D" w:rsidRPr="00FD3713" w:rsidRDefault="00F45A0D" w:rsidP="00F45A0D">
            <w:pPr>
              <w:rPr>
                <w:rFonts w:asciiTheme="minorHAnsi" w:hAnsiTheme="minorHAnsi"/>
                <w:szCs w:val="24"/>
                <w:lang w:val="es-ES_tradnl"/>
              </w:rPr>
            </w:pPr>
            <w:bookmarkStart w:id="209" w:name="lt_pId476"/>
            <w:r w:rsidRPr="00FD3713">
              <w:rPr>
                <w:rFonts w:asciiTheme="minorHAnsi" w:hAnsiTheme="minorHAnsi"/>
                <w:szCs w:val="24"/>
                <w:lang w:val="es-ES_tradnl"/>
              </w:rPr>
              <w:t>Entre otras actividades de capacitación pueden citarse las siguientes:</w:t>
            </w:r>
            <w:bookmarkEnd w:id="209"/>
          </w:p>
          <w:p w:rsidR="00F45A0D" w:rsidRPr="00FD3713" w:rsidRDefault="004E2CDB" w:rsidP="004E2CDB">
            <w:pPr>
              <w:pStyle w:val="enumlev1"/>
              <w:rPr>
                <w:rFonts w:asciiTheme="minorHAnsi" w:hAnsiTheme="minorHAnsi"/>
                <w:lang w:val="es-ES_tradnl"/>
              </w:rPr>
            </w:pPr>
            <w:bookmarkStart w:id="210" w:name="lt_pId477"/>
            <w:r w:rsidRPr="00FD3713">
              <w:rPr>
                <w:lang w:val="es-ES_tradnl"/>
              </w:rPr>
              <w:t>–</w:t>
            </w:r>
            <w:r w:rsidRPr="00FD3713">
              <w:rPr>
                <w:rFonts w:asciiTheme="minorHAnsi" w:hAnsiTheme="minorHAnsi"/>
                <w:lang w:val="es-ES_tradnl"/>
              </w:rPr>
              <w:tab/>
            </w:r>
            <w:r w:rsidR="00F45A0D" w:rsidRPr="00FD3713">
              <w:rPr>
                <w:rFonts w:asciiTheme="minorHAnsi" w:hAnsiTheme="minorHAnsi"/>
                <w:lang w:val="es-ES_tradnl"/>
              </w:rPr>
              <w:t xml:space="preserve">Programa de formación regional árabe de la </w:t>
            </w:r>
            <w:proofErr w:type="spellStart"/>
            <w:r w:rsidR="00F45A0D" w:rsidRPr="00FD3713">
              <w:rPr>
                <w:rFonts w:asciiTheme="minorHAnsi" w:hAnsiTheme="minorHAnsi"/>
                <w:lang w:val="es-ES_tradnl"/>
              </w:rPr>
              <w:t>UIT</w:t>
            </w:r>
            <w:proofErr w:type="spellEnd"/>
            <w:r w:rsidR="00F45A0D" w:rsidRPr="00FD3713">
              <w:rPr>
                <w:rFonts w:asciiTheme="minorHAnsi" w:hAnsiTheme="minorHAnsi"/>
                <w:lang w:val="es-ES_tradnl"/>
              </w:rPr>
              <w:t xml:space="preserve"> para</w:t>
            </w:r>
            <w:r w:rsidR="0073507E" w:rsidRPr="00FD3713">
              <w:rPr>
                <w:rFonts w:asciiTheme="minorHAnsi" w:hAnsiTheme="minorHAnsi"/>
                <w:lang w:val="es-ES_tradnl"/>
              </w:rPr>
              <w:t xml:space="preserve"> los </w:t>
            </w:r>
            <w:proofErr w:type="spellStart"/>
            <w:r w:rsidR="0073507E" w:rsidRPr="00FD3713">
              <w:rPr>
                <w:rFonts w:asciiTheme="minorHAnsi" w:hAnsiTheme="minorHAnsi"/>
                <w:lang w:val="es-ES_tradnl"/>
              </w:rPr>
              <w:t>PMA</w:t>
            </w:r>
            <w:proofErr w:type="spellEnd"/>
            <w:r w:rsidR="0073507E" w:rsidRPr="00FD3713">
              <w:rPr>
                <w:rFonts w:asciiTheme="minorHAnsi" w:hAnsiTheme="minorHAnsi"/>
                <w:lang w:val="es-ES_tradnl"/>
              </w:rPr>
              <w:t xml:space="preserve"> árabes sobre </w:t>
            </w:r>
            <w:proofErr w:type="spellStart"/>
            <w:r w:rsidR="0073507E" w:rsidRPr="00FD3713">
              <w:rPr>
                <w:rFonts w:asciiTheme="minorHAnsi" w:hAnsiTheme="minorHAnsi"/>
                <w:lang w:val="es-ES_tradnl"/>
              </w:rPr>
              <w:t>IPv6</w:t>
            </w:r>
            <w:proofErr w:type="spellEnd"/>
            <w:r w:rsidR="0073507E" w:rsidRPr="00FD3713">
              <w:rPr>
                <w:rFonts w:asciiTheme="minorHAnsi" w:hAnsiTheme="minorHAnsi"/>
                <w:lang w:val="es-ES_tradnl"/>
              </w:rPr>
              <w:t xml:space="preserve"> (</w:t>
            </w:r>
            <w:proofErr w:type="spellStart"/>
            <w:r w:rsidR="0073507E" w:rsidRPr="00FD3713">
              <w:rPr>
                <w:rFonts w:asciiTheme="minorHAnsi" w:hAnsiTheme="minorHAnsi"/>
                <w:lang w:val="es-ES_tradnl"/>
              </w:rPr>
              <w:t>CNE</w:t>
            </w:r>
            <w:proofErr w:type="spellEnd"/>
            <w:r w:rsidR="0073507E" w:rsidRPr="00FD3713">
              <w:rPr>
                <w:rFonts w:asciiTheme="minorHAnsi" w:hAnsiTheme="minorHAnsi"/>
                <w:lang w:val="es-ES_tradnl"/>
              </w:rPr>
              <w:noBreakHyphen/>
            </w:r>
            <w:r w:rsidR="00F45A0D" w:rsidRPr="00FD3713">
              <w:rPr>
                <w:rFonts w:asciiTheme="minorHAnsi" w:hAnsiTheme="minorHAnsi"/>
                <w:lang w:val="es-ES_tradnl"/>
              </w:rPr>
              <w:t xml:space="preserve">2), organizado en colaboración con la </w:t>
            </w:r>
            <w:proofErr w:type="spellStart"/>
            <w:r w:rsidR="00F45A0D" w:rsidRPr="00FD3713">
              <w:rPr>
                <w:rFonts w:asciiTheme="minorHAnsi" w:hAnsiTheme="minorHAnsi"/>
                <w:lang w:val="es-ES_tradnl"/>
              </w:rPr>
              <w:t>NTC</w:t>
            </w:r>
            <w:proofErr w:type="spellEnd"/>
            <w:r w:rsidR="00F45A0D" w:rsidRPr="00FD3713">
              <w:rPr>
                <w:rFonts w:asciiTheme="minorHAnsi" w:hAnsiTheme="minorHAnsi"/>
                <w:lang w:val="es-ES_tradnl"/>
              </w:rPr>
              <w:t>-Sudán en abril de 2017.</w:t>
            </w:r>
            <w:bookmarkEnd w:id="210"/>
          </w:p>
          <w:p w:rsidR="00F45A0D" w:rsidRPr="00FD3713" w:rsidRDefault="004E2CDB" w:rsidP="004E2CDB">
            <w:pPr>
              <w:pStyle w:val="enumlev1"/>
              <w:rPr>
                <w:rFonts w:asciiTheme="minorHAnsi" w:hAnsiTheme="minorHAnsi"/>
                <w:lang w:val="es-ES_tradnl"/>
              </w:rPr>
            </w:pPr>
            <w:bookmarkStart w:id="211" w:name="lt_pId478"/>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lang w:val="es-ES_tradnl"/>
              </w:rPr>
              <w:t>Se prestó apoyo a la integración de las TIC en el sistema educativo de la República Kirguisa mediante la provisión de instalaciones de educación a distancia como asistencia técnica al Instituto de Electrónica y Telecomunicaciones de la Universidad Técnica Estatal de la República Kirguisa.</w:t>
            </w:r>
            <w:bookmarkEnd w:id="211"/>
          </w:p>
          <w:p w:rsidR="00F45A0D" w:rsidRPr="00FD3713" w:rsidRDefault="004E2CDB" w:rsidP="004E2CDB">
            <w:pPr>
              <w:pStyle w:val="enumlev1"/>
              <w:rPr>
                <w:rFonts w:asciiTheme="minorHAnsi" w:hAnsiTheme="minorHAnsi"/>
                <w:lang w:val="es-ES_tradnl"/>
              </w:rPr>
            </w:pPr>
            <w:bookmarkStart w:id="212" w:name="lt_pId479"/>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hAnsiTheme="minorHAnsi"/>
                <w:lang w:val="es-ES_tradnl"/>
              </w:rPr>
              <w:t>Se prestó asistencia intensiva a Zambia facilitando equipos para escuelas para ciegos.</w:t>
            </w:r>
            <w:bookmarkEnd w:id="212"/>
          </w:p>
          <w:p w:rsidR="00F45A0D" w:rsidRPr="00FD3713" w:rsidRDefault="00F45A0D" w:rsidP="002E6E3F">
            <w:pPr>
              <w:spacing w:after="120"/>
              <w:rPr>
                <w:rFonts w:asciiTheme="minorHAnsi" w:hAnsiTheme="minorHAnsi"/>
                <w:szCs w:val="24"/>
                <w:lang w:val="es-ES_tradnl"/>
              </w:rPr>
            </w:pPr>
            <w:bookmarkStart w:id="213" w:name="lt_pId480"/>
            <w:r w:rsidRPr="00FD3713">
              <w:rPr>
                <w:rFonts w:asciiTheme="minorHAnsi" w:hAnsiTheme="minorHAnsi"/>
                <w:szCs w:val="24"/>
                <w:lang w:val="es-ES_tradnl"/>
              </w:rPr>
              <w:t xml:space="preserve">A lo largo de 2017 se concedieron en total 624 becas a los participantes de los </w:t>
            </w:r>
            <w:proofErr w:type="spellStart"/>
            <w:r w:rsidRPr="00FD3713">
              <w:rPr>
                <w:rFonts w:asciiTheme="minorHAnsi" w:hAnsiTheme="minorHAnsi"/>
                <w:szCs w:val="24"/>
                <w:lang w:val="es-ES_tradnl"/>
              </w:rPr>
              <w:t>PMA</w:t>
            </w:r>
            <w:proofErr w:type="spellEnd"/>
            <w:r w:rsidRPr="00FD3713">
              <w:rPr>
                <w:rFonts w:asciiTheme="minorHAnsi" w:hAnsiTheme="minorHAnsi"/>
                <w:szCs w:val="24"/>
                <w:lang w:val="es-ES_tradnl"/>
              </w:rPr>
              <w:t xml:space="preserve"> en las reuniones de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Todos los </w:t>
            </w:r>
            <w:proofErr w:type="spellStart"/>
            <w:r w:rsidRPr="00FD3713">
              <w:rPr>
                <w:rFonts w:asciiTheme="minorHAnsi" w:hAnsiTheme="minorHAnsi"/>
                <w:szCs w:val="24"/>
                <w:lang w:val="es-ES_tradnl"/>
              </w:rPr>
              <w:t>PMA</w:t>
            </w:r>
            <w:proofErr w:type="spellEnd"/>
            <w:r w:rsidRPr="00FD3713">
              <w:rPr>
                <w:rFonts w:asciiTheme="minorHAnsi" w:hAnsiTheme="minorHAnsi"/>
                <w:szCs w:val="24"/>
                <w:lang w:val="es-ES_tradnl"/>
              </w:rPr>
              <w:t xml:space="preserve"> recibieron como mínimo una beca</w:t>
            </w:r>
            <w:bookmarkStart w:id="214" w:name="lt_pId481"/>
            <w:bookmarkEnd w:id="213"/>
            <w:r w:rsidRPr="00FD3713">
              <w:rPr>
                <w:rFonts w:asciiTheme="minorHAnsi" w:hAnsiTheme="minorHAnsi"/>
                <w:szCs w:val="24"/>
                <w:lang w:val="es-ES_tradnl"/>
              </w:rPr>
              <w:t>.</w:t>
            </w:r>
            <w:bookmarkEnd w:id="214"/>
          </w:p>
        </w:tc>
      </w:tr>
      <w:tr w:rsidR="00F45A0D" w:rsidRPr="00FD3713" w:rsidTr="00F45A0D">
        <w:tc>
          <w:tcPr>
            <w:tcW w:w="2830" w:type="dxa"/>
          </w:tcPr>
          <w:p w:rsidR="00F45A0D" w:rsidRPr="00FD3713" w:rsidRDefault="00F45A0D" w:rsidP="001F0733">
            <w:pPr>
              <w:keepNext/>
              <w:spacing w:before="0"/>
              <w:rPr>
                <w:rFonts w:asciiTheme="minorHAnsi"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798" w:type="dxa"/>
          </w:tcPr>
          <w:p w:rsidR="00F45A0D" w:rsidRPr="00FD3713" w:rsidRDefault="00F45A0D" w:rsidP="00C762D9">
            <w:pPr>
              <w:spacing w:before="0"/>
              <w:rPr>
                <w:rFonts w:asciiTheme="minorHAnsi" w:hAnsiTheme="minorHAnsi"/>
                <w:szCs w:val="24"/>
                <w:lang w:val="es-ES_tradnl"/>
              </w:rPr>
            </w:pPr>
            <w:bookmarkStart w:id="215" w:name="lt_pId483"/>
            <w:r w:rsidRPr="00FD3713">
              <w:rPr>
                <w:rFonts w:asciiTheme="minorHAnsi" w:hAnsiTheme="minorHAnsi"/>
                <w:szCs w:val="24"/>
                <w:lang w:val="es-ES_tradnl"/>
              </w:rPr>
              <w:t>Resoluciones 16, 17, 18, 21, 25, 26, 30, 33, 36, 37, 50, 51, 52, 53, 57, 60</w:t>
            </w:r>
            <w:bookmarkEnd w:id="215"/>
          </w:p>
        </w:tc>
      </w:tr>
      <w:tr w:rsidR="00F45A0D" w:rsidRPr="008D434B" w:rsidTr="00F45A0D">
        <w:tc>
          <w:tcPr>
            <w:tcW w:w="2830" w:type="dxa"/>
          </w:tcPr>
          <w:p w:rsidR="00F45A0D" w:rsidRPr="002F1472" w:rsidRDefault="00F45A0D" w:rsidP="002F1472">
            <w:pPr>
              <w:spacing w:before="60" w:after="60"/>
              <w:rPr>
                <w:rFonts w:asciiTheme="minorHAnsi" w:hAnsiTheme="minorHAnsi"/>
                <w:i/>
                <w:iCs/>
                <w:szCs w:val="24"/>
                <w:lang w:val="es-ES_tradnl"/>
              </w:rPr>
            </w:pPr>
            <w:r w:rsidRPr="00C762D9">
              <w:rPr>
                <w:rFonts w:asciiTheme="minorHAnsi" w:hAnsiTheme="minorHAnsi"/>
                <w:i/>
                <w:iCs/>
                <w:szCs w:val="24"/>
                <w:lang w:val="es-ES_tradnl"/>
              </w:rPr>
              <w:t>Conferencia de Plenipotenciarios</w:t>
            </w:r>
          </w:p>
        </w:tc>
        <w:tc>
          <w:tcPr>
            <w:tcW w:w="6798" w:type="dxa"/>
          </w:tcPr>
          <w:p w:rsidR="00F45A0D" w:rsidRPr="00FD3713" w:rsidRDefault="00F45A0D" w:rsidP="002F1472">
            <w:pPr>
              <w:spacing w:before="60" w:after="60"/>
              <w:rPr>
                <w:szCs w:val="24"/>
                <w:lang w:val="es-ES_tradnl"/>
              </w:rPr>
            </w:pPr>
            <w:r w:rsidRPr="00FD3713">
              <w:rPr>
                <w:rFonts w:asciiTheme="minorHAnsi" w:hAnsiTheme="minorHAnsi"/>
                <w:szCs w:val="24"/>
                <w:lang w:val="es-ES_tradnl"/>
              </w:rPr>
              <w:t>Decisiones de la PP: 5 y 13</w:t>
            </w:r>
            <w:r w:rsidRPr="00FD3713">
              <w:rPr>
                <w:rFonts w:asciiTheme="minorHAnsi" w:hAnsiTheme="minorHAnsi"/>
                <w:szCs w:val="24"/>
                <w:lang w:val="es-ES_tradnl"/>
              </w:rPr>
              <w:br/>
              <w:t>Resoluciones de la PP: 25, 30, 32, 33, 34, 36, 70, 71, 123, 124, 125, 126, 127, 135, 159, 160, 161, 193 y 202</w:t>
            </w:r>
          </w:p>
        </w:tc>
      </w:tr>
      <w:tr w:rsidR="00F45A0D" w:rsidRPr="00FD3713" w:rsidTr="00F45A0D">
        <w:tc>
          <w:tcPr>
            <w:tcW w:w="2830" w:type="dxa"/>
          </w:tcPr>
          <w:p w:rsidR="00F45A0D" w:rsidRPr="00FD3713" w:rsidRDefault="00F45A0D" w:rsidP="00BF06C4">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t>CMR</w:t>
            </w:r>
            <w:proofErr w:type="spellEnd"/>
          </w:p>
        </w:tc>
        <w:tc>
          <w:tcPr>
            <w:tcW w:w="6798" w:type="dxa"/>
          </w:tcPr>
          <w:p w:rsidR="00F45A0D" w:rsidRPr="00F63638" w:rsidRDefault="00F45A0D" w:rsidP="00BF06C4">
            <w:pPr>
              <w:spacing w:before="60" w:after="60"/>
              <w:rPr>
                <w:rFonts w:asciiTheme="minorHAnsi" w:hAnsiTheme="minorHAnsi"/>
                <w:szCs w:val="24"/>
                <w:lang w:val="es-ES_tradnl"/>
              </w:rPr>
            </w:pPr>
            <w:bookmarkStart w:id="216" w:name="lt_pId488"/>
            <w:r w:rsidRPr="00F63638">
              <w:rPr>
                <w:rFonts w:asciiTheme="minorHAnsi" w:hAnsiTheme="minorHAnsi"/>
                <w:szCs w:val="24"/>
                <w:lang w:val="es-ES_tradnl"/>
              </w:rPr>
              <w:t>Resolución 12</w:t>
            </w:r>
            <w:bookmarkEnd w:id="216"/>
          </w:p>
        </w:tc>
      </w:tr>
      <w:tr w:rsidR="00F45A0D" w:rsidRPr="00FD3713" w:rsidTr="00F45A0D">
        <w:tc>
          <w:tcPr>
            <w:tcW w:w="2830" w:type="dxa"/>
          </w:tcPr>
          <w:p w:rsidR="00F45A0D" w:rsidRPr="00FD3713" w:rsidRDefault="00F45A0D" w:rsidP="00BF06C4">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t>CMTI</w:t>
            </w:r>
            <w:proofErr w:type="spellEnd"/>
          </w:p>
        </w:tc>
        <w:tc>
          <w:tcPr>
            <w:tcW w:w="6798" w:type="dxa"/>
          </w:tcPr>
          <w:p w:rsidR="00F45A0D" w:rsidRPr="00F63638" w:rsidRDefault="00F45A0D" w:rsidP="00BF06C4">
            <w:pPr>
              <w:spacing w:before="60" w:after="60"/>
              <w:rPr>
                <w:rFonts w:asciiTheme="minorHAnsi" w:hAnsiTheme="minorHAnsi"/>
                <w:szCs w:val="24"/>
                <w:lang w:val="es-ES_tradnl"/>
              </w:rPr>
            </w:pPr>
            <w:bookmarkStart w:id="217" w:name="lt_pId490"/>
            <w:r w:rsidRPr="00BF06C4">
              <w:rPr>
                <w:rFonts w:asciiTheme="minorHAnsi" w:hAnsiTheme="minorHAnsi"/>
                <w:i/>
                <w:iCs/>
                <w:szCs w:val="24"/>
                <w:lang w:val="es-ES_tradnl"/>
              </w:rPr>
              <w:t>Resolución</w:t>
            </w:r>
            <w:r w:rsidRPr="00F63638">
              <w:rPr>
                <w:rFonts w:asciiTheme="minorHAnsi" w:hAnsiTheme="minorHAnsi"/>
                <w:szCs w:val="24"/>
                <w:lang w:val="es-ES_tradnl"/>
              </w:rPr>
              <w:t xml:space="preserve"> 1</w:t>
            </w:r>
            <w:bookmarkEnd w:id="217"/>
          </w:p>
        </w:tc>
      </w:tr>
      <w:tr w:rsidR="00F45A0D" w:rsidRPr="008D434B" w:rsidTr="00F45A0D">
        <w:tc>
          <w:tcPr>
            <w:tcW w:w="2830" w:type="dxa"/>
          </w:tcPr>
          <w:p w:rsidR="00F45A0D" w:rsidRPr="00FD3713" w:rsidRDefault="00F45A0D" w:rsidP="002F1472">
            <w:pPr>
              <w:spacing w:before="60" w:after="60"/>
              <w:rPr>
                <w:i/>
                <w:iCs/>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798" w:type="dxa"/>
          </w:tcPr>
          <w:p w:rsidR="00F45A0D" w:rsidRPr="00FD3713" w:rsidRDefault="00F45A0D" w:rsidP="002F1472">
            <w:pPr>
              <w:spacing w:before="60" w:after="60"/>
              <w:rPr>
                <w:szCs w:val="24"/>
                <w:lang w:val="es-ES_tradnl"/>
              </w:rPr>
            </w:pPr>
            <w:r w:rsidRPr="00C762D9">
              <w:rPr>
                <w:szCs w:val="24"/>
                <w:lang w:val="es-ES_tradnl"/>
              </w:rPr>
              <w:t>Líneas</w:t>
            </w:r>
            <w:r w:rsidRPr="00FD3713">
              <w:rPr>
                <w:rFonts w:asciiTheme="minorHAnsi" w:hAnsiTheme="minorHAnsi"/>
                <w:szCs w:val="24"/>
                <w:lang w:val="es-ES_tradnl"/>
              </w:rPr>
              <w:t xml:space="preserve"> de Acción de la </w:t>
            </w:r>
            <w:proofErr w:type="spellStart"/>
            <w:r w:rsidRPr="00FD3713">
              <w:rPr>
                <w:rFonts w:asciiTheme="minorHAnsi" w:hAnsiTheme="minorHAnsi"/>
                <w:szCs w:val="24"/>
                <w:lang w:val="es-ES_tradnl"/>
              </w:rPr>
              <w:t>CMSI</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C4</w:t>
            </w:r>
            <w:proofErr w:type="spellEnd"/>
            <w:r w:rsidRPr="00FD3713">
              <w:rPr>
                <w:rFonts w:asciiTheme="minorHAnsi" w:hAnsiTheme="minorHAnsi"/>
                <w:szCs w:val="24"/>
                <w:lang w:val="es-ES_tradnl"/>
              </w:rPr>
              <w:t xml:space="preserve"> y </w:t>
            </w:r>
            <w:proofErr w:type="spellStart"/>
            <w:r w:rsidRPr="00FD3713">
              <w:rPr>
                <w:rFonts w:asciiTheme="minorHAnsi" w:hAnsiTheme="minorHAnsi"/>
                <w:szCs w:val="24"/>
                <w:lang w:val="es-ES_tradnl"/>
              </w:rPr>
              <w:t>C7</w:t>
            </w:r>
            <w:proofErr w:type="spellEnd"/>
            <w:r w:rsidRPr="00FD3713">
              <w:rPr>
                <w:rFonts w:asciiTheme="minorHAnsi" w:hAnsiTheme="minorHAnsi"/>
                <w:szCs w:val="24"/>
                <w:lang w:val="es-ES_tradnl"/>
              </w:rPr>
              <w:t xml:space="preserve"> del Plan de Acción de Ginebra y los párrafos 9, 23, 26, 49, 59, 87 y 95 de la Agenda de Túnez para la Sociedad de la Información</w:t>
            </w:r>
          </w:p>
        </w:tc>
      </w:tr>
      <w:tr w:rsidR="00F45A0D" w:rsidRPr="008D434B" w:rsidTr="00F45A0D">
        <w:tc>
          <w:tcPr>
            <w:tcW w:w="2830" w:type="dxa"/>
          </w:tcPr>
          <w:p w:rsidR="00F45A0D" w:rsidRPr="00FD3713" w:rsidRDefault="00F45A0D" w:rsidP="002F1472">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Contribución a las metas de los </w:t>
            </w:r>
            <w:proofErr w:type="spellStart"/>
            <w:r w:rsidRPr="00FD3713">
              <w:rPr>
                <w:rFonts w:asciiTheme="minorHAnsi" w:hAnsiTheme="minorHAnsi"/>
                <w:i/>
                <w:iCs/>
                <w:szCs w:val="24"/>
                <w:lang w:val="es-ES_tradnl"/>
              </w:rPr>
              <w:t>ODS</w:t>
            </w:r>
            <w:proofErr w:type="spellEnd"/>
          </w:p>
        </w:tc>
        <w:tc>
          <w:tcPr>
            <w:tcW w:w="6798" w:type="dxa"/>
          </w:tcPr>
          <w:p w:rsidR="00F45A0D" w:rsidRPr="00FD3713" w:rsidRDefault="00F45A0D" w:rsidP="002F1472">
            <w:pPr>
              <w:spacing w:before="60" w:after="60"/>
              <w:rPr>
                <w:rFonts w:asciiTheme="minorHAnsi" w:hAnsiTheme="minorHAnsi"/>
                <w:szCs w:val="24"/>
                <w:lang w:val="es-ES_tradnl"/>
              </w:rPr>
            </w:pPr>
            <w:proofErr w:type="spellStart"/>
            <w:r w:rsidRPr="00C762D9">
              <w:rPr>
                <w:szCs w:val="24"/>
                <w:lang w:val="es-ES_tradnl"/>
              </w:rPr>
              <w:t>ODS</w:t>
            </w:r>
            <w:proofErr w:type="spellEnd"/>
            <w:r w:rsidRPr="00FD3713">
              <w:rPr>
                <w:rFonts w:asciiTheme="minorHAnsi" w:hAnsiTheme="minorHAnsi"/>
                <w:szCs w:val="24"/>
                <w:lang w:val="es-ES_tradnl"/>
              </w:rPr>
              <w:t xml:space="preserve">: 1 (meta 1.4), 3, 4 (metas 4.3, 4.5, 4.6, </w:t>
            </w:r>
            <w:proofErr w:type="spellStart"/>
            <w:r w:rsidRPr="00FD3713">
              <w:rPr>
                <w:rFonts w:asciiTheme="minorHAnsi" w:hAnsiTheme="minorHAnsi"/>
                <w:szCs w:val="24"/>
                <w:lang w:val="es-ES_tradnl"/>
              </w:rPr>
              <w:t>4.a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4.b</w:t>
            </w:r>
            <w:proofErr w:type="spellEnd"/>
            <w:r w:rsidRPr="00FD3713">
              <w:rPr>
                <w:rFonts w:asciiTheme="minorHAnsi" w:hAnsiTheme="minorHAnsi"/>
                <w:szCs w:val="24"/>
                <w:lang w:val="es-ES_tradnl"/>
              </w:rPr>
              <w:t xml:space="preserve">), 5 (meta </w:t>
            </w:r>
            <w:proofErr w:type="spellStart"/>
            <w:r w:rsidRPr="00FD3713">
              <w:rPr>
                <w:rFonts w:asciiTheme="minorHAnsi" w:hAnsiTheme="minorHAnsi"/>
                <w:szCs w:val="24"/>
                <w:lang w:val="es-ES_tradnl"/>
              </w:rPr>
              <w:t>5.b</w:t>
            </w:r>
            <w:proofErr w:type="spellEnd"/>
            <w:r w:rsidRPr="00FD3713">
              <w:rPr>
                <w:rFonts w:asciiTheme="minorHAnsi" w:hAnsiTheme="minorHAnsi"/>
                <w:szCs w:val="24"/>
                <w:lang w:val="es-ES_tradnl"/>
              </w:rPr>
              <w:t xml:space="preserve">), 6, 8 (meta 8.5), 9 (metas (9.1, 9.2, 9.5, </w:t>
            </w:r>
            <w:proofErr w:type="spellStart"/>
            <w:r w:rsidRPr="00FD3713">
              <w:rPr>
                <w:rFonts w:asciiTheme="minorHAnsi" w:hAnsiTheme="minorHAnsi"/>
                <w:szCs w:val="24"/>
                <w:lang w:val="es-ES_tradnl"/>
              </w:rPr>
              <w:t>9.a</w:t>
            </w:r>
            <w:proofErr w:type="spellEnd"/>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9.c</w:t>
            </w:r>
            <w:proofErr w:type="spellEnd"/>
            <w:r w:rsidRPr="00FD3713">
              <w:rPr>
                <w:rFonts w:asciiTheme="minorHAnsi" w:hAnsiTheme="minorHAnsi"/>
                <w:szCs w:val="24"/>
                <w:lang w:val="es-ES_tradnl"/>
              </w:rPr>
              <w:t xml:space="preserve">), 10 (metas 10.2, </w:t>
            </w:r>
            <w:proofErr w:type="spellStart"/>
            <w:r w:rsidRPr="00FD3713">
              <w:rPr>
                <w:rFonts w:asciiTheme="minorHAnsi" w:hAnsiTheme="minorHAnsi"/>
                <w:szCs w:val="24"/>
                <w:lang w:val="es-ES_tradnl"/>
              </w:rPr>
              <w:t>10.b</w:t>
            </w:r>
            <w:proofErr w:type="spellEnd"/>
            <w:r w:rsidRPr="00FD3713">
              <w:rPr>
                <w:rFonts w:asciiTheme="minorHAnsi" w:hAnsiTheme="minorHAnsi"/>
                <w:szCs w:val="24"/>
                <w:lang w:val="es-ES_tradnl"/>
              </w:rPr>
              <w:t xml:space="preserve">), 11 (metas 11.1, 11.2, 11.7), 12 (meta </w:t>
            </w:r>
            <w:proofErr w:type="spellStart"/>
            <w:r w:rsidRPr="00FD3713">
              <w:rPr>
                <w:rFonts w:asciiTheme="minorHAnsi" w:hAnsiTheme="minorHAnsi"/>
                <w:szCs w:val="24"/>
                <w:lang w:val="es-ES_tradnl"/>
              </w:rPr>
              <w:t>12.b</w:t>
            </w:r>
            <w:proofErr w:type="spellEnd"/>
            <w:r w:rsidRPr="00FD3713">
              <w:rPr>
                <w:rFonts w:asciiTheme="minorHAnsi" w:hAnsiTheme="minorHAnsi"/>
                <w:szCs w:val="24"/>
                <w:lang w:val="es-ES_tradnl"/>
              </w:rPr>
              <w:t xml:space="preserve">), 13 (meta </w:t>
            </w:r>
            <w:proofErr w:type="spellStart"/>
            <w:r w:rsidRPr="00FD3713">
              <w:rPr>
                <w:rFonts w:asciiTheme="minorHAnsi" w:hAnsiTheme="minorHAnsi"/>
                <w:szCs w:val="24"/>
                <w:lang w:val="es-ES_tradnl"/>
              </w:rPr>
              <w:t>13.b</w:t>
            </w:r>
            <w:proofErr w:type="spellEnd"/>
            <w:r w:rsidRPr="00FD3713">
              <w:rPr>
                <w:rFonts w:asciiTheme="minorHAnsi" w:hAnsiTheme="minorHAnsi"/>
                <w:szCs w:val="24"/>
                <w:lang w:val="es-ES_tradnl"/>
              </w:rPr>
              <w:t>), 14, 15, 16, 17 (metas 17.7, 17.8, 17.9, 17.18)</w:t>
            </w:r>
          </w:p>
        </w:tc>
      </w:tr>
    </w:tbl>
    <w:p w:rsidR="00F45A0D" w:rsidRPr="00FD3713" w:rsidRDefault="00F45A0D" w:rsidP="00C02ACB">
      <w:pPr>
        <w:pStyle w:val="Heading1"/>
        <w:keepNext w:val="0"/>
        <w:keepLines w:val="0"/>
        <w:rPr>
          <w:i/>
          <w:iCs/>
          <w:lang w:val="es-ES_tradnl"/>
        </w:rPr>
      </w:pPr>
      <w:r w:rsidRPr="00FD3713">
        <w:rPr>
          <w:lang w:val="es-ES_tradnl"/>
        </w:rPr>
        <w:t>5</w:t>
      </w:r>
      <w:r w:rsidRPr="00FD3713">
        <w:rPr>
          <w:lang w:val="es-ES_tradnl"/>
        </w:rPr>
        <w:tab/>
        <w:t>Objetivo 5</w:t>
      </w:r>
      <w:r w:rsidRPr="00FD3713">
        <w:rPr>
          <w:i/>
          <w:iCs/>
          <w:lang w:val="es-ES_tradnl"/>
        </w:rPr>
        <w:t>: "Mejorar la protección medioambiental, la adaptación al cambio climático y la mitigación de sus efectos y la gestión de catástrofes por medio de las telecomunicaciones/TIC"</w:t>
      </w:r>
    </w:p>
    <w:p w:rsidR="00F45A0D" w:rsidRPr="00FD3713" w:rsidRDefault="00F45A0D" w:rsidP="00C02ACB">
      <w:pPr>
        <w:pStyle w:val="Heading2"/>
        <w:keepNext w:val="0"/>
        <w:keepLines w:val="0"/>
        <w:spacing w:after="120"/>
        <w:rPr>
          <w:lang w:val="es-ES_tradnl"/>
        </w:rPr>
      </w:pPr>
      <w:r w:rsidRPr="00FD3713">
        <w:rPr>
          <w:lang w:val="es-ES_tradnl"/>
        </w:rPr>
        <w:t>5.1</w:t>
      </w:r>
      <w:r w:rsidRPr="00FD3713">
        <w:rPr>
          <w:lang w:val="es-ES_tradnl"/>
        </w:rPr>
        <w:tab/>
        <w:t xml:space="preserve">Las TIC y adaptación al cambio climático y mitigación de sus efectos </w:t>
      </w:r>
    </w:p>
    <w:tbl>
      <w:tblPr>
        <w:tblStyle w:val="TableGrid"/>
        <w:tblW w:w="0" w:type="auto"/>
        <w:tblLook w:val="04A0" w:firstRow="1" w:lastRow="0" w:firstColumn="1" w:lastColumn="0" w:noHBand="0" w:noVBand="1"/>
      </w:tblPr>
      <w:tblGrid>
        <w:gridCol w:w="2972"/>
        <w:gridCol w:w="6656"/>
      </w:tblGrid>
      <w:tr w:rsidR="00F45A0D" w:rsidRPr="008D434B" w:rsidTr="00F45A0D">
        <w:trPr>
          <w:trHeight w:val="1416"/>
        </w:trPr>
        <w:tc>
          <w:tcPr>
            <w:tcW w:w="9628" w:type="dxa"/>
            <w:gridSpan w:val="2"/>
          </w:tcPr>
          <w:p w:rsidR="00F45A0D" w:rsidRPr="00FD3713" w:rsidRDefault="00F45A0D" w:rsidP="00C02ACB">
            <w:pPr>
              <w:rPr>
                <w:rFonts w:asciiTheme="minorHAnsi" w:eastAsiaTheme="majorEastAsia" w:hAnsiTheme="minorHAnsi"/>
                <w:szCs w:val="24"/>
                <w:lang w:val="es-ES_tradnl"/>
              </w:rPr>
            </w:pPr>
            <w:bookmarkStart w:id="218" w:name="lt_pId501"/>
            <w:r w:rsidRPr="00FD3713">
              <w:rPr>
                <w:rFonts w:asciiTheme="minorHAnsi" w:eastAsiaTheme="majorEastAsia" w:hAnsiTheme="minorHAnsi"/>
                <w:szCs w:val="24"/>
                <w:lang w:val="es-ES_tradnl"/>
              </w:rPr>
              <w:t xml:space="preserve">En 2017 la </w:t>
            </w:r>
            <w:proofErr w:type="spellStart"/>
            <w:r w:rsidRPr="00FD3713">
              <w:rPr>
                <w:rFonts w:asciiTheme="minorHAnsi" w:eastAsiaTheme="majorEastAsia" w:hAnsiTheme="minorHAnsi"/>
                <w:szCs w:val="24"/>
                <w:lang w:val="es-ES_tradnl"/>
              </w:rPr>
              <w:t>UIT</w:t>
            </w:r>
            <w:proofErr w:type="spellEnd"/>
            <w:r w:rsidRPr="00FD3713">
              <w:rPr>
                <w:rFonts w:asciiTheme="minorHAnsi" w:eastAsiaTheme="majorEastAsia" w:hAnsiTheme="minorHAnsi"/>
                <w:szCs w:val="24"/>
                <w:lang w:val="es-ES_tradnl"/>
              </w:rPr>
              <w:t xml:space="preserve"> presto asistencia a los países en desarrollo para utilizar las TIC a fin de mitigar y reducir los efectos del cambio climático y elaborar marcos reglamentarios, políticas y estrategias en materia de residuos-e.</w:t>
            </w:r>
            <w:bookmarkEnd w:id="218"/>
          </w:p>
          <w:p w:rsidR="00F45A0D" w:rsidRPr="00FD3713" w:rsidRDefault="00F45A0D" w:rsidP="00F45A0D">
            <w:pPr>
              <w:rPr>
                <w:rFonts w:asciiTheme="minorHAnsi" w:eastAsiaTheme="majorEastAsia" w:hAnsiTheme="minorHAnsi"/>
                <w:szCs w:val="24"/>
                <w:lang w:val="es-ES_tradnl"/>
              </w:rPr>
            </w:pPr>
            <w:bookmarkStart w:id="219" w:name="lt_pId502"/>
            <w:r w:rsidRPr="00FD3713">
              <w:rPr>
                <w:rFonts w:asciiTheme="minorHAnsi" w:eastAsiaTheme="majorEastAsia" w:hAnsiTheme="minorHAnsi"/>
                <w:szCs w:val="24"/>
                <w:lang w:val="es-ES_tradnl"/>
              </w:rPr>
              <w:t xml:space="preserve">La </w:t>
            </w:r>
            <w:proofErr w:type="spellStart"/>
            <w:r w:rsidRPr="00FD3713">
              <w:rPr>
                <w:rFonts w:asciiTheme="minorHAnsi" w:eastAsiaTheme="majorEastAsia" w:hAnsiTheme="minorHAnsi"/>
                <w:szCs w:val="24"/>
                <w:lang w:val="es-ES_tradnl"/>
              </w:rPr>
              <w:t>UIT</w:t>
            </w:r>
            <w:proofErr w:type="spellEnd"/>
            <w:r w:rsidRPr="00FD3713">
              <w:rPr>
                <w:rFonts w:asciiTheme="minorHAnsi" w:eastAsiaTheme="majorEastAsia" w:hAnsiTheme="minorHAnsi"/>
                <w:szCs w:val="24"/>
                <w:lang w:val="es-ES_tradnl"/>
              </w:rPr>
              <w:t>, junto con la Universidad de las Naciones Unidas (</w:t>
            </w:r>
            <w:proofErr w:type="spellStart"/>
            <w:r w:rsidRPr="00FD3713">
              <w:rPr>
                <w:rFonts w:asciiTheme="minorHAnsi" w:eastAsiaTheme="majorEastAsia" w:hAnsiTheme="minorHAnsi"/>
                <w:szCs w:val="24"/>
                <w:lang w:val="es-ES_tradnl"/>
              </w:rPr>
              <w:t>UNU</w:t>
            </w:r>
            <w:proofErr w:type="spellEnd"/>
            <w:r w:rsidRPr="00FD3713">
              <w:rPr>
                <w:rFonts w:asciiTheme="minorHAnsi" w:eastAsiaTheme="majorEastAsia" w:hAnsiTheme="minorHAnsi"/>
                <w:szCs w:val="24"/>
                <w:lang w:val="es-ES_tradnl"/>
              </w:rPr>
              <w:t xml:space="preserve">) y la International Solid </w:t>
            </w:r>
            <w:proofErr w:type="spellStart"/>
            <w:r w:rsidRPr="00FD3713">
              <w:rPr>
                <w:rFonts w:asciiTheme="minorHAnsi" w:eastAsiaTheme="majorEastAsia" w:hAnsiTheme="minorHAnsi"/>
                <w:szCs w:val="24"/>
                <w:lang w:val="es-ES_tradnl"/>
              </w:rPr>
              <w:t>Waste</w:t>
            </w:r>
            <w:proofErr w:type="spellEnd"/>
            <w:r w:rsidRPr="00FD3713">
              <w:rPr>
                <w:rFonts w:asciiTheme="minorHAnsi" w:eastAsiaTheme="majorEastAsia" w:hAnsiTheme="minorHAnsi"/>
                <w:szCs w:val="24"/>
                <w:lang w:val="es-ES_tradnl"/>
              </w:rPr>
              <w:t xml:space="preserve"> </w:t>
            </w:r>
            <w:proofErr w:type="spellStart"/>
            <w:r w:rsidRPr="00FD3713">
              <w:rPr>
                <w:rFonts w:asciiTheme="minorHAnsi" w:eastAsiaTheme="majorEastAsia" w:hAnsiTheme="minorHAnsi"/>
                <w:szCs w:val="24"/>
                <w:lang w:val="es-ES_tradnl"/>
              </w:rPr>
              <w:t>Association</w:t>
            </w:r>
            <w:proofErr w:type="spellEnd"/>
            <w:r w:rsidRPr="00FD3713">
              <w:rPr>
                <w:rFonts w:asciiTheme="minorHAnsi" w:eastAsiaTheme="majorEastAsia" w:hAnsiTheme="minorHAnsi"/>
                <w:szCs w:val="24"/>
                <w:lang w:val="es-ES_tradnl"/>
              </w:rPr>
              <w:t xml:space="preserve"> (</w:t>
            </w:r>
            <w:proofErr w:type="spellStart"/>
            <w:r w:rsidRPr="00FD3713">
              <w:rPr>
                <w:rFonts w:asciiTheme="minorHAnsi" w:eastAsiaTheme="majorEastAsia" w:hAnsiTheme="minorHAnsi"/>
                <w:szCs w:val="24"/>
                <w:lang w:val="es-ES_tradnl"/>
              </w:rPr>
              <w:t>ISWA</w:t>
            </w:r>
            <w:proofErr w:type="spellEnd"/>
            <w:r w:rsidRPr="00FD3713">
              <w:rPr>
                <w:rFonts w:asciiTheme="minorHAnsi" w:eastAsiaTheme="majorEastAsia" w:hAnsiTheme="minorHAnsi"/>
                <w:szCs w:val="24"/>
                <w:lang w:val="es-ES_tradnl"/>
              </w:rPr>
              <w:t>), finalizó el Informe</w:t>
            </w:r>
            <w:r w:rsidRPr="00FD3713">
              <w:rPr>
                <w:rFonts w:asciiTheme="minorHAnsi" w:eastAsiaTheme="majorEastAsia" w:hAnsiTheme="minorHAnsi"/>
                <w:i/>
                <w:iCs/>
                <w:szCs w:val="24"/>
                <w:lang w:val="es-ES_tradnl"/>
              </w:rPr>
              <w:t xml:space="preserve"> Global E-</w:t>
            </w:r>
            <w:proofErr w:type="spellStart"/>
            <w:r w:rsidRPr="00FD3713">
              <w:rPr>
                <w:rFonts w:asciiTheme="minorHAnsi" w:eastAsiaTheme="majorEastAsia" w:hAnsiTheme="minorHAnsi"/>
                <w:i/>
                <w:iCs/>
                <w:szCs w:val="24"/>
                <w:lang w:val="es-ES_tradnl"/>
              </w:rPr>
              <w:t>waste</w:t>
            </w:r>
            <w:proofErr w:type="spellEnd"/>
            <w:r w:rsidRPr="00FD3713">
              <w:rPr>
                <w:rFonts w:asciiTheme="minorHAnsi" w:eastAsiaTheme="majorEastAsia" w:hAnsiTheme="minorHAnsi"/>
                <w:i/>
                <w:iCs/>
                <w:szCs w:val="24"/>
                <w:lang w:val="es-ES_tradnl"/>
              </w:rPr>
              <w:t xml:space="preserve"> Monitor 2017</w:t>
            </w:r>
            <w:r w:rsidRPr="00FD3713">
              <w:rPr>
                <w:rFonts w:asciiTheme="minorHAnsi" w:eastAsiaTheme="majorEastAsia" w:hAnsiTheme="minorHAnsi"/>
                <w:szCs w:val="24"/>
                <w:lang w:val="es-ES_tradnl"/>
              </w:rPr>
              <w:t>, en el que se presentan estadísticas mundiales y regionales sobre, entre otras cosas, la cantidad de residuos-e producidos, las tasas regionales y mundiales de reciclaje y el número de países que han legislado sobre los residuos-e. Este Informe es uno de los principales productos de la Asociación</w:t>
            </w:r>
            <w:bookmarkStart w:id="220" w:name="lt_pId503"/>
            <w:bookmarkEnd w:id="219"/>
            <w:r w:rsidRPr="00FD3713">
              <w:rPr>
                <w:rFonts w:asciiTheme="minorHAnsi" w:eastAsiaTheme="majorEastAsia" w:hAnsiTheme="minorHAnsi"/>
                <w:szCs w:val="24"/>
                <w:lang w:val="es-ES_tradnl"/>
              </w:rPr>
              <w:t xml:space="preserve"> </w:t>
            </w:r>
            <w:r w:rsidR="00F63638">
              <w:rPr>
                <w:rFonts w:asciiTheme="minorHAnsi" w:eastAsiaTheme="majorEastAsia" w:hAnsiTheme="minorHAnsi"/>
                <w:i/>
                <w:iCs/>
                <w:szCs w:val="24"/>
                <w:lang w:val="es-ES_tradnl"/>
              </w:rPr>
              <w:t>Global E</w:t>
            </w:r>
            <w:r w:rsidR="00F63638">
              <w:rPr>
                <w:rFonts w:asciiTheme="minorHAnsi" w:eastAsiaTheme="majorEastAsia" w:hAnsiTheme="minorHAnsi"/>
                <w:i/>
                <w:iCs/>
                <w:szCs w:val="24"/>
                <w:lang w:val="es-ES_tradnl"/>
              </w:rPr>
              <w:noBreakHyphen/>
            </w:r>
            <w:proofErr w:type="spellStart"/>
            <w:r w:rsidRPr="00FD3713">
              <w:rPr>
                <w:rFonts w:asciiTheme="minorHAnsi" w:eastAsiaTheme="majorEastAsia" w:hAnsiTheme="minorHAnsi"/>
                <w:i/>
                <w:iCs/>
                <w:szCs w:val="24"/>
                <w:lang w:val="es-ES_tradnl"/>
              </w:rPr>
              <w:t>waste</w:t>
            </w:r>
            <w:proofErr w:type="spellEnd"/>
            <w:r w:rsidRPr="00FD3713">
              <w:rPr>
                <w:rFonts w:asciiTheme="minorHAnsi" w:eastAsiaTheme="majorEastAsia" w:hAnsiTheme="minorHAnsi"/>
                <w:i/>
                <w:iCs/>
                <w:szCs w:val="24"/>
                <w:lang w:val="es-ES_tradnl"/>
              </w:rPr>
              <w:t xml:space="preserve"> </w:t>
            </w:r>
            <w:proofErr w:type="spellStart"/>
            <w:r w:rsidRPr="00FD3713">
              <w:rPr>
                <w:rFonts w:asciiTheme="minorHAnsi" w:eastAsiaTheme="majorEastAsia" w:hAnsiTheme="minorHAnsi"/>
                <w:i/>
                <w:iCs/>
                <w:szCs w:val="24"/>
                <w:lang w:val="es-ES_tradnl"/>
              </w:rPr>
              <w:t>Statistics</w:t>
            </w:r>
            <w:proofErr w:type="spellEnd"/>
            <w:r w:rsidRPr="00FD3713">
              <w:rPr>
                <w:rFonts w:asciiTheme="minorHAnsi" w:eastAsiaTheme="majorEastAsia" w:hAnsiTheme="minorHAnsi"/>
                <w:szCs w:val="24"/>
                <w:lang w:val="es-ES_tradnl"/>
              </w:rPr>
              <w:t>.</w:t>
            </w:r>
            <w:bookmarkEnd w:id="220"/>
          </w:p>
          <w:p w:rsidR="00F45A0D" w:rsidRPr="00FD3713" w:rsidRDefault="00F45A0D" w:rsidP="00F45A0D">
            <w:pPr>
              <w:rPr>
                <w:rFonts w:asciiTheme="minorHAnsi" w:eastAsiaTheme="majorEastAsia" w:hAnsiTheme="minorHAnsi"/>
                <w:szCs w:val="24"/>
                <w:lang w:val="es-ES_tradnl"/>
              </w:rPr>
            </w:pPr>
            <w:bookmarkStart w:id="221" w:name="lt_pId504"/>
            <w:r w:rsidRPr="00FD3713">
              <w:rPr>
                <w:rFonts w:asciiTheme="minorHAnsi" w:eastAsiaTheme="majorEastAsia" w:hAnsiTheme="minorHAnsi"/>
                <w:szCs w:val="24"/>
                <w:lang w:val="es-ES_tradnl"/>
              </w:rPr>
              <w:t>Se prepararon otros importantes manuales, directrices e informes, entre los que cabe destacar los siguientes:</w:t>
            </w:r>
            <w:bookmarkEnd w:id="221"/>
          </w:p>
          <w:p w:rsidR="00F45A0D" w:rsidRPr="00FD3713" w:rsidRDefault="002E6E3F" w:rsidP="002E6E3F">
            <w:pPr>
              <w:pStyle w:val="enumlev1"/>
              <w:rPr>
                <w:rFonts w:asciiTheme="minorHAnsi" w:eastAsiaTheme="majorEastAsia" w:hAnsiTheme="minorHAnsi"/>
                <w:lang w:val="es-ES_tradnl"/>
              </w:rPr>
            </w:pPr>
            <w:bookmarkStart w:id="222" w:name="lt_pId505"/>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Manual para el desarrollo de un marco político sobre residuos eléctricos y electrónicos procedentes de las tecnologías de la información y la comunicación.</w:t>
            </w:r>
            <w:bookmarkEnd w:id="222"/>
          </w:p>
          <w:p w:rsidR="00F45A0D" w:rsidRPr="00FD3713" w:rsidRDefault="002E6E3F" w:rsidP="002E6E3F">
            <w:pPr>
              <w:pStyle w:val="enumlev1"/>
              <w:rPr>
                <w:rFonts w:asciiTheme="minorHAnsi" w:eastAsiaTheme="majorEastAsia" w:hAnsiTheme="minorHAnsi"/>
                <w:lang w:val="es-ES_tradnl"/>
              </w:rPr>
            </w:pPr>
            <w:bookmarkStart w:id="223" w:name="lt_pId506"/>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Material didáctico sobre las TIC y el cambio climático.</w:t>
            </w:r>
            <w:bookmarkEnd w:id="223"/>
          </w:p>
          <w:p w:rsidR="00F45A0D" w:rsidRPr="00FD3713" w:rsidRDefault="002E6E3F" w:rsidP="002E6E3F">
            <w:pPr>
              <w:pStyle w:val="enumlev1"/>
              <w:rPr>
                <w:rFonts w:asciiTheme="minorHAnsi" w:eastAsiaTheme="majorEastAsia" w:hAnsiTheme="minorHAnsi"/>
                <w:lang w:val="es-ES_tradnl"/>
              </w:rPr>
            </w:pPr>
            <w:bookmarkStart w:id="224" w:name="lt_pId507"/>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Un informe para el diseño de marcos políticos y reglamentarios aplicables a los residuos-e en Malawi, que comprende una evaluación del actual tratamiento de los residuos-e y una previsión cuantitativa y volumétrica de los residuos-e.</w:t>
            </w:r>
            <w:bookmarkEnd w:id="224"/>
          </w:p>
          <w:p w:rsidR="00F45A0D" w:rsidRPr="00FD3713" w:rsidRDefault="002E6E3F" w:rsidP="002E6E3F">
            <w:pPr>
              <w:pStyle w:val="enumlev1"/>
              <w:rPr>
                <w:rFonts w:asciiTheme="minorHAnsi" w:eastAsiaTheme="majorEastAsia" w:hAnsiTheme="minorHAnsi"/>
                <w:lang w:val="es-ES_tradnl"/>
              </w:rPr>
            </w:pPr>
            <w:bookmarkStart w:id="225" w:name="lt_pId508"/>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Se ha encargado un estudio para determinar las necesidades de capacitación de los países africanos en términos de directrices para la elaboración de marcos legislativos. En este estudio se recomendará un plan de capacitación para la instauración de marcos legislativos aplicables a los residuos-e</w:t>
            </w:r>
            <w:bookmarkStart w:id="226" w:name="lt_pId509"/>
            <w:bookmarkEnd w:id="225"/>
            <w:r w:rsidR="00F45A0D" w:rsidRPr="00FD3713">
              <w:rPr>
                <w:rFonts w:asciiTheme="minorHAnsi" w:eastAsiaTheme="majorEastAsia" w:hAnsiTheme="minorHAnsi"/>
                <w:lang w:val="es-ES_tradnl"/>
              </w:rPr>
              <w:t>.</w:t>
            </w:r>
            <w:bookmarkEnd w:id="226"/>
          </w:p>
          <w:p w:rsidR="00F45A0D" w:rsidRPr="00FD3713" w:rsidRDefault="00F45A0D" w:rsidP="00F45A0D">
            <w:pPr>
              <w:rPr>
                <w:rFonts w:asciiTheme="minorHAnsi" w:eastAsiaTheme="majorEastAsia" w:hAnsiTheme="minorHAnsi"/>
                <w:szCs w:val="24"/>
                <w:lang w:val="es-ES_tradnl"/>
              </w:rPr>
            </w:pPr>
            <w:bookmarkStart w:id="227" w:name="lt_pId510"/>
            <w:r w:rsidRPr="00FD3713">
              <w:rPr>
                <w:rFonts w:asciiTheme="minorHAnsi" w:eastAsiaTheme="majorEastAsia" w:hAnsiTheme="minorHAnsi"/>
                <w:szCs w:val="24"/>
                <w:lang w:val="es-ES_tradnl"/>
              </w:rPr>
              <w:lastRenderedPageBreak/>
              <w:t>También se llevaron a cabo otras actividades destinadas a mejorar las capacidades, aumentar la concienciación y asistir a los países a implantar los marcos y políticas adecuados:</w:t>
            </w:r>
            <w:bookmarkEnd w:id="227"/>
          </w:p>
          <w:p w:rsidR="00F45A0D" w:rsidRPr="00FD3713" w:rsidRDefault="002E6E3F" w:rsidP="002E6E3F">
            <w:pPr>
              <w:pStyle w:val="enumlev1"/>
              <w:rPr>
                <w:rFonts w:asciiTheme="minorHAnsi" w:eastAsiaTheme="majorEastAsia" w:hAnsiTheme="minorHAnsi"/>
                <w:lang w:val="es-ES_tradnl"/>
              </w:rPr>
            </w:pPr>
            <w:bookmarkStart w:id="228" w:name="lt_pId511"/>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Se finalizó el marco político y reglamentario de gestión de residuos-e de Santa Lucía.</w:t>
            </w:r>
            <w:bookmarkEnd w:id="228"/>
            <w:r w:rsidR="00F45A0D" w:rsidRPr="00FD3713">
              <w:rPr>
                <w:rFonts w:asciiTheme="minorHAnsi" w:eastAsiaTheme="majorEastAsia" w:hAnsiTheme="minorHAnsi"/>
                <w:lang w:val="es-ES_tradnl"/>
              </w:rPr>
              <w:t xml:space="preserve"> </w:t>
            </w:r>
          </w:p>
          <w:p w:rsidR="00F45A0D" w:rsidRPr="00FD3713" w:rsidRDefault="002E6E3F" w:rsidP="002E6E3F">
            <w:pPr>
              <w:pStyle w:val="enumlev1"/>
              <w:rPr>
                <w:rFonts w:asciiTheme="minorHAnsi" w:eastAsiaTheme="majorEastAsia" w:hAnsiTheme="minorHAnsi"/>
                <w:lang w:val="es-ES_tradnl"/>
              </w:rPr>
            </w:pPr>
            <w:bookmarkStart w:id="229" w:name="lt_pId512"/>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Se celebró un Taller regional de formación sobre las TIC y la mitigación y adaptación al cambio climático en la Región Árabe.</w:t>
            </w:r>
            <w:bookmarkEnd w:id="229"/>
          </w:p>
          <w:p w:rsidR="00F45A0D" w:rsidRPr="00FD3713" w:rsidRDefault="002E6E3F" w:rsidP="002E6E3F">
            <w:pPr>
              <w:pStyle w:val="enumlev1"/>
              <w:rPr>
                <w:rFonts w:asciiTheme="minorHAnsi" w:eastAsiaTheme="majorEastAsia" w:hAnsiTheme="minorHAnsi"/>
                <w:lang w:val="es-ES_tradnl"/>
              </w:rPr>
            </w:pPr>
            <w:bookmarkStart w:id="230" w:name="lt_pId513"/>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Se celebró un Taller regional sobre perspectivas de gestión inteligente del agua en la región Árabe en colaboración con el Centro Internacional de Tecnologías Medioambientales (</w:t>
            </w:r>
            <w:proofErr w:type="spellStart"/>
            <w:r w:rsidR="00F45A0D" w:rsidRPr="00FD3713">
              <w:rPr>
                <w:rFonts w:asciiTheme="minorHAnsi" w:eastAsiaTheme="majorEastAsia" w:hAnsiTheme="minorHAnsi"/>
                <w:lang w:val="es-ES_tradnl"/>
              </w:rPr>
              <w:t>CITET</w:t>
            </w:r>
            <w:proofErr w:type="spellEnd"/>
            <w:r w:rsidR="00F45A0D" w:rsidRPr="00FD3713">
              <w:rPr>
                <w:rFonts w:asciiTheme="minorHAnsi" w:eastAsiaTheme="majorEastAsia" w:hAnsiTheme="minorHAnsi"/>
                <w:lang w:val="es-ES_tradnl"/>
              </w:rPr>
              <w:t>) de Túnez.</w:t>
            </w:r>
            <w:bookmarkEnd w:id="230"/>
          </w:p>
          <w:p w:rsidR="00F45A0D" w:rsidRPr="00FD3713" w:rsidRDefault="00752FCC" w:rsidP="00752FCC">
            <w:pPr>
              <w:pStyle w:val="enumlev1"/>
              <w:rPr>
                <w:rFonts w:asciiTheme="minorHAnsi" w:eastAsiaTheme="majorEastAsia" w:hAnsiTheme="minorHAnsi"/>
                <w:b/>
                <w:bCs/>
                <w:szCs w:val="24"/>
                <w:lang w:val="es-ES_tradnl"/>
              </w:rPr>
            </w:pPr>
            <w:bookmarkStart w:id="231" w:name="lt_pId514"/>
            <w:r w:rsidRPr="00752FCC">
              <w:rPr>
                <w:rFonts w:eastAsiaTheme="majorEastAsia"/>
                <w:szCs w:val="24"/>
                <w:lang w:val="es-ES_tradnl"/>
              </w:rPr>
              <w:t>–</w:t>
            </w:r>
            <w:r>
              <w:rPr>
                <w:rFonts w:asciiTheme="minorHAnsi" w:eastAsiaTheme="majorEastAsia" w:hAnsiTheme="minorHAnsi"/>
                <w:szCs w:val="24"/>
                <w:lang w:val="es-ES_tradnl"/>
              </w:rPr>
              <w:tab/>
            </w:r>
            <w:r w:rsidR="00F45A0D" w:rsidRPr="00FD3713">
              <w:rPr>
                <w:rFonts w:asciiTheme="minorHAnsi" w:eastAsiaTheme="majorEastAsia" w:hAnsiTheme="minorHAnsi"/>
                <w:szCs w:val="24"/>
                <w:lang w:val="es-ES_tradnl"/>
              </w:rPr>
              <w:t>Se celebró en la región Árabe el Foro regional sobre Internet de las cosas (</w:t>
            </w:r>
            <w:proofErr w:type="spellStart"/>
            <w:r w:rsidR="00F45A0D" w:rsidRPr="00FD3713">
              <w:rPr>
                <w:rFonts w:asciiTheme="minorHAnsi" w:eastAsiaTheme="majorEastAsia" w:hAnsiTheme="minorHAnsi"/>
                <w:szCs w:val="24"/>
                <w:lang w:val="es-ES_tradnl"/>
              </w:rPr>
              <w:t>IoT</w:t>
            </w:r>
            <w:proofErr w:type="spellEnd"/>
            <w:r w:rsidR="00F45A0D" w:rsidRPr="00FD3713">
              <w:rPr>
                <w:rFonts w:asciiTheme="minorHAnsi" w:eastAsiaTheme="majorEastAsia" w:hAnsiTheme="minorHAnsi"/>
                <w:szCs w:val="24"/>
                <w:lang w:val="es-ES_tradnl"/>
              </w:rPr>
              <w:t>) para el desarrollo de ciudades inteligentes y sostenibles</w:t>
            </w:r>
            <w:bookmarkEnd w:id="231"/>
          </w:p>
        </w:tc>
      </w:tr>
      <w:tr w:rsidR="00F45A0D" w:rsidRPr="00FD3713" w:rsidTr="00B34263">
        <w:tc>
          <w:tcPr>
            <w:tcW w:w="2972" w:type="dxa"/>
          </w:tcPr>
          <w:p w:rsidR="00F45A0D" w:rsidRPr="00F47CF3" w:rsidRDefault="00F45A0D" w:rsidP="002F1472">
            <w:pPr>
              <w:spacing w:before="60" w:after="60"/>
              <w:rPr>
                <w:rFonts w:asciiTheme="minorHAnsi" w:hAnsiTheme="minorHAnsi"/>
                <w:i/>
                <w:iCs/>
                <w:szCs w:val="24"/>
                <w:lang w:val="es-ES_tradnl"/>
              </w:rPr>
            </w:pPr>
            <w:proofErr w:type="spellStart"/>
            <w:r w:rsidRPr="00F47CF3">
              <w:rPr>
                <w:rFonts w:asciiTheme="minorHAnsi" w:hAnsiTheme="minorHAnsi"/>
                <w:i/>
                <w:iCs/>
                <w:szCs w:val="24"/>
                <w:lang w:val="es-ES_tradnl"/>
              </w:rPr>
              <w:lastRenderedPageBreak/>
              <w:t>CMDT</w:t>
            </w:r>
            <w:proofErr w:type="spellEnd"/>
          </w:p>
        </w:tc>
        <w:tc>
          <w:tcPr>
            <w:tcW w:w="6656" w:type="dxa"/>
          </w:tcPr>
          <w:p w:rsidR="00F45A0D" w:rsidRPr="00FD3713" w:rsidRDefault="00F45A0D" w:rsidP="002F1472">
            <w:pPr>
              <w:spacing w:before="60" w:after="60"/>
              <w:rPr>
                <w:rFonts w:asciiTheme="minorHAnsi" w:eastAsiaTheme="majorEastAsia" w:hAnsiTheme="minorHAnsi"/>
                <w:szCs w:val="24"/>
                <w:lang w:val="es-ES_tradnl"/>
              </w:rPr>
            </w:pPr>
            <w:bookmarkStart w:id="232" w:name="lt_pId516"/>
            <w:r w:rsidRPr="002F1472">
              <w:rPr>
                <w:rFonts w:asciiTheme="minorHAnsi" w:hAnsiTheme="minorHAnsi"/>
                <w:szCs w:val="24"/>
                <w:lang w:val="es-ES_tradnl"/>
              </w:rPr>
              <w:t>Resoluciones</w:t>
            </w:r>
            <w:r w:rsidRPr="00FD3713">
              <w:rPr>
                <w:rFonts w:asciiTheme="minorHAnsi" w:hAnsiTheme="minorHAnsi"/>
                <w:szCs w:val="24"/>
                <w:lang w:val="es-ES_tradnl"/>
              </w:rPr>
              <w:t xml:space="preserve"> 17, 21, 30, 32, 37, 50, 52, 53, 66</w:t>
            </w:r>
            <w:bookmarkEnd w:id="232"/>
          </w:p>
        </w:tc>
      </w:tr>
      <w:tr w:rsidR="00F45A0D" w:rsidRPr="008D434B" w:rsidTr="00B34263">
        <w:tc>
          <w:tcPr>
            <w:tcW w:w="2972" w:type="dxa"/>
          </w:tcPr>
          <w:p w:rsidR="00F45A0D" w:rsidRPr="00FD3713" w:rsidRDefault="00F45A0D" w:rsidP="002F1472">
            <w:pPr>
              <w:spacing w:before="60" w:after="60"/>
              <w:rPr>
                <w:rFonts w:asciiTheme="minorHAnsi" w:eastAsiaTheme="majorEastAsia" w:hAnsiTheme="minorHAnsi"/>
                <w:i/>
                <w:iCs/>
                <w:szCs w:val="24"/>
                <w:lang w:val="es-ES_tradnl"/>
              </w:rPr>
            </w:pPr>
            <w:r w:rsidRPr="00FD3713">
              <w:rPr>
                <w:rFonts w:asciiTheme="minorHAnsi" w:hAnsiTheme="minorHAnsi"/>
                <w:i/>
                <w:iCs/>
                <w:szCs w:val="24"/>
                <w:lang w:val="es-ES_tradnl"/>
              </w:rPr>
              <w:t>Conferencia de Plenipotenciarios</w:t>
            </w:r>
          </w:p>
        </w:tc>
        <w:tc>
          <w:tcPr>
            <w:tcW w:w="6656" w:type="dxa"/>
          </w:tcPr>
          <w:p w:rsidR="00F45A0D" w:rsidRPr="00FD3713" w:rsidRDefault="00F45A0D" w:rsidP="002F1472">
            <w:pPr>
              <w:spacing w:before="60" w:after="60"/>
              <w:rPr>
                <w:rFonts w:eastAsiaTheme="majorEastAsia"/>
                <w:szCs w:val="24"/>
                <w:lang w:val="es-ES_tradnl"/>
              </w:rPr>
            </w:pPr>
            <w:r w:rsidRPr="002F1472">
              <w:rPr>
                <w:rFonts w:asciiTheme="minorHAnsi" w:hAnsiTheme="minorHAnsi"/>
                <w:szCs w:val="24"/>
                <w:lang w:val="es-ES_tradnl"/>
              </w:rPr>
              <w:t>Decisiones</w:t>
            </w:r>
            <w:r w:rsidRPr="00FD3713">
              <w:rPr>
                <w:rFonts w:asciiTheme="minorHAnsi" w:eastAsiaTheme="majorEastAsia" w:hAnsiTheme="minorHAnsi"/>
                <w:szCs w:val="24"/>
                <w:lang w:val="es-ES_tradnl"/>
              </w:rPr>
              <w:t xml:space="preserve"> de la PP: 5 y 13 </w:t>
            </w:r>
            <w:r w:rsidRPr="00FD3713">
              <w:rPr>
                <w:rFonts w:asciiTheme="minorHAnsi" w:eastAsiaTheme="majorEastAsia" w:hAnsiTheme="minorHAnsi"/>
                <w:szCs w:val="24"/>
                <w:lang w:val="es-ES_tradnl"/>
              </w:rPr>
              <w:br/>
              <w:t>Resoluciones de la PP: 25, 71, 182</w:t>
            </w:r>
          </w:p>
        </w:tc>
      </w:tr>
      <w:tr w:rsidR="00F45A0D" w:rsidRPr="00FD3713" w:rsidTr="00B34263">
        <w:tc>
          <w:tcPr>
            <w:tcW w:w="2972" w:type="dxa"/>
          </w:tcPr>
          <w:p w:rsidR="00F45A0D" w:rsidRPr="002F1472" w:rsidRDefault="00F45A0D" w:rsidP="00BF06C4">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t>AMNT</w:t>
            </w:r>
            <w:proofErr w:type="spellEnd"/>
          </w:p>
        </w:tc>
        <w:tc>
          <w:tcPr>
            <w:tcW w:w="6656" w:type="dxa"/>
          </w:tcPr>
          <w:p w:rsidR="00F45A0D" w:rsidRPr="002F1472" w:rsidRDefault="00F45A0D" w:rsidP="00BF06C4">
            <w:pPr>
              <w:spacing w:before="60" w:after="60"/>
              <w:rPr>
                <w:rFonts w:asciiTheme="minorHAnsi" w:eastAsiaTheme="majorEastAsia" w:hAnsiTheme="minorHAnsi"/>
                <w:szCs w:val="24"/>
                <w:lang w:val="es-ES_tradnl"/>
              </w:rPr>
            </w:pPr>
            <w:bookmarkStart w:id="233" w:name="lt_pId523"/>
            <w:r w:rsidRPr="002F1472">
              <w:rPr>
                <w:rFonts w:asciiTheme="minorHAnsi" w:hAnsiTheme="minorHAnsi"/>
                <w:szCs w:val="24"/>
                <w:lang w:val="es-ES_tradnl"/>
              </w:rPr>
              <w:t>Resolución 73</w:t>
            </w:r>
            <w:bookmarkEnd w:id="233"/>
          </w:p>
        </w:tc>
      </w:tr>
      <w:tr w:rsidR="00F45A0D" w:rsidRPr="008D434B" w:rsidTr="00B34263">
        <w:tc>
          <w:tcPr>
            <w:tcW w:w="2972" w:type="dxa"/>
          </w:tcPr>
          <w:p w:rsidR="00F45A0D" w:rsidRPr="00FD3713" w:rsidRDefault="00F45A0D" w:rsidP="002F1472">
            <w:pPr>
              <w:spacing w:before="60" w:after="60"/>
              <w:rPr>
                <w:rFonts w:eastAsiaTheme="majorEastAsia"/>
                <w:i/>
                <w:iCs/>
                <w:szCs w:val="24"/>
                <w:lang w:val="es-ES_tradnl"/>
              </w:rPr>
            </w:pPr>
            <w:r w:rsidRPr="00FD3713">
              <w:rPr>
                <w:rFonts w:asciiTheme="minorHAnsi" w:eastAsiaTheme="majorEastAsia" w:hAnsiTheme="minorHAnsi"/>
                <w:i/>
                <w:iCs/>
                <w:szCs w:val="24"/>
                <w:lang w:val="es-ES_tradnl"/>
              </w:rPr>
              <w:t xml:space="preserve">Línea </w:t>
            </w:r>
            <w:r w:rsidRPr="002F1472">
              <w:rPr>
                <w:rFonts w:asciiTheme="minorHAnsi" w:hAnsiTheme="minorHAnsi"/>
                <w:i/>
                <w:iCs/>
                <w:szCs w:val="24"/>
                <w:lang w:val="es-ES_tradnl"/>
              </w:rPr>
              <w:t>de</w:t>
            </w:r>
            <w:r w:rsidRPr="00FD3713">
              <w:rPr>
                <w:rFonts w:asciiTheme="minorHAnsi" w:eastAsiaTheme="majorEastAsia" w:hAnsiTheme="minorHAnsi"/>
                <w:i/>
                <w:iCs/>
                <w:szCs w:val="24"/>
                <w:lang w:val="es-ES_tradnl"/>
              </w:rPr>
              <w:t xml:space="preserve"> Acción de la </w:t>
            </w:r>
            <w:proofErr w:type="spellStart"/>
            <w:r w:rsidRPr="00FD3713">
              <w:rPr>
                <w:rFonts w:asciiTheme="minorHAnsi" w:eastAsiaTheme="majorEastAsia" w:hAnsiTheme="minorHAnsi"/>
                <w:i/>
                <w:iCs/>
                <w:szCs w:val="24"/>
                <w:lang w:val="es-ES_tradnl"/>
              </w:rPr>
              <w:t>CMSI</w:t>
            </w:r>
            <w:proofErr w:type="spellEnd"/>
          </w:p>
        </w:tc>
        <w:tc>
          <w:tcPr>
            <w:tcW w:w="6656" w:type="dxa"/>
          </w:tcPr>
          <w:p w:rsidR="00F45A0D" w:rsidRPr="00FD3713" w:rsidRDefault="00F45A0D" w:rsidP="002F1472">
            <w:pPr>
              <w:spacing w:before="60" w:after="60"/>
              <w:rPr>
                <w:rFonts w:eastAsiaTheme="majorEastAsia"/>
                <w:szCs w:val="24"/>
                <w:lang w:val="es-ES_tradnl"/>
              </w:rPr>
            </w:pPr>
            <w:r w:rsidRPr="00FD3713">
              <w:rPr>
                <w:rFonts w:asciiTheme="minorHAnsi" w:eastAsiaTheme="majorEastAsia" w:hAnsiTheme="minorHAnsi"/>
                <w:szCs w:val="24"/>
                <w:lang w:val="es-ES_tradnl"/>
              </w:rPr>
              <w:t xml:space="preserve">La Línea de Acción de la </w:t>
            </w:r>
            <w:proofErr w:type="spellStart"/>
            <w:r w:rsidRPr="00FD3713">
              <w:rPr>
                <w:rFonts w:asciiTheme="minorHAnsi" w:eastAsiaTheme="majorEastAsia" w:hAnsiTheme="minorHAnsi"/>
                <w:szCs w:val="24"/>
                <w:lang w:val="es-ES_tradnl"/>
              </w:rPr>
              <w:t>CMSI</w:t>
            </w:r>
            <w:proofErr w:type="spellEnd"/>
            <w:r w:rsidRPr="00FD3713">
              <w:rPr>
                <w:rFonts w:asciiTheme="minorHAnsi" w:eastAsiaTheme="majorEastAsia" w:hAnsiTheme="minorHAnsi"/>
                <w:szCs w:val="24"/>
                <w:lang w:val="es-ES_tradnl"/>
              </w:rPr>
              <w:t xml:space="preserve"> </w:t>
            </w:r>
            <w:proofErr w:type="spellStart"/>
            <w:r w:rsidRPr="00FD3713">
              <w:rPr>
                <w:rFonts w:asciiTheme="minorHAnsi" w:eastAsiaTheme="majorEastAsia" w:hAnsiTheme="minorHAnsi"/>
                <w:szCs w:val="24"/>
                <w:lang w:val="es-ES_tradnl"/>
              </w:rPr>
              <w:t>C7</w:t>
            </w:r>
            <w:proofErr w:type="spellEnd"/>
            <w:r w:rsidRPr="00FD3713">
              <w:rPr>
                <w:rFonts w:asciiTheme="minorHAnsi" w:eastAsiaTheme="majorEastAsia" w:hAnsiTheme="minorHAnsi"/>
                <w:szCs w:val="24"/>
                <w:lang w:val="es-ES_tradnl"/>
              </w:rPr>
              <w:t xml:space="preserve"> (</w:t>
            </w:r>
            <w:proofErr w:type="spellStart"/>
            <w:r w:rsidRPr="00FD3713">
              <w:rPr>
                <w:rFonts w:asciiTheme="minorHAnsi" w:eastAsiaTheme="majorEastAsia" w:hAnsiTheme="minorHAnsi"/>
                <w:szCs w:val="24"/>
                <w:lang w:val="es-ES_tradnl"/>
              </w:rPr>
              <w:t>ciberecología</w:t>
            </w:r>
            <w:proofErr w:type="spellEnd"/>
            <w:r w:rsidRPr="00FD3713">
              <w:rPr>
                <w:rFonts w:asciiTheme="minorHAnsi" w:eastAsiaTheme="majorEastAsia" w:hAnsiTheme="minorHAnsi"/>
                <w:szCs w:val="24"/>
                <w:lang w:val="es-ES_tradnl"/>
              </w:rPr>
              <w:t xml:space="preserve">) del Plan de Acción de Ginebra está estrechamente relacionada con el Producto </w:t>
            </w:r>
            <w:proofErr w:type="spellStart"/>
            <w:r w:rsidRPr="00FD3713">
              <w:rPr>
                <w:rFonts w:asciiTheme="minorHAnsi" w:eastAsiaTheme="majorEastAsia" w:hAnsiTheme="minorHAnsi"/>
                <w:szCs w:val="24"/>
                <w:lang w:val="es-ES_tradnl"/>
              </w:rPr>
              <w:t>D.5.1</w:t>
            </w:r>
            <w:proofErr w:type="spellEnd"/>
            <w:r w:rsidRPr="00FD3713">
              <w:rPr>
                <w:rFonts w:asciiTheme="minorHAnsi" w:eastAsiaTheme="majorEastAsia" w:hAnsiTheme="minorHAnsi"/>
                <w:szCs w:val="24"/>
                <w:lang w:val="es-ES_tradnl"/>
              </w:rPr>
              <w:t>.</w:t>
            </w:r>
          </w:p>
        </w:tc>
      </w:tr>
      <w:tr w:rsidR="00F45A0D" w:rsidRPr="008D434B" w:rsidTr="00B34263">
        <w:tc>
          <w:tcPr>
            <w:tcW w:w="2972" w:type="dxa"/>
          </w:tcPr>
          <w:p w:rsidR="00F45A0D" w:rsidRPr="00FD3713" w:rsidRDefault="00F45A0D" w:rsidP="002F1472">
            <w:pPr>
              <w:spacing w:before="60" w:after="60"/>
              <w:rPr>
                <w:rFonts w:asciiTheme="minorHAnsi" w:eastAsiaTheme="majorEastAsia" w:hAnsiTheme="minorHAnsi"/>
                <w:i/>
                <w:iCs/>
                <w:szCs w:val="24"/>
                <w:lang w:val="es-ES_tradnl"/>
              </w:rPr>
            </w:pPr>
            <w:r w:rsidRPr="002F1472">
              <w:rPr>
                <w:rFonts w:asciiTheme="minorHAnsi" w:hAnsiTheme="minorHAnsi"/>
                <w:i/>
                <w:iCs/>
                <w:szCs w:val="24"/>
                <w:lang w:val="es-ES_tradnl"/>
              </w:rPr>
              <w:t>Contribución</w:t>
            </w:r>
            <w:r w:rsidRPr="00FD3713">
              <w:rPr>
                <w:rFonts w:asciiTheme="minorHAnsi" w:eastAsiaTheme="majorEastAsia" w:hAnsiTheme="minorHAnsi"/>
                <w:i/>
                <w:iCs/>
                <w:szCs w:val="24"/>
                <w:lang w:val="es-ES_tradnl"/>
              </w:rPr>
              <w:t xml:space="preserve"> a las metas de los </w:t>
            </w:r>
            <w:proofErr w:type="spellStart"/>
            <w:r w:rsidRPr="00FD3713">
              <w:rPr>
                <w:rFonts w:asciiTheme="minorHAnsi" w:eastAsiaTheme="majorEastAsia" w:hAnsiTheme="minorHAnsi"/>
                <w:i/>
                <w:iCs/>
                <w:szCs w:val="24"/>
                <w:lang w:val="es-ES_tradnl"/>
              </w:rPr>
              <w:t>ODS</w:t>
            </w:r>
            <w:proofErr w:type="spellEnd"/>
          </w:p>
        </w:tc>
        <w:tc>
          <w:tcPr>
            <w:tcW w:w="6656" w:type="dxa"/>
          </w:tcPr>
          <w:p w:rsidR="00F45A0D" w:rsidRPr="00FD3713" w:rsidRDefault="00F45A0D" w:rsidP="002F1472">
            <w:pPr>
              <w:spacing w:before="60" w:after="60"/>
              <w:rPr>
                <w:rFonts w:asciiTheme="minorHAnsi" w:eastAsiaTheme="majorEastAsia" w:hAnsiTheme="minorHAnsi"/>
                <w:szCs w:val="24"/>
                <w:lang w:val="es-ES_tradnl"/>
              </w:rPr>
            </w:pPr>
            <w:proofErr w:type="spellStart"/>
            <w:r w:rsidRPr="00FD3713">
              <w:rPr>
                <w:rFonts w:asciiTheme="minorHAnsi" w:eastAsiaTheme="majorEastAsia" w:hAnsiTheme="minorHAnsi"/>
                <w:szCs w:val="24"/>
                <w:lang w:val="es-ES_tradnl"/>
              </w:rPr>
              <w:t>ODS</w:t>
            </w:r>
            <w:proofErr w:type="spellEnd"/>
            <w:r w:rsidRPr="00FD3713">
              <w:rPr>
                <w:rFonts w:asciiTheme="minorHAnsi" w:eastAsiaTheme="majorEastAsia" w:hAnsiTheme="minorHAnsi"/>
                <w:szCs w:val="24"/>
                <w:lang w:val="es-ES_tradnl"/>
              </w:rPr>
              <w:t xml:space="preserve">: 3 (meta 3.9), 5 (meta </w:t>
            </w:r>
            <w:proofErr w:type="spellStart"/>
            <w:r w:rsidRPr="00FD3713">
              <w:rPr>
                <w:rFonts w:asciiTheme="minorHAnsi" w:eastAsiaTheme="majorEastAsia" w:hAnsiTheme="minorHAnsi"/>
                <w:szCs w:val="24"/>
                <w:lang w:val="es-ES_tradnl"/>
              </w:rPr>
              <w:t>5b</w:t>
            </w:r>
            <w:proofErr w:type="spellEnd"/>
            <w:r w:rsidRPr="00FD3713">
              <w:rPr>
                <w:rFonts w:asciiTheme="minorHAnsi" w:eastAsiaTheme="majorEastAsia" w:hAnsiTheme="minorHAnsi"/>
                <w:szCs w:val="24"/>
                <w:lang w:val="es-ES_tradnl"/>
              </w:rPr>
              <w:t xml:space="preserve">), 9, 11 (meta </w:t>
            </w:r>
            <w:proofErr w:type="spellStart"/>
            <w:r w:rsidRPr="00FD3713">
              <w:rPr>
                <w:rFonts w:asciiTheme="minorHAnsi" w:eastAsiaTheme="majorEastAsia" w:hAnsiTheme="minorHAnsi"/>
                <w:szCs w:val="24"/>
                <w:lang w:val="es-ES_tradnl"/>
              </w:rPr>
              <w:t>11b</w:t>
            </w:r>
            <w:proofErr w:type="spellEnd"/>
            <w:r w:rsidRPr="00FD3713">
              <w:rPr>
                <w:rFonts w:asciiTheme="minorHAnsi" w:eastAsiaTheme="majorEastAsia" w:hAnsiTheme="minorHAnsi"/>
                <w:szCs w:val="24"/>
                <w:lang w:val="es-ES_tradnl"/>
              </w:rPr>
              <w:t>), 13 (metas 13.1, 13.2 y 13.3), 14, 15</w:t>
            </w:r>
            <w:bookmarkStart w:id="234" w:name="_GoBack"/>
            <w:bookmarkEnd w:id="234"/>
          </w:p>
        </w:tc>
      </w:tr>
    </w:tbl>
    <w:p w:rsidR="00F45A0D" w:rsidRPr="00FD3713" w:rsidRDefault="00F45A0D" w:rsidP="00482C61">
      <w:pPr>
        <w:pStyle w:val="Heading2"/>
        <w:spacing w:after="120"/>
        <w:rPr>
          <w:lang w:val="es-ES_tradnl"/>
        </w:rPr>
      </w:pPr>
      <w:r w:rsidRPr="00FD3713">
        <w:rPr>
          <w:lang w:val="es-ES_tradnl"/>
        </w:rPr>
        <w:t>5.2</w:t>
      </w:r>
      <w:r w:rsidRPr="00FD3713">
        <w:rPr>
          <w:lang w:val="es-ES_tradnl"/>
        </w:rPr>
        <w:tab/>
        <w:t xml:space="preserve">Telecomunicaciones de emergencia </w:t>
      </w:r>
    </w:p>
    <w:tbl>
      <w:tblPr>
        <w:tblStyle w:val="TableGrid"/>
        <w:tblW w:w="0" w:type="auto"/>
        <w:tblLook w:val="04A0" w:firstRow="1" w:lastRow="0" w:firstColumn="1" w:lastColumn="0" w:noHBand="0" w:noVBand="1"/>
      </w:tblPr>
      <w:tblGrid>
        <w:gridCol w:w="2830"/>
        <w:gridCol w:w="6798"/>
      </w:tblGrid>
      <w:tr w:rsidR="00F45A0D" w:rsidRPr="008D434B" w:rsidTr="00F45A0D">
        <w:tc>
          <w:tcPr>
            <w:tcW w:w="9628" w:type="dxa"/>
            <w:gridSpan w:val="2"/>
          </w:tcPr>
          <w:p w:rsidR="00F45A0D" w:rsidRPr="00FD3713" w:rsidRDefault="00F45A0D" w:rsidP="00F45A0D">
            <w:pPr>
              <w:rPr>
                <w:rFonts w:asciiTheme="minorHAnsi" w:hAnsiTheme="minorHAnsi"/>
                <w:szCs w:val="24"/>
                <w:lang w:val="es-ES_tradnl"/>
              </w:rPr>
            </w:pPr>
            <w:bookmarkStart w:id="235" w:name="lt_pId531"/>
            <w:r w:rsidRPr="00FD3713">
              <w:rPr>
                <w:rFonts w:asciiTheme="minorHAnsi" w:hAnsiTheme="minorHAnsi"/>
                <w:szCs w:val="24"/>
                <w:lang w:val="es-ES_tradnl"/>
              </w:rPr>
              <w:t xml:space="preserve">En 2017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realizó intervenciones de emergencia por catástrofes, reforzó las capacidades y mejoró las comunicaciones para las operaciones de socorro en caso de catástrofe.</w:t>
            </w:r>
            <w:bookmarkEnd w:id="235"/>
          </w:p>
          <w:p w:rsidR="00F45A0D" w:rsidRPr="00FD3713" w:rsidRDefault="00F45A0D" w:rsidP="00F45A0D">
            <w:pPr>
              <w:rPr>
                <w:rFonts w:asciiTheme="minorHAnsi" w:hAnsiTheme="minorHAnsi"/>
                <w:szCs w:val="24"/>
                <w:lang w:val="es-ES_tradnl"/>
              </w:rPr>
            </w:pPr>
            <w:bookmarkStart w:id="236" w:name="lt_pId532"/>
            <w:r w:rsidRPr="00FD3713">
              <w:rPr>
                <w:rFonts w:asciiTheme="minorHAnsi" w:hAnsiTheme="minorHAnsi"/>
                <w:szCs w:val="24"/>
                <w:lang w:val="es-ES_tradnl"/>
              </w:rPr>
              <w:t xml:space="preserve">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instaló equipos de telecomunicaciones de emergencia en el Caribe tras la devastación masiva causada por los huracanes Irma y María de categoría 5. Varios Estados Miembros, incluidos</w:t>
            </w:r>
            <w:bookmarkStart w:id="237" w:name="lt_pId533"/>
            <w:bookmarkEnd w:id="236"/>
            <w:r w:rsidRPr="00FD3713">
              <w:rPr>
                <w:rFonts w:asciiTheme="minorHAnsi" w:hAnsiTheme="minorHAnsi"/>
                <w:szCs w:val="24"/>
                <w:lang w:val="es-ES_tradnl"/>
              </w:rPr>
              <w:t xml:space="preserve"> Haití, Dominica y Antigua y Barbuda, recibieron equipos de telecomunicaciones de emergencia compuestos por </w:t>
            </w:r>
            <w:proofErr w:type="spellStart"/>
            <w:r w:rsidRPr="00FD3713">
              <w:rPr>
                <w:rFonts w:asciiTheme="minorHAnsi" w:hAnsiTheme="minorHAnsi"/>
                <w:szCs w:val="24"/>
                <w:lang w:val="es-ES_tradnl"/>
              </w:rPr>
              <w:t>BGAN</w:t>
            </w:r>
            <w:proofErr w:type="spellEnd"/>
            <w:r w:rsidRPr="00FD3713">
              <w:rPr>
                <w:rFonts w:asciiTheme="minorHAnsi" w:hAnsiTheme="minorHAnsi"/>
                <w:szCs w:val="24"/>
                <w:lang w:val="es-ES_tradnl"/>
              </w:rPr>
              <w:t xml:space="preserve"> y </w:t>
            </w:r>
            <w:proofErr w:type="spellStart"/>
            <w:r w:rsidRPr="00FD3713">
              <w:rPr>
                <w:rFonts w:asciiTheme="minorHAnsi" w:hAnsiTheme="minorHAnsi"/>
                <w:szCs w:val="24"/>
                <w:lang w:val="es-ES_tradnl"/>
              </w:rPr>
              <w:t>VSAT</w:t>
            </w:r>
            <w:proofErr w:type="spellEnd"/>
            <w:r w:rsidRPr="00FD3713">
              <w:rPr>
                <w:rFonts w:asciiTheme="minorHAnsi" w:hAnsiTheme="minorHAnsi"/>
                <w:szCs w:val="24"/>
                <w:lang w:val="es-ES_tradnl"/>
              </w:rPr>
              <w:t xml:space="preserve">, como contribución a las operaciones de socorro humanitarias. Además, 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prestó su apoyo al Gobierno de</w:t>
            </w:r>
            <w:bookmarkStart w:id="238" w:name="lt_pId534"/>
            <w:bookmarkEnd w:id="237"/>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Zimbabwe</w:t>
            </w:r>
            <w:proofErr w:type="spellEnd"/>
            <w:r w:rsidRPr="00FD3713">
              <w:rPr>
                <w:rFonts w:asciiTheme="minorHAnsi" w:hAnsiTheme="minorHAnsi"/>
                <w:szCs w:val="24"/>
                <w:lang w:val="es-ES_tradnl"/>
              </w:rPr>
              <w:t xml:space="preserve"> para paliar la devastación causada por graves inundaciones mediante la instalación de equipos de telecomunicaciones de emergencia, que se utilizaron para coordinar las operaciones de recuperación y rehabilitación y comunicar a las comunidades más afectadas del país</w:t>
            </w:r>
            <w:bookmarkStart w:id="239" w:name="lt_pId535"/>
            <w:bookmarkEnd w:id="238"/>
            <w:r w:rsidRPr="00FD3713">
              <w:rPr>
                <w:rFonts w:asciiTheme="minorHAnsi" w:hAnsiTheme="minorHAnsi"/>
                <w:szCs w:val="24"/>
                <w:lang w:val="es-ES_tradnl"/>
              </w:rPr>
              <w:t>.</w:t>
            </w:r>
            <w:bookmarkEnd w:id="239"/>
          </w:p>
          <w:p w:rsidR="00F45A0D" w:rsidRPr="00FD3713" w:rsidRDefault="00F45A0D" w:rsidP="00F45A0D">
            <w:pPr>
              <w:rPr>
                <w:rFonts w:asciiTheme="minorHAnsi" w:hAnsiTheme="minorHAnsi"/>
                <w:szCs w:val="24"/>
                <w:lang w:val="es-ES_tradnl"/>
              </w:rPr>
            </w:pPr>
            <w:bookmarkStart w:id="240" w:name="lt_pId536"/>
            <w:r w:rsidRPr="00FD3713">
              <w:rPr>
                <w:rFonts w:asciiTheme="minorHAnsi" w:hAnsiTheme="minorHAnsi"/>
                <w:szCs w:val="24"/>
                <w:lang w:val="es-ES_tradnl"/>
              </w:rPr>
              <w:t xml:space="preserve">La </w:t>
            </w:r>
            <w:proofErr w:type="spellStart"/>
            <w:r w:rsidRPr="00FD3713">
              <w:rPr>
                <w:rFonts w:asciiTheme="minorHAnsi" w:hAnsiTheme="minorHAnsi"/>
                <w:szCs w:val="24"/>
                <w:lang w:val="es-ES_tradnl"/>
              </w:rPr>
              <w:t>UIT</w:t>
            </w:r>
            <w:proofErr w:type="spellEnd"/>
            <w:r w:rsidRPr="00FD3713">
              <w:rPr>
                <w:rFonts w:asciiTheme="minorHAnsi" w:hAnsiTheme="minorHAnsi"/>
                <w:szCs w:val="24"/>
                <w:lang w:val="es-ES_tradnl"/>
              </w:rPr>
              <w:t xml:space="preserve"> concluyó varios acuerdos de cooperación:</w:t>
            </w:r>
            <w:bookmarkEnd w:id="240"/>
          </w:p>
          <w:p w:rsidR="00F45A0D" w:rsidRPr="00FD3713" w:rsidRDefault="002E6E3F" w:rsidP="002E6E3F">
            <w:pPr>
              <w:pStyle w:val="enumlev1"/>
              <w:rPr>
                <w:rFonts w:asciiTheme="minorHAnsi" w:eastAsiaTheme="majorEastAsia" w:hAnsiTheme="minorHAnsi"/>
                <w:lang w:val="es-ES_tradnl"/>
              </w:rPr>
            </w:pPr>
            <w:bookmarkStart w:id="241" w:name="lt_pId537"/>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 xml:space="preserve">Se concluyó un acuerdo de cooperación entre la </w:t>
            </w:r>
            <w:proofErr w:type="spellStart"/>
            <w:r w:rsidR="00F45A0D" w:rsidRPr="00FD3713">
              <w:rPr>
                <w:rFonts w:asciiTheme="minorHAnsi" w:eastAsiaTheme="majorEastAsia" w:hAnsiTheme="minorHAnsi"/>
                <w:lang w:val="es-ES_tradnl"/>
              </w:rPr>
              <w:t>UIT</w:t>
            </w:r>
            <w:proofErr w:type="spellEnd"/>
            <w:r w:rsidR="00F45A0D" w:rsidRPr="00FD3713">
              <w:rPr>
                <w:rFonts w:asciiTheme="minorHAnsi" w:eastAsiaTheme="majorEastAsia" w:hAnsiTheme="minorHAnsi"/>
                <w:lang w:val="es-ES_tradnl"/>
              </w:rPr>
              <w:t xml:space="preserve"> y Australia para la ejecución de un proyecto de telecomunicaciones de emergencia en Asia y el Pacífico.</w:t>
            </w:r>
            <w:bookmarkEnd w:id="241"/>
          </w:p>
          <w:p w:rsidR="00F45A0D" w:rsidRPr="00FD3713" w:rsidRDefault="002E6E3F" w:rsidP="002E6E3F">
            <w:pPr>
              <w:pStyle w:val="enumlev1"/>
              <w:rPr>
                <w:rFonts w:asciiTheme="minorHAnsi" w:eastAsiaTheme="majorEastAsia" w:hAnsiTheme="minorHAnsi"/>
                <w:lang w:val="es-ES_tradnl"/>
              </w:rPr>
            </w:pPr>
            <w:bookmarkStart w:id="242" w:name="lt_pId538"/>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 xml:space="preserve">Durante la </w:t>
            </w:r>
            <w:proofErr w:type="spellStart"/>
            <w:r w:rsidR="00F45A0D" w:rsidRPr="00FD3713">
              <w:rPr>
                <w:rFonts w:asciiTheme="minorHAnsi" w:eastAsiaTheme="majorEastAsia" w:hAnsiTheme="minorHAnsi"/>
                <w:lang w:val="es-ES_tradnl"/>
              </w:rPr>
              <w:t>CMDT</w:t>
            </w:r>
            <w:proofErr w:type="spellEnd"/>
            <w:r w:rsidR="00F45A0D" w:rsidRPr="00FD3713">
              <w:rPr>
                <w:rFonts w:asciiTheme="minorHAnsi" w:eastAsiaTheme="majorEastAsia" w:hAnsiTheme="minorHAnsi"/>
                <w:lang w:val="es-ES_tradnl"/>
              </w:rPr>
              <w:t xml:space="preserve">-17, celebrada en Argentina, se firmó un Memorándum de Entendimiento sobre Telecomunicaciones de Emergencia con </w:t>
            </w:r>
            <w:proofErr w:type="spellStart"/>
            <w:r w:rsidR="00F45A0D" w:rsidRPr="00FD3713">
              <w:rPr>
                <w:rFonts w:asciiTheme="minorHAnsi" w:eastAsiaTheme="majorEastAsia" w:hAnsiTheme="minorHAnsi"/>
                <w:lang w:val="es-ES_tradnl"/>
              </w:rPr>
              <w:t>CITEL</w:t>
            </w:r>
            <w:proofErr w:type="spellEnd"/>
            <w:r w:rsidR="00F45A0D" w:rsidRPr="00FD3713">
              <w:rPr>
                <w:rFonts w:asciiTheme="minorHAnsi" w:eastAsiaTheme="majorEastAsia" w:hAnsiTheme="minorHAnsi"/>
                <w:lang w:val="es-ES_tradnl"/>
              </w:rPr>
              <w:t xml:space="preserve">, </w:t>
            </w:r>
            <w:proofErr w:type="spellStart"/>
            <w:r w:rsidR="00F45A0D" w:rsidRPr="00FD3713">
              <w:rPr>
                <w:rFonts w:asciiTheme="minorHAnsi" w:eastAsiaTheme="majorEastAsia" w:hAnsiTheme="minorHAnsi"/>
                <w:lang w:val="es-ES_tradnl"/>
              </w:rPr>
              <w:t>COMETLECA</w:t>
            </w:r>
            <w:proofErr w:type="spellEnd"/>
            <w:r w:rsidR="00F45A0D" w:rsidRPr="00FD3713">
              <w:rPr>
                <w:rFonts w:asciiTheme="minorHAnsi" w:eastAsiaTheme="majorEastAsia" w:hAnsiTheme="minorHAnsi"/>
                <w:lang w:val="es-ES_tradnl"/>
              </w:rPr>
              <w:t xml:space="preserve"> y </w:t>
            </w:r>
            <w:proofErr w:type="spellStart"/>
            <w:r w:rsidR="00F45A0D" w:rsidRPr="00FD3713">
              <w:rPr>
                <w:rFonts w:asciiTheme="minorHAnsi" w:eastAsiaTheme="majorEastAsia" w:hAnsiTheme="minorHAnsi"/>
                <w:lang w:val="es-ES_tradnl"/>
              </w:rPr>
              <w:t>CTU</w:t>
            </w:r>
            <w:proofErr w:type="spellEnd"/>
            <w:r w:rsidR="00F45A0D" w:rsidRPr="00FD3713">
              <w:rPr>
                <w:rFonts w:asciiTheme="minorHAnsi" w:eastAsiaTheme="majorEastAsia" w:hAnsiTheme="minorHAnsi"/>
                <w:lang w:val="es-ES_tradnl"/>
              </w:rPr>
              <w:t>.</w:t>
            </w:r>
            <w:bookmarkEnd w:id="242"/>
          </w:p>
          <w:p w:rsidR="00F45A0D" w:rsidRPr="00FD3713" w:rsidRDefault="00F45A0D" w:rsidP="00F45A0D">
            <w:pPr>
              <w:rPr>
                <w:szCs w:val="24"/>
                <w:lang w:val="es-ES_tradnl"/>
              </w:rPr>
            </w:pPr>
            <w:r w:rsidRPr="004C2C4E">
              <w:rPr>
                <w:rFonts w:asciiTheme="minorHAnsi" w:hAnsiTheme="minorHAnsi"/>
                <w:szCs w:val="24"/>
                <w:lang w:val="es-ES_tradnl"/>
              </w:rPr>
              <w:t xml:space="preserve">La </w:t>
            </w:r>
            <w:proofErr w:type="spellStart"/>
            <w:r w:rsidRPr="004C2C4E">
              <w:rPr>
                <w:rFonts w:asciiTheme="minorHAnsi" w:hAnsiTheme="minorHAnsi"/>
                <w:szCs w:val="24"/>
                <w:lang w:val="es-ES_tradnl"/>
              </w:rPr>
              <w:t>UIT</w:t>
            </w:r>
            <w:proofErr w:type="spellEnd"/>
            <w:r w:rsidRPr="004C2C4E">
              <w:rPr>
                <w:rFonts w:asciiTheme="minorHAnsi" w:hAnsiTheme="minorHAnsi"/>
                <w:szCs w:val="24"/>
                <w:lang w:val="es-ES_tradnl"/>
              </w:rPr>
              <w:t xml:space="preserve"> organizó también actividades para mejorar las capacidades en lo que respecta a comunicaciones de emergencia, cambio climático, ciudades inteligentes y sostenibles, residuos electrónicos y en el ámbito de los Equipos de Intervención ante Incidentes Informáticos (</w:t>
            </w:r>
            <w:proofErr w:type="spellStart"/>
            <w:r w:rsidRPr="004C2C4E">
              <w:rPr>
                <w:rFonts w:asciiTheme="minorHAnsi" w:hAnsiTheme="minorHAnsi"/>
                <w:szCs w:val="24"/>
                <w:lang w:val="es-ES_tradnl"/>
              </w:rPr>
              <w:t>EIII</w:t>
            </w:r>
            <w:proofErr w:type="spellEnd"/>
            <w:r w:rsidRPr="004C2C4E">
              <w:rPr>
                <w:rFonts w:asciiTheme="minorHAnsi" w:hAnsiTheme="minorHAnsi"/>
                <w:szCs w:val="24"/>
                <w:lang w:val="es-ES_tradnl"/>
              </w:rPr>
              <w:t>) nacionales.</w:t>
            </w:r>
            <w:r w:rsidRPr="00FD3713">
              <w:rPr>
                <w:rFonts w:asciiTheme="minorHAnsi" w:hAnsiTheme="minorHAnsi"/>
                <w:szCs w:val="24"/>
                <w:lang w:val="es-ES_tradnl"/>
              </w:rPr>
              <w:t xml:space="preserve"> Entre estas actividades cabe citar las siguientes</w:t>
            </w:r>
            <w:bookmarkStart w:id="243" w:name="lt_pId540"/>
            <w:r w:rsidRPr="00FD3713">
              <w:rPr>
                <w:rFonts w:asciiTheme="minorHAnsi" w:hAnsiTheme="minorHAnsi"/>
                <w:szCs w:val="24"/>
                <w:lang w:val="es-ES_tradnl"/>
              </w:rPr>
              <w:t>:</w:t>
            </w:r>
            <w:bookmarkEnd w:id="243"/>
          </w:p>
          <w:p w:rsidR="00F45A0D" w:rsidRPr="00FD3713" w:rsidRDefault="002E6E3F" w:rsidP="002E6E3F">
            <w:pPr>
              <w:pStyle w:val="enumlev1"/>
              <w:rPr>
                <w:rFonts w:asciiTheme="minorHAnsi" w:eastAsiaTheme="majorEastAsia" w:hAnsiTheme="minorHAnsi"/>
                <w:lang w:val="es-ES_tradnl"/>
              </w:rPr>
            </w:pPr>
            <w:bookmarkStart w:id="244" w:name="lt_pId541"/>
            <w:r w:rsidRPr="00FD3713">
              <w:rPr>
                <w:rFonts w:asciiTheme="minorHAnsi" w:hAnsiTheme="minorHAnsi"/>
                <w:szCs w:val="24"/>
                <w:lang w:val="es-ES_tradnl"/>
              </w:rPr>
              <w:lastRenderedPageBreak/>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 xml:space="preserve">Taller sobre tecnologías para la mitigación </w:t>
            </w:r>
            <w:proofErr w:type="gramStart"/>
            <w:r w:rsidR="00F45A0D" w:rsidRPr="00FD3713">
              <w:rPr>
                <w:rFonts w:asciiTheme="minorHAnsi" w:eastAsiaTheme="majorEastAsia" w:hAnsiTheme="minorHAnsi"/>
                <w:lang w:val="es-ES_tradnl"/>
              </w:rPr>
              <w:t>de los efectos de terremotos y maremotos organizado</w:t>
            </w:r>
            <w:proofErr w:type="gramEnd"/>
            <w:r w:rsidR="00F45A0D" w:rsidRPr="00FD3713">
              <w:rPr>
                <w:rFonts w:asciiTheme="minorHAnsi" w:eastAsiaTheme="majorEastAsia" w:hAnsiTheme="minorHAnsi"/>
                <w:lang w:val="es-ES_tradnl"/>
              </w:rPr>
              <w:t xml:space="preserve"> en Perú.</w:t>
            </w:r>
            <w:bookmarkEnd w:id="244"/>
          </w:p>
          <w:p w:rsidR="00F45A0D" w:rsidRPr="00FD3713" w:rsidRDefault="002E6E3F" w:rsidP="002E6E3F">
            <w:pPr>
              <w:pStyle w:val="enumlev1"/>
              <w:rPr>
                <w:rFonts w:asciiTheme="minorHAnsi" w:eastAsiaTheme="majorEastAsia" w:hAnsiTheme="minorHAnsi"/>
                <w:lang w:val="es-ES_tradnl"/>
              </w:rPr>
            </w:pPr>
            <w:bookmarkStart w:id="245" w:name="lt_pId542"/>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 xml:space="preserve">Segundo Foro </w:t>
            </w:r>
            <w:proofErr w:type="spellStart"/>
            <w:r w:rsidR="00F45A0D" w:rsidRPr="00FD3713">
              <w:rPr>
                <w:rFonts w:asciiTheme="minorHAnsi" w:eastAsiaTheme="majorEastAsia" w:hAnsiTheme="minorHAnsi"/>
                <w:lang w:val="es-ES_tradnl"/>
              </w:rPr>
              <w:t>multipartito</w:t>
            </w:r>
            <w:proofErr w:type="spellEnd"/>
            <w:r w:rsidR="00F45A0D" w:rsidRPr="00FD3713">
              <w:rPr>
                <w:rFonts w:asciiTheme="minorHAnsi" w:eastAsiaTheme="majorEastAsia" w:hAnsiTheme="minorHAnsi"/>
                <w:lang w:val="es-ES_tradnl"/>
              </w:rPr>
              <w:t xml:space="preserve"> sobre la función de las telecomunicaciones/TIC en la gestión de catástrofes celebrado en Colombia.</w:t>
            </w:r>
            <w:bookmarkEnd w:id="245"/>
          </w:p>
          <w:p w:rsidR="00F45A0D" w:rsidRPr="00FD3713" w:rsidRDefault="002E6E3F" w:rsidP="002E6E3F">
            <w:pPr>
              <w:pStyle w:val="enumlev1"/>
              <w:rPr>
                <w:rFonts w:asciiTheme="minorHAnsi" w:eastAsiaTheme="majorEastAsia" w:hAnsiTheme="minorHAnsi"/>
                <w:lang w:val="es-ES_tradnl"/>
              </w:rPr>
            </w:pPr>
            <w:bookmarkStart w:id="246" w:name="lt_pId543"/>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 xml:space="preserve">Taller regional Árabe de formación de la </w:t>
            </w:r>
            <w:proofErr w:type="spellStart"/>
            <w:r w:rsidR="00F45A0D" w:rsidRPr="00FD3713">
              <w:rPr>
                <w:rFonts w:asciiTheme="minorHAnsi" w:eastAsiaTheme="majorEastAsia" w:hAnsiTheme="minorHAnsi"/>
                <w:lang w:val="es-ES_tradnl"/>
              </w:rPr>
              <w:t>UIT</w:t>
            </w:r>
            <w:proofErr w:type="spellEnd"/>
            <w:r w:rsidR="00F45A0D" w:rsidRPr="00FD3713">
              <w:rPr>
                <w:rFonts w:asciiTheme="minorHAnsi" w:eastAsiaTheme="majorEastAsia" w:hAnsiTheme="minorHAnsi"/>
                <w:lang w:val="es-ES_tradnl"/>
              </w:rPr>
              <w:t xml:space="preserve"> sobre TIC para la gestión de catástrofes celebrado en Sudán.</w:t>
            </w:r>
            <w:bookmarkEnd w:id="246"/>
          </w:p>
          <w:p w:rsidR="00F45A0D" w:rsidRPr="00FD3713" w:rsidRDefault="002E6E3F" w:rsidP="002E6E3F">
            <w:pPr>
              <w:pStyle w:val="enumlev1"/>
              <w:rPr>
                <w:rFonts w:asciiTheme="minorHAnsi" w:eastAsiaTheme="majorEastAsia" w:hAnsiTheme="minorHAnsi"/>
                <w:lang w:val="es-ES_tradnl"/>
              </w:rPr>
            </w:pPr>
            <w:bookmarkStart w:id="247" w:name="lt_pId544"/>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 xml:space="preserve">Taller de formación sobre configuración de servidores y recopilación de datos para un proyecto de </w:t>
            </w:r>
            <w:proofErr w:type="spellStart"/>
            <w:r w:rsidR="00F45A0D" w:rsidRPr="00FD3713">
              <w:rPr>
                <w:rFonts w:asciiTheme="minorHAnsi" w:eastAsiaTheme="majorEastAsia" w:hAnsiTheme="minorHAnsi"/>
                <w:lang w:val="es-ES_tradnl"/>
              </w:rPr>
              <w:t>macrodatos</w:t>
            </w:r>
            <w:proofErr w:type="spellEnd"/>
            <w:r w:rsidR="00F45A0D" w:rsidRPr="00FD3713">
              <w:rPr>
                <w:rFonts w:asciiTheme="minorHAnsi" w:eastAsiaTheme="majorEastAsia" w:hAnsiTheme="minorHAnsi"/>
                <w:lang w:val="es-ES_tradnl"/>
              </w:rPr>
              <w:t xml:space="preserve"> (análisis y almacenamiento seguro </w:t>
            </w:r>
            <w:proofErr w:type="spellStart"/>
            <w:r w:rsidR="00F45A0D" w:rsidRPr="00FD3713">
              <w:rPr>
                <w:rFonts w:asciiTheme="minorHAnsi" w:eastAsiaTheme="majorEastAsia" w:hAnsiTheme="minorHAnsi"/>
                <w:lang w:val="es-ES_tradnl"/>
              </w:rPr>
              <w:t>CDR</w:t>
            </w:r>
            <w:proofErr w:type="spellEnd"/>
            <w:r w:rsidR="00F45A0D" w:rsidRPr="00FD3713">
              <w:rPr>
                <w:rFonts w:asciiTheme="minorHAnsi" w:eastAsiaTheme="majorEastAsia" w:hAnsiTheme="minorHAnsi"/>
                <w:lang w:val="es-ES_tradnl"/>
              </w:rPr>
              <w:t>), así como sobre utilización de las aplicaciones de TIC, como la telemedicina, para la coordinación humanitaria, celebrado en Sierra Leona.</w:t>
            </w:r>
            <w:bookmarkEnd w:id="247"/>
          </w:p>
          <w:p w:rsidR="00F45A0D" w:rsidRPr="00FD3713" w:rsidRDefault="002E6E3F" w:rsidP="006B1D5E">
            <w:pPr>
              <w:pStyle w:val="enumlev1"/>
              <w:spacing w:after="120"/>
              <w:rPr>
                <w:szCs w:val="24"/>
                <w:lang w:val="es-ES_tradnl"/>
              </w:rPr>
            </w:pPr>
            <w:bookmarkStart w:id="248" w:name="lt_pId545"/>
            <w:r w:rsidRPr="00FD3713">
              <w:rPr>
                <w:rFonts w:asciiTheme="minorHAnsi" w:hAnsiTheme="minorHAnsi"/>
                <w:szCs w:val="24"/>
                <w:lang w:val="es-ES_tradnl"/>
              </w:rPr>
              <w:t>–</w:t>
            </w:r>
            <w:r w:rsidRPr="00FD3713">
              <w:rPr>
                <w:rFonts w:asciiTheme="minorHAnsi" w:hAnsiTheme="minorHAnsi"/>
                <w:szCs w:val="24"/>
                <w:lang w:val="es-ES_tradnl"/>
              </w:rPr>
              <w:tab/>
            </w:r>
            <w:r w:rsidR="00F45A0D" w:rsidRPr="00FD3713">
              <w:rPr>
                <w:rFonts w:asciiTheme="minorHAnsi" w:eastAsiaTheme="majorEastAsia" w:hAnsiTheme="minorHAnsi"/>
                <w:lang w:val="es-ES_tradnl"/>
              </w:rPr>
              <w:t>Taller de formación y Grupo Temático sobre un proyecto de conectividad por satélite en el Pacífico, celebrado en Tailandia.</w:t>
            </w:r>
            <w:bookmarkEnd w:id="248"/>
          </w:p>
        </w:tc>
      </w:tr>
      <w:tr w:rsidR="00F45A0D" w:rsidRPr="00FD3713" w:rsidTr="00B34263">
        <w:tc>
          <w:tcPr>
            <w:tcW w:w="2830" w:type="dxa"/>
          </w:tcPr>
          <w:p w:rsidR="00F45A0D" w:rsidRPr="00FD3713" w:rsidRDefault="00F45A0D" w:rsidP="002F1472">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lastRenderedPageBreak/>
              <w:t>CMDT</w:t>
            </w:r>
            <w:proofErr w:type="spellEnd"/>
          </w:p>
        </w:tc>
        <w:tc>
          <w:tcPr>
            <w:tcW w:w="6798" w:type="dxa"/>
          </w:tcPr>
          <w:p w:rsidR="00F45A0D" w:rsidRPr="00FD3713" w:rsidRDefault="00F45A0D" w:rsidP="002F1472">
            <w:pPr>
              <w:spacing w:before="60" w:after="60"/>
              <w:rPr>
                <w:szCs w:val="24"/>
                <w:lang w:val="es-ES_tradnl"/>
              </w:rPr>
            </w:pPr>
            <w:bookmarkStart w:id="249" w:name="lt_pId547"/>
            <w:r w:rsidRPr="00FD3713">
              <w:rPr>
                <w:rFonts w:asciiTheme="minorHAnsi" w:hAnsiTheme="minorHAnsi"/>
                <w:szCs w:val="24"/>
                <w:lang w:val="es-ES_tradnl"/>
              </w:rPr>
              <w:t>Resoluciones 1, 5, 17, 21, 30, 32, 34, 37, 50, 52, 53, 69</w:t>
            </w:r>
            <w:bookmarkEnd w:id="249"/>
          </w:p>
        </w:tc>
      </w:tr>
      <w:tr w:rsidR="00F45A0D" w:rsidRPr="008D434B" w:rsidTr="00B34263">
        <w:tc>
          <w:tcPr>
            <w:tcW w:w="2830" w:type="dxa"/>
          </w:tcPr>
          <w:p w:rsidR="00F45A0D" w:rsidRPr="004C2C4E" w:rsidRDefault="00F45A0D" w:rsidP="002F1472">
            <w:pPr>
              <w:spacing w:before="60" w:after="60"/>
              <w:rPr>
                <w:rFonts w:asciiTheme="minorHAnsi" w:hAnsiTheme="minorHAnsi"/>
                <w:i/>
                <w:iCs/>
                <w:szCs w:val="24"/>
                <w:lang w:val="es-ES_tradnl"/>
              </w:rPr>
            </w:pPr>
            <w:r w:rsidRPr="004C2C4E">
              <w:rPr>
                <w:rFonts w:asciiTheme="minorHAnsi" w:hAnsiTheme="minorHAnsi"/>
                <w:i/>
                <w:iCs/>
                <w:szCs w:val="24"/>
                <w:lang w:val="es-ES_tradnl"/>
              </w:rPr>
              <w:t>Conferencia de Plenipotenciarios</w:t>
            </w:r>
          </w:p>
        </w:tc>
        <w:tc>
          <w:tcPr>
            <w:tcW w:w="6798" w:type="dxa"/>
          </w:tcPr>
          <w:p w:rsidR="00F45A0D" w:rsidRPr="00FD3713" w:rsidRDefault="00F45A0D" w:rsidP="002F1472">
            <w:pPr>
              <w:spacing w:before="60" w:after="60"/>
              <w:rPr>
                <w:szCs w:val="24"/>
                <w:lang w:val="es-ES_tradnl"/>
              </w:rPr>
            </w:pPr>
            <w:r w:rsidRPr="00FD3713">
              <w:rPr>
                <w:rFonts w:asciiTheme="minorHAnsi" w:hAnsiTheme="minorHAnsi"/>
                <w:szCs w:val="24"/>
                <w:lang w:val="es-ES_tradnl"/>
              </w:rPr>
              <w:t>Decisiones de la PP: 5 y 13</w:t>
            </w:r>
            <w:r w:rsidRPr="00FD3713">
              <w:rPr>
                <w:rFonts w:asciiTheme="minorHAnsi" w:hAnsiTheme="minorHAnsi"/>
                <w:szCs w:val="24"/>
                <w:lang w:val="es-ES_tradnl"/>
              </w:rPr>
              <w:br/>
              <w:t>Resoluciones de la PP: 25, 37, 71, 98, 136, 140, 182 y 202</w:t>
            </w:r>
          </w:p>
        </w:tc>
      </w:tr>
      <w:tr w:rsidR="00F45A0D" w:rsidRPr="00FD3713" w:rsidTr="00B34263">
        <w:tc>
          <w:tcPr>
            <w:tcW w:w="2830" w:type="dxa"/>
          </w:tcPr>
          <w:p w:rsidR="00F45A0D" w:rsidRPr="00FD3713" w:rsidRDefault="00F45A0D" w:rsidP="00BF06C4">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t>CMR</w:t>
            </w:r>
            <w:proofErr w:type="spellEnd"/>
          </w:p>
        </w:tc>
        <w:tc>
          <w:tcPr>
            <w:tcW w:w="6798" w:type="dxa"/>
          </w:tcPr>
          <w:p w:rsidR="00F45A0D" w:rsidRPr="00FD3713" w:rsidRDefault="00F45A0D" w:rsidP="00BF06C4">
            <w:pPr>
              <w:spacing w:before="60" w:after="60"/>
              <w:rPr>
                <w:rFonts w:asciiTheme="minorHAnsi" w:hAnsiTheme="minorHAnsi"/>
                <w:szCs w:val="24"/>
                <w:lang w:val="es-ES_tradnl"/>
              </w:rPr>
            </w:pPr>
            <w:bookmarkStart w:id="250" w:name="lt_pId554"/>
            <w:r w:rsidRPr="00BF06C4">
              <w:rPr>
                <w:rFonts w:asciiTheme="minorHAnsi" w:hAnsiTheme="minorHAnsi"/>
                <w:i/>
                <w:iCs/>
                <w:szCs w:val="24"/>
                <w:lang w:val="es-ES_tradnl"/>
              </w:rPr>
              <w:t>Resoluciones</w:t>
            </w:r>
            <w:r w:rsidRPr="00FD3713">
              <w:rPr>
                <w:rFonts w:asciiTheme="minorHAnsi" w:hAnsiTheme="minorHAnsi"/>
                <w:szCs w:val="24"/>
                <w:lang w:val="es-ES_tradnl"/>
              </w:rPr>
              <w:t xml:space="preserve"> 646, 647</w:t>
            </w:r>
            <w:bookmarkEnd w:id="250"/>
          </w:p>
        </w:tc>
      </w:tr>
      <w:tr w:rsidR="00F45A0D" w:rsidRPr="00FD3713" w:rsidTr="00B34263">
        <w:tc>
          <w:tcPr>
            <w:tcW w:w="2830" w:type="dxa"/>
          </w:tcPr>
          <w:p w:rsidR="00F45A0D" w:rsidRPr="00FD3713" w:rsidRDefault="00F45A0D" w:rsidP="00BF06C4">
            <w:pPr>
              <w:spacing w:before="60" w:after="60"/>
              <w:rPr>
                <w:rFonts w:asciiTheme="minorHAnsi" w:hAnsiTheme="minorHAnsi"/>
                <w:i/>
                <w:iCs/>
                <w:szCs w:val="24"/>
                <w:lang w:val="es-ES_tradnl"/>
              </w:rPr>
            </w:pPr>
            <w:proofErr w:type="spellStart"/>
            <w:r w:rsidRPr="00FD3713">
              <w:rPr>
                <w:rFonts w:asciiTheme="minorHAnsi" w:hAnsiTheme="minorHAnsi"/>
                <w:i/>
                <w:iCs/>
                <w:szCs w:val="24"/>
                <w:lang w:val="es-ES_tradnl"/>
              </w:rPr>
              <w:t>CMTI</w:t>
            </w:r>
            <w:proofErr w:type="spellEnd"/>
          </w:p>
        </w:tc>
        <w:tc>
          <w:tcPr>
            <w:tcW w:w="6798" w:type="dxa"/>
          </w:tcPr>
          <w:p w:rsidR="00F45A0D" w:rsidRPr="00FD3713" w:rsidRDefault="00F45A0D" w:rsidP="00BF06C4">
            <w:pPr>
              <w:spacing w:before="60" w:after="60"/>
              <w:rPr>
                <w:rFonts w:asciiTheme="minorHAnsi" w:hAnsiTheme="minorHAnsi"/>
                <w:szCs w:val="24"/>
                <w:lang w:val="es-ES_tradnl"/>
              </w:rPr>
            </w:pPr>
            <w:bookmarkStart w:id="251" w:name="lt_pId556"/>
            <w:r w:rsidRPr="002F1472">
              <w:rPr>
                <w:rFonts w:asciiTheme="minorHAnsi" w:hAnsiTheme="minorHAnsi"/>
                <w:szCs w:val="24"/>
                <w:lang w:val="es-ES_tradnl"/>
              </w:rPr>
              <w:t>Resolución</w:t>
            </w:r>
            <w:r w:rsidRPr="00FD3713">
              <w:rPr>
                <w:rFonts w:asciiTheme="minorHAnsi" w:hAnsiTheme="minorHAnsi"/>
                <w:szCs w:val="24"/>
                <w:lang w:val="es-ES_tradnl"/>
              </w:rPr>
              <w:t xml:space="preserve"> 2</w:t>
            </w:r>
            <w:bookmarkEnd w:id="251"/>
          </w:p>
        </w:tc>
      </w:tr>
      <w:tr w:rsidR="00F45A0D" w:rsidRPr="00FD3713" w:rsidTr="00B34263">
        <w:tc>
          <w:tcPr>
            <w:tcW w:w="2830" w:type="dxa"/>
          </w:tcPr>
          <w:p w:rsidR="00F45A0D" w:rsidRPr="00FD3713" w:rsidRDefault="00F45A0D" w:rsidP="002F1472">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Línea de Acción de la </w:t>
            </w:r>
            <w:proofErr w:type="spellStart"/>
            <w:r w:rsidRPr="00FD3713">
              <w:rPr>
                <w:rFonts w:asciiTheme="minorHAnsi" w:hAnsiTheme="minorHAnsi"/>
                <w:i/>
                <w:iCs/>
                <w:szCs w:val="24"/>
                <w:lang w:val="es-ES_tradnl"/>
              </w:rPr>
              <w:t>CMSI</w:t>
            </w:r>
            <w:proofErr w:type="spellEnd"/>
          </w:p>
        </w:tc>
        <w:tc>
          <w:tcPr>
            <w:tcW w:w="6798" w:type="dxa"/>
          </w:tcPr>
          <w:p w:rsidR="00F45A0D" w:rsidRPr="00FD3713" w:rsidRDefault="00F45A0D" w:rsidP="002F1472">
            <w:pPr>
              <w:spacing w:before="60" w:after="60"/>
              <w:rPr>
                <w:rFonts w:asciiTheme="minorHAnsi" w:hAnsiTheme="minorHAnsi"/>
                <w:szCs w:val="24"/>
                <w:lang w:val="es-ES_tradnl"/>
              </w:rPr>
            </w:pPr>
            <w:r w:rsidRPr="00FD3713">
              <w:rPr>
                <w:rFonts w:asciiTheme="minorHAnsi" w:hAnsiTheme="minorHAnsi"/>
                <w:szCs w:val="24"/>
                <w:lang w:val="es-ES_tradnl"/>
              </w:rPr>
              <w:t xml:space="preserve">Línea de Acción </w:t>
            </w:r>
            <w:proofErr w:type="spellStart"/>
            <w:r w:rsidRPr="00FD3713">
              <w:rPr>
                <w:rFonts w:asciiTheme="minorHAnsi" w:hAnsiTheme="minorHAnsi"/>
                <w:szCs w:val="24"/>
                <w:lang w:val="es-ES_tradnl"/>
              </w:rPr>
              <w:t>C7</w:t>
            </w:r>
            <w:proofErr w:type="spellEnd"/>
          </w:p>
        </w:tc>
      </w:tr>
      <w:tr w:rsidR="00F45A0D" w:rsidRPr="008D434B" w:rsidTr="00B34263">
        <w:tc>
          <w:tcPr>
            <w:tcW w:w="2830" w:type="dxa"/>
          </w:tcPr>
          <w:p w:rsidR="00F45A0D" w:rsidRPr="00FD3713" w:rsidRDefault="00F45A0D" w:rsidP="002F1472">
            <w:pPr>
              <w:spacing w:before="60" w:after="60"/>
              <w:rPr>
                <w:rFonts w:asciiTheme="minorHAnsi" w:hAnsiTheme="minorHAnsi"/>
                <w:i/>
                <w:iCs/>
                <w:szCs w:val="24"/>
                <w:lang w:val="es-ES_tradnl"/>
              </w:rPr>
            </w:pPr>
            <w:r w:rsidRPr="00FD3713">
              <w:rPr>
                <w:rFonts w:asciiTheme="minorHAnsi" w:hAnsiTheme="minorHAnsi"/>
                <w:i/>
                <w:iCs/>
                <w:szCs w:val="24"/>
                <w:lang w:val="es-ES_tradnl"/>
              </w:rPr>
              <w:t xml:space="preserve">Contribución a las </w:t>
            </w:r>
            <w:r w:rsidRPr="00C762D9">
              <w:rPr>
                <w:rFonts w:asciiTheme="minorHAnsi" w:hAnsiTheme="minorHAnsi"/>
                <w:szCs w:val="24"/>
                <w:lang w:val="es-ES_tradnl"/>
              </w:rPr>
              <w:t>metas</w:t>
            </w:r>
            <w:r w:rsidRPr="00FD3713">
              <w:rPr>
                <w:rFonts w:asciiTheme="minorHAnsi" w:hAnsiTheme="minorHAnsi"/>
                <w:i/>
                <w:iCs/>
                <w:szCs w:val="24"/>
                <w:lang w:val="es-ES_tradnl"/>
              </w:rPr>
              <w:t xml:space="preserve"> de los </w:t>
            </w:r>
            <w:proofErr w:type="spellStart"/>
            <w:r w:rsidRPr="00FD3713">
              <w:rPr>
                <w:rFonts w:asciiTheme="minorHAnsi" w:hAnsiTheme="minorHAnsi"/>
                <w:i/>
                <w:iCs/>
                <w:szCs w:val="24"/>
                <w:lang w:val="es-ES_tradnl"/>
              </w:rPr>
              <w:t>ODS</w:t>
            </w:r>
            <w:proofErr w:type="spellEnd"/>
          </w:p>
        </w:tc>
        <w:tc>
          <w:tcPr>
            <w:tcW w:w="6798" w:type="dxa"/>
          </w:tcPr>
          <w:p w:rsidR="00F45A0D" w:rsidRPr="00FD3713" w:rsidRDefault="00F45A0D" w:rsidP="00121E22">
            <w:pPr>
              <w:spacing w:before="60" w:after="60"/>
              <w:rPr>
                <w:rFonts w:asciiTheme="minorHAnsi" w:hAnsiTheme="minorHAnsi"/>
                <w:szCs w:val="24"/>
                <w:lang w:val="es-ES_tradnl"/>
              </w:rPr>
            </w:pPr>
            <w:proofErr w:type="spellStart"/>
            <w:r w:rsidRPr="00FD3713">
              <w:rPr>
                <w:rFonts w:asciiTheme="minorHAnsi" w:hAnsiTheme="minorHAnsi"/>
                <w:szCs w:val="24"/>
                <w:lang w:val="es-ES_tradnl"/>
              </w:rPr>
              <w:t>ODS</w:t>
            </w:r>
            <w:proofErr w:type="spellEnd"/>
            <w:r w:rsidRPr="00FD3713">
              <w:rPr>
                <w:rFonts w:asciiTheme="minorHAnsi" w:hAnsiTheme="minorHAnsi"/>
                <w:szCs w:val="24"/>
                <w:lang w:val="es-ES_tradnl"/>
              </w:rPr>
              <w:t xml:space="preserve">: 3 (meta 3.9), 5 (meta </w:t>
            </w:r>
            <w:proofErr w:type="spellStart"/>
            <w:r w:rsidRPr="00FD3713">
              <w:rPr>
                <w:rFonts w:asciiTheme="minorHAnsi" w:hAnsiTheme="minorHAnsi"/>
                <w:szCs w:val="24"/>
                <w:lang w:val="es-ES_tradnl"/>
              </w:rPr>
              <w:t>5b</w:t>
            </w:r>
            <w:proofErr w:type="spellEnd"/>
            <w:r w:rsidRPr="00FD3713">
              <w:rPr>
                <w:rFonts w:asciiTheme="minorHAnsi" w:hAnsiTheme="minorHAnsi"/>
                <w:szCs w:val="24"/>
                <w:lang w:val="es-ES_tradnl"/>
              </w:rPr>
              <w:t xml:space="preserve">), </w:t>
            </w:r>
            <w:r w:rsidR="004C2C4E" w:rsidRPr="004C2C4E">
              <w:rPr>
                <w:rFonts w:ascii="Calibri" w:eastAsia="Calibri" w:hAnsi="Calibri" w:cs="Arial"/>
                <w:szCs w:val="24"/>
                <w:lang w:val="es-ES_tradnl"/>
              </w:rPr>
              <w:t>9,</w:t>
            </w:r>
            <w:r w:rsidR="004C2C4E">
              <w:rPr>
                <w:rFonts w:ascii="Calibri" w:eastAsia="Calibri" w:hAnsi="Calibri" w:cs="Arial"/>
                <w:szCs w:val="24"/>
                <w:lang w:val="es-ES_tradnl"/>
              </w:rPr>
              <w:t xml:space="preserve"> </w:t>
            </w:r>
            <w:r w:rsidR="00C4448E">
              <w:rPr>
                <w:rFonts w:asciiTheme="minorHAnsi" w:hAnsiTheme="minorHAnsi"/>
                <w:szCs w:val="24"/>
                <w:lang w:val="es-ES_tradnl"/>
              </w:rPr>
              <w:t>11 (meta</w:t>
            </w:r>
            <w:r w:rsidRPr="00FD3713">
              <w:rPr>
                <w:rFonts w:asciiTheme="minorHAnsi" w:hAnsiTheme="minorHAnsi"/>
                <w:szCs w:val="24"/>
                <w:lang w:val="es-ES_tradnl"/>
              </w:rPr>
              <w:t xml:space="preserve"> </w:t>
            </w:r>
            <w:proofErr w:type="spellStart"/>
            <w:r w:rsidRPr="00FD3713">
              <w:rPr>
                <w:rFonts w:asciiTheme="minorHAnsi" w:hAnsiTheme="minorHAnsi"/>
                <w:szCs w:val="24"/>
                <w:lang w:val="es-ES_tradnl"/>
              </w:rPr>
              <w:t>11b</w:t>
            </w:r>
            <w:proofErr w:type="spellEnd"/>
            <w:r w:rsidRPr="00FD3713">
              <w:rPr>
                <w:rFonts w:asciiTheme="minorHAnsi" w:hAnsiTheme="minorHAnsi"/>
                <w:szCs w:val="24"/>
                <w:lang w:val="es-ES_tradnl"/>
              </w:rPr>
              <w:t>), 13 (metas 13.1, 13.2 y 13.3), 14, 15</w:t>
            </w:r>
          </w:p>
        </w:tc>
      </w:tr>
    </w:tbl>
    <w:p w:rsidR="00C02ACB" w:rsidRPr="004E2163" w:rsidRDefault="00C02ACB" w:rsidP="00EF39C0">
      <w:pPr>
        <w:pStyle w:val="Reasons"/>
        <w:rPr>
          <w:lang w:val="es-ES_tradnl"/>
        </w:rPr>
      </w:pPr>
    </w:p>
    <w:p w:rsidR="00C02ACB" w:rsidRDefault="00C02ACB">
      <w:pPr>
        <w:jc w:val="center"/>
      </w:pPr>
      <w:r>
        <w:t>______________</w:t>
      </w:r>
    </w:p>
    <w:sectPr w:rsidR="00C02ACB" w:rsidSect="004B7893">
      <w:headerReference w:type="default" r:id="rId20"/>
      <w:footerReference w:type="default" r:id="rId21"/>
      <w:footerReference w:type="first" r:id="rId2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C0" w:rsidRDefault="00EF39C0" w:rsidP="0088106F">
      <w:r>
        <w:separator/>
      </w:r>
    </w:p>
  </w:endnote>
  <w:endnote w:type="continuationSeparator" w:id="0">
    <w:p w:rsidR="00EF39C0" w:rsidRDefault="00EF39C0"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C0" w:rsidRPr="00A66A6D" w:rsidRDefault="00EF39C0" w:rsidP="00A66A6D">
    <w:pPr>
      <w:pStyle w:val="Footer"/>
      <w:rPr>
        <w:szCs w:val="16"/>
      </w:rPr>
    </w:pPr>
    <w:r w:rsidRPr="00A66A6D">
      <w:rPr>
        <w:szCs w:val="16"/>
      </w:rPr>
      <w:fldChar w:fldCharType="begin"/>
    </w:r>
    <w:r w:rsidRPr="00A66A6D">
      <w:rPr>
        <w:szCs w:val="16"/>
      </w:rPr>
      <w:instrText xml:space="preserve"> FILENAME \p  \* MERGEFORMAT </w:instrText>
    </w:r>
    <w:r w:rsidRPr="00A66A6D">
      <w:rPr>
        <w:szCs w:val="16"/>
      </w:rPr>
      <w:fldChar w:fldCharType="separate"/>
    </w:r>
    <w:r>
      <w:rPr>
        <w:szCs w:val="16"/>
      </w:rPr>
      <w:t>P:\ESP\ITU-D\CONF-D\TDAG18\000\002S.docx</w:t>
    </w:r>
    <w:r w:rsidRPr="00A66A6D">
      <w:rPr>
        <w:szCs w:val="16"/>
      </w:rPr>
      <w:fldChar w:fldCharType="end"/>
    </w:r>
    <w:r w:rsidRPr="00A66A6D">
      <w:rPr>
        <w:szCs w:val="16"/>
      </w:rPr>
      <w:t xml:space="preserve"> (428688)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EF39C0" w:rsidRPr="008D434B" w:rsidTr="00F45A0D">
      <w:tc>
        <w:tcPr>
          <w:tcW w:w="1134" w:type="dxa"/>
          <w:tcBorders>
            <w:top w:val="single" w:sz="4" w:space="0" w:color="000000"/>
          </w:tcBorders>
          <w:shd w:val="clear" w:color="auto" w:fill="auto"/>
        </w:tcPr>
        <w:p w:rsidR="00EF39C0" w:rsidRPr="00F45A0D" w:rsidRDefault="00EF39C0" w:rsidP="009D1BD4">
          <w:pPr>
            <w:pStyle w:val="FirstFooter"/>
            <w:tabs>
              <w:tab w:val="left" w:pos="1559"/>
              <w:tab w:val="left" w:pos="3828"/>
            </w:tabs>
            <w:rPr>
              <w:sz w:val="18"/>
              <w:szCs w:val="18"/>
              <w:lang w:val="es-ES_tradnl"/>
            </w:rPr>
          </w:pPr>
          <w:r w:rsidRPr="00F45A0D">
            <w:rPr>
              <w:sz w:val="18"/>
              <w:szCs w:val="18"/>
              <w:lang w:val="es-ES_tradnl"/>
            </w:rPr>
            <w:t>Contacto:</w:t>
          </w:r>
        </w:p>
      </w:tc>
      <w:tc>
        <w:tcPr>
          <w:tcW w:w="2552" w:type="dxa"/>
          <w:tcBorders>
            <w:top w:val="single" w:sz="4" w:space="0" w:color="000000"/>
          </w:tcBorders>
          <w:shd w:val="clear" w:color="auto" w:fill="auto"/>
        </w:tcPr>
        <w:p w:rsidR="00EF39C0" w:rsidRPr="00F45A0D" w:rsidRDefault="00EF39C0" w:rsidP="009D1BD4">
          <w:pPr>
            <w:pStyle w:val="FirstFooter"/>
            <w:tabs>
              <w:tab w:val="left" w:pos="2302"/>
            </w:tabs>
            <w:ind w:left="2302" w:hanging="2302"/>
            <w:rPr>
              <w:sz w:val="18"/>
              <w:szCs w:val="18"/>
              <w:lang w:val="es-ES_tradnl"/>
            </w:rPr>
          </w:pPr>
          <w:r w:rsidRPr="00F45A0D">
            <w:rPr>
              <w:sz w:val="18"/>
              <w:szCs w:val="18"/>
              <w:lang w:val="es-ES_tradnl"/>
            </w:rPr>
            <w:t>Nombre/Organización/Entidad:</w:t>
          </w:r>
        </w:p>
      </w:tc>
      <w:tc>
        <w:tcPr>
          <w:tcW w:w="6237" w:type="dxa"/>
          <w:tcBorders>
            <w:top w:val="single" w:sz="4" w:space="0" w:color="000000"/>
          </w:tcBorders>
          <w:shd w:val="clear" w:color="auto" w:fill="auto"/>
        </w:tcPr>
        <w:p w:rsidR="00EF39C0" w:rsidRPr="00F45A0D" w:rsidRDefault="00EF39C0" w:rsidP="00F45A0D">
          <w:pPr>
            <w:pStyle w:val="FirstFooter"/>
            <w:tabs>
              <w:tab w:val="left" w:pos="2302"/>
            </w:tabs>
            <w:rPr>
              <w:sz w:val="18"/>
              <w:szCs w:val="18"/>
              <w:lang w:val="es-ES_tradnl"/>
            </w:rPr>
          </w:pPr>
          <w:bookmarkStart w:id="252" w:name="OrgName"/>
          <w:bookmarkEnd w:id="252"/>
          <w:r w:rsidRPr="00F45A0D">
            <w:rPr>
              <w:sz w:val="18"/>
              <w:szCs w:val="18"/>
              <w:lang w:val="es-ES_tradnl"/>
            </w:rPr>
            <w:t xml:space="preserve">Sr. </w:t>
          </w:r>
          <w:proofErr w:type="spellStart"/>
          <w:r w:rsidRPr="00F45A0D">
            <w:rPr>
              <w:sz w:val="18"/>
              <w:szCs w:val="18"/>
              <w:lang w:val="es-ES_tradnl"/>
            </w:rPr>
            <w:t>Yushi</w:t>
          </w:r>
          <w:proofErr w:type="spellEnd"/>
          <w:r w:rsidRPr="00F45A0D">
            <w:rPr>
              <w:sz w:val="18"/>
              <w:szCs w:val="18"/>
              <w:lang w:val="es-ES_tradnl"/>
            </w:rPr>
            <w:t xml:space="preserve"> </w:t>
          </w:r>
          <w:proofErr w:type="spellStart"/>
          <w:r w:rsidRPr="00F45A0D">
            <w:rPr>
              <w:sz w:val="18"/>
              <w:szCs w:val="18"/>
              <w:lang w:val="es-ES_tradnl"/>
            </w:rPr>
            <w:t>Torigoe</w:t>
          </w:r>
          <w:proofErr w:type="spellEnd"/>
          <w:r w:rsidRPr="00F45A0D">
            <w:rPr>
              <w:sz w:val="18"/>
              <w:szCs w:val="18"/>
              <w:lang w:val="es-ES_tradnl"/>
            </w:rPr>
            <w:t>, Director Adjunto, Oficina de Desarrollo de las Telecomunicaciones</w:t>
          </w:r>
        </w:p>
      </w:tc>
    </w:tr>
    <w:tr w:rsidR="00EF39C0" w:rsidRPr="004D495C" w:rsidTr="00F45A0D">
      <w:tc>
        <w:tcPr>
          <w:tcW w:w="1134" w:type="dxa"/>
          <w:shd w:val="clear" w:color="auto" w:fill="auto"/>
        </w:tcPr>
        <w:p w:rsidR="00EF39C0" w:rsidRPr="00F45A0D" w:rsidRDefault="00EF39C0" w:rsidP="009D1BD4">
          <w:pPr>
            <w:pStyle w:val="FirstFooter"/>
            <w:tabs>
              <w:tab w:val="left" w:pos="1559"/>
              <w:tab w:val="left" w:pos="3828"/>
            </w:tabs>
            <w:rPr>
              <w:sz w:val="20"/>
              <w:lang w:val="es-ES_tradnl"/>
            </w:rPr>
          </w:pPr>
        </w:p>
      </w:tc>
      <w:tc>
        <w:tcPr>
          <w:tcW w:w="2552" w:type="dxa"/>
          <w:shd w:val="clear" w:color="auto" w:fill="auto"/>
        </w:tcPr>
        <w:p w:rsidR="00EF39C0" w:rsidRPr="00F45A0D" w:rsidRDefault="00EF39C0" w:rsidP="009D1BD4">
          <w:pPr>
            <w:pStyle w:val="FirstFooter"/>
            <w:tabs>
              <w:tab w:val="left" w:pos="2302"/>
            </w:tabs>
            <w:rPr>
              <w:sz w:val="18"/>
              <w:szCs w:val="18"/>
              <w:lang w:val="es-ES_tradnl"/>
            </w:rPr>
          </w:pPr>
          <w:r w:rsidRPr="00F45A0D">
            <w:rPr>
              <w:sz w:val="18"/>
              <w:szCs w:val="18"/>
              <w:lang w:val="es-ES_tradnl"/>
            </w:rPr>
            <w:t>Teléfono:</w:t>
          </w:r>
        </w:p>
      </w:tc>
      <w:tc>
        <w:tcPr>
          <w:tcW w:w="6237" w:type="dxa"/>
          <w:shd w:val="clear" w:color="auto" w:fill="auto"/>
        </w:tcPr>
        <w:p w:rsidR="00EF39C0" w:rsidRPr="00F45A0D" w:rsidRDefault="00EF39C0" w:rsidP="009D1BD4">
          <w:pPr>
            <w:pStyle w:val="FirstFooter"/>
            <w:tabs>
              <w:tab w:val="left" w:pos="2302"/>
            </w:tabs>
            <w:rPr>
              <w:sz w:val="18"/>
              <w:szCs w:val="18"/>
              <w:lang w:val="es-ES_tradnl"/>
            </w:rPr>
          </w:pPr>
          <w:bookmarkStart w:id="253" w:name="PhoneNo"/>
          <w:bookmarkEnd w:id="253"/>
          <w:r w:rsidRPr="00F45A0D">
            <w:rPr>
              <w:sz w:val="18"/>
              <w:szCs w:val="18"/>
              <w:lang w:val="es-ES_tradnl"/>
            </w:rPr>
            <w:t>+ 41 22 730 5784</w:t>
          </w:r>
        </w:p>
      </w:tc>
    </w:tr>
    <w:tr w:rsidR="00EF39C0" w:rsidRPr="004D495C" w:rsidTr="00F45A0D">
      <w:tc>
        <w:tcPr>
          <w:tcW w:w="1134" w:type="dxa"/>
          <w:shd w:val="clear" w:color="auto" w:fill="auto"/>
        </w:tcPr>
        <w:p w:rsidR="00EF39C0" w:rsidRPr="00F45A0D" w:rsidRDefault="00EF39C0" w:rsidP="009D1BD4">
          <w:pPr>
            <w:pStyle w:val="FirstFooter"/>
            <w:tabs>
              <w:tab w:val="left" w:pos="1559"/>
              <w:tab w:val="left" w:pos="3828"/>
            </w:tabs>
            <w:rPr>
              <w:sz w:val="20"/>
              <w:lang w:val="es-ES_tradnl"/>
            </w:rPr>
          </w:pPr>
        </w:p>
      </w:tc>
      <w:tc>
        <w:tcPr>
          <w:tcW w:w="2552" w:type="dxa"/>
          <w:shd w:val="clear" w:color="auto" w:fill="auto"/>
        </w:tcPr>
        <w:p w:rsidR="00EF39C0" w:rsidRPr="00F45A0D" w:rsidRDefault="00EF39C0" w:rsidP="009D1BD4">
          <w:pPr>
            <w:pStyle w:val="FirstFooter"/>
            <w:tabs>
              <w:tab w:val="left" w:pos="2302"/>
            </w:tabs>
            <w:rPr>
              <w:sz w:val="18"/>
              <w:szCs w:val="18"/>
              <w:lang w:val="es-ES_tradnl"/>
            </w:rPr>
          </w:pPr>
          <w:r w:rsidRPr="00F45A0D">
            <w:rPr>
              <w:sz w:val="18"/>
              <w:szCs w:val="18"/>
              <w:lang w:val="es-ES_tradnl"/>
            </w:rPr>
            <w:t>Correo-e:</w:t>
          </w:r>
        </w:p>
      </w:tc>
      <w:bookmarkStart w:id="254" w:name="Email"/>
      <w:bookmarkEnd w:id="254"/>
      <w:tc>
        <w:tcPr>
          <w:tcW w:w="6237" w:type="dxa"/>
          <w:shd w:val="clear" w:color="auto" w:fill="auto"/>
        </w:tcPr>
        <w:p w:rsidR="00EF39C0" w:rsidRPr="00F45A0D" w:rsidRDefault="00EF39C0" w:rsidP="009D1BD4">
          <w:pPr>
            <w:pStyle w:val="FirstFooter"/>
            <w:tabs>
              <w:tab w:val="left" w:pos="2302"/>
            </w:tabs>
            <w:rPr>
              <w:sz w:val="18"/>
              <w:szCs w:val="18"/>
              <w:lang w:val="es-ES_tradnl"/>
            </w:rPr>
          </w:pPr>
          <w:r w:rsidRPr="00F45A0D">
            <w:fldChar w:fldCharType="begin"/>
          </w:r>
          <w:r w:rsidRPr="00F45A0D">
            <w:rPr>
              <w:lang w:val="es-ES_tradnl"/>
            </w:rPr>
            <w:instrText xml:space="preserve"> HYPERLINK "mailto:yushi.torigoe@itu.int" </w:instrText>
          </w:r>
          <w:r w:rsidRPr="00F45A0D">
            <w:fldChar w:fldCharType="separate"/>
          </w:r>
          <w:proofErr w:type="spellStart"/>
          <w:r w:rsidRPr="00F45A0D">
            <w:rPr>
              <w:rStyle w:val="Hyperlink"/>
              <w:sz w:val="18"/>
              <w:szCs w:val="18"/>
              <w:lang w:val="es-ES_tradnl"/>
            </w:rPr>
            <w:t>yushi.torigoe@itu.int</w:t>
          </w:r>
          <w:proofErr w:type="spellEnd"/>
          <w:r w:rsidRPr="00F45A0D">
            <w:rPr>
              <w:rStyle w:val="Hyperlink"/>
              <w:sz w:val="18"/>
              <w:szCs w:val="18"/>
              <w:lang w:val="es-ES_tradnl"/>
            </w:rPr>
            <w:fldChar w:fldCharType="end"/>
          </w:r>
        </w:p>
      </w:tc>
    </w:tr>
  </w:tbl>
  <w:p w:rsidR="00EF39C0" w:rsidRDefault="00EF39C0" w:rsidP="006E4AB3">
    <w:pPr>
      <w:tabs>
        <w:tab w:val="clear" w:pos="794"/>
        <w:tab w:val="clear" w:pos="1191"/>
        <w:tab w:val="clear" w:pos="1588"/>
        <w:tab w:val="clear" w:pos="1985"/>
        <w:tab w:val="left" w:pos="5954"/>
        <w:tab w:val="right" w:pos="9639"/>
      </w:tabs>
      <w:spacing w:before="0"/>
      <w:jc w:val="center"/>
    </w:pPr>
  </w:p>
  <w:p w:rsidR="00EF39C0" w:rsidRPr="006E4AB3" w:rsidRDefault="00121E22"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EF39C0" w:rsidRPr="00E72F66">
        <w:rPr>
          <w:rFonts w:ascii="Calibri" w:hAnsi="Calibri"/>
          <w:color w:val="0000FF"/>
          <w:sz w:val="18"/>
          <w:szCs w:val="18"/>
          <w:u w:val="single"/>
        </w:rPr>
        <w:t>http://</w:t>
      </w:r>
      <w:proofErr w:type="spellStart"/>
      <w:r w:rsidR="00EF39C0" w:rsidRPr="00E72F66">
        <w:rPr>
          <w:rFonts w:ascii="Calibri" w:hAnsi="Calibri"/>
          <w:color w:val="0000FF"/>
          <w:sz w:val="18"/>
          <w:szCs w:val="18"/>
          <w:u w:val="single"/>
        </w:rPr>
        <w:t>www.itu.int</w:t>
      </w:r>
      <w:proofErr w:type="spellEnd"/>
      <w:r w:rsidR="00EF39C0" w:rsidRPr="00E72F66">
        <w:rPr>
          <w:rFonts w:ascii="Calibri" w:hAnsi="Calibri"/>
          <w:color w:val="0000FF"/>
          <w:sz w:val="18"/>
          <w:szCs w:val="18"/>
          <w:u w:val="single"/>
        </w:rPr>
        <w:t>/ITU-D/</w:t>
      </w:r>
      <w:proofErr w:type="spellStart"/>
      <w:r w:rsidR="00EF39C0" w:rsidRPr="00E72F66">
        <w:rPr>
          <w:rFonts w:ascii="Calibri" w:hAnsi="Calibri"/>
          <w:color w:val="0000FF"/>
          <w:sz w:val="18"/>
          <w:szCs w:val="18"/>
          <w:u w:val="single"/>
        </w:rPr>
        <w:t>TDAG</w:t>
      </w:r>
      <w:proofErr w:type="spellEnd"/>
      <w:r w:rsidR="00EF39C0" w:rsidRPr="00E72F66">
        <w:rPr>
          <w:rFonts w:ascii="Calibri" w:hAnsi="Calibri"/>
          <w:color w:val="0000FF"/>
          <w:sz w:val="18"/>
          <w:szCs w:val="18"/>
          <w:u w:val="single"/>
        </w:rPr>
        <w: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C0" w:rsidRDefault="00EF39C0" w:rsidP="0088106F">
      <w:r>
        <w:separator/>
      </w:r>
    </w:p>
  </w:footnote>
  <w:footnote w:type="continuationSeparator" w:id="0">
    <w:p w:rsidR="00EF39C0" w:rsidRDefault="00EF39C0"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C0" w:rsidRPr="009A6FC4" w:rsidRDefault="00EF39C0" w:rsidP="00991B13">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proofErr w:type="spellStart"/>
    <w:r w:rsidRPr="003D4CFB">
      <w:rPr>
        <w:sz w:val="22"/>
        <w:szCs w:val="22"/>
        <w:lang w:val="en-US"/>
      </w:rPr>
      <w:t>TDAG</w:t>
    </w:r>
    <w:proofErr w:type="spellEnd"/>
    <w:r>
      <w:rPr>
        <w:sz w:val="22"/>
        <w:szCs w:val="22"/>
        <w:lang w:val="en-US"/>
      </w:rPr>
      <w:t>-</w:t>
    </w:r>
    <w:r w:rsidRPr="003D4CFB">
      <w:rPr>
        <w:sz w:val="22"/>
        <w:szCs w:val="22"/>
        <w:lang w:val="en-US"/>
      </w:rPr>
      <w:t>1</w:t>
    </w:r>
    <w:r>
      <w:rPr>
        <w:sz w:val="22"/>
        <w:szCs w:val="22"/>
        <w:lang w:val="en-US"/>
      </w:rPr>
      <w:t>8/2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121E22">
      <w:rPr>
        <w:noProof/>
        <w:sz w:val="22"/>
        <w:szCs w:val="22"/>
        <w:lang w:val="en-US"/>
      </w:rPr>
      <w:t>21</w:t>
    </w:r>
    <w:r w:rsidRPr="00972BCD">
      <w:rPr>
        <w:sz w:val="22"/>
        <w:szCs w:val="22"/>
      </w:rPr>
      <w:fldChar w:fldCharType="end"/>
    </w:r>
  </w:p>
  <w:p w:rsidR="00EF39C0" w:rsidRPr="009A6FC4" w:rsidRDefault="00EF39C0" w:rsidP="009A6FC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30D4"/>
    <w:multiLevelType w:val="hybridMultilevel"/>
    <w:tmpl w:val="E286CE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4922"/>
    <w:multiLevelType w:val="hybridMultilevel"/>
    <w:tmpl w:val="53CAD56E"/>
    <w:lvl w:ilvl="0" w:tplc="7E6A0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222D4"/>
    <w:multiLevelType w:val="hybridMultilevel"/>
    <w:tmpl w:val="9052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B7845"/>
    <w:multiLevelType w:val="hybridMultilevel"/>
    <w:tmpl w:val="8C6EE3DE"/>
    <w:lvl w:ilvl="0" w:tplc="101C4D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33E43"/>
    <w:multiLevelType w:val="hybridMultilevel"/>
    <w:tmpl w:val="98BCCEC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5F6085"/>
    <w:multiLevelType w:val="multilevel"/>
    <w:tmpl w:val="44B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74872"/>
    <w:multiLevelType w:val="hybridMultilevel"/>
    <w:tmpl w:val="24460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161D7E"/>
    <w:multiLevelType w:val="hybridMultilevel"/>
    <w:tmpl w:val="4D4A7C56"/>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591DA0"/>
    <w:multiLevelType w:val="hybridMultilevel"/>
    <w:tmpl w:val="57B89B3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0E1180"/>
    <w:multiLevelType w:val="hybridMultilevel"/>
    <w:tmpl w:val="C3C8635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237BB8"/>
    <w:multiLevelType w:val="hybridMultilevel"/>
    <w:tmpl w:val="2610AF76"/>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1" w15:restartNumberingAfterBreak="0">
    <w:nsid w:val="2CD17F17"/>
    <w:multiLevelType w:val="hybridMultilevel"/>
    <w:tmpl w:val="D988E2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246639"/>
    <w:multiLevelType w:val="hybridMultilevel"/>
    <w:tmpl w:val="5DF86B7E"/>
    <w:lvl w:ilvl="0" w:tplc="101C4DBA">
      <w:start w:val="1"/>
      <w:numFmt w:val="bullet"/>
      <w:lvlText w:val=""/>
      <w:lvlJc w:val="left"/>
      <w:pPr>
        <w:ind w:left="360" w:hanging="360"/>
      </w:pPr>
      <w:rPr>
        <w:rFonts w:ascii="Symbol" w:hAnsi="Symbol" w:hint="default"/>
      </w:rPr>
    </w:lvl>
    <w:lvl w:ilvl="1" w:tplc="3828B0EA">
      <w:numFmt w:val="bullet"/>
      <w:lvlText w:val="-"/>
      <w:lvlJc w:val="left"/>
      <w:pPr>
        <w:ind w:left="930" w:hanging="210"/>
      </w:pPr>
      <w:rPr>
        <w:rFonts w:asciiTheme="minorHAnsi" w:eastAsiaTheme="minorHAnsi" w:hAnsiTheme="minorHAns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1407BC"/>
    <w:multiLevelType w:val="hybridMultilevel"/>
    <w:tmpl w:val="C234D446"/>
    <w:lvl w:ilvl="0" w:tplc="101C4DBA">
      <w:start w:val="1"/>
      <w:numFmt w:val="bullet"/>
      <w:lvlText w:val=""/>
      <w:lvlJc w:val="left"/>
      <w:pPr>
        <w:ind w:left="360" w:hanging="360"/>
      </w:pPr>
      <w:rPr>
        <w:rFonts w:ascii="Symbol" w:hAnsi="Symbol" w:hint="default"/>
      </w:rPr>
    </w:lvl>
    <w:lvl w:ilvl="1" w:tplc="101C4DBA">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2A53A5"/>
    <w:multiLevelType w:val="hybridMultilevel"/>
    <w:tmpl w:val="68667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C01F0"/>
    <w:multiLevelType w:val="hybridMultilevel"/>
    <w:tmpl w:val="22A45BF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515692"/>
    <w:multiLevelType w:val="hybridMultilevel"/>
    <w:tmpl w:val="C256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B2346"/>
    <w:multiLevelType w:val="hybridMultilevel"/>
    <w:tmpl w:val="E5A8FE1E"/>
    <w:lvl w:ilvl="0" w:tplc="4FB2E7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78333FF"/>
    <w:multiLevelType w:val="hybridMultilevel"/>
    <w:tmpl w:val="E1760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4743CE"/>
    <w:multiLevelType w:val="hybridMultilevel"/>
    <w:tmpl w:val="0578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B47DC"/>
    <w:multiLevelType w:val="hybridMultilevel"/>
    <w:tmpl w:val="CE868520"/>
    <w:lvl w:ilvl="0" w:tplc="101C4DB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F43C40"/>
    <w:multiLevelType w:val="hybridMultilevel"/>
    <w:tmpl w:val="3CFACA6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9C436A"/>
    <w:multiLevelType w:val="multilevel"/>
    <w:tmpl w:val="121071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06429E"/>
    <w:multiLevelType w:val="hybridMultilevel"/>
    <w:tmpl w:val="F988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450BE"/>
    <w:multiLevelType w:val="multilevel"/>
    <w:tmpl w:val="AB4E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5B0936"/>
    <w:multiLevelType w:val="hybridMultilevel"/>
    <w:tmpl w:val="09C2D3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F17A35"/>
    <w:multiLevelType w:val="hybridMultilevel"/>
    <w:tmpl w:val="6902EEF6"/>
    <w:lvl w:ilvl="0" w:tplc="0F3834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35D1D"/>
    <w:multiLevelType w:val="hybridMultilevel"/>
    <w:tmpl w:val="B3461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BB5B42"/>
    <w:multiLevelType w:val="hybridMultilevel"/>
    <w:tmpl w:val="63F8BA42"/>
    <w:lvl w:ilvl="0" w:tplc="AAA02E00">
      <w:start w:val="1"/>
      <w:numFmt w:val="bullet"/>
      <w:lvlText w:val="-"/>
      <w:lvlJc w:val="left"/>
      <w:pPr>
        <w:ind w:left="360" w:hanging="360"/>
      </w:pPr>
      <w:rPr>
        <w:rFonts w:ascii="Calibri" w:eastAsiaTheme="minorHAnsi" w:hAnsi="Calibri" w:cstheme="minorBidi" w:hint="default"/>
      </w:rPr>
    </w:lvl>
    <w:lvl w:ilvl="1" w:tplc="120E2944" w:tentative="1">
      <w:start w:val="1"/>
      <w:numFmt w:val="bullet"/>
      <w:lvlText w:val="o"/>
      <w:lvlJc w:val="left"/>
      <w:pPr>
        <w:ind w:left="1080" w:hanging="360"/>
      </w:pPr>
      <w:rPr>
        <w:rFonts w:ascii="Courier New" w:hAnsi="Courier New" w:cs="Courier New" w:hint="default"/>
      </w:rPr>
    </w:lvl>
    <w:lvl w:ilvl="2" w:tplc="92DA4666" w:tentative="1">
      <w:start w:val="1"/>
      <w:numFmt w:val="bullet"/>
      <w:lvlText w:val=""/>
      <w:lvlJc w:val="left"/>
      <w:pPr>
        <w:ind w:left="1800" w:hanging="360"/>
      </w:pPr>
      <w:rPr>
        <w:rFonts w:ascii="Wingdings" w:hAnsi="Wingdings" w:hint="default"/>
      </w:rPr>
    </w:lvl>
    <w:lvl w:ilvl="3" w:tplc="42763DE6" w:tentative="1">
      <w:start w:val="1"/>
      <w:numFmt w:val="bullet"/>
      <w:lvlText w:val=""/>
      <w:lvlJc w:val="left"/>
      <w:pPr>
        <w:ind w:left="2520" w:hanging="360"/>
      </w:pPr>
      <w:rPr>
        <w:rFonts w:ascii="Symbol" w:hAnsi="Symbol" w:hint="default"/>
      </w:rPr>
    </w:lvl>
    <w:lvl w:ilvl="4" w:tplc="16AC327C" w:tentative="1">
      <w:start w:val="1"/>
      <w:numFmt w:val="bullet"/>
      <w:lvlText w:val="o"/>
      <w:lvlJc w:val="left"/>
      <w:pPr>
        <w:ind w:left="3240" w:hanging="360"/>
      </w:pPr>
      <w:rPr>
        <w:rFonts w:ascii="Courier New" w:hAnsi="Courier New" w:cs="Courier New" w:hint="default"/>
      </w:rPr>
    </w:lvl>
    <w:lvl w:ilvl="5" w:tplc="3280BD7C" w:tentative="1">
      <w:start w:val="1"/>
      <w:numFmt w:val="bullet"/>
      <w:lvlText w:val=""/>
      <w:lvlJc w:val="left"/>
      <w:pPr>
        <w:ind w:left="3960" w:hanging="360"/>
      </w:pPr>
      <w:rPr>
        <w:rFonts w:ascii="Wingdings" w:hAnsi="Wingdings" w:hint="default"/>
      </w:rPr>
    </w:lvl>
    <w:lvl w:ilvl="6" w:tplc="D92C0450" w:tentative="1">
      <w:start w:val="1"/>
      <w:numFmt w:val="bullet"/>
      <w:lvlText w:val=""/>
      <w:lvlJc w:val="left"/>
      <w:pPr>
        <w:ind w:left="4680" w:hanging="360"/>
      </w:pPr>
      <w:rPr>
        <w:rFonts w:ascii="Symbol" w:hAnsi="Symbol" w:hint="default"/>
      </w:rPr>
    </w:lvl>
    <w:lvl w:ilvl="7" w:tplc="C07E43C2" w:tentative="1">
      <w:start w:val="1"/>
      <w:numFmt w:val="bullet"/>
      <w:lvlText w:val="o"/>
      <w:lvlJc w:val="left"/>
      <w:pPr>
        <w:ind w:left="5400" w:hanging="360"/>
      </w:pPr>
      <w:rPr>
        <w:rFonts w:ascii="Courier New" w:hAnsi="Courier New" w:cs="Courier New" w:hint="default"/>
      </w:rPr>
    </w:lvl>
    <w:lvl w:ilvl="8" w:tplc="ECFC410A" w:tentative="1">
      <w:start w:val="1"/>
      <w:numFmt w:val="bullet"/>
      <w:lvlText w:val=""/>
      <w:lvlJc w:val="left"/>
      <w:pPr>
        <w:ind w:left="6120" w:hanging="360"/>
      </w:pPr>
      <w:rPr>
        <w:rFonts w:ascii="Wingdings" w:hAnsi="Wingdings" w:hint="default"/>
      </w:rPr>
    </w:lvl>
  </w:abstractNum>
  <w:abstractNum w:abstractNumId="30" w15:restartNumberingAfterBreak="0">
    <w:nsid w:val="7E8A4003"/>
    <w:multiLevelType w:val="hybridMultilevel"/>
    <w:tmpl w:val="2704172E"/>
    <w:lvl w:ilvl="0" w:tplc="11BA8B04">
      <w:start w:val="1"/>
      <w:numFmt w:val="bullet"/>
      <w:lvlText w:val="-"/>
      <w:lvlJc w:val="left"/>
      <w:pPr>
        <w:ind w:left="360" w:hanging="360"/>
      </w:pPr>
      <w:rPr>
        <w:rFonts w:ascii="Calibri" w:eastAsiaTheme="minorHAnsi" w:hAnsi="Calibri" w:cstheme="minorBidi" w:hint="default"/>
      </w:rPr>
    </w:lvl>
    <w:lvl w:ilvl="1" w:tplc="9E3CE4FA">
      <w:numFmt w:val="bullet"/>
      <w:lvlText w:val="•"/>
      <w:lvlJc w:val="left"/>
      <w:pPr>
        <w:ind w:left="1800" w:hanging="1080"/>
      </w:pPr>
      <w:rPr>
        <w:rFonts w:asciiTheme="minorHAnsi" w:eastAsiaTheme="minorHAnsi" w:hAnsiTheme="minorHAnsi" w:cstheme="minorBidi" w:hint="default"/>
      </w:rPr>
    </w:lvl>
    <w:lvl w:ilvl="2" w:tplc="F3CEE8F8" w:tentative="1">
      <w:start w:val="1"/>
      <w:numFmt w:val="bullet"/>
      <w:lvlText w:val=""/>
      <w:lvlJc w:val="left"/>
      <w:pPr>
        <w:ind w:left="1800" w:hanging="360"/>
      </w:pPr>
      <w:rPr>
        <w:rFonts w:ascii="Wingdings" w:hAnsi="Wingdings" w:hint="default"/>
      </w:rPr>
    </w:lvl>
    <w:lvl w:ilvl="3" w:tplc="15DABA36" w:tentative="1">
      <w:start w:val="1"/>
      <w:numFmt w:val="bullet"/>
      <w:lvlText w:val=""/>
      <w:lvlJc w:val="left"/>
      <w:pPr>
        <w:ind w:left="2520" w:hanging="360"/>
      </w:pPr>
      <w:rPr>
        <w:rFonts w:ascii="Symbol" w:hAnsi="Symbol" w:hint="default"/>
      </w:rPr>
    </w:lvl>
    <w:lvl w:ilvl="4" w:tplc="2F1E1E8E" w:tentative="1">
      <w:start w:val="1"/>
      <w:numFmt w:val="bullet"/>
      <w:lvlText w:val="o"/>
      <w:lvlJc w:val="left"/>
      <w:pPr>
        <w:ind w:left="3240" w:hanging="360"/>
      </w:pPr>
      <w:rPr>
        <w:rFonts w:ascii="Courier New" w:hAnsi="Courier New" w:cs="Courier New" w:hint="default"/>
      </w:rPr>
    </w:lvl>
    <w:lvl w:ilvl="5" w:tplc="76E48256" w:tentative="1">
      <w:start w:val="1"/>
      <w:numFmt w:val="bullet"/>
      <w:lvlText w:val=""/>
      <w:lvlJc w:val="left"/>
      <w:pPr>
        <w:ind w:left="3960" w:hanging="360"/>
      </w:pPr>
      <w:rPr>
        <w:rFonts w:ascii="Wingdings" w:hAnsi="Wingdings" w:hint="default"/>
      </w:rPr>
    </w:lvl>
    <w:lvl w:ilvl="6" w:tplc="B150E898" w:tentative="1">
      <w:start w:val="1"/>
      <w:numFmt w:val="bullet"/>
      <w:lvlText w:val=""/>
      <w:lvlJc w:val="left"/>
      <w:pPr>
        <w:ind w:left="4680" w:hanging="360"/>
      </w:pPr>
      <w:rPr>
        <w:rFonts w:ascii="Symbol" w:hAnsi="Symbol" w:hint="default"/>
      </w:rPr>
    </w:lvl>
    <w:lvl w:ilvl="7" w:tplc="AE2EBA42" w:tentative="1">
      <w:start w:val="1"/>
      <w:numFmt w:val="bullet"/>
      <w:lvlText w:val="o"/>
      <w:lvlJc w:val="left"/>
      <w:pPr>
        <w:ind w:left="5400" w:hanging="360"/>
      </w:pPr>
      <w:rPr>
        <w:rFonts w:ascii="Courier New" w:hAnsi="Courier New" w:cs="Courier New" w:hint="default"/>
      </w:rPr>
    </w:lvl>
    <w:lvl w:ilvl="8" w:tplc="FD2E52CC"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2"/>
  </w:num>
  <w:num w:numId="4">
    <w:abstractNumId w:val="23"/>
  </w:num>
  <w:num w:numId="5">
    <w:abstractNumId w:val="28"/>
  </w:num>
  <w:num w:numId="6">
    <w:abstractNumId w:val="24"/>
  </w:num>
  <w:num w:numId="7">
    <w:abstractNumId w:val="20"/>
  </w:num>
  <w:num w:numId="8">
    <w:abstractNumId w:val="16"/>
  </w:num>
  <w:num w:numId="9">
    <w:abstractNumId w:val="4"/>
  </w:num>
  <w:num w:numId="10">
    <w:abstractNumId w:val="17"/>
  </w:num>
  <w:num w:numId="11">
    <w:abstractNumId w:val="21"/>
  </w:num>
  <w:num w:numId="12">
    <w:abstractNumId w:val="27"/>
  </w:num>
  <w:num w:numId="13">
    <w:abstractNumId w:val="0"/>
  </w:num>
  <w:num w:numId="14">
    <w:abstractNumId w:val="1"/>
  </w:num>
  <w:num w:numId="15">
    <w:abstractNumId w:val="6"/>
  </w:num>
  <w:num w:numId="16">
    <w:abstractNumId w:val="7"/>
  </w:num>
  <w:num w:numId="17">
    <w:abstractNumId w:val="11"/>
  </w:num>
  <w:num w:numId="18">
    <w:abstractNumId w:val="10"/>
  </w:num>
  <w:num w:numId="19">
    <w:abstractNumId w:val="26"/>
  </w:num>
  <w:num w:numId="20">
    <w:abstractNumId w:val="22"/>
  </w:num>
  <w:num w:numId="21">
    <w:abstractNumId w:val="8"/>
  </w:num>
  <w:num w:numId="22">
    <w:abstractNumId w:val="12"/>
  </w:num>
  <w:num w:numId="23">
    <w:abstractNumId w:val="15"/>
  </w:num>
  <w:num w:numId="24">
    <w:abstractNumId w:val="14"/>
  </w:num>
  <w:num w:numId="25">
    <w:abstractNumId w:val="3"/>
  </w:num>
  <w:num w:numId="26">
    <w:abstractNumId w:val="13"/>
  </w:num>
  <w:num w:numId="27">
    <w:abstractNumId w:val="19"/>
  </w:num>
  <w:num w:numId="28">
    <w:abstractNumId w:val="5"/>
  </w:num>
  <w:num w:numId="29">
    <w:abstractNumId w:val="25"/>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0D"/>
    <w:rsid w:val="000135AE"/>
    <w:rsid w:val="0002180D"/>
    <w:rsid w:val="00033D49"/>
    <w:rsid w:val="00047665"/>
    <w:rsid w:val="00066CBA"/>
    <w:rsid w:val="000712F4"/>
    <w:rsid w:val="000725A1"/>
    <w:rsid w:val="00080B3B"/>
    <w:rsid w:val="00097567"/>
    <w:rsid w:val="000C0AA7"/>
    <w:rsid w:val="000C30E3"/>
    <w:rsid w:val="000D2110"/>
    <w:rsid w:val="000E7A0A"/>
    <w:rsid w:val="0010222E"/>
    <w:rsid w:val="00120018"/>
    <w:rsid w:val="00121E22"/>
    <w:rsid w:val="00176A20"/>
    <w:rsid w:val="00194CB2"/>
    <w:rsid w:val="001B1BCD"/>
    <w:rsid w:val="001F0733"/>
    <w:rsid w:val="001F738E"/>
    <w:rsid w:val="0020247B"/>
    <w:rsid w:val="00213302"/>
    <w:rsid w:val="00221C14"/>
    <w:rsid w:val="00225D2E"/>
    <w:rsid w:val="00241CB9"/>
    <w:rsid w:val="002A7FAB"/>
    <w:rsid w:val="002B3BF3"/>
    <w:rsid w:val="002D4BE6"/>
    <w:rsid w:val="002D6772"/>
    <w:rsid w:val="002E6E3F"/>
    <w:rsid w:val="002F1472"/>
    <w:rsid w:val="00302736"/>
    <w:rsid w:val="0033649F"/>
    <w:rsid w:val="00345908"/>
    <w:rsid w:val="00360762"/>
    <w:rsid w:val="00390391"/>
    <w:rsid w:val="00393249"/>
    <w:rsid w:val="003D4CFB"/>
    <w:rsid w:val="004338EB"/>
    <w:rsid w:val="004400DE"/>
    <w:rsid w:val="00461B45"/>
    <w:rsid w:val="00482632"/>
    <w:rsid w:val="00482C61"/>
    <w:rsid w:val="004B7893"/>
    <w:rsid w:val="004C2C4E"/>
    <w:rsid w:val="004E2163"/>
    <w:rsid w:val="004E2CDB"/>
    <w:rsid w:val="00514AB0"/>
    <w:rsid w:val="005176B1"/>
    <w:rsid w:val="00526716"/>
    <w:rsid w:val="00535C50"/>
    <w:rsid w:val="005557A3"/>
    <w:rsid w:val="005637B9"/>
    <w:rsid w:val="005643DC"/>
    <w:rsid w:val="005B2999"/>
    <w:rsid w:val="00602B27"/>
    <w:rsid w:val="006339E7"/>
    <w:rsid w:val="00635A62"/>
    <w:rsid w:val="006505B2"/>
    <w:rsid w:val="006A3F08"/>
    <w:rsid w:val="006B1D5E"/>
    <w:rsid w:val="006E4AB3"/>
    <w:rsid w:val="006F39EB"/>
    <w:rsid w:val="006F41BA"/>
    <w:rsid w:val="00713059"/>
    <w:rsid w:val="00725216"/>
    <w:rsid w:val="0073507E"/>
    <w:rsid w:val="00745685"/>
    <w:rsid w:val="00752FCC"/>
    <w:rsid w:val="00776434"/>
    <w:rsid w:val="007C3061"/>
    <w:rsid w:val="007C3EC3"/>
    <w:rsid w:val="007E3892"/>
    <w:rsid w:val="007E471D"/>
    <w:rsid w:val="00816122"/>
    <w:rsid w:val="0082384C"/>
    <w:rsid w:val="00835A77"/>
    <w:rsid w:val="008465D5"/>
    <w:rsid w:val="00854CF2"/>
    <w:rsid w:val="0088106F"/>
    <w:rsid w:val="008B5356"/>
    <w:rsid w:val="008C1852"/>
    <w:rsid w:val="008C3301"/>
    <w:rsid w:val="008C57DF"/>
    <w:rsid w:val="008D434B"/>
    <w:rsid w:val="008D789A"/>
    <w:rsid w:val="008D7BC5"/>
    <w:rsid w:val="009174B9"/>
    <w:rsid w:val="00917B12"/>
    <w:rsid w:val="009221CC"/>
    <w:rsid w:val="009412D4"/>
    <w:rsid w:val="009752D2"/>
    <w:rsid w:val="00984DB8"/>
    <w:rsid w:val="009905B7"/>
    <w:rsid w:val="00991B13"/>
    <w:rsid w:val="009952F6"/>
    <w:rsid w:val="009975A2"/>
    <w:rsid w:val="009A6FC4"/>
    <w:rsid w:val="009D1BD4"/>
    <w:rsid w:val="00A33516"/>
    <w:rsid w:val="00A45427"/>
    <w:rsid w:val="00A669C3"/>
    <w:rsid w:val="00A66A6D"/>
    <w:rsid w:val="00A67682"/>
    <w:rsid w:val="00A75780"/>
    <w:rsid w:val="00A87DD9"/>
    <w:rsid w:val="00A9568F"/>
    <w:rsid w:val="00AB15A2"/>
    <w:rsid w:val="00AE1BA7"/>
    <w:rsid w:val="00AF1A48"/>
    <w:rsid w:val="00AF563E"/>
    <w:rsid w:val="00B23436"/>
    <w:rsid w:val="00B34263"/>
    <w:rsid w:val="00B7462A"/>
    <w:rsid w:val="00B84B22"/>
    <w:rsid w:val="00BB4A23"/>
    <w:rsid w:val="00BC07A8"/>
    <w:rsid w:val="00BC276C"/>
    <w:rsid w:val="00BC7208"/>
    <w:rsid w:val="00BF06C4"/>
    <w:rsid w:val="00BF4F86"/>
    <w:rsid w:val="00C02ACB"/>
    <w:rsid w:val="00C117B0"/>
    <w:rsid w:val="00C207F6"/>
    <w:rsid w:val="00C4448E"/>
    <w:rsid w:val="00C46F35"/>
    <w:rsid w:val="00C52A24"/>
    <w:rsid w:val="00C57AC3"/>
    <w:rsid w:val="00C762D9"/>
    <w:rsid w:val="00C803D6"/>
    <w:rsid w:val="00C86999"/>
    <w:rsid w:val="00D139CE"/>
    <w:rsid w:val="00D16175"/>
    <w:rsid w:val="00D372A5"/>
    <w:rsid w:val="00D611AC"/>
    <w:rsid w:val="00D74E64"/>
    <w:rsid w:val="00D8378B"/>
    <w:rsid w:val="00DA3E8D"/>
    <w:rsid w:val="00DF4014"/>
    <w:rsid w:val="00E0172D"/>
    <w:rsid w:val="00E17138"/>
    <w:rsid w:val="00E204A0"/>
    <w:rsid w:val="00E26E69"/>
    <w:rsid w:val="00E31423"/>
    <w:rsid w:val="00E3519F"/>
    <w:rsid w:val="00E454C0"/>
    <w:rsid w:val="00E465C1"/>
    <w:rsid w:val="00E47607"/>
    <w:rsid w:val="00E51C72"/>
    <w:rsid w:val="00E65455"/>
    <w:rsid w:val="00E76B89"/>
    <w:rsid w:val="00E827C2"/>
    <w:rsid w:val="00EB6D19"/>
    <w:rsid w:val="00EB790F"/>
    <w:rsid w:val="00ED2681"/>
    <w:rsid w:val="00EF39C0"/>
    <w:rsid w:val="00F01E28"/>
    <w:rsid w:val="00F12690"/>
    <w:rsid w:val="00F45A0D"/>
    <w:rsid w:val="00F47CF3"/>
    <w:rsid w:val="00F60552"/>
    <w:rsid w:val="00F63638"/>
    <w:rsid w:val="00F76680"/>
    <w:rsid w:val="00FA67A2"/>
    <w:rsid w:val="00FD3713"/>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20A223D-00D8-4912-B2A6-169E3314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uiPriority w:val="9"/>
    <w:qFormat/>
    <w:rsid w:val="006F39E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6F39EB"/>
    <w:pPr>
      <w:outlineLvl w:val="4"/>
    </w:pPr>
  </w:style>
  <w:style w:type="paragraph" w:styleId="Heading6">
    <w:name w:val="heading 6"/>
    <w:basedOn w:val="Heading4"/>
    <w:next w:val="Normal"/>
    <w:link w:val="Heading6Char"/>
    <w:uiPriority w:val="9"/>
    <w:qFormat/>
    <w:rsid w:val="006F39E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6F39EB"/>
    <w:pPr>
      <w:outlineLvl w:val="6"/>
    </w:pPr>
  </w:style>
  <w:style w:type="paragraph" w:styleId="Heading8">
    <w:name w:val="heading 8"/>
    <w:basedOn w:val="Heading6"/>
    <w:next w:val="Normal"/>
    <w:link w:val="Heading8Char"/>
    <w:uiPriority w:val="9"/>
    <w:qFormat/>
    <w:rsid w:val="006F39EB"/>
    <w:pPr>
      <w:outlineLvl w:val="7"/>
    </w:pPr>
  </w:style>
  <w:style w:type="paragraph" w:styleId="Heading9">
    <w:name w:val="heading 9"/>
    <w:basedOn w:val="Heading6"/>
    <w:next w:val="Normal"/>
    <w:link w:val="Heading9Char"/>
    <w:uiPriority w:val="9"/>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uiPriority w:val="9"/>
    <w:rsid w:val="006F39EB"/>
    <w:rPr>
      <w:rFonts w:eastAsia="Times New Roman" w:cs="Times New Roman"/>
      <w:b/>
      <w:sz w:val="24"/>
      <w:szCs w:val="20"/>
      <w:lang w:eastAsia="en-US"/>
    </w:rPr>
  </w:style>
  <w:style w:type="character" w:customStyle="1" w:styleId="Heading5Char">
    <w:name w:val="Heading 5 Char"/>
    <w:basedOn w:val="DefaultParagraphFont"/>
    <w:link w:val="Heading5"/>
    <w:uiPriority w:val="9"/>
    <w:rsid w:val="006F39EB"/>
    <w:rPr>
      <w:rFonts w:eastAsia="Times New Roman" w:cs="Times New Roman"/>
      <w:b/>
      <w:sz w:val="24"/>
      <w:szCs w:val="20"/>
      <w:lang w:eastAsia="en-US"/>
    </w:rPr>
  </w:style>
  <w:style w:type="character" w:customStyle="1" w:styleId="Heading6Char">
    <w:name w:val="Heading 6 Char"/>
    <w:basedOn w:val="DefaultParagraphFont"/>
    <w:link w:val="Heading6"/>
    <w:uiPriority w:val="9"/>
    <w:rsid w:val="006F39EB"/>
    <w:rPr>
      <w:rFonts w:eastAsia="Times New Roman" w:cs="Times New Roman"/>
      <w:b/>
      <w:sz w:val="24"/>
      <w:szCs w:val="20"/>
      <w:lang w:eastAsia="en-US"/>
    </w:rPr>
  </w:style>
  <w:style w:type="character" w:customStyle="1" w:styleId="Heading7Char">
    <w:name w:val="Heading 7 Char"/>
    <w:basedOn w:val="DefaultParagraphFont"/>
    <w:link w:val="Heading7"/>
    <w:uiPriority w:val="9"/>
    <w:rsid w:val="006F39EB"/>
    <w:rPr>
      <w:rFonts w:eastAsia="Times New Roman" w:cs="Times New Roman"/>
      <w:b/>
      <w:sz w:val="24"/>
      <w:szCs w:val="20"/>
      <w:lang w:eastAsia="en-US"/>
    </w:rPr>
  </w:style>
  <w:style w:type="character" w:customStyle="1" w:styleId="Heading8Char">
    <w:name w:val="Heading 8 Char"/>
    <w:basedOn w:val="DefaultParagraphFont"/>
    <w:link w:val="Heading8"/>
    <w:uiPriority w:val="9"/>
    <w:rsid w:val="006F39EB"/>
    <w:rPr>
      <w:rFonts w:eastAsia="Times New Roman" w:cs="Times New Roman"/>
      <w:b/>
      <w:sz w:val="24"/>
      <w:szCs w:val="20"/>
      <w:lang w:eastAsia="en-US"/>
    </w:rPr>
  </w:style>
  <w:style w:type="character" w:customStyle="1" w:styleId="Heading9Char">
    <w:name w:val="Heading 9 Char"/>
    <w:basedOn w:val="DefaultParagraphFont"/>
    <w:link w:val="Heading9"/>
    <w:uiPriority w:val="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Title">
    <w:name w:val="Title"/>
    <w:basedOn w:val="Normal"/>
    <w:next w:val="Normal"/>
    <w:link w:val="TitleChar"/>
    <w:uiPriority w:val="10"/>
    <w:qFormat/>
    <w:rsid w:val="00F45A0D"/>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45A0D"/>
    <w:rPr>
      <w:rFonts w:asciiTheme="majorHAnsi" w:eastAsiaTheme="majorEastAsia" w:hAnsiTheme="majorHAnsi" w:cstheme="majorBidi"/>
      <w:spacing w:val="-10"/>
      <w:kern w:val="28"/>
      <w:sz w:val="52"/>
      <w:szCs w:val="56"/>
      <w:lang w:val="en-US" w:eastAsia="en-US"/>
    </w:rPr>
  </w:style>
  <w:style w:type="character" w:styleId="PlaceholderText">
    <w:name w:val="Placeholder Text"/>
    <w:basedOn w:val="DefaultParagraphFont"/>
    <w:uiPriority w:val="99"/>
    <w:semiHidden/>
    <w:rsid w:val="00F45A0D"/>
    <w:rPr>
      <w:color w:val="808080"/>
    </w:rPr>
  </w:style>
  <w:style w:type="character" w:styleId="Strong">
    <w:name w:val="Strong"/>
    <w:basedOn w:val="DefaultParagraphFont"/>
    <w:uiPriority w:val="22"/>
    <w:qFormat/>
    <w:rsid w:val="00F45A0D"/>
    <w:rPr>
      <w:b/>
      <w:bCs/>
    </w:rPr>
  </w:style>
  <w:style w:type="paragraph" w:styleId="ListParagraph">
    <w:name w:val="List Paragraph"/>
    <w:aliases w:val="List Paragraph1,List Paragraph11,Recommendation"/>
    <w:basedOn w:val="Normal"/>
    <w:link w:val="ListParagraphChar"/>
    <w:uiPriority w:val="34"/>
    <w:qFormat/>
    <w:rsid w:val="00F45A0D"/>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eastAsiaTheme="minorHAnsi" w:cstheme="minorBidi"/>
      <w:sz w:val="22"/>
      <w:szCs w:val="22"/>
      <w:lang w:val="en-US"/>
    </w:rPr>
  </w:style>
  <w:style w:type="paragraph" w:styleId="IntenseQuote">
    <w:name w:val="Intense Quote"/>
    <w:basedOn w:val="Normal"/>
    <w:next w:val="Normal"/>
    <w:link w:val="IntenseQuoteChar"/>
    <w:uiPriority w:val="30"/>
    <w:qFormat/>
    <w:rsid w:val="00F45A0D"/>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45A0D"/>
    <w:rPr>
      <w:rFonts w:eastAsiaTheme="minorHAnsi"/>
      <w:i/>
      <w:iCs/>
      <w:color w:val="4F81BD" w:themeColor="accent1"/>
      <w:lang w:val="en-US" w:eastAsia="en-US"/>
    </w:rPr>
  </w:style>
  <w:style w:type="character" w:styleId="IntenseReference">
    <w:name w:val="Intense Reference"/>
    <w:basedOn w:val="DefaultParagraphFont"/>
    <w:uiPriority w:val="32"/>
    <w:qFormat/>
    <w:rsid w:val="00F45A0D"/>
    <w:rPr>
      <w:b/>
      <w:bCs/>
      <w:smallCaps/>
      <w:color w:val="4F81BD" w:themeColor="accent1"/>
      <w:spacing w:val="5"/>
    </w:rPr>
  </w:style>
  <w:style w:type="character" w:styleId="SubtleReference">
    <w:name w:val="Subtle Reference"/>
    <w:basedOn w:val="DefaultParagraphFont"/>
    <w:uiPriority w:val="31"/>
    <w:qFormat/>
    <w:rsid w:val="00F45A0D"/>
    <w:rPr>
      <w:smallCaps/>
      <w:color w:val="5A5A5A" w:themeColor="text1" w:themeTint="A5"/>
    </w:rPr>
  </w:style>
  <w:style w:type="paragraph" w:customStyle="1" w:styleId="SimpleHeading">
    <w:name w:val="Simple Heading"/>
    <w:basedOn w:val="Normal"/>
    <w:link w:val="SimpleHeadingChar"/>
    <w:qFormat/>
    <w:rsid w:val="00F45A0D"/>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F45A0D"/>
    <w:rPr>
      <w:rFonts w:eastAsiaTheme="minorHAnsi"/>
      <w:b/>
      <w:lang w:val="en-US" w:eastAsia="en-US"/>
    </w:rPr>
  </w:style>
  <w:style w:type="paragraph" w:customStyle="1" w:styleId="Ideas">
    <w:name w:val="Ideas"/>
    <w:basedOn w:val="Heading1"/>
    <w:link w:val="IdeasChar"/>
    <w:qFormat/>
    <w:rsid w:val="00F45A0D"/>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lang w:val="en-US"/>
    </w:rPr>
  </w:style>
  <w:style w:type="character" w:customStyle="1" w:styleId="IdeasChar">
    <w:name w:val="Ideas Char"/>
    <w:basedOn w:val="Heading1Char"/>
    <w:link w:val="Ideas"/>
    <w:rsid w:val="00F45A0D"/>
    <w:rPr>
      <w:rFonts w:asciiTheme="majorHAnsi" w:eastAsiaTheme="majorEastAsia" w:hAnsiTheme="majorHAnsi" w:cstheme="majorBidi"/>
      <w:b w:val="0"/>
      <w:color w:val="F79646" w:themeColor="accent6"/>
      <w:sz w:val="32"/>
      <w:szCs w:val="32"/>
      <w:lang w:val="en-US" w:eastAsia="en-US"/>
    </w:rPr>
  </w:style>
  <w:style w:type="table" w:customStyle="1" w:styleId="GridTable1Light-Accent51">
    <w:name w:val="Grid Table 1 Light - Accent 51"/>
    <w:basedOn w:val="TableNormal"/>
    <w:uiPriority w:val="46"/>
    <w:rsid w:val="00F45A0D"/>
    <w:pPr>
      <w:spacing w:after="0" w:line="240" w:lineRule="auto"/>
    </w:pPr>
    <w:rPr>
      <w:rFonts w:eastAsiaTheme="minorHAns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45A0D"/>
    <w:rPr>
      <w:color w:val="800080" w:themeColor="followedHyperlink"/>
      <w:u w:val="single"/>
    </w:rPr>
  </w:style>
  <w:style w:type="character" w:styleId="CommentReference">
    <w:name w:val="annotation reference"/>
    <w:basedOn w:val="DefaultParagraphFont"/>
    <w:uiPriority w:val="99"/>
    <w:semiHidden/>
    <w:unhideWhenUsed/>
    <w:rsid w:val="00F45A0D"/>
    <w:rPr>
      <w:sz w:val="16"/>
      <w:szCs w:val="16"/>
    </w:rPr>
  </w:style>
  <w:style w:type="paragraph" w:styleId="CommentText">
    <w:name w:val="annotation text"/>
    <w:basedOn w:val="Normal"/>
    <w:link w:val="CommentTextChar"/>
    <w:uiPriority w:val="99"/>
    <w:semiHidden/>
    <w:unhideWhenUsed/>
    <w:rsid w:val="00F45A0D"/>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semiHidden/>
    <w:rsid w:val="00F45A0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F45A0D"/>
    <w:rPr>
      <w:b/>
      <w:bCs/>
    </w:rPr>
  </w:style>
  <w:style w:type="character" w:customStyle="1" w:styleId="CommentSubjectChar">
    <w:name w:val="Comment Subject Char"/>
    <w:basedOn w:val="CommentTextChar"/>
    <w:link w:val="CommentSubject"/>
    <w:uiPriority w:val="99"/>
    <w:semiHidden/>
    <w:rsid w:val="00F45A0D"/>
    <w:rPr>
      <w:rFonts w:eastAsiaTheme="minorHAnsi"/>
      <w:b/>
      <w:bCs/>
      <w:sz w:val="20"/>
      <w:szCs w:val="20"/>
      <w:lang w:val="en-US" w:eastAsia="en-US"/>
    </w:rPr>
  </w:style>
  <w:style w:type="paragraph" w:styleId="BalloonText">
    <w:name w:val="Balloon Text"/>
    <w:basedOn w:val="Normal"/>
    <w:link w:val="BalloonTextChar"/>
    <w:uiPriority w:val="99"/>
    <w:semiHidden/>
    <w:unhideWhenUsed/>
    <w:rsid w:val="00F45A0D"/>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F45A0D"/>
    <w:rPr>
      <w:rFonts w:ascii="Segoe UI" w:eastAsiaTheme="minorHAnsi" w:hAnsi="Segoe UI" w:cs="Segoe UI"/>
      <w:sz w:val="18"/>
      <w:szCs w:val="18"/>
      <w:lang w:val="en-US" w:eastAsia="en-US"/>
    </w:rPr>
  </w:style>
  <w:style w:type="paragraph" w:customStyle="1" w:styleId="Otherideas">
    <w:name w:val="Other ideas"/>
    <w:basedOn w:val="Heading2"/>
    <w:link w:val="OtherideasChar"/>
    <w:qFormat/>
    <w:rsid w:val="00F45A0D"/>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lang w:val="en-US"/>
    </w:rPr>
  </w:style>
  <w:style w:type="character" w:customStyle="1" w:styleId="OtherideasChar">
    <w:name w:val="Other ideas Char"/>
    <w:basedOn w:val="Heading2Char"/>
    <w:link w:val="Otherideas"/>
    <w:rsid w:val="00F45A0D"/>
    <w:rPr>
      <w:rFonts w:asciiTheme="majorHAnsi" w:eastAsiaTheme="majorEastAsia" w:hAnsiTheme="majorHAnsi" w:cstheme="majorBidi"/>
      <w:b w:val="0"/>
      <w:color w:val="E36C0A" w:themeColor="accent6" w:themeShade="BF"/>
      <w:sz w:val="26"/>
      <w:szCs w:val="26"/>
      <w:lang w:val="en-US" w:eastAsia="en-US"/>
    </w:rPr>
  </w:style>
  <w:style w:type="table" w:customStyle="1" w:styleId="PlainTable21">
    <w:name w:val="Plain Table 21"/>
    <w:basedOn w:val="TableNormal"/>
    <w:uiPriority w:val="42"/>
    <w:rsid w:val="00F45A0D"/>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45A0D"/>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45A0D"/>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paragraph" w:styleId="Caption">
    <w:name w:val="caption"/>
    <w:basedOn w:val="Normal"/>
    <w:next w:val="Normal"/>
    <w:uiPriority w:val="35"/>
    <w:unhideWhenUsed/>
    <w:qFormat/>
    <w:rsid w:val="00F45A0D"/>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table" w:customStyle="1" w:styleId="GridTable4-Accent12">
    <w:name w:val="Grid Table 4 - Accent 12"/>
    <w:basedOn w:val="TableNormal"/>
    <w:uiPriority w:val="49"/>
    <w:rsid w:val="00F45A0D"/>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F45A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
    <w:basedOn w:val="DefaultParagraphFont"/>
    <w:link w:val="ListParagraph"/>
    <w:uiPriority w:val="34"/>
    <w:rsid w:val="00F45A0D"/>
    <w:rPr>
      <w:rFonts w:eastAsiaTheme="minorHAnsi"/>
      <w:lang w:val="en-US" w:eastAsia="en-US"/>
    </w:rPr>
  </w:style>
  <w:style w:type="paragraph" w:styleId="PlainText">
    <w:name w:val="Plain Text"/>
    <w:basedOn w:val="Normal"/>
    <w:link w:val="PlainTextChar"/>
    <w:uiPriority w:val="99"/>
    <w:semiHidden/>
    <w:unhideWhenUsed/>
    <w:rsid w:val="00F45A0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semiHidden/>
    <w:rsid w:val="00F45A0D"/>
    <w:rPr>
      <w:rFonts w:ascii="Calibri" w:hAnsi="Calibri" w:cs="Times New Roman"/>
      <w:lang w:val="en-US"/>
    </w:rPr>
  </w:style>
  <w:style w:type="paragraph" w:styleId="Revision">
    <w:name w:val="Revision"/>
    <w:hidden/>
    <w:uiPriority w:val="99"/>
    <w:semiHidden/>
    <w:rsid w:val="00F45A0D"/>
    <w:pPr>
      <w:spacing w:after="0" w:line="240" w:lineRule="auto"/>
    </w:pPr>
    <w:rPr>
      <w:rFonts w:eastAsiaTheme="minorHAnsi"/>
      <w:lang w:val="en-US" w:eastAsia="en-US"/>
    </w:rPr>
  </w:style>
  <w:style w:type="character" w:styleId="Emphasis">
    <w:name w:val="Emphasis"/>
    <w:basedOn w:val="DefaultParagraphFont"/>
    <w:uiPriority w:val="20"/>
    <w:qFormat/>
    <w:rsid w:val="00F45A0D"/>
    <w:rPr>
      <w:i/>
      <w:iCs/>
    </w:rPr>
  </w:style>
  <w:style w:type="paragraph" w:styleId="NoSpacing">
    <w:name w:val="No Spacing"/>
    <w:link w:val="NoSpacingChar"/>
    <w:uiPriority w:val="1"/>
    <w:qFormat/>
    <w:rsid w:val="00F45A0D"/>
    <w:pPr>
      <w:spacing w:after="0" w:line="240" w:lineRule="auto"/>
    </w:pPr>
    <w:rPr>
      <w:lang w:val="en-US"/>
    </w:rPr>
  </w:style>
  <w:style w:type="character" w:customStyle="1" w:styleId="ms-rtefontface-5">
    <w:name w:val="ms-rtefontface-5"/>
    <w:basedOn w:val="DefaultParagraphFont"/>
    <w:rsid w:val="00F45A0D"/>
  </w:style>
  <w:style w:type="paragraph" w:customStyle="1" w:styleId="normalWSIS">
    <w:name w:val="normal WSIS"/>
    <w:basedOn w:val="ListParagraph"/>
    <w:link w:val="normalWSISChar"/>
    <w:qFormat/>
    <w:rsid w:val="00F45A0D"/>
    <w:pPr>
      <w:tabs>
        <w:tab w:val="left" w:pos="426"/>
      </w:tabs>
      <w:spacing w:before="120" w:after="200" w:line="240" w:lineRule="auto"/>
      <w:ind w:left="0"/>
      <w:contextualSpacing w:val="0"/>
    </w:pPr>
    <w:rPr>
      <w:rFonts w:ascii="Calibri" w:eastAsia="SimSun" w:hAnsi="Calibri" w:cs="Arial"/>
      <w:lang w:eastAsia="zh-CN"/>
    </w:rPr>
  </w:style>
  <w:style w:type="character" w:customStyle="1" w:styleId="normalWSISChar">
    <w:name w:val="normal WSIS Char"/>
    <w:link w:val="normalWSIS"/>
    <w:rsid w:val="00F45A0D"/>
    <w:rPr>
      <w:rFonts w:ascii="Calibri" w:eastAsia="SimSun" w:hAnsi="Calibri" w:cs="Arial"/>
      <w:lang w:val="en-US"/>
    </w:rPr>
  </w:style>
  <w:style w:type="character" w:customStyle="1" w:styleId="Coloredbold">
    <w:name w:val="Colored bold"/>
    <w:rsid w:val="00F45A0D"/>
    <w:rPr>
      <w:color w:val="595959" w:themeColor="text1" w:themeTint="A6"/>
    </w:rPr>
  </w:style>
  <w:style w:type="character" w:customStyle="1" w:styleId="NoSpacingChar">
    <w:name w:val="No Spacing Char"/>
    <w:basedOn w:val="DefaultParagraphFont"/>
    <w:link w:val="NoSpacing"/>
    <w:uiPriority w:val="1"/>
    <w:locked/>
    <w:rsid w:val="00F45A0D"/>
    <w:rPr>
      <w:lang w:val="en-US"/>
    </w:rPr>
  </w:style>
  <w:style w:type="character" w:customStyle="1" w:styleId="enumlev1Char">
    <w:name w:val="enumlev1 Char"/>
    <w:basedOn w:val="DefaultParagraphFont"/>
    <w:link w:val="enumlev1"/>
    <w:rsid w:val="00F45A0D"/>
    <w:rPr>
      <w:rFonts w:eastAsia="Times New Roman" w:cs="Times New Roman"/>
      <w:sz w:val="24"/>
      <w:szCs w:val="20"/>
      <w:lang w:eastAsia="en-US"/>
    </w:rPr>
  </w:style>
  <w:style w:type="paragraph" w:customStyle="1" w:styleId="Pa5">
    <w:name w:val="Pa5"/>
    <w:basedOn w:val="Normal"/>
    <w:next w:val="Normal"/>
    <w:uiPriority w:val="99"/>
    <w:rsid w:val="00F45A0D"/>
    <w:pPr>
      <w:tabs>
        <w:tab w:val="clear" w:pos="794"/>
        <w:tab w:val="clear" w:pos="1191"/>
        <w:tab w:val="clear" w:pos="1588"/>
        <w:tab w:val="clear" w:pos="1985"/>
      </w:tabs>
      <w:overflowPunct/>
      <w:spacing w:before="0" w:line="211" w:lineRule="atLeast"/>
      <w:textAlignment w:val="auto"/>
    </w:pPr>
    <w:rPr>
      <w:rFonts w:ascii="Calibri Light" w:hAnsi="Calibri Light"/>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t.int/" TargetMode="External"/><Relationship Id="rId18" Type="http://schemas.openxmlformats.org/officeDocument/2006/relationships/hyperlink" Target="http://itu.int/go/Map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rabeleagueonline.org/" TargetMode="External"/><Relationship Id="rId17" Type="http://schemas.openxmlformats.org/officeDocument/2006/relationships/hyperlink" Target="http://www.itu.int/en/ITU-D/Regulatory-Market/Pages/Outlook/2017.aspx" TargetMode="External"/><Relationship Id="rId2" Type="http://schemas.openxmlformats.org/officeDocument/2006/relationships/numbering" Target="numbering.xml"/><Relationship Id="rId16" Type="http://schemas.openxmlformats.org/officeDocument/2006/relationships/hyperlink" Target="https://www.itu.int/en/ITU-D/Regulatory-Market/Pages/Outlook/2017.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l.oa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pt.org/" TargetMode="External"/><Relationship Id="rId23" Type="http://schemas.openxmlformats.org/officeDocument/2006/relationships/fontTable" Target="fontTable.xml"/><Relationship Id="rId10" Type="http://schemas.openxmlformats.org/officeDocument/2006/relationships/hyperlink" Target="https://www.itu.int/en/ITU-D/TIES_Protected/PerfReport2017.pdf" TargetMode="External"/><Relationship Id="rId19" Type="http://schemas.openxmlformats.org/officeDocument/2006/relationships/hyperlink" Target="http://digitalinclusionnewslog.itu.int/" TargetMode="External"/><Relationship Id="rId4" Type="http://schemas.openxmlformats.org/officeDocument/2006/relationships/settings" Target="settings.xml"/><Relationship Id="rId9" Type="http://schemas.openxmlformats.org/officeDocument/2006/relationships/hyperlink" Target="https://www.itu.int/en/ITU-D/TIES_Protected/PerfReport2017.pdf" TargetMode="External"/><Relationship Id="rId14" Type="http://schemas.openxmlformats.org/officeDocument/2006/relationships/hyperlink" Target="http://www.rcc.org.r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37C-1143-417C-B9A0-9C7AC63A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439</TotalTime>
  <Pages>22</Pages>
  <Words>9447</Words>
  <Characters>53853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Spanish1</cp:lastModifiedBy>
  <cp:revision>95</cp:revision>
  <cp:lastPrinted>2018-02-13T15:39:00Z</cp:lastPrinted>
  <dcterms:created xsi:type="dcterms:W3CDTF">2018-02-13T12:20:00Z</dcterms:created>
  <dcterms:modified xsi:type="dcterms:W3CDTF">2018-02-15T10:51:00Z</dcterms:modified>
</cp:coreProperties>
</file>