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9"/>
      </w:tblGrid>
      <w:tr w:rsidR="00980EB0" w:rsidRPr="00FB1BFA" w14:paraId="17753B25" w14:textId="77777777" w:rsidTr="00992BB9">
        <w:trPr>
          <w:cantSplit/>
        </w:trPr>
        <w:tc>
          <w:tcPr>
            <w:tcW w:w="2127" w:type="dxa"/>
            <w:vAlign w:val="center"/>
          </w:tcPr>
          <w:p w14:paraId="05A0EAAE" w14:textId="4B160D9E" w:rsidR="00980EB0" w:rsidRPr="00FB1BFA" w:rsidRDefault="00992BB9" w:rsidP="00792001">
            <w:pPr>
              <w:spacing w:after="120"/>
              <w:rPr>
                <w:b/>
                <w:bCs/>
                <w:sz w:val="32"/>
                <w:szCs w:val="32"/>
                <w:lang w:val="fr-FR"/>
              </w:rPr>
            </w:pPr>
            <w:r w:rsidRPr="00FB1BFA">
              <w:rPr>
                <w:lang w:val="fr-FR"/>
              </w:rPr>
              <w:drawing>
                <wp:inline distT="0" distB="0" distL="0" distR="0" wp14:anchorId="28154E07" wp14:editId="545F1E09">
                  <wp:extent cx="1213485" cy="215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34020" name="WTDC_Logo_Final_aligned_center-01_text onl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485" cy="215265"/>
                          </a:xfrm>
                          <a:prstGeom prst="rect">
                            <a:avLst/>
                          </a:prstGeom>
                        </pic:spPr>
                      </pic:pic>
                    </a:graphicData>
                  </a:graphic>
                </wp:inline>
              </w:drawing>
            </w:r>
          </w:p>
        </w:tc>
        <w:tc>
          <w:tcPr>
            <w:tcW w:w="6095" w:type="dxa"/>
            <w:gridSpan w:val="2"/>
          </w:tcPr>
          <w:p w14:paraId="63E5F219" w14:textId="53DFDD2F" w:rsidR="00980EB0" w:rsidRPr="00FB1BFA" w:rsidRDefault="005F54BE" w:rsidP="00792001">
            <w:pPr>
              <w:spacing w:before="200"/>
              <w:rPr>
                <w:b/>
                <w:bCs/>
                <w:sz w:val="36"/>
                <w:szCs w:val="36"/>
                <w:lang w:val="fr-FR"/>
              </w:rPr>
            </w:pPr>
            <w:r w:rsidRPr="00FB1BFA">
              <w:rPr>
                <w:b/>
                <w:bCs/>
                <w:sz w:val="36"/>
                <w:szCs w:val="36"/>
                <w:lang w:val="fr-FR"/>
              </w:rPr>
              <w:t>Troisième réunion</w:t>
            </w:r>
            <w:r w:rsidR="006661C3" w:rsidRPr="00FB1BFA">
              <w:rPr>
                <w:b/>
                <w:bCs/>
                <w:sz w:val="36"/>
                <w:szCs w:val="36"/>
                <w:lang w:val="fr-FR"/>
              </w:rPr>
              <w:t xml:space="preserve"> interrégionale</w:t>
            </w:r>
            <w:r w:rsidRPr="00FB1BFA">
              <w:rPr>
                <w:b/>
                <w:bCs/>
                <w:sz w:val="36"/>
                <w:szCs w:val="36"/>
                <w:lang w:val="fr-FR"/>
              </w:rPr>
              <w:t xml:space="preserve"> </w:t>
            </w:r>
            <w:r w:rsidR="006661C3" w:rsidRPr="00FB1BFA">
              <w:rPr>
                <w:b/>
                <w:bCs/>
                <w:sz w:val="36"/>
                <w:szCs w:val="36"/>
                <w:lang w:val="fr-FR"/>
              </w:rPr>
              <w:t>(IRM</w:t>
            </w:r>
            <w:r w:rsidR="00792001" w:rsidRPr="00FB1BFA">
              <w:rPr>
                <w:b/>
                <w:bCs/>
                <w:sz w:val="36"/>
                <w:szCs w:val="36"/>
                <w:lang w:val="fr-FR"/>
              </w:rPr>
              <w:noBreakHyphen/>
            </w:r>
            <w:r w:rsidR="00992BB9" w:rsidRPr="00FB1BFA">
              <w:rPr>
                <w:b/>
                <w:bCs/>
                <w:sz w:val="36"/>
                <w:szCs w:val="36"/>
                <w:lang w:val="fr-FR"/>
              </w:rPr>
              <w:t>3</w:t>
            </w:r>
            <w:r w:rsidR="006661C3" w:rsidRPr="00FB1BFA">
              <w:rPr>
                <w:b/>
                <w:bCs/>
                <w:sz w:val="36"/>
                <w:szCs w:val="36"/>
                <w:lang w:val="fr-FR"/>
              </w:rPr>
              <w:t xml:space="preserve">) chargée de la préparation </w:t>
            </w:r>
            <w:r w:rsidR="00A80823" w:rsidRPr="00FB1BFA">
              <w:rPr>
                <w:b/>
                <w:bCs/>
                <w:sz w:val="36"/>
                <w:szCs w:val="36"/>
                <w:lang w:val="fr-FR"/>
              </w:rPr>
              <w:br/>
            </w:r>
            <w:r w:rsidR="006661C3" w:rsidRPr="00FB1BFA">
              <w:rPr>
                <w:b/>
                <w:bCs/>
                <w:sz w:val="36"/>
                <w:szCs w:val="36"/>
                <w:lang w:val="fr-FR"/>
              </w:rPr>
              <w:t>de</w:t>
            </w:r>
            <w:r w:rsidR="00D802AE" w:rsidRPr="00FB1BFA">
              <w:rPr>
                <w:b/>
                <w:bCs/>
                <w:sz w:val="36"/>
                <w:szCs w:val="36"/>
                <w:lang w:val="fr-FR"/>
              </w:rPr>
              <w:t xml:space="preserve"> </w:t>
            </w:r>
            <w:r w:rsidR="006661C3" w:rsidRPr="00FB1BFA">
              <w:rPr>
                <w:b/>
                <w:bCs/>
                <w:sz w:val="36"/>
                <w:szCs w:val="36"/>
                <w:lang w:val="fr-FR"/>
              </w:rPr>
              <w:t>la</w:t>
            </w:r>
            <w:r w:rsidR="00A80823" w:rsidRPr="00FB1BFA">
              <w:rPr>
                <w:b/>
                <w:bCs/>
                <w:sz w:val="36"/>
                <w:szCs w:val="36"/>
                <w:lang w:val="fr-FR"/>
              </w:rPr>
              <w:t xml:space="preserve"> </w:t>
            </w:r>
            <w:r w:rsidR="006661C3" w:rsidRPr="00FB1BFA">
              <w:rPr>
                <w:b/>
                <w:bCs/>
                <w:sz w:val="36"/>
                <w:szCs w:val="36"/>
                <w:lang w:val="fr-FR"/>
              </w:rPr>
              <w:t>CMDT</w:t>
            </w:r>
          </w:p>
          <w:p w14:paraId="733A8873" w14:textId="74DB8A45" w:rsidR="00992BB9" w:rsidRPr="00FB1BFA" w:rsidRDefault="00992BB9" w:rsidP="00792001">
            <w:pPr>
              <w:spacing w:before="0" w:after="60"/>
              <w:rPr>
                <w:b/>
                <w:bCs/>
                <w:sz w:val="32"/>
                <w:szCs w:val="32"/>
                <w:lang w:val="fr-FR"/>
              </w:rPr>
            </w:pPr>
            <w:r w:rsidRPr="00FB1BFA">
              <w:rPr>
                <w:b/>
                <w:bCs/>
                <w:szCs w:val="24"/>
                <w:lang w:val="fr-FR"/>
              </w:rPr>
              <w:t>Genève, Suisse, 10-11 mars 2022</w:t>
            </w:r>
          </w:p>
        </w:tc>
        <w:tc>
          <w:tcPr>
            <w:tcW w:w="1419" w:type="dxa"/>
          </w:tcPr>
          <w:p w14:paraId="279197B1" w14:textId="09B5E2EB" w:rsidR="00980EB0" w:rsidRPr="00FB1BFA" w:rsidRDefault="00980EB0" w:rsidP="00792001">
            <w:pPr>
              <w:spacing w:before="240" w:after="120"/>
              <w:ind w:right="142"/>
              <w:jc w:val="right"/>
              <w:rPr>
                <w:lang w:val="fr-FR"/>
              </w:rPr>
            </w:pPr>
            <w:r w:rsidRPr="00FB1BFA">
              <w:rPr>
                <w:lang w:val="fr-FR"/>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FB1BFA" w14:paraId="02CA2556" w14:textId="77777777" w:rsidTr="00504609">
        <w:trPr>
          <w:cantSplit/>
          <w:trHeight w:val="238"/>
        </w:trPr>
        <w:tc>
          <w:tcPr>
            <w:tcW w:w="6379" w:type="dxa"/>
            <w:gridSpan w:val="2"/>
            <w:tcBorders>
              <w:top w:val="single" w:sz="12" w:space="0" w:color="auto"/>
            </w:tcBorders>
          </w:tcPr>
          <w:p w14:paraId="5057834D" w14:textId="77777777" w:rsidR="0070796E" w:rsidRPr="00FB1BFA" w:rsidRDefault="0070796E" w:rsidP="00792001">
            <w:pPr>
              <w:spacing w:before="0"/>
              <w:rPr>
                <w:lang w:val="fr-FR"/>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FB1BFA" w:rsidRDefault="0070796E" w:rsidP="00792001">
            <w:pPr>
              <w:spacing w:before="0"/>
              <w:rPr>
                <w:lang w:val="fr-FR"/>
              </w:rPr>
            </w:pPr>
          </w:p>
        </w:tc>
      </w:tr>
      <w:tr w:rsidR="0070796E" w:rsidRPr="00FB1BFA" w14:paraId="042F6D12" w14:textId="77777777" w:rsidTr="00504609">
        <w:trPr>
          <w:cantSplit/>
          <w:trHeight w:val="20"/>
        </w:trPr>
        <w:tc>
          <w:tcPr>
            <w:tcW w:w="6379" w:type="dxa"/>
            <w:gridSpan w:val="2"/>
            <w:vMerge w:val="restart"/>
          </w:tcPr>
          <w:p w14:paraId="20070EC3" w14:textId="77777777" w:rsidR="0070796E" w:rsidRPr="00FB1BFA" w:rsidRDefault="0070796E" w:rsidP="00792001">
            <w:pPr>
              <w:rPr>
                <w:lang w:val="fr-FR"/>
              </w:rPr>
            </w:pPr>
          </w:p>
        </w:tc>
        <w:tc>
          <w:tcPr>
            <w:tcW w:w="3262" w:type="dxa"/>
            <w:gridSpan w:val="2"/>
          </w:tcPr>
          <w:p w14:paraId="49CE235C" w14:textId="30F68333" w:rsidR="0070796E" w:rsidRPr="00FB1BFA" w:rsidRDefault="0070796E" w:rsidP="00792001">
            <w:pPr>
              <w:spacing w:before="0"/>
              <w:rPr>
                <w:b/>
                <w:bCs/>
                <w:szCs w:val="24"/>
                <w:lang w:val="fr-FR"/>
              </w:rPr>
            </w:pPr>
            <w:r w:rsidRPr="00FB1BFA">
              <w:rPr>
                <w:b/>
                <w:bCs/>
                <w:szCs w:val="24"/>
                <w:lang w:val="fr-FR"/>
              </w:rPr>
              <w:t>Document</w:t>
            </w:r>
            <w:r w:rsidR="006527BD" w:rsidRPr="00FB1BFA">
              <w:rPr>
                <w:b/>
                <w:bCs/>
                <w:szCs w:val="24"/>
                <w:lang w:val="fr-FR"/>
              </w:rPr>
              <w:t xml:space="preserve"> </w:t>
            </w:r>
            <w:bookmarkStart w:id="2" w:name="DocRef1"/>
            <w:bookmarkEnd w:id="2"/>
            <w:r w:rsidR="006661C3" w:rsidRPr="00FB1BFA">
              <w:rPr>
                <w:b/>
                <w:bCs/>
                <w:szCs w:val="24"/>
                <w:lang w:val="fr-FR"/>
              </w:rPr>
              <w:t>IRM21</w:t>
            </w:r>
            <w:r w:rsidR="00992BB9" w:rsidRPr="00FB1BFA">
              <w:rPr>
                <w:b/>
                <w:bCs/>
                <w:szCs w:val="24"/>
                <w:lang w:val="fr-FR"/>
              </w:rPr>
              <w:t>-3</w:t>
            </w:r>
            <w:r w:rsidR="00FF089C" w:rsidRPr="00FB1BFA">
              <w:rPr>
                <w:b/>
                <w:bCs/>
                <w:szCs w:val="24"/>
                <w:lang w:val="fr-FR"/>
              </w:rPr>
              <w:t>/</w:t>
            </w:r>
            <w:r w:rsidR="00992BB9" w:rsidRPr="00FB1BFA">
              <w:rPr>
                <w:b/>
                <w:bCs/>
                <w:szCs w:val="24"/>
                <w:lang w:val="fr-FR"/>
              </w:rPr>
              <w:t>72</w:t>
            </w:r>
            <w:r w:rsidR="00FF089C" w:rsidRPr="00FB1BFA">
              <w:rPr>
                <w:b/>
                <w:bCs/>
                <w:szCs w:val="24"/>
                <w:lang w:val="fr-FR"/>
              </w:rPr>
              <w:t>-</w:t>
            </w:r>
            <w:r w:rsidR="0093043A" w:rsidRPr="00FB1BFA">
              <w:rPr>
                <w:b/>
                <w:bCs/>
                <w:szCs w:val="24"/>
                <w:lang w:val="fr-FR"/>
              </w:rPr>
              <w:t>F</w:t>
            </w:r>
          </w:p>
        </w:tc>
      </w:tr>
      <w:tr w:rsidR="0070796E" w:rsidRPr="00FB1BFA" w14:paraId="2EA9F9CE" w14:textId="77777777" w:rsidTr="00504609">
        <w:trPr>
          <w:cantSplit/>
          <w:trHeight w:val="23"/>
        </w:trPr>
        <w:tc>
          <w:tcPr>
            <w:tcW w:w="6379" w:type="dxa"/>
            <w:gridSpan w:val="2"/>
            <w:vMerge/>
          </w:tcPr>
          <w:p w14:paraId="2A780D8D" w14:textId="77777777" w:rsidR="0070796E" w:rsidRPr="00FB1BFA" w:rsidRDefault="0070796E" w:rsidP="00792001">
            <w:pPr>
              <w:tabs>
                <w:tab w:val="left" w:pos="851"/>
              </w:tabs>
              <w:rPr>
                <w:b/>
                <w:lang w:val="fr-FR"/>
              </w:rPr>
            </w:pPr>
          </w:p>
        </w:tc>
        <w:tc>
          <w:tcPr>
            <w:tcW w:w="3262" w:type="dxa"/>
            <w:gridSpan w:val="2"/>
          </w:tcPr>
          <w:p w14:paraId="5AACB509" w14:textId="7FAD5F73" w:rsidR="0070796E" w:rsidRPr="00FB1BFA" w:rsidRDefault="00992BB9" w:rsidP="00792001">
            <w:pPr>
              <w:spacing w:before="0"/>
              <w:rPr>
                <w:b/>
                <w:bCs/>
                <w:szCs w:val="24"/>
                <w:lang w:val="fr-FR"/>
              </w:rPr>
            </w:pPr>
            <w:bookmarkStart w:id="3" w:name="CreationDate"/>
            <w:bookmarkEnd w:id="3"/>
            <w:r w:rsidRPr="00FB1BFA">
              <w:rPr>
                <w:b/>
                <w:bCs/>
                <w:szCs w:val="24"/>
                <w:lang w:val="fr-FR"/>
              </w:rPr>
              <w:t>19 avril 2022</w:t>
            </w:r>
          </w:p>
        </w:tc>
      </w:tr>
      <w:tr w:rsidR="0070796E" w:rsidRPr="00FB1BFA" w14:paraId="03F0AF90" w14:textId="77777777" w:rsidTr="00504609">
        <w:trPr>
          <w:cantSplit/>
          <w:trHeight w:val="333"/>
        </w:trPr>
        <w:tc>
          <w:tcPr>
            <w:tcW w:w="6379" w:type="dxa"/>
            <w:gridSpan w:val="2"/>
            <w:vMerge/>
          </w:tcPr>
          <w:p w14:paraId="49E11E04" w14:textId="77777777" w:rsidR="0070796E" w:rsidRPr="00FB1BFA" w:rsidRDefault="0070796E" w:rsidP="00792001">
            <w:pPr>
              <w:tabs>
                <w:tab w:val="left" w:pos="851"/>
              </w:tabs>
              <w:rPr>
                <w:b/>
                <w:lang w:val="fr-FR"/>
              </w:rPr>
            </w:pPr>
          </w:p>
        </w:tc>
        <w:tc>
          <w:tcPr>
            <w:tcW w:w="3262" w:type="dxa"/>
            <w:gridSpan w:val="2"/>
          </w:tcPr>
          <w:p w14:paraId="5C49528C" w14:textId="4B83745E" w:rsidR="0070796E" w:rsidRPr="00FB1BFA" w:rsidRDefault="0070796E" w:rsidP="00792001">
            <w:pPr>
              <w:spacing w:before="0" w:after="120"/>
              <w:rPr>
                <w:b/>
                <w:bCs/>
                <w:szCs w:val="24"/>
                <w:lang w:val="fr-FR"/>
              </w:rPr>
            </w:pPr>
            <w:r w:rsidRPr="00FB1BFA">
              <w:rPr>
                <w:b/>
                <w:bCs/>
                <w:szCs w:val="24"/>
                <w:lang w:val="fr-FR"/>
              </w:rPr>
              <w:t>Original:</w:t>
            </w:r>
            <w:r w:rsidR="005543B5" w:rsidRPr="00FB1BFA">
              <w:rPr>
                <w:b/>
                <w:bCs/>
                <w:szCs w:val="24"/>
                <w:lang w:val="fr-FR"/>
              </w:rPr>
              <w:t xml:space="preserve"> </w:t>
            </w:r>
            <w:bookmarkStart w:id="4" w:name="Original"/>
            <w:bookmarkEnd w:id="4"/>
            <w:r w:rsidR="00504609" w:rsidRPr="00FB1BFA">
              <w:rPr>
                <w:b/>
                <w:bCs/>
                <w:szCs w:val="24"/>
                <w:lang w:val="fr-FR"/>
              </w:rPr>
              <w:t>français</w:t>
            </w:r>
          </w:p>
        </w:tc>
      </w:tr>
      <w:tr w:rsidR="0070796E" w:rsidRPr="00FB1BFA" w14:paraId="655B5FD0" w14:textId="77777777" w:rsidTr="00504609">
        <w:trPr>
          <w:cantSplit/>
          <w:trHeight w:val="23"/>
        </w:trPr>
        <w:tc>
          <w:tcPr>
            <w:tcW w:w="9641" w:type="dxa"/>
            <w:gridSpan w:val="4"/>
          </w:tcPr>
          <w:p w14:paraId="438BCD9A" w14:textId="31F6DAF3" w:rsidR="0070796E" w:rsidRPr="00FB1BFA" w:rsidRDefault="00992BB9" w:rsidP="00792001">
            <w:pPr>
              <w:tabs>
                <w:tab w:val="left" w:pos="1928"/>
              </w:tabs>
              <w:spacing w:before="240" w:after="240"/>
              <w:ind w:left="1928" w:hanging="1928"/>
              <w:jc w:val="center"/>
              <w:rPr>
                <w:b/>
                <w:bCs/>
                <w:sz w:val="28"/>
                <w:szCs w:val="28"/>
                <w:lang w:val="fr-FR"/>
              </w:rPr>
            </w:pPr>
            <w:r w:rsidRPr="00FB1BFA">
              <w:rPr>
                <w:b/>
                <w:bCs/>
                <w:sz w:val="28"/>
                <w:szCs w:val="28"/>
                <w:lang w:val="fr-FR"/>
              </w:rPr>
              <w:t>Présidente</w:t>
            </w:r>
            <w:r w:rsidR="00792001" w:rsidRPr="00FB1BFA">
              <w:rPr>
                <w:b/>
                <w:bCs/>
                <w:sz w:val="28"/>
                <w:szCs w:val="28"/>
                <w:lang w:val="fr-FR"/>
              </w:rPr>
              <w:t xml:space="preserve"> </w:t>
            </w:r>
            <w:r w:rsidR="003F7B88" w:rsidRPr="00FB1BFA">
              <w:rPr>
                <w:b/>
                <w:bCs/>
                <w:sz w:val="28"/>
                <w:szCs w:val="28"/>
                <w:lang w:val="fr-FR"/>
              </w:rPr>
              <w:t xml:space="preserve">de la réunion </w:t>
            </w:r>
            <w:r w:rsidRPr="00FB1BFA">
              <w:rPr>
                <w:b/>
                <w:bCs/>
                <w:sz w:val="28"/>
                <w:szCs w:val="28"/>
                <w:lang w:val="fr-FR"/>
              </w:rPr>
              <w:t>IRM-3</w:t>
            </w:r>
          </w:p>
        </w:tc>
      </w:tr>
      <w:tr w:rsidR="00421F93" w:rsidRPr="00FB1BFA" w14:paraId="72DD2DDB" w14:textId="77777777" w:rsidTr="00504609">
        <w:trPr>
          <w:cantSplit/>
          <w:trHeight w:val="23"/>
        </w:trPr>
        <w:tc>
          <w:tcPr>
            <w:tcW w:w="9641" w:type="dxa"/>
            <w:gridSpan w:val="4"/>
          </w:tcPr>
          <w:p w14:paraId="7D77AAB7" w14:textId="19E03B21" w:rsidR="00421F93" w:rsidRPr="00FB1BFA" w:rsidRDefault="00992BB9" w:rsidP="00792001">
            <w:pPr>
              <w:tabs>
                <w:tab w:val="left" w:pos="1928"/>
              </w:tabs>
              <w:spacing w:after="120"/>
              <w:ind w:left="1928" w:hanging="1928"/>
              <w:jc w:val="center"/>
              <w:rPr>
                <w:sz w:val="28"/>
                <w:szCs w:val="28"/>
                <w:lang w:val="fr-FR"/>
              </w:rPr>
            </w:pPr>
            <w:r w:rsidRPr="00FB1BFA">
              <w:rPr>
                <w:sz w:val="28"/>
                <w:szCs w:val="28"/>
                <w:lang w:val="fr-FR"/>
              </w:rPr>
              <w:t>Rapport de la Présidente de</w:t>
            </w:r>
            <w:r w:rsidR="003F7B88" w:rsidRPr="00FB1BFA">
              <w:rPr>
                <w:sz w:val="28"/>
                <w:szCs w:val="28"/>
                <w:lang w:val="fr-FR"/>
              </w:rPr>
              <w:t xml:space="preserve"> la réunion</w:t>
            </w:r>
            <w:r w:rsidR="00792001" w:rsidRPr="00FB1BFA">
              <w:rPr>
                <w:sz w:val="28"/>
                <w:szCs w:val="28"/>
                <w:lang w:val="fr-FR"/>
              </w:rPr>
              <w:t xml:space="preserve"> </w:t>
            </w:r>
            <w:r w:rsidRPr="00FB1BFA">
              <w:rPr>
                <w:sz w:val="28"/>
                <w:szCs w:val="28"/>
                <w:lang w:val="fr-FR"/>
              </w:rPr>
              <w:t>IRM-3</w:t>
            </w:r>
          </w:p>
        </w:tc>
      </w:tr>
      <w:tr w:rsidR="00504609" w:rsidRPr="00FB1BFA" w14:paraId="3FF473AE" w14:textId="77777777" w:rsidTr="00504609">
        <w:trPr>
          <w:cantSplit/>
          <w:trHeight w:val="23"/>
        </w:trPr>
        <w:tc>
          <w:tcPr>
            <w:tcW w:w="9641" w:type="dxa"/>
            <w:gridSpan w:val="4"/>
            <w:tcBorders>
              <w:bottom w:val="single" w:sz="4" w:space="0" w:color="auto"/>
            </w:tcBorders>
          </w:tcPr>
          <w:p w14:paraId="414CF233" w14:textId="77777777" w:rsidR="00504609" w:rsidRPr="00FB1BFA" w:rsidRDefault="00504609" w:rsidP="00792001">
            <w:pPr>
              <w:tabs>
                <w:tab w:val="left" w:pos="1928"/>
              </w:tabs>
              <w:spacing w:after="120"/>
              <w:ind w:left="1928" w:hanging="1928"/>
              <w:jc w:val="center"/>
              <w:rPr>
                <w:sz w:val="28"/>
                <w:szCs w:val="28"/>
                <w:lang w:val="fr-FR"/>
              </w:rPr>
            </w:pPr>
          </w:p>
        </w:tc>
      </w:tr>
    </w:tbl>
    <w:p w14:paraId="2A3522AC" w14:textId="5430535E" w:rsidR="00421F93" w:rsidRPr="00FB1BFA" w:rsidRDefault="00992BB9" w:rsidP="00792001">
      <w:pPr>
        <w:pStyle w:val="Headingb"/>
        <w:spacing w:before="360"/>
        <w:rPr>
          <w:lang w:val="fr-FR"/>
        </w:rPr>
      </w:pPr>
      <w:bookmarkStart w:id="5" w:name="Results"/>
      <w:bookmarkEnd w:id="5"/>
      <w:r w:rsidRPr="00FB1BFA">
        <w:rPr>
          <w:lang w:val="fr-FR"/>
        </w:rPr>
        <w:t xml:space="preserve">Introduction </w:t>
      </w:r>
      <w:r w:rsidR="00BC2F71" w:rsidRPr="00FB1BFA">
        <w:rPr>
          <w:lang w:val="fr-FR"/>
        </w:rPr>
        <w:t xml:space="preserve">et </w:t>
      </w:r>
      <w:r w:rsidR="003F7B88" w:rsidRPr="00FB1BFA">
        <w:rPr>
          <w:color w:val="000000"/>
          <w:lang w:val="fr-FR"/>
        </w:rPr>
        <w:t>faits saillants</w:t>
      </w:r>
    </w:p>
    <w:p w14:paraId="53E1D132" w14:textId="09DD7E84" w:rsidR="00477D64" w:rsidRPr="00FB1BFA" w:rsidRDefault="00477D64" w:rsidP="00792001">
      <w:pPr>
        <w:rPr>
          <w:lang w:val="fr-FR"/>
        </w:rPr>
      </w:pPr>
      <w:bookmarkStart w:id="6" w:name="References"/>
      <w:bookmarkEnd w:id="6"/>
      <w:r w:rsidRPr="00FB1BFA">
        <w:rPr>
          <w:lang w:val="fr-FR"/>
        </w:rPr>
        <w:t>La Conférence mondiale de développement des télécommunications (CMDT) aura lieu du 6 au 16</w:t>
      </w:r>
      <w:r w:rsidR="00792001" w:rsidRPr="00FB1BFA">
        <w:rPr>
          <w:lang w:val="fr-FR"/>
        </w:rPr>
        <w:t> </w:t>
      </w:r>
      <w:r w:rsidRPr="00FB1BFA">
        <w:rPr>
          <w:lang w:val="fr-FR"/>
        </w:rPr>
        <w:t xml:space="preserve">juin 2022 au </w:t>
      </w:r>
      <w:r w:rsidR="00B862C9" w:rsidRPr="00FB1BFA">
        <w:rPr>
          <w:lang w:val="fr-FR"/>
        </w:rPr>
        <w:t>Kigali Convention Cent</w:t>
      </w:r>
      <w:r w:rsidR="00C910FF" w:rsidRPr="00FB1BFA">
        <w:rPr>
          <w:lang w:val="fr-FR"/>
        </w:rPr>
        <w:t>er</w:t>
      </w:r>
      <w:r w:rsidR="00B862C9" w:rsidRPr="00FB1BFA">
        <w:rPr>
          <w:lang w:val="fr-FR"/>
        </w:rPr>
        <w:t xml:space="preserve">, suite à l'aimable invitation du Gouvernement du Rwanda et à l'approbation du Conseil avec l'accord de la majorité des États Membres de l'UIT. </w:t>
      </w:r>
      <w:r w:rsidR="00B538D6" w:rsidRPr="00FB1BFA">
        <w:rPr>
          <w:lang w:val="fr-FR"/>
        </w:rPr>
        <w:t xml:space="preserve">Elle sera précédée du </w:t>
      </w:r>
      <w:r w:rsidR="0088742A" w:rsidRPr="00FB1BFA">
        <w:rPr>
          <w:lang w:val="fr-FR"/>
        </w:rPr>
        <w:t xml:space="preserve">tout premier </w:t>
      </w:r>
      <w:r w:rsidR="00B538D6" w:rsidRPr="00FB1BFA">
        <w:rPr>
          <w:lang w:val="fr-FR"/>
        </w:rPr>
        <w:t xml:space="preserve">Sommet mondial de la jeunesse </w:t>
      </w:r>
      <w:r w:rsidR="00277039" w:rsidRPr="00FB1BFA">
        <w:rPr>
          <w:lang w:val="fr-FR"/>
        </w:rPr>
        <w:t xml:space="preserve">organisé dans le cadre de l'initiative </w:t>
      </w:r>
      <w:r w:rsidR="00B538D6" w:rsidRPr="00FB1BFA">
        <w:rPr>
          <w:lang w:val="fr-FR"/>
        </w:rPr>
        <w:t>Generation Connect</w:t>
      </w:r>
      <w:r w:rsidR="00277039" w:rsidRPr="00FB1BFA">
        <w:rPr>
          <w:lang w:val="fr-FR"/>
        </w:rPr>
        <w:t xml:space="preserve"> de l'UIT</w:t>
      </w:r>
      <w:r w:rsidR="00B538D6" w:rsidRPr="00FB1BFA">
        <w:rPr>
          <w:lang w:val="fr-FR"/>
        </w:rPr>
        <w:t>, du 2 au 4 juin.</w:t>
      </w:r>
      <w:r w:rsidR="00A006DC" w:rsidRPr="00FB1BFA">
        <w:rPr>
          <w:lang w:val="fr-FR"/>
        </w:rPr>
        <w:t xml:space="preserve"> </w:t>
      </w:r>
      <w:r w:rsidR="00F9740B" w:rsidRPr="00FB1BFA">
        <w:rPr>
          <w:lang w:val="fr-FR"/>
        </w:rPr>
        <w:t>La CMDT accueillera</w:t>
      </w:r>
      <w:r w:rsidR="00A006DC" w:rsidRPr="00FB1BFA">
        <w:rPr>
          <w:lang w:val="fr-FR"/>
        </w:rPr>
        <w:t xml:space="preserve"> également</w:t>
      </w:r>
      <w:r w:rsidR="00B26FE9" w:rsidRPr="00FB1BFA">
        <w:rPr>
          <w:lang w:val="fr-FR"/>
        </w:rPr>
        <w:t xml:space="preserve"> du 7 au 9 juin 2022</w:t>
      </w:r>
      <w:r w:rsidR="00A006DC" w:rsidRPr="00FB1BFA">
        <w:rPr>
          <w:lang w:val="fr-FR"/>
        </w:rPr>
        <w:t xml:space="preserve"> la Table ronde "Partner2Connect" pour le développement du numérique,</w:t>
      </w:r>
      <w:r w:rsidR="00792001" w:rsidRPr="00FB1BFA">
        <w:rPr>
          <w:lang w:val="fr-FR"/>
        </w:rPr>
        <w:t xml:space="preserve"> </w:t>
      </w:r>
      <w:r w:rsidR="00A006DC" w:rsidRPr="00FB1BFA">
        <w:rPr>
          <w:lang w:val="fr-FR"/>
        </w:rPr>
        <w:t>autre première pour l'UIT.</w:t>
      </w:r>
    </w:p>
    <w:p w14:paraId="44EE3D2F" w14:textId="32CCEEF7" w:rsidR="001A43B0" w:rsidRPr="00FB1BFA" w:rsidRDefault="001A43B0" w:rsidP="00792001">
      <w:pPr>
        <w:rPr>
          <w:lang w:val="fr-FR"/>
        </w:rPr>
      </w:pPr>
      <w:r w:rsidRPr="00FB1BFA">
        <w:rPr>
          <w:lang w:val="fr-FR"/>
        </w:rPr>
        <w:t xml:space="preserve">La troisième et dernière réunion interrégionale (IRM-3) chargée de </w:t>
      </w:r>
      <w:r w:rsidR="007738B0" w:rsidRPr="00FB1BFA">
        <w:rPr>
          <w:lang w:val="fr-FR"/>
        </w:rPr>
        <w:t xml:space="preserve">la préparation de la CMDT s'est tenue le 10 mars 2022, sous la présidence de </w:t>
      </w:r>
      <w:r w:rsidR="006E0A27" w:rsidRPr="00FB1BFA">
        <w:rPr>
          <w:lang w:val="fr-FR"/>
        </w:rPr>
        <w:t>Son Excellence</w:t>
      </w:r>
      <w:r w:rsidR="007738B0" w:rsidRPr="00FB1BFA">
        <w:rPr>
          <w:lang w:val="fr-FR"/>
        </w:rPr>
        <w:t xml:space="preserve"> Mme Paula Ingabire, Ministre de l'information, des communications, de la technologie et de l'innovation du Rwanda et Présidente désignée de la CMDT</w:t>
      </w:r>
      <w:r w:rsidR="00B26FE9" w:rsidRPr="00FB1BFA">
        <w:rPr>
          <w:lang w:val="fr-FR"/>
        </w:rPr>
        <w:t>,</w:t>
      </w:r>
      <w:r w:rsidR="00B6543D" w:rsidRPr="00FB1BFA">
        <w:rPr>
          <w:lang w:val="fr-FR"/>
        </w:rPr>
        <w:t xml:space="preserve"> </w:t>
      </w:r>
      <w:r w:rsidR="00B26FE9" w:rsidRPr="00FB1BFA">
        <w:rPr>
          <w:lang w:val="fr-FR"/>
        </w:rPr>
        <w:t>en présence de</w:t>
      </w:r>
      <w:r w:rsidR="00B6543D" w:rsidRPr="00FB1BFA">
        <w:rPr>
          <w:lang w:val="fr-FR"/>
        </w:rPr>
        <w:t xml:space="preserve"> 136 participants. </w:t>
      </w:r>
      <w:r w:rsidR="001E130B" w:rsidRPr="00FB1BFA">
        <w:rPr>
          <w:lang w:val="fr-FR"/>
        </w:rPr>
        <w:t xml:space="preserve">La liste des participants est disponible </w:t>
      </w:r>
      <w:hyperlink r:id="rId9" w:history="1">
        <w:r w:rsidR="001E130B" w:rsidRPr="00FB1BFA">
          <w:rPr>
            <w:rStyle w:val="Hyperlink"/>
            <w:lang w:val="fr-FR"/>
          </w:rPr>
          <w:t>ici</w:t>
        </w:r>
      </w:hyperlink>
      <w:r w:rsidR="001E130B" w:rsidRPr="00FB1BFA">
        <w:rPr>
          <w:lang w:val="fr-FR"/>
        </w:rPr>
        <w:t>.</w:t>
      </w:r>
    </w:p>
    <w:p w14:paraId="4EDDB49B" w14:textId="3A1558FE" w:rsidR="000A1D5B" w:rsidRPr="00FB1BFA" w:rsidRDefault="00130B46" w:rsidP="00792001">
      <w:pPr>
        <w:rPr>
          <w:lang w:val="fr-FR"/>
        </w:rPr>
      </w:pPr>
      <w:r w:rsidRPr="00FB1BFA">
        <w:rPr>
          <w:lang w:val="fr-FR"/>
        </w:rPr>
        <w:t>Pendant la réunion, un rang de priorité élevé a été accordé au</w:t>
      </w:r>
      <w:r w:rsidR="00BE03BB" w:rsidRPr="00FB1BFA">
        <w:rPr>
          <w:lang w:val="fr-FR"/>
        </w:rPr>
        <w:t xml:space="preserve"> point sur l'état d'avancement des travaux préparatoires en vue de la CMDT</w:t>
      </w:r>
      <w:r w:rsidR="00792001" w:rsidRPr="00FB1BFA">
        <w:rPr>
          <w:lang w:val="fr-FR"/>
        </w:rPr>
        <w:t xml:space="preserve"> </w:t>
      </w:r>
      <w:r w:rsidR="00BE03BB" w:rsidRPr="00FB1BFA">
        <w:rPr>
          <w:lang w:val="fr-FR"/>
        </w:rPr>
        <w:t xml:space="preserve">menés par le Bureau de développement des télécommunications de l'UIT (BDT) et par </w:t>
      </w:r>
      <w:r w:rsidR="00486C67" w:rsidRPr="00FB1BFA">
        <w:rPr>
          <w:lang w:val="fr-FR"/>
        </w:rPr>
        <w:t>les six principales organisations régionales de télécommunication</w:t>
      </w:r>
      <w:r w:rsidR="00F008B8" w:rsidRPr="00FB1BFA">
        <w:rPr>
          <w:lang w:val="fr-FR"/>
        </w:rPr>
        <w:t xml:space="preserve"> (énumérées</w:t>
      </w:r>
      <w:r w:rsidR="00CE3F72" w:rsidRPr="00FB1BFA">
        <w:rPr>
          <w:lang w:val="fr-FR"/>
        </w:rPr>
        <w:t xml:space="preserve"> ici</w:t>
      </w:r>
      <w:r w:rsidR="00F008B8" w:rsidRPr="00FB1BFA">
        <w:rPr>
          <w:lang w:val="fr-FR"/>
        </w:rPr>
        <w:t xml:space="preserve"> dans l'ordre de leurs présentations)</w:t>
      </w:r>
      <w:r w:rsidR="00486C67" w:rsidRPr="00FB1BFA">
        <w:rPr>
          <w:lang w:val="fr-FR"/>
        </w:rPr>
        <w:t>, à savoir l'Union africaine des télécommunications (UAT); la Commission interaméricaine des télécommunications (CITEL); la Télécommunauté Asie-Pacifique (APT); la Commission régionale des communications (RCC); la Conférence européenne des administrations des postes et télécommunications (CEPT)</w:t>
      </w:r>
      <w:r w:rsidR="0070080A" w:rsidRPr="00FB1BFA">
        <w:rPr>
          <w:lang w:val="fr-FR"/>
        </w:rPr>
        <w:t>; et la Ligue des États arabes (LAS)</w:t>
      </w:r>
      <w:r w:rsidR="00486C67" w:rsidRPr="00FB1BFA">
        <w:rPr>
          <w:lang w:val="fr-FR"/>
        </w:rPr>
        <w:t>.</w:t>
      </w:r>
      <w:r w:rsidR="0070080A" w:rsidRPr="00FB1BFA">
        <w:rPr>
          <w:lang w:val="fr-FR"/>
        </w:rPr>
        <w:t xml:space="preserve"> </w:t>
      </w:r>
      <w:r w:rsidR="00BC192A" w:rsidRPr="00FB1BFA">
        <w:rPr>
          <w:lang w:val="fr-FR"/>
        </w:rPr>
        <w:t xml:space="preserve">Les </w:t>
      </w:r>
      <w:r w:rsidR="00813F3B" w:rsidRPr="00FB1BFA">
        <w:rPr>
          <w:lang w:val="fr-FR"/>
        </w:rPr>
        <w:t>sections</w:t>
      </w:r>
      <w:r w:rsidR="00BC192A" w:rsidRPr="00FB1BFA">
        <w:rPr>
          <w:lang w:val="fr-FR"/>
        </w:rPr>
        <w:t xml:space="preserve"> 2 et 3 du rapport </w:t>
      </w:r>
      <w:r w:rsidR="00CE3F72" w:rsidRPr="00FB1BFA">
        <w:rPr>
          <w:lang w:val="fr-FR"/>
        </w:rPr>
        <w:t>présentent</w:t>
      </w:r>
      <w:r w:rsidR="00813F3B" w:rsidRPr="00FB1BFA">
        <w:rPr>
          <w:lang w:val="fr-FR"/>
        </w:rPr>
        <w:t xml:space="preserve"> l'état d'avancement </w:t>
      </w:r>
      <w:r w:rsidR="005B6783" w:rsidRPr="00FB1BFA">
        <w:rPr>
          <w:lang w:val="fr-FR"/>
        </w:rPr>
        <w:t xml:space="preserve">de ces travaux préparatoires. Sept contributions écrites </w:t>
      </w:r>
      <w:r w:rsidR="006A5EFF" w:rsidRPr="00FB1BFA">
        <w:rPr>
          <w:lang w:val="fr-FR"/>
        </w:rPr>
        <w:t>ont également été présentées à la réunion, dont quatre ont été soumises par des membres et trois par le BDT.</w:t>
      </w:r>
    </w:p>
    <w:p w14:paraId="7898A228" w14:textId="77777777" w:rsidR="00792001" w:rsidRPr="00FB1BFA" w:rsidRDefault="00C87F4A" w:rsidP="00792001">
      <w:pPr>
        <w:rPr>
          <w:lang w:val="fr-FR"/>
        </w:rPr>
      </w:pPr>
      <w:r w:rsidRPr="00FB1BFA">
        <w:rPr>
          <w:lang w:val="fr-FR"/>
        </w:rPr>
        <w:t xml:space="preserve">Les travaux </w:t>
      </w:r>
      <w:r w:rsidR="008A2B3A" w:rsidRPr="00FB1BFA">
        <w:rPr>
          <w:lang w:val="fr-FR"/>
        </w:rPr>
        <w:t>du Secteur du développement des télécommunications de l'UIT (UIT-D)</w:t>
      </w:r>
      <w:r w:rsidRPr="00FB1BFA">
        <w:rPr>
          <w:lang w:val="fr-FR"/>
        </w:rPr>
        <w:t xml:space="preserve"> sont guidés pour l'essentiel par les décisions adoptées par les conférences mondiales de dévelo</w:t>
      </w:r>
      <w:r w:rsidR="001A7E31" w:rsidRPr="00FB1BFA">
        <w:rPr>
          <w:lang w:val="fr-FR"/>
        </w:rPr>
        <w:t>ppement des télécommunications</w:t>
      </w:r>
      <w:r w:rsidRPr="00FB1BFA">
        <w:rPr>
          <w:lang w:val="fr-FR"/>
        </w:rPr>
        <w:t xml:space="preserve">. </w:t>
      </w:r>
      <w:r w:rsidR="00B03FE2" w:rsidRPr="00FB1BFA">
        <w:rPr>
          <w:lang w:val="fr-FR"/>
        </w:rPr>
        <w:t>Lors</w:t>
      </w:r>
      <w:r w:rsidR="00792001" w:rsidRPr="00FB1BFA">
        <w:rPr>
          <w:lang w:val="fr-FR"/>
        </w:rPr>
        <w:t xml:space="preserve"> </w:t>
      </w:r>
      <w:r w:rsidR="00C67488" w:rsidRPr="00FB1BFA">
        <w:rPr>
          <w:lang w:val="fr-FR"/>
        </w:rPr>
        <w:t>des</w:t>
      </w:r>
      <w:r w:rsidR="00B03FE2" w:rsidRPr="00FB1BFA">
        <w:rPr>
          <w:lang w:val="fr-FR"/>
        </w:rPr>
        <w:t xml:space="preserve"> trois IRM, </w:t>
      </w:r>
      <w:r w:rsidR="00061E9F" w:rsidRPr="00FB1BFA">
        <w:rPr>
          <w:lang w:val="fr-FR"/>
        </w:rPr>
        <w:t>un accent particulier</w:t>
      </w:r>
      <w:r w:rsidR="001E0F10" w:rsidRPr="00FB1BFA">
        <w:rPr>
          <w:lang w:val="fr-FR"/>
        </w:rPr>
        <w:t xml:space="preserve"> </w:t>
      </w:r>
      <w:r w:rsidR="00B03FE2" w:rsidRPr="00FB1BFA">
        <w:rPr>
          <w:lang w:val="fr-FR"/>
        </w:rPr>
        <w:t xml:space="preserve">a été mis </w:t>
      </w:r>
      <w:r w:rsidR="001E0F10" w:rsidRPr="00FB1BFA">
        <w:rPr>
          <w:lang w:val="fr-FR"/>
        </w:rPr>
        <w:t xml:space="preserve">sur </w:t>
      </w:r>
      <w:r w:rsidR="000B5B59" w:rsidRPr="00FB1BFA">
        <w:rPr>
          <w:lang w:val="fr-FR"/>
        </w:rPr>
        <w:t xml:space="preserve">la recherche d'un </w:t>
      </w:r>
      <w:r w:rsidR="00792001" w:rsidRPr="00FB1BFA">
        <w:rPr>
          <w:lang w:val="fr-FR"/>
        </w:rPr>
        <w:br w:type="page"/>
      </w:r>
    </w:p>
    <w:p w14:paraId="6FDA5EF5" w14:textId="3F77F902" w:rsidR="00952266" w:rsidRPr="00FB1BFA" w:rsidRDefault="000B5B59" w:rsidP="00792001">
      <w:pPr>
        <w:rPr>
          <w:lang w:val="fr-FR"/>
        </w:rPr>
      </w:pPr>
      <w:r w:rsidRPr="00FB1BFA">
        <w:rPr>
          <w:lang w:val="fr-FR"/>
        </w:rPr>
        <w:lastRenderedPageBreak/>
        <w:t xml:space="preserve">consensus </w:t>
      </w:r>
      <w:r w:rsidR="00CE3F72" w:rsidRPr="00FB1BFA">
        <w:rPr>
          <w:lang w:val="fr-FR"/>
        </w:rPr>
        <w:t>sur</w:t>
      </w:r>
      <w:r w:rsidR="000A43C7" w:rsidRPr="00FB1BFA">
        <w:rPr>
          <w:lang w:val="fr-FR"/>
        </w:rPr>
        <w:t xml:space="preserve"> les principales questions qui seront examiné</w:t>
      </w:r>
      <w:r w:rsidR="00253EE4" w:rsidRPr="00FB1BFA">
        <w:rPr>
          <w:lang w:val="fr-FR"/>
        </w:rPr>
        <w:t>e</w:t>
      </w:r>
      <w:r w:rsidR="000A43C7" w:rsidRPr="00FB1BFA">
        <w:rPr>
          <w:lang w:val="fr-FR"/>
        </w:rPr>
        <w:t>s à la conférence de Kigali</w:t>
      </w:r>
      <w:r w:rsidR="000624C9" w:rsidRPr="00FB1BFA">
        <w:rPr>
          <w:lang w:val="fr-FR"/>
        </w:rPr>
        <w:t xml:space="preserve"> et </w:t>
      </w:r>
      <w:r w:rsidR="00CE3F72" w:rsidRPr="00FB1BFA">
        <w:rPr>
          <w:lang w:val="fr-FR"/>
        </w:rPr>
        <w:t>qui en constitueront les</w:t>
      </w:r>
      <w:r w:rsidR="00792001" w:rsidRPr="00FB1BFA">
        <w:rPr>
          <w:lang w:val="fr-FR"/>
        </w:rPr>
        <w:t xml:space="preserve"> </w:t>
      </w:r>
      <w:r w:rsidR="000624C9" w:rsidRPr="00FB1BFA">
        <w:rPr>
          <w:lang w:val="fr-FR"/>
        </w:rPr>
        <w:t>principaux résultats.</w:t>
      </w:r>
      <w:r w:rsidR="003A4BAB" w:rsidRPr="00FB1BFA">
        <w:rPr>
          <w:lang w:val="fr-FR"/>
        </w:rPr>
        <w:t xml:space="preserve"> </w:t>
      </w:r>
      <w:r w:rsidR="009530DF" w:rsidRPr="00FB1BFA">
        <w:rPr>
          <w:lang w:val="fr-FR"/>
        </w:rPr>
        <w:t xml:space="preserve">En effet, la CMDT, qui </w:t>
      </w:r>
      <w:r w:rsidR="00CE3F72" w:rsidRPr="00FB1BFA">
        <w:rPr>
          <w:lang w:val="fr-FR"/>
        </w:rPr>
        <w:t xml:space="preserve">a </w:t>
      </w:r>
      <w:r w:rsidR="00ED3F2E" w:rsidRPr="00FB1BFA">
        <w:rPr>
          <w:lang w:val="fr-FR"/>
        </w:rPr>
        <w:t>pour</w:t>
      </w:r>
      <w:r w:rsidR="009530DF" w:rsidRPr="00FB1BFA">
        <w:rPr>
          <w:lang w:val="fr-FR"/>
        </w:rPr>
        <w:t xml:space="preserve"> thème "</w:t>
      </w:r>
      <w:r w:rsidR="00ED3F2E" w:rsidRPr="00FB1BFA">
        <w:rPr>
          <w:b/>
          <w:bCs/>
          <w:lang w:val="fr-FR"/>
        </w:rPr>
        <w:t>Connecter ceux qui ne le sont pas encore afin de parvenir au développement durable</w:t>
      </w:r>
      <w:r w:rsidR="00ED3F2E" w:rsidRPr="00FB1BFA">
        <w:rPr>
          <w:lang w:val="fr-FR"/>
        </w:rPr>
        <w:t xml:space="preserve">", </w:t>
      </w:r>
      <w:r w:rsidR="00362292" w:rsidRPr="00FB1BFA">
        <w:rPr>
          <w:lang w:val="fr-FR"/>
        </w:rPr>
        <w:t>devrait examiner et approuver:</w:t>
      </w:r>
    </w:p>
    <w:p w14:paraId="3FE5D8FF" w14:textId="4DDAB8FF" w:rsidR="00522EC8" w:rsidRPr="00FB1BFA" w:rsidRDefault="00522EC8" w:rsidP="00792001">
      <w:pPr>
        <w:pStyle w:val="enumlev1"/>
        <w:rPr>
          <w:lang w:val="fr-FR"/>
        </w:rPr>
      </w:pPr>
      <w:r w:rsidRPr="00FB1BFA">
        <w:rPr>
          <w:lang w:val="fr-FR"/>
        </w:rPr>
        <w:t>1)</w:t>
      </w:r>
      <w:r w:rsidRPr="00FB1BFA">
        <w:rPr>
          <w:lang w:val="fr-FR"/>
        </w:rPr>
        <w:tab/>
      </w:r>
      <w:r w:rsidR="00AE419C" w:rsidRPr="00FB1BFA">
        <w:rPr>
          <w:lang w:val="fr-FR"/>
        </w:rPr>
        <w:t>u</w:t>
      </w:r>
      <w:r w:rsidRPr="00FB1BFA">
        <w:rPr>
          <w:lang w:val="fr-FR"/>
        </w:rPr>
        <w:t xml:space="preserve">ne Déclaration, sur la base des propositions des </w:t>
      </w:r>
      <w:r w:rsidR="008745E7" w:rsidRPr="00FB1BFA">
        <w:rPr>
          <w:lang w:val="fr-FR"/>
        </w:rPr>
        <w:t>É</w:t>
      </w:r>
      <w:r w:rsidRPr="00FB1BFA">
        <w:rPr>
          <w:lang w:val="fr-FR"/>
        </w:rPr>
        <w:t>tats Membres et des Membres du Secteur de l'UIT-D, en tenant compte des suggestions faites par le Groupe consultatif pour le développement des télécommunications (GCDT) ainsi que des nouvelles tendances et des questions qui se font jour dans le domaine du développement des télécommunications/</w:t>
      </w:r>
      <w:r w:rsidR="005C5415" w:rsidRPr="00FB1BFA">
        <w:rPr>
          <w:lang w:val="fr-FR"/>
        </w:rPr>
        <w:t>technologies de l'information et de la communication (</w:t>
      </w:r>
      <w:r w:rsidRPr="00FB1BFA">
        <w:rPr>
          <w:lang w:val="fr-FR"/>
        </w:rPr>
        <w:t>TIC</w:t>
      </w:r>
      <w:r w:rsidR="005C5415" w:rsidRPr="00FB1BFA">
        <w:rPr>
          <w:lang w:val="fr-FR"/>
        </w:rPr>
        <w:t>)</w:t>
      </w:r>
      <w:r w:rsidRPr="00FB1BFA">
        <w:rPr>
          <w:lang w:val="fr-FR"/>
        </w:rPr>
        <w:t>, en particulier dans les pays en développement</w:t>
      </w:r>
      <w:r w:rsidRPr="00FB1BFA">
        <w:rPr>
          <w:rFonts w:cs="Calibri"/>
          <w:lang w:val="fr-FR"/>
        </w:rPr>
        <w:t xml:space="preserve">. </w:t>
      </w:r>
      <w:r w:rsidRPr="00FB1BFA">
        <w:rPr>
          <w:lang w:val="fr-FR"/>
        </w:rPr>
        <w:t>Par pays en développement, on entend aussi les pays les moins avancés</w:t>
      </w:r>
      <w:r w:rsidR="0032036C" w:rsidRPr="00FB1BFA">
        <w:rPr>
          <w:lang w:val="fr-FR"/>
        </w:rPr>
        <w:t xml:space="preserve"> (PMA)</w:t>
      </w:r>
      <w:r w:rsidRPr="00FB1BFA">
        <w:rPr>
          <w:lang w:val="fr-FR"/>
        </w:rPr>
        <w:t xml:space="preserve">, les petits </w:t>
      </w:r>
      <w:r w:rsidR="001A422D" w:rsidRPr="00FB1BFA">
        <w:rPr>
          <w:lang w:val="fr-FR"/>
        </w:rPr>
        <w:t>É</w:t>
      </w:r>
      <w:r w:rsidRPr="00FB1BFA">
        <w:rPr>
          <w:lang w:val="fr-FR"/>
        </w:rPr>
        <w:t>tats insulaires en développement</w:t>
      </w:r>
      <w:r w:rsidR="0032036C" w:rsidRPr="00FB1BFA">
        <w:rPr>
          <w:lang w:val="fr-FR"/>
        </w:rPr>
        <w:t xml:space="preserve"> (PEID)</w:t>
      </w:r>
      <w:r w:rsidRPr="00FB1BFA">
        <w:rPr>
          <w:lang w:val="fr-FR"/>
        </w:rPr>
        <w:t xml:space="preserve">, les pays en développement sans littoral </w:t>
      </w:r>
      <w:r w:rsidR="00AE516E" w:rsidRPr="00FB1BFA">
        <w:rPr>
          <w:lang w:val="fr-FR"/>
        </w:rPr>
        <w:t xml:space="preserve">(PDSL) </w:t>
      </w:r>
      <w:r w:rsidRPr="00FB1BFA">
        <w:rPr>
          <w:lang w:val="fr-FR"/>
        </w:rPr>
        <w:t>et les pays dont l'économie est en transition</w:t>
      </w:r>
      <w:r w:rsidR="00AE419C" w:rsidRPr="00FB1BFA">
        <w:rPr>
          <w:lang w:val="fr-FR"/>
        </w:rPr>
        <w:t>;</w:t>
      </w:r>
    </w:p>
    <w:p w14:paraId="6F5F71E1" w14:textId="3ECA6E56" w:rsidR="00522EC8" w:rsidRPr="00FB1BFA" w:rsidRDefault="00522EC8" w:rsidP="00792001">
      <w:pPr>
        <w:pStyle w:val="enumlev1"/>
        <w:rPr>
          <w:rFonts w:cs="Calibri"/>
          <w:lang w:val="fr-FR"/>
        </w:rPr>
      </w:pPr>
      <w:r w:rsidRPr="00FB1BFA">
        <w:rPr>
          <w:lang w:val="fr-FR"/>
        </w:rPr>
        <w:t>2)</w:t>
      </w:r>
      <w:r w:rsidRPr="00FB1BFA">
        <w:rPr>
          <w:lang w:val="fr-FR"/>
        </w:rPr>
        <w:tab/>
      </w:r>
      <w:r w:rsidR="00AE419C" w:rsidRPr="00FB1BFA">
        <w:rPr>
          <w:lang w:val="fr-FR"/>
        </w:rPr>
        <w:t>u</w:t>
      </w:r>
      <w:r w:rsidRPr="00FB1BFA">
        <w:rPr>
          <w:lang w:val="fr-FR"/>
        </w:rPr>
        <w:t>n plan d'action, su</w:t>
      </w:r>
      <w:r w:rsidR="0087447F" w:rsidRPr="00FB1BFA">
        <w:rPr>
          <w:lang w:val="fr-FR"/>
        </w:rPr>
        <w:t>r la base des propositions des É</w:t>
      </w:r>
      <w:r w:rsidRPr="00FB1BFA">
        <w:rPr>
          <w:lang w:val="fr-FR"/>
        </w:rPr>
        <w:t xml:space="preserve">tats Membres et des Membres du Secteur de l'UIT-D, en tenant </w:t>
      </w:r>
      <w:r w:rsidR="001809B2" w:rsidRPr="00FB1BFA">
        <w:rPr>
          <w:lang w:val="fr-FR"/>
        </w:rPr>
        <w:t xml:space="preserve">également </w:t>
      </w:r>
      <w:r w:rsidRPr="00FB1BFA">
        <w:rPr>
          <w:lang w:val="fr-FR"/>
        </w:rPr>
        <w:t xml:space="preserve">compte des suggestions </w:t>
      </w:r>
      <w:r w:rsidR="00CE3F72" w:rsidRPr="00FB1BFA">
        <w:rPr>
          <w:lang w:val="fr-FR"/>
        </w:rPr>
        <w:t>du</w:t>
      </w:r>
      <w:r w:rsidRPr="00FB1BFA">
        <w:rPr>
          <w:lang w:val="fr-FR"/>
        </w:rPr>
        <w:t xml:space="preserve"> GCDT et en accordant une attention particulière aux besoins des pays en développement.</w:t>
      </w:r>
      <w:r w:rsidR="00D266D5" w:rsidRPr="00FB1BFA">
        <w:rPr>
          <w:lang w:val="fr-FR"/>
        </w:rPr>
        <w:t xml:space="preserve"> </w:t>
      </w:r>
      <w:r w:rsidR="00CE3F72" w:rsidRPr="00FB1BFA">
        <w:rPr>
          <w:rFonts w:cs="Calibri"/>
          <w:lang w:val="fr-FR"/>
        </w:rPr>
        <w:t xml:space="preserve">Ce </w:t>
      </w:r>
      <w:r w:rsidR="00251CBF" w:rsidRPr="00FB1BFA">
        <w:rPr>
          <w:rFonts w:cs="Calibri"/>
          <w:lang w:val="fr-FR"/>
        </w:rPr>
        <w:t>plan comprend</w:t>
      </w:r>
      <w:r w:rsidRPr="00FB1BFA">
        <w:rPr>
          <w:rFonts w:cs="Calibri"/>
          <w:lang w:val="fr-FR"/>
        </w:rPr>
        <w:t>:</w:t>
      </w:r>
    </w:p>
    <w:p w14:paraId="79B7688F" w14:textId="2B023034" w:rsidR="009038CA" w:rsidRPr="00FB1BFA" w:rsidRDefault="00522EC8" w:rsidP="00792001">
      <w:pPr>
        <w:pStyle w:val="enumlev2"/>
        <w:rPr>
          <w:lang w:val="fr-FR"/>
        </w:rPr>
      </w:pPr>
      <w:r w:rsidRPr="00FB1BFA">
        <w:rPr>
          <w:lang w:val="fr-FR"/>
        </w:rPr>
        <w:t>a)</w:t>
      </w:r>
      <w:r w:rsidRPr="00FB1BFA">
        <w:rPr>
          <w:lang w:val="fr-FR"/>
        </w:rPr>
        <w:tab/>
      </w:r>
      <w:r w:rsidR="008E6EFB" w:rsidRPr="00FB1BFA">
        <w:rPr>
          <w:lang w:val="fr-FR"/>
        </w:rPr>
        <w:t>d</w:t>
      </w:r>
      <w:r w:rsidR="009038CA" w:rsidRPr="00FB1BFA">
        <w:rPr>
          <w:lang w:val="fr-FR"/>
        </w:rPr>
        <w:t>es initiatives régionales proposées par les États Membres et les Membres du Secteur de l'UIT-D</w:t>
      </w:r>
      <w:r w:rsidR="00287D8C" w:rsidRPr="00FB1BFA">
        <w:rPr>
          <w:lang w:val="fr-FR"/>
        </w:rPr>
        <w:t xml:space="preserve">, qui couvrent </w:t>
      </w:r>
      <w:r w:rsidR="00063691" w:rsidRPr="00FB1BFA">
        <w:rPr>
          <w:lang w:val="fr-FR"/>
        </w:rPr>
        <w:t>la région Afrique, la région Amériques, la région des États</w:t>
      </w:r>
      <w:r w:rsidR="00D266D5" w:rsidRPr="00FB1BFA">
        <w:rPr>
          <w:lang w:val="fr-FR"/>
        </w:rPr>
        <w:t> </w:t>
      </w:r>
      <w:r w:rsidR="00063691" w:rsidRPr="00FB1BFA">
        <w:rPr>
          <w:lang w:val="fr-FR"/>
        </w:rPr>
        <w:t xml:space="preserve">arabes, la région Asie-Pacifique, la Communauté des </w:t>
      </w:r>
      <w:r w:rsidR="009571AF" w:rsidRPr="00FB1BFA">
        <w:rPr>
          <w:lang w:val="fr-FR"/>
        </w:rPr>
        <w:t xml:space="preserve">États indépendants (CEI) et la région </w:t>
      </w:r>
      <w:r w:rsidR="00063691" w:rsidRPr="00FB1BFA">
        <w:rPr>
          <w:lang w:val="fr-FR"/>
        </w:rPr>
        <w:t>Europe.</w:t>
      </w:r>
      <w:r w:rsidR="007362C3" w:rsidRPr="00FB1BFA">
        <w:rPr>
          <w:lang w:val="fr-FR"/>
        </w:rPr>
        <w:t xml:space="preserve"> Les initiatives régionales ont pour objet de traiter différents domaines prioritaires des télécommunications/TIC</w:t>
      </w:r>
      <w:r w:rsidR="00792001" w:rsidRPr="00FB1BFA">
        <w:rPr>
          <w:lang w:val="fr-FR"/>
        </w:rPr>
        <w:t>,</w:t>
      </w:r>
      <w:r w:rsidR="00CE3F72" w:rsidRPr="00FB1BFA">
        <w:rPr>
          <w:lang w:val="fr-FR"/>
        </w:rPr>
        <w:t xml:space="preserve"> dans le cadre</w:t>
      </w:r>
      <w:r w:rsidR="007362C3" w:rsidRPr="00FB1BFA">
        <w:rPr>
          <w:lang w:val="fr-FR"/>
        </w:rPr>
        <w:t xml:space="preserve"> de partenariats et </w:t>
      </w:r>
      <w:r w:rsidR="00CE3F72" w:rsidRPr="00FB1BFA">
        <w:rPr>
          <w:lang w:val="fr-FR"/>
        </w:rPr>
        <w:t xml:space="preserve">par le biais </w:t>
      </w:r>
      <w:r w:rsidR="007362C3" w:rsidRPr="00FB1BFA">
        <w:rPr>
          <w:lang w:val="fr-FR"/>
        </w:rPr>
        <w:t>de la mobilisation de ressources, afin d'exécuter des pr</w:t>
      </w:r>
      <w:r w:rsidR="000B0350" w:rsidRPr="00FB1BFA">
        <w:rPr>
          <w:lang w:val="fr-FR"/>
        </w:rPr>
        <w:t>ojets relevant du plan d'action;</w:t>
      </w:r>
    </w:p>
    <w:p w14:paraId="4AEE5C3F" w14:textId="320A5C42" w:rsidR="000B0350" w:rsidRPr="00FB1BFA" w:rsidRDefault="0070610E" w:rsidP="00792001">
      <w:pPr>
        <w:pStyle w:val="enumlev2"/>
        <w:rPr>
          <w:lang w:val="fr-FR"/>
        </w:rPr>
      </w:pPr>
      <w:r w:rsidRPr="00FB1BFA">
        <w:rPr>
          <w:lang w:val="fr-FR"/>
        </w:rPr>
        <w:t>b)</w:t>
      </w:r>
      <w:r w:rsidRPr="00FB1BFA">
        <w:rPr>
          <w:lang w:val="fr-FR"/>
        </w:rPr>
        <w:tab/>
      </w:r>
      <w:r w:rsidR="008E6EFB" w:rsidRPr="00FB1BFA">
        <w:rPr>
          <w:lang w:val="fr-FR"/>
        </w:rPr>
        <w:t>d</w:t>
      </w:r>
      <w:r w:rsidR="000B0350" w:rsidRPr="00FB1BFA">
        <w:rPr>
          <w:lang w:val="fr-FR"/>
        </w:rPr>
        <w:t>es Résolutions et Recommandations</w:t>
      </w:r>
      <w:r w:rsidR="00CE3F72" w:rsidRPr="00FB1BFA">
        <w:rPr>
          <w:lang w:val="fr-FR"/>
        </w:rPr>
        <w:t>,</w:t>
      </w:r>
      <w:r w:rsidR="000B0350" w:rsidRPr="00FB1BFA">
        <w:rPr>
          <w:lang w:val="fr-FR"/>
        </w:rPr>
        <w:t xml:space="preserve"> nouvelles ou révisées;</w:t>
      </w:r>
    </w:p>
    <w:p w14:paraId="0885078D" w14:textId="797DBC1B" w:rsidR="0070610E" w:rsidRPr="00FB1BFA" w:rsidRDefault="0070610E" w:rsidP="00792001">
      <w:pPr>
        <w:pStyle w:val="enumlev2"/>
        <w:rPr>
          <w:lang w:val="fr-FR"/>
        </w:rPr>
      </w:pPr>
      <w:r w:rsidRPr="00FB1BFA">
        <w:rPr>
          <w:lang w:val="fr-FR"/>
        </w:rPr>
        <w:t>c)</w:t>
      </w:r>
      <w:r w:rsidRPr="00FB1BFA">
        <w:rPr>
          <w:lang w:val="fr-FR"/>
        </w:rPr>
        <w:tab/>
        <w:t>des Questions, nouvelles ou révisées, qui seront étudiées par les</w:t>
      </w:r>
      <w:r w:rsidR="00E27DA2" w:rsidRPr="00FB1BFA">
        <w:rPr>
          <w:lang w:val="fr-FR"/>
        </w:rPr>
        <w:t xml:space="preserve"> commissions d'études de l'UIT-D</w:t>
      </w:r>
      <w:r w:rsidRPr="00FB1BFA">
        <w:rPr>
          <w:lang w:val="fr-FR"/>
        </w:rPr>
        <w:t>.</w:t>
      </w:r>
    </w:p>
    <w:p w14:paraId="3A7E30EB" w14:textId="4E95135F" w:rsidR="008C5D39" w:rsidRPr="00FB1BFA" w:rsidRDefault="008C5D39" w:rsidP="00792001">
      <w:pPr>
        <w:rPr>
          <w:rFonts w:eastAsia="SimHei"/>
          <w:lang w:val="fr-FR"/>
        </w:rPr>
      </w:pPr>
      <w:r w:rsidRPr="00FB1BFA">
        <w:rPr>
          <w:rFonts w:eastAsia="SimHei"/>
          <w:lang w:val="fr-FR"/>
        </w:rPr>
        <w:t xml:space="preserve">La Déclaration et le plan d'action portent en général le nom du lieu où se tient la conférence. </w:t>
      </w:r>
      <w:r w:rsidR="00523322" w:rsidRPr="00FB1BFA">
        <w:rPr>
          <w:rFonts w:eastAsia="SimHei"/>
          <w:lang w:val="fr-FR"/>
        </w:rPr>
        <w:t xml:space="preserve">Le monde entier attend </w:t>
      </w:r>
      <w:r w:rsidR="00F76824" w:rsidRPr="00FB1BFA">
        <w:rPr>
          <w:rFonts w:eastAsia="SimHei"/>
          <w:lang w:val="fr-FR"/>
        </w:rPr>
        <w:t xml:space="preserve">donc </w:t>
      </w:r>
      <w:r w:rsidR="00523322" w:rsidRPr="00FB1BFA">
        <w:rPr>
          <w:rFonts w:eastAsia="SimHei"/>
          <w:lang w:val="fr-FR"/>
        </w:rPr>
        <w:t xml:space="preserve">avec intérêt une Déclaration de Kigali </w:t>
      </w:r>
      <w:r w:rsidR="003551E0" w:rsidRPr="00FB1BFA">
        <w:rPr>
          <w:rFonts w:eastAsia="SimHei"/>
          <w:lang w:val="fr-FR"/>
        </w:rPr>
        <w:t xml:space="preserve">solide et un Plan d'action de Kigali </w:t>
      </w:r>
      <w:r w:rsidR="00EF54AA" w:rsidRPr="00FB1BFA">
        <w:rPr>
          <w:rFonts w:eastAsia="SimHei"/>
          <w:lang w:val="fr-FR"/>
        </w:rPr>
        <w:t xml:space="preserve">axé sur les résultats, qui favoriseront une connectivité universelle </w:t>
      </w:r>
      <w:r w:rsidR="00BF5F00" w:rsidRPr="00FB1BFA">
        <w:rPr>
          <w:rFonts w:eastAsia="SimHei"/>
          <w:lang w:val="fr-FR"/>
        </w:rPr>
        <w:t>efficace ainsi qu'une transformation numérique durable.</w:t>
      </w:r>
    </w:p>
    <w:p w14:paraId="3A0E8C7B" w14:textId="22BC4B81" w:rsidR="0070610E" w:rsidRPr="00FB1BFA" w:rsidRDefault="005B3A6B" w:rsidP="00792001">
      <w:pPr>
        <w:rPr>
          <w:lang w:val="fr-FR"/>
        </w:rPr>
      </w:pPr>
      <w:r w:rsidRPr="00FB1BFA">
        <w:rPr>
          <w:lang w:val="fr-FR"/>
        </w:rPr>
        <w:t>On trouvera ci-après un résumé de la réunion.</w:t>
      </w:r>
    </w:p>
    <w:p w14:paraId="5B302426" w14:textId="0912540D" w:rsidR="0070610E" w:rsidRPr="00FB1BFA" w:rsidRDefault="0070610E" w:rsidP="00792001">
      <w:pPr>
        <w:pStyle w:val="Heading1"/>
        <w:rPr>
          <w:lang w:val="fr-FR"/>
        </w:rPr>
      </w:pPr>
      <w:r w:rsidRPr="00FB1BFA">
        <w:rPr>
          <w:lang w:val="fr-FR"/>
        </w:rPr>
        <w:t>1</w:t>
      </w:r>
      <w:r w:rsidRPr="00FB1BFA">
        <w:rPr>
          <w:lang w:val="fr-FR"/>
        </w:rPr>
        <w:tab/>
      </w:r>
      <w:r w:rsidR="00F37945" w:rsidRPr="00FB1BFA">
        <w:rPr>
          <w:lang w:val="fr-FR"/>
        </w:rPr>
        <w:t>Jeter les bases</w:t>
      </w:r>
    </w:p>
    <w:p w14:paraId="39F3DE27" w14:textId="419EE34F" w:rsidR="009A50FF" w:rsidRPr="00FB1BFA" w:rsidRDefault="001B0E3E" w:rsidP="00792001">
      <w:pPr>
        <w:rPr>
          <w:lang w:val="fr-FR"/>
        </w:rPr>
      </w:pPr>
      <w:r w:rsidRPr="00FB1BFA">
        <w:rPr>
          <w:lang w:val="fr-FR"/>
        </w:rPr>
        <w:t xml:space="preserve">La Directrice du BDT, </w:t>
      </w:r>
      <w:r w:rsidR="009A50FF" w:rsidRPr="00FB1BFA">
        <w:rPr>
          <w:lang w:val="fr-FR"/>
        </w:rPr>
        <w:t>Mme Doreen Bogdan-Martin</w:t>
      </w:r>
      <w:r w:rsidR="00792001" w:rsidRPr="00FB1BFA">
        <w:rPr>
          <w:lang w:val="fr-FR"/>
        </w:rPr>
        <w:t>,</w:t>
      </w:r>
      <w:r w:rsidR="009A50FF" w:rsidRPr="00FB1BFA">
        <w:rPr>
          <w:lang w:val="fr-FR"/>
        </w:rPr>
        <w:t xml:space="preserve"> a </w:t>
      </w:r>
      <w:r w:rsidRPr="00FB1BFA">
        <w:rPr>
          <w:lang w:val="fr-FR"/>
        </w:rPr>
        <w:t>souhaité la bienvenue aux</w:t>
      </w:r>
      <w:r w:rsidR="008A7992" w:rsidRPr="00FB1BFA">
        <w:rPr>
          <w:lang w:val="fr-FR"/>
        </w:rPr>
        <w:t xml:space="preserve"> participants en ces termes</w:t>
      </w:r>
      <w:r w:rsidR="007F21D8" w:rsidRPr="00FB1BFA">
        <w:rPr>
          <w:lang w:val="fr-FR"/>
        </w:rPr>
        <w:t>:</w:t>
      </w:r>
      <w:r w:rsidR="009A50FF" w:rsidRPr="00FB1BFA">
        <w:rPr>
          <w:lang w:val="fr-FR"/>
        </w:rPr>
        <w:t xml:space="preserve"> </w:t>
      </w:r>
      <w:r w:rsidR="007F21D8" w:rsidRPr="00FB1BFA">
        <w:rPr>
          <w:lang w:val="fr-FR"/>
        </w:rPr>
        <w:t>"</w:t>
      </w:r>
      <w:r w:rsidR="002B79E2" w:rsidRPr="00FB1BFA">
        <w:rPr>
          <w:lang w:val="fr-FR"/>
        </w:rPr>
        <w:t>G</w:t>
      </w:r>
      <w:r w:rsidR="005C0F1A" w:rsidRPr="00FB1BFA">
        <w:rPr>
          <w:lang w:val="fr-FR"/>
        </w:rPr>
        <w:t>râce à une préparation rigoureuse</w:t>
      </w:r>
      <w:r w:rsidR="002B79E2" w:rsidRPr="00FB1BFA">
        <w:rPr>
          <w:lang w:val="fr-FR"/>
        </w:rPr>
        <w:t>,</w:t>
      </w:r>
      <w:r w:rsidR="005C0F1A" w:rsidRPr="00FB1BFA">
        <w:rPr>
          <w:lang w:val="fr-FR"/>
        </w:rPr>
        <w:t xml:space="preserve"> nous ferons en sorte que nos efforts produisent les plus grandes retombées possibles </w:t>
      </w:r>
      <w:r w:rsidR="002B79E2" w:rsidRPr="00FB1BFA">
        <w:rPr>
          <w:lang w:val="fr-FR"/>
        </w:rPr>
        <w:t>avec des résultats clairs, concrets, applicables et mesurables</w:t>
      </w:r>
      <w:r w:rsidRPr="00FB1BFA">
        <w:rPr>
          <w:lang w:val="fr-FR"/>
        </w:rPr>
        <w:t>,</w:t>
      </w:r>
      <w:r w:rsidR="002B79E2" w:rsidRPr="00FB1BFA">
        <w:rPr>
          <w:lang w:val="fr-FR"/>
        </w:rPr>
        <w:t xml:space="preserve"> qui transformeront non seulement l'environnement numérique de demain, mais nos vies à tous".</w:t>
      </w:r>
    </w:p>
    <w:p w14:paraId="2AC2EDCA" w14:textId="31484096" w:rsidR="005232B8" w:rsidRPr="00FB1BFA" w:rsidRDefault="00D52FC9" w:rsidP="00792001">
      <w:pPr>
        <w:rPr>
          <w:lang w:val="fr-FR"/>
        </w:rPr>
      </w:pPr>
      <w:r w:rsidRPr="00FB1BFA">
        <w:rPr>
          <w:lang w:val="fr-FR"/>
        </w:rPr>
        <w:t xml:space="preserve">La Directrice </w:t>
      </w:r>
      <w:r w:rsidR="000A3D61" w:rsidRPr="00FB1BFA">
        <w:rPr>
          <w:lang w:val="fr-FR"/>
        </w:rPr>
        <w:t xml:space="preserve">a souhaité chaleureusement la bienvenue à Son Excellence </w:t>
      </w:r>
      <w:r w:rsidR="001110B1" w:rsidRPr="00FB1BFA">
        <w:rPr>
          <w:lang w:val="fr-FR"/>
        </w:rPr>
        <w:t>Mme la Ministre</w:t>
      </w:r>
      <w:r w:rsidR="003D23EE" w:rsidRPr="00FB1BFA">
        <w:rPr>
          <w:lang w:val="fr-FR"/>
        </w:rPr>
        <w:t xml:space="preserve"> </w:t>
      </w:r>
      <w:r w:rsidR="001110B1" w:rsidRPr="00FB1BFA">
        <w:rPr>
          <w:lang w:val="fr-FR"/>
        </w:rPr>
        <w:t>Paula</w:t>
      </w:r>
      <w:r w:rsidR="00D266D5" w:rsidRPr="00FB1BFA">
        <w:rPr>
          <w:lang w:val="fr-FR"/>
        </w:rPr>
        <w:t> </w:t>
      </w:r>
      <w:r w:rsidR="001110B1" w:rsidRPr="00FB1BFA">
        <w:rPr>
          <w:lang w:val="fr-FR"/>
        </w:rPr>
        <w:t xml:space="preserve">Ingabire et l'a remerciée pour </w:t>
      </w:r>
      <w:r w:rsidR="008008C6" w:rsidRPr="00FB1BFA">
        <w:rPr>
          <w:lang w:val="fr-FR"/>
        </w:rPr>
        <w:t>l</w:t>
      </w:r>
      <w:r w:rsidR="00D266D5" w:rsidRPr="00FB1BFA">
        <w:rPr>
          <w:lang w:val="fr-FR"/>
        </w:rPr>
        <w:t>'</w:t>
      </w:r>
      <w:r w:rsidR="008008C6" w:rsidRPr="00FB1BFA">
        <w:rPr>
          <w:lang w:val="fr-FR"/>
        </w:rPr>
        <w:t>importance que</w:t>
      </w:r>
      <w:r w:rsidR="001110B1" w:rsidRPr="00FB1BFA">
        <w:rPr>
          <w:lang w:val="fr-FR"/>
        </w:rPr>
        <w:t xml:space="preserve"> la République du Rwanda</w:t>
      </w:r>
      <w:r w:rsidR="00792001" w:rsidRPr="00FB1BFA">
        <w:rPr>
          <w:lang w:val="fr-FR"/>
        </w:rPr>
        <w:t xml:space="preserve"> </w:t>
      </w:r>
      <w:r w:rsidR="008008C6" w:rsidRPr="00FB1BFA">
        <w:rPr>
          <w:lang w:val="fr-FR"/>
        </w:rPr>
        <w:t>accorde aux</w:t>
      </w:r>
      <w:r w:rsidR="00792001" w:rsidRPr="00FB1BFA">
        <w:rPr>
          <w:lang w:val="fr-FR"/>
        </w:rPr>
        <w:t xml:space="preserve"> </w:t>
      </w:r>
      <w:r w:rsidR="008D65D2" w:rsidRPr="00FB1BFA">
        <w:rPr>
          <w:lang w:val="fr-FR"/>
        </w:rPr>
        <w:t xml:space="preserve">travaux de l'UIT </w:t>
      </w:r>
      <w:r w:rsidR="00813192" w:rsidRPr="00FB1BFA">
        <w:rPr>
          <w:lang w:val="fr-FR"/>
        </w:rPr>
        <w:t xml:space="preserve">en proposant d'accueillir une </w:t>
      </w:r>
      <w:r w:rsidR="008008C6" w:rsidRPr="00FB1BFA">
        <w:rPr>
          <w:lang w:val="fr-FR"/>
        </w:rPr>
        <w:t xml:space="preserve">grande </w:t>
      </w:r>
      <w:r w:rsidR="00813192" w:rsidRPr="00FB1BFA">
        <w:rPr>
          <w:lang w:val="fr-FR"/>
        </w:rPr>
        <w:t>conférence</w:t>
      </w:r>
      <w:r w:rsidR="00792001" w:rsidRPr="00FB1BFA">
        <w:rPr>
          <w:lang w:val="fr-FR"/>
        </w:rPr>
        <w:t xml:space="preserve"> </w:t>
      </w:r>
      <w:r w:rsidR="00813192" w:rsidRPr="00FB1BFA">
        <w:rPr>
          <w:lang w:val="fr-FR"/>
        </w:rPr>
        <w:t xml:space="preserve">d'une telle importance </w:t>
      </w:r>
      <w:r w:rsidR="008008C6" w:rsidRPr="00FB1BFA">
        <w:rPr>
          <w:lang w:val="fr-FR"/>
        </w:rPr>
        <w:t>à très bref</w:t>
      </w:r>
      <w:r w:rsidR="00792001" w:rsidRPr="00FB1BFA">
        <w:rPr>
          <w:lang w:val="fr-FR"/>
        </w:rPr>
        <w:t xml:space="preserve"> </w:t>
      </w:r>
      <w:r w:rsidR="00BA5085" w:rsidRPr="00FB1BFA">
        <w:rPr>
          <w:lang w:val="fr-FR"/>
        </w:rPr>
        <w:t>délai</w:t>
      </w:r>
      <w:r w:rsidR="00792001" w:rsidRPr="00FB1BFA">
        <w:rPr>
          <w:lang w:val="fr-FR"/>
        </w:rPr>
        <w:t>.</w:t>
      </w:r>
      <w:r w:rsidR="00BA5085" w:rsidRPr="00FB1BFA">
        <w:rPr>
          <w:lang w:val="fr-FR"/>
        </w:rPr>
        <w:t xml:space="preserve"> </w:t>
      </w:r>
      <w:r w:rsidR="00CD6356" w:rsidRPr="00FB1BFA">
        <w:rPr>
          <w:lang w:val="fr-FR"/>
        </w:rPr>
        <w:t xml:space="preserve">En ce qui concerne le Sommet mondial de la jeunesse </w:t>
      </w:r>
      <w:r w:rsidR="00277039" w:rsidRPr="00FB1BFA">
        <w:rPr>
          <w:lang w:val="fr-FR"/>
        </w:rPr>
        <w:t xml:space="preserve">organisé dans le cadre de l'initiative </w:t>
      </w:r>
      <w:r w:rsidR="008A41EC" w:rsidRPr="00FB1BFA">
        <w:rPr>
          <w:lang w:val="fr-FR"/>
        </w:rPr>
        <w:t>Generation Connect de l'UIT, la Directrice a fait</w:t>
      </w:r>
      <w:r w:rsidR="00792001" w:rsidRPr="00FB1BFA">
        <w:rPr>
          <w:lang w:val="fr-FR"/>
        </w:rPr>
        <w:t xml:space="preserve"> </w:t>
      </w:r>
      <w:r w:rsidR="00A458F2" w:rsidRPr="00FB1BFA">
        <w:rPr>
          <w:lang w:val="fr-FR"/>
        </w:rPr>
        <w:t xml:space="preserve">observer </w:t>
      </w:r>
      <w:r w:rsidR="008A41EC" w:rsidRPr="00FB1BFA">
        <w:rPr>
          <w:lang w:val="fr-FR"/>
        </w:rPr>
        <w:t>ce qui suit: "</w:t>
      </w:r>
      <w:r w:rsidR="00A414F1" w:rsidRPr="00FB1BFA">
        <w:rPr>
          <w:lang w:val="fr-FR"/>
        </w:rPr>
        <w:t xml:space="preserve">Fort </w:t>
      </w:r>
      <w:r w:rsidR="00A458F2" w:rsidRPr="00FB1BFA">
        <w:rPr>
          <w:lang w:val="fr-FR"/>
        </w:rPr>
        <w:t>d</w:t>
      </w:r>
      <w:r w:rsidR="00D266D5" w:rsidRPr="00FB1BFA">
        <w:rPr>
          <w:lang w:val="fr-FR"/>
        </w:rPr>
        <w:t>'</w:t>
      </w:r>
      <w:r w:rsidR="00A458F2" w:rsidRPr="00FB1BFA">
        <w:rPr>
          <w:lang w:val="fr-FR"/>
        </w:rPr>
        <w:t>une</w:t>
      </w:r>
      <w:r w:rsidR="00A414F1" w:rsidRPr="00FB1BFA">
        <w:rPr>
          <w:lang w:val="fr-FR"/>
        </w:rPr>
        <w:t xml:space="preserve"> jeunesse</w:t>
      </w:r>
      <w:r w:rsidR="00A458F2" w:rsidRPr="00FB1BFA">
        <w:rPr>
          <w:lang w:val="fr-FR"/>
        </w:rPr>
        <w:t xml:space="preserve"> nombreuse et</w:t>
      </w:r>
      <w:r w:rsidR="00792001" w:rsidRPr="00FB1BFA">
        <w:rPr>
          <w:lang w:val="fr-FR"/>
        </w:rPr>
        <w:t xml:space="preserve"> </w:t>
      </w:r>
      <w:r w:rsidR="00A458F2" w:rsidRPr="00FB1BFA">
        <w:rPr>
          <w:color w:val="000000"/>
          <w:lang w:val="fr-FR"/>
        </w:rPr>
        <w:t>férue de technologies</w:t>
      </w:r>
      <w:r w:rsidR="00792001" w:rsidRPr="00FB1BFA">
        <w:rPr>
          <w:lang w:val="fr-FR"/>
        </w:rPr>
        <w:t>,</w:t>
      </w:r>
      <w:r w:rsidR="00A414F1" w:rsidRPr="00FB1BFA">
        <w:rPr>
          <w:lang w:val="fr-FR"/>
        </w:rPr>
        <w:t xml:space="preserve"> le Rwanda </w:t>
      </w:r>
      <w:r w:rsidR="00520DA8" w:rsidRPr="00FB1BFA">
        <w:rPr>
          <w:lang w:val="fr-FR"/>
        </w:rPr>
        <w:t>est le lieu idéal pour que nos jeunes délégué</w:t>
      </w:r>
      <w:r w:rsidR="003C040D" w:rsidRPr="00FB1BFA">
        <w:rPr>
          <w:lang w:val="fr-FR"/>
        </w:rPr>
        <w:t>s</w:t>
      </w:r>
      <w:r w:rsidR="00792001" w:rsidRPr="00FB1BFA">
        <w:rPr>
          <w:lang w:val="fr-FR"/>
        </w:rPr>
        <w:t xml:space="preserve"> </w:t>
      </w:r>
      <w:r w:rsidR="00A458F2" w:rsidRPr="00FB1BFA">
        <w:rPr>
          <w:lang w:val="fr-FR"/>
        </w:rPr>
        <w:t>puissent se rencontrer</w:t>
      </w:r>
      <w:r w:rsidR="00792001" w:rsidRPr="00FB1BFA">
        <w:rPr>
          <w:lang w:val="fr-FR"/>
        </w:rPr>
        <w:t xml:space="preserve"> </w:t>
      </w:r>
      <w:r w:rsidR="003C040D" w:rsidRPr="00FB1BFA">
        <w:rPr>
          <w:lang w:val="fr-FR"/>
        </w:rPr>
        <w:t xml:space="preserve">pour </w:t>
      </w:r>
      <w:r w:rsidR="00D2178B" w:rsidRPr="00FB1BFA">
        <w:rPr>
          <w:lang w:val="fr-FR"/>
        </w:rPr>
        <w:t>débattre des</w:t>
      </w:r>
      <w:r w:rsidR="003C040D" w:rsidRPr="00FB1BFA">
        <w:rPr>
          <w:lang w:val="fr-FR"/>
        </w:rPr>
        <w:t xml:space="preserve"> nombreuses questions </w:t>
      </w:r>
      <w:r w:rsidR="00A458F2" w:rsidRPr="00FB1BFA">
        <w:rPr>
          <w:lang w:val="fr-FR"/>
        </w:rPr>
        <w:t>qui se font jour concernant les</w:t>
      </w:r>
      <w:r w:rsidR="003C040D" w:rsidRPr="00FB1BFA">
        <w:rPr>
          <w:lang w:val="fr-FR"/>
        </w:rPr>
        <w:t xml:space="preserve"> technologies numériques et </w:t>
      </w:r>
      <w:r w:rsidR="00A458F2" w:rsidRPr="00FB1BFA">
        <w:rPr>
          <w:lang w:val="fr-FR"/>
        </w:rPr>
        <w:t xml:space="preserve">les </w:t>
      </w:r>
      <w:r w:rsidR="003C040D" w:rsidRPr="00FB1BFA">
        <w:rPr>
          <w:lang w:val="fr-FR"/>
        </w:rPr>
        <w:t>possibilités qu'elles offrent</w:t>
      </w:r>
      <w:r w:rsidR="00792001" w:rsidRPr="00FB1BFA">
        <w:rPr>
          <w:lang w:val="fr-FR"/>
        </w:rPr>
        <w:t xml:space="preserve"> </w:t>
      </w:r>
      <w:r w:rsidR="00A458F2" w:rsidRPr="00FB1BFA">
        <w:rPr>
          <w:lang w:val="fr-FR"/>
        </w:rPr>
        <w:t>au service du</w:t>
      </w:r>
      <w:r w:rsidR="00343890" w:rsidRPr="00FB1BFA">
        <w:rPr>
          <w:lang w:val="fr-FR"/>
        </w:rPr>
        <w:t xml:space="preserve"> développement</w:t>
      </w:r>
      <w:r w:rsidR="00CA713C" w:rsidRPr="00FB1BFA">
        <w:rPr>
          <w:lang w:val="fr-FR"/>
        </w:rPr>
        <w:t xml:space="preserve">". </w:t>
      </w:r>
      <w:r w:rsidR="00A458F2" w:rsidRPr="00FB1BFA">
        <w:rPr>
          <w:rFonts w:asciiTheme="minorHAnsi" w:hAnsiTheme="minorHAnsi" w:cs="Arial"/>
          <w:lang w:val="fr-FR"/>
        </w:rPr>
        <w:t>Pour</w:t>
      </w:r>
      <w:r w:rsidR="00792001" w:rsidRPr="00FB1BFA">
        <w:rPr>
          <w:rFonts w:asciiTheme="minorHAnsi" w:hAnsiTheme="minorHAnsi" w:cs="Arial"/>
          <w:lang w:val="fr-FR"/>
        </w:rPr>
        <w:t xml:space="preserve"> </w:t>
      </w:r>
      <w:r w:rsidR="005232B8" w:rsidRPr="00FB1BFA">
        <w:rPr>
          <w:rFonts w:asciiTheme="minorHAnsi" w:hAnsiTheme="minorHAnsi" w:cs="Arial"/>
          <w:lang w:val="fr-FR"/>
        </w:rPr>
        <w:t xml:space="preserve">ce qui </w:t>
      </w:r>
      <w:r w:rsidR="00A458F2" w:rsidRPr="00FB1BFA">
        <w:rPr>
          <w:rFonts w:asciiTheme="minorHAnsi" w:hAnsiTheme="minorHAnsi" w:cs="Arial"/>
          <w:lang w:val="fr-FR"/>
        </w:rPr>
        <w:t>est de</w:t>
      </w:r>
      <w:r w:rsidR="00792001" w:rsidRPr="00FB1BFA">
        <w:rPr>
          <w:rFonts w:asciiTheme="minorHAnsi" w:hAnsiTheme="minorHAnsi" w:cs="Arial"/>
          <w:lang w:val="fr-FR"/>
        </w:rPr>
        <w:t xml:space="preserve"> </w:t>
      </w:r>
      <w:r w:rsidR="005232B8" w:rsidRPr="00FB1BFA">
        <w:rPr>
          <w:rFonts w:asciiTheme="minorHAnsi" w:hAnsiTheme="minorHAnsi" w:cs="Arial"/>
          <w:lang w:val="fr-FR"/>
        </w:rPr>
        <w:t xml:space="preserve">la Table ronde "Partner2Connect" pour le développement du numérique, la Directrice a </w:t>
      </w:r>
      <w:r w:rsidR="002D1B0B" w:rsidRPr="00FB1BFA">
        <w:rPr>
          <w:rFonts w:asciiTheme="minorHAnsi" w:hAnsiTheme="minorHAnsi" w:cs="Arial"/>
          <w:lang w:val="fr-FR"/>
        </w:rPr>
        <w:lastRenderedPageBreak/>
        <w:t>indiqué ce qui suit: "</w:t>
      </w:r>
      <w:r w:rsidR="00267A4E" w:rsidRPr="00FB1BFA">
        <w:rPr>
          <w:rFonts w:asciiTheme="minorHAnsi" w:hAnsiTheme="minorHAnsi" w:cs="Arial"/>
          <w:lang w:val="fr-FR"/>
        </w:rPr>
        <w:t xml:space="preserve">Je </w:t>
      </w:r>
      <w:r w:rsidR="009211AC" w:rsidRPr="00FB1BFA">
        <w:rPr>
          <w:rFonts w:asciiTheme="minorHAnsi" w:hAnsiTheme="minorHAnsi" w:cs="Arial"/>
          <w:lang w:val="fr-FR"/>
        </w:rPr>
        <w:t xml:space="preserve">prends </w:t>
      </w:r>
      <w:r w:rsidR="00267A4E" w:rsidRPr="00FB1BFA">
        <w:rPr>
          <w:rFonts w:asciiTheme="minorHAnsi" w:hAnsiTheme="minorHAnsi" w:cs="Arial"/>
          <w:lang w:val="fr-FR"/>
        </w:rPr>
        <w:t>note avec beaucoup de satisfaction</w:t>
      </w:r>
      <w:r w:rsidR="00D266D5" w:rsidRPr="00FB1BFA">
        <w:rPr>
          <w:rFonts w:asciiTheme="minorHAnsi" w:hAnsiTheme="minorHAnsi" w:cs="Arial"/>
          <w:lang w:val="fr-FR"/>
        </w:rPr>
        <w:t xml:space="preserve"> </w:t>
      </w:r>
      <w:r w:rsidR="009211AC" w:rsidRPr="00FB1BFA">
        <w:rPr>
          <w:rFonts w:asciiTheme="minorHAnsi" w:hAnsiTheme="minorHAnsi" w:cs="Arial"/>
          <w:lang w:val="fr-FR"/>
        </w:rPr>
        <w:t>des</w:t>
      </w:r>
      <w:r w:rsidR="00792001" w:rsidRPr="00FB1BFA">
        <w:rPr>
          <w:rFonts w:asciiTheme="minorHAnsi" w:hAnsiTheme="minorHAnsi" w:cs="Arial"/>
          <w:lang w:val="fr-FR"/>
        </w:rPr>
        <w:t xml:space="preserve"> </w:t>
      </w:r>
      <w:r w:rsidR="00215552" w:rsidRPr="00FB1BFA">
        <w:rPr>
          <w:rFonts w:asciiTheme="minorHAnsi" w:hAnsiTheme="minorHAnsi" w:cs="Arial"/>
          <w:lang w:val="fr-FR"/>
        </w:rPr>
        <w:t xml:space="preserve">premières </w:t>
      </w:r>
      <w:r w:rsidR="00FB75C5" w:rsidRPr="00FB1BFA">
        <w:rPr>
          <w:rFonts w:asciiTheme="minorHAnsi" w:hAnsiTheme="minorHAnsi" w:cs="Arial"/>
          <w:lang w:val="fr-FR"/>
        </w:rPr>
        <w:t xml:space="preserve">réactions </w:t>
      </w:r>
      <w:r w:rsidR="00762E52" w:rsidRPr="00FB1BFA">
        <w:rPr>
          <w:rFonts w:asciiTheme="minorHAnsi" w:hAnsiTheme="minorHAnsi" w:cs="Arial"/>
          <w:lang w:val="fr-FR"/>
        </w:rPr>
        <w:t xml:space="preserve">des membres de l'UIT, qui je l'espère se traduiront par des engagements </w:t>
      </w:r>
      <w:r w:rsidR="00CF6BA4" w:rsidRPr="00FB1BFA">
        <w:rPr>
          <w:rFonts w:asciiTheme="minorHAnsi" w:hAnsiTheme="minorHAnsi" w:cs="Arial"/>
          <w:lang w:val="fr-FR"/>
        </w:rPr>
        <w:t xml:space="preserve">sérieux et concrets </w:t>
      </w:r>
      <w:r w:rsidR="00521427" w:rsidRPr="00FB1BFA">
        <w:rPr>
          <w:rFonts w:asciiTheme="minorHAnsi" w:hAnsiTheme="minorHAnsi" w:cs="Arial"/>
          <w:lang w:val="fr-FR"/>
        </w:rPr>
        <w:t>lorsque nous</w:t>
      </w:r>
      <w:r w:rsidR="00792001" w:rsidRPr="00FB1BFA">
        <w:rPr>
          <w:rFonts w:asciiTheme="minorHAnsi" w:hAnsiTheme="minorHAnsi" w:cs="Arial"/>
          <w:lang w:val="fr-FR"/>
        </w:rPr>
        <w:t xml:space="preserve"> </w:t>
      </w:r>
      <w:r w:rsidR="009211AC" w:rsidRPr="00FB1BFA">
        <w:rPr>
          <w:rFonts w:asciiTheme="minorHAnsi" w:hAnsiTheme="minorHAnsi" w:cs="Arial"/>
          <w:lang w:val="fr-FR"/>
        </w:rPr>
        <w:t xml:space="preserve">lancerons </w:t>
      </w:r>
      <w:r w:rsidR="00521427" w:rsidRPr="00FB1BFA">
        <w:rPr>
          <w:rFonts w:asciiTheme="minorHAnsi" w:hAnsiTheme="minorHAnsi" w:cs="Arial"/>
          <w:lang w:val="fr-FR"/>
        </w:rPr>
        <w:t>officiellement</w:t>
      </w:r>
      <w:r w:rsidR="009211AC" w:rsidRPr="00FB1BFA">
        <w:rPr>
          <w:rFonts w:asciiTheme="minorHAnsi" w:hAnsiTheme="minorHAnsi" w:cs="Arial"/>
          <w:lang w:val="fr-FR"/>
        </w:rPr>
        <w:t>, le 16 mars 2022,</w:t>
      </w:r>
      <w:r w:rsidR="00792001" w:rsidRPr="00FB1BFA">
        <w:rPr>
          <w:rFonts w:asciiTheme="minorHAnsi" w:hAnsiTheme="minorHAnsi" w:cs="Arial"/>
          <w:lang w:val="fr-FR"/>
        </w:rPr>
        <w:t xml:space="preserve"> </w:t>
      </w:r>
      <w:r w:rsidR="00521427" w:rsidRPr="00FB1BFA">
        <w:rPr>
          <w:rFonts w:asciiTheme="minorHAnsi" w:hAnsiTheme="minorHAnsi" w:cs="Arial"/>
          <w:lang w:val="fr-FR"/>
        </w:rPr>
        <w:t xml:space="preserve">notre plate-forme </w:t>
      </w:r>
      <w:r w:rsidR="004F5944" w:rsidRPr="00FB1BFA">
        <w:rPr>
          <w:rFonts w:asciiTheme="minorHAnsi" w:hAnsiTheme="minorHAnsi" w:cs="Arial"/>
          <w:lang w:val="fr-FR"/>
        </w:rPr>
        <w:t>de soumission des engagements au titre de l'initiative P2C".</w:t>
      </w:r>
    </w:p>
    <w:p w14:paraId="29BC7CFC" w14:textId="2E255367" w:rsidR="00E61A3C" w:rsidRPr="00FB1BFA" w:rsidRDefault="00E61A3C" w:rsidP="00792001">
      <w:pPr>
        <w:rPr>
          <w:lang w:val="fr-FR"/>
        </w:rPr>
      </w:pPr>
      <w:r w:rsidRPr="00FB1BFA">
        <w:rPr>
          <w:lang w:val="fr-FR"/>
        </w:rPr>
        <w:t>Son Excellence Mme Paula Ingabire</w:t>
      </w:r>
      <w:r w:rsidR="009211AC" w:rsidRPr="00FB1BFA">
        <w:rPr>
          <w:lang w:val="fr-FR"/>
        </w:rPr>
        <w:t xml:space="preserve"> s</w:t>
      </w:r>
      <w:r w:rsidR="00D266D5" w:rsidRPr="00FB1BFA">
        <w:rPr>
          <w:lang w:val="fr-FR"/>
        </w:rPr>
        <w:t>'</w:t>
      </w:r>
      <w:r w:rsidR="009211AC" w:rsidRPr="00FB1BFA">
        <w:rPr>
          <w:lang w:val="fr-FR"/>
        </w:rPr>
        <w:t>est dite</w:t>
      </w:r>
      <w:r w:rsidR="00EA3F66" w:rsidRPr="00FB1BFA">
        <w:rPr>
          <w:lang w:val="fr-FR"/>
        </w:rPr>
        <w:t xml:space="preserve"> honorée d'avoir été élue </w:t>
      </w:r>
      <w:r w:rsidR="00E51E5F" w:rsidRPr="00FB1BFA">
        <w:rPr>
          <w:lang w:val="fr-FR"/>
        </w:rPr>
        <w:t>Présidente de l</w:t>
      </w:r>
      <w:r w:rsidR="009211AC" w:rsidRPr="00FB1BFA">
        <w:rPr>
          <w:lang w:val="fr-FR"/>
        </w:rPr>
        <w:t>a réunion</w:t>
      </w:r>
      <w:r w:rsidR="00D266D5" w:rsidRPr="00FB1BFA">
        <w:rPr>
          <w:lang w:val="fr-FR"/>
        </w:rPr>
        <w:t> </w:t>
      </w:r>
      <w:r w:rsidR="00E51E5F" w:rsidRPr="00FB1BFA">
        <w:rPr>
          <w:lang w:val="fr-FR"/>
        </w:rPr>
        <w:t xml:space="preserve">IRM-3 et Présidente désignée de la CMDT. </w:t>
      </w:r>
      <w:r w:rsidR="00641918" w:rsidRPr="00FB1BFA">
        <w:rPr>
          <w:lang w:val="fr-FR"/>
        </w:rPr>
        <w:t xml:space="preserve">Elle a souligné que </w:t>
      </w:r>
      <w:r w:rsidR="0079071A" w:rsidRPr="00FB1BFA">
        <w:rPr>
          <w:lang w:val="fr-FR"/>
        </w:rPr>
        <w:t>la vocation des</w:t>
      </w:r>
      <w:r w:rsidR="00641918" w:rsidRPr="00FB1BFA">
        <w:rPr>
          <w:lang w:val="fr-FR"/>
        </w:rPr>
        <w:t xml:space="preserve"> IRM </w:t>
      </w:r>
      <w:r w:rsidR="0079071A" w:rsidRPr="00FB1BFA">
        <w:rPr>
          <w:lang w:val="fr-FR"/>
        </w:rPr>
        <w:t>était</w:t>
      </w:r>
      <w:r w:rsidR="007769D2" w:rsidRPr="00FB1BFA">
        <w:rPr>
          <w:lang w:val="fr-FR"/>
        </w:rPr>
        <w:t xml:space="preserve"> </w:t>
      </w:r>
      <w:r w:rsidR="00002024" w:rsidRPr="00FB1BFA">
        <w:rPr>
          <w:lang w:val="fr-FR"/>
        </w:rPr>
        <w:t xml:space="preserve">d'offrir </w:t>
      </w:r>
      <w:r w:rsidR="007008E8" w:rsidRPr="00FB1BFA">
        <w:rPr>
          <w:lang w:val="fr-FR"/>
        </w:rPr>
        <w:t>u</w:t>
      </w:r>
      <w:r w:rsidR="0061663D" w:rsidRPr="00FB1BFA">
        <w:rPr>
          <w:lang w:val="fr-FR"/>
        </w:rPr>
        <w:t>ne tribun</w:t>
      </w:r>
      <w:r w:rsidR="007008E8" w:rsidRPr="00FB1BFA">
        <w:rPr>
          <w:lang w:val="fr-FR"/>
        </w:rPr>
        <w:t xml:space="preserve">e pour </w:t>
      </w:r>
      <w:r w:rsidR="00002024" w:rsidRPr="00FB1BFA">
        <w:rPr>
          <w:lang w:val="fr-FR"/>
        </w:rPr>
        <w:t xml:space="preserve">améliorer le processus </w:t>
      </w:r>
      <w:r w:rsidR="00293B1B" w:rsidRPr="00FB1BFA">
        <w:rPr>
          <w:lang w:val="fr-FR"/>
        </w:rPr>
        <w:t>de préparation</w:t>
      </w:r>
      <w:r w:rsidR="00002024" w:rsidRPr="00FB1BFA">
        <w:rPr>
          <w:lang w:val="fr-FR"/>
        </w:rPr>
        <w:t xml:space="preserve"> et </w:t>
      </w:r>
      <w:r w:rsidR="00293B1B" w:rsidRPr="00FB1BFA">
        <w:rPr>
          <w:lang w:val="fr-FR"/>
        </w:rPr>
        <w:t>produire</w:t>
      </w:r>
      <w:r w:rsidR="00002024" w:rsidRPr="00FB1BFA">
        <w:rPr>
          <w:lang w:val="fr-FR"/>
        </w:rPr>
        <w:t xml:space="preserve"> des résultats concrets</w:t>
      </w:r>
      <w:r w:rsidR="009211AC" w:rsidRPr="00FB1BFA">
        <w:rPr>
          <w:lang w:val="fr-FR"/>
        </w:rPr>
        <w:t>,</w:t>
      </w:r>
      <w:r w:rsidR="00002024" w:rsidRPr="00FB1BFA">
        <w:rPr>
          <w:lang w:val="fr-FR"/>
        </w:rPr>
        <w:t xml:space="preserve"> en </w:t>
      </w:r>
      <w:r w:rsidR="00293B1B" w:rsidRPr="00FB1BFA">
        <w:rPr>
          <w:lang w:val="fr-FR"/>
        </w:rPr>
        <w:t>encourageant l'établissement d'un consensus sur les principales questions</w:t>
      </w:r>
      <w:r w:rsidR="00792001" w:rsidRPr="00FB1BFA">
        <w:rPr>
          <w:lang w:val="fr-FR"/>
        </w:rPr>
        <w:t xml:space="preserve"> </w:t>
      </w:r>
      <w:r w:rsidR="009211AC" w:rsidRPr="00FB1BFA">
        <w:rPr>
          <w:lang w:val="fr-FR"/>
        </w:rPr>
        <w:t xml:space="preserve">présentées </w:t>
      </w:r>
      <w:r w:rsidR="008F46B4" w:rsidRPr="00FB1BFA">
        <w:rPr>
          <w:lang w:val="fr-FR"/>
        </w:rPr>
        <w:t xml:space="preserve">pour examen et décision à la CMDT. </w:t>
      </w:r>
      <w:r w:rsidR="003C6F76" w:rsidRPr="00FB1BFA">
        <w:rPr>
          <w:lang w:val="fr-FR"/>
        </w:rPr>
        <w:t xml:space="preserve">À cet égard, elle a remercié son homologue le Ministre de l'Éthiopie, Son Excellence M. Ahmedin Mohammed, </w:t>
      </w:r>
      <w:r w:rsidR="00BC6E3A" w:rsidRPr="00FB1BFA">
        <w:rPr>
          <w:lang w:val="fr-FR"/>
        </w:rPr>
        <w:t xml:space="preserve">Ministre d'État du Ministère de l'innovation et des </w:t>
      </w:r>
      <w:r w:rsidR="00E123F2" w:rsidRPr="00FB1BFA">
        <w:rPr>
          <w:lang w:val="fr-FR"/>
        </w:rPr>
        <w:t>technologies</w:t>
      </w:r>
      <w:r w:rsidR="009211AC" w:rsidRPr="00FB1BFA">
        <w:rPr>
          <w:lang w:val="fr-FR"/>
        </w:rPr>
        <w:t>,</w:t>
      </w:r>
      <w:r w:rsidR="00792001" w:rsidRPr="00FB1BFA">
        <w:rPr>
          <w:lang w:val="fr-FR"/>
        </w:rPr>
        <w:t xml:space="preserve"> </w:t>
      </w:r>
      <w:r w:rsidR="00E123F2" w:rsidRPr="00FB1BFA">
        <w:rPr>
          <w:lang w:val="fr-FR"/>
        </w:rPr>
        <w:t>ainsi que Mme Roxann</w:t>
      </w:r>
      <w:r w:rsidR="00BC6E3A" w:rsidRPr="00FB1BFA">
        <w:rPr>
          <w:lang w:val="fr-FR"/>
        </w:rPr>
        <w:t xml:space="preserve">e McElvane Webber (États-Unis), Présidente du GCDT, </w:t>
      </w:r>
      <w:r w:rsidR="00AB3AF4" w:rsidRPr="00FB1BFA">
        <w:rPr>
          <w:lang w:val="fr-FR"/>
        </w:rPr>
        <w:t xml:space="preserve">d'avoir présidé </w:t>
      </w:r>
      <w:r w:rsidR="009211AC" w:rsidRPr="00FB1BFA">
        <w:rPr>
          <w:lang w:val="fr-FR"/>
        </w:rPr>
        <w:t xml:space="preserve">respectivement </w:t>
      </w:r>
      <w:r w:rsidR="00AB3AF4" w:rsidRPr="00FB1BFA">
        <w:rPr>
          <w:lang w:val="fr-FR"/>
        </w:rPr>
        <w:t>la première et la deuxième IRM</w:t>
      </w:r>
      <w:r w:rsidR="00792001" w:rsidRPr="00FB1BFA">
        <w:rPr>
          <w:lang w:val="fr-FR"/>
        </w:rPr>
        <w:t>.</w:t>
      </w:r>
      <w:r w:rsidR="00AB3AF4" w:rsidRPr="00FB1BFA">
        <w:rPr>
          <w:lang w:val="fr-FR"/>
        </w:rPr>
        <w:t xml:space="preserve"> "</w:t>
      </w:r>
      <w:r w:rsidR="009211AC" w:rsidRPr="00FB1BFA">
        <w:rPr>
          <w:lang w:val="fr-FR"/>
        </w:rPr>
        <w:t>Le</w:t>
      </w:r>
      <w:r w:rsidR="00792001" w:rsidRPr="00FB1BFA">
        <w:rPr>
          <w:lang w:val="fr-FR"/>
        </w:rPr>
        <w:t xml:space="preserve"> </w:t>
      </w:r>
      <w:r w:rsidR="00461040" w:rsidRPr="00FB1BFA">
        <w:rPr>
          <w:lang w:val="fr-FR"/>
        </w:rPr>
        <w:t>trava</w:t>
      </w:r>
      <w:r w:rsidR="009211AC" w:rsidRPr="00FB1BFA">
        <w:rPr>
          <w:lang w:val="fr-FR"/>
        </w:rPr>
        <w:t>il</w:t>
      </w:r>
      <w:r w:rsidR="00792001" w:rsidRPr="00FB1BFA">
        <w:rPr>
          <w:lang w:val="fr-FR"/>
        </w:rPr>
        <w:t xml:space="preserve"> </w:t>
      </w:r>
      <w:r w:rsidR="00461040" w:rsidRPr="00FB1BFA">
        <w:rPr>
          <w:lang w:val="fr-FR"/>
        </w:rPr>
        <w:t xml:space="preserve">qu'ils </w:t>
      </w:r>
      <w:r w:rsidR="009211AC" w:rsidRPr="00FB1BFA">
        <w:rPr>
          <w:lang w:val="fr-FR"/>
        </w:rPr>
        <w:t>accomplissent</w:t>
      </w:r>
      <w:r w:rsidR="00792001" w:rsidRPr="00FB1BFA">
        <w:rPr>
          <w:lang w:val="fr-FR"/>
        </w:rPr>
        <w:t xml:space="preserve"> </w:t>
      </w:r>
      <w:r w:rsidR="00461040" w:rsidRPr="00FB1BFA">
        <w:rPr>
          <w:lang w:val="fr-FR"/>
        </w:rPr>
        <w:t xml:space="preserve">aujourd'hui sont </w:t>
      </w:r>
      <w:r w:rsidR="009211AC" w:rsidRPr="00FB1BFA">
        <w:rPr>
          <w:lang w:val="fr-FR"/>
        </w:rPr>
        <w:t xml:space="preserve">grandement </w:t>
      </w:r>
      <w:r w:rsidR="00461040" w:rsidRPr="00FB1BFA">
        <w:rPr>
          <w:lang w:val="fr-FR"/>
        </w:rPr>
        <w:t>appréciés et reconnus", a indiqué la Ministre.</w:t>
      </w:r>
    </w:p>
    <w:p w14:paraId="42A9C806" w14:textId="0BBDF12A" w:rsidR="00A07ECE" w:rsidRPr="00FB1BFA" w:rsidRDefault="006B04EE" w:rsidP="00792001">
      <w:pPr>
        <w:rPr>
          <w:lang w:val="fr-FR"/>
        </w:rPr>
      </w:pPr>
      <w:r w:rsidRPr="00FB1BFA">
        <w:rPr>
          <w:lang w:val="fr-FR"/>
        </w:rPr>
        <w:t xml:space="preserve">Soulignant les principaux résultats attendus de la CMDT, la Ministre a </w:t>
      </w:r>
      <w:r w:rsidR="00824004" w:rsidRPr="00FB1BFA">
        <w:rPr>
          <w:lang w:val="fr-FR"/>
        </w:rPr>
        <w:t xml:space="preserve">fait observer que le plan d'action qui </w:t>
      </w:r>
      <w:r w:rsidR="00842249" w:rsidRPr="00FB1BFA">
        <w:rPr>
          <w:lang w:val="fr-FR"/>
        </w:rPr>
        <w:t>serait adopté</w:t>
      </w:r>
      <w:r w:rsidR="004D335F" w:rsidRPr="00FB1BFA">
        <w:rPr>
          <w:lang w:val="fr-FR"/>
        </w:rPr>
        <w:t xml:space="preserve"> par la conférence </w:t>
      </w:r>
      <w:r w:rsidR="00105E55" w:rsidRPr="00FB1BFA">
        <w:rPr>
          <w:lang w:val="fr-FR"/>
        </w:rPr>
        <w:t>fournira</w:t>
      </w:r>
      <w:r w:rsidR="00F7310B" w:rsidRPr="00FB1BFA">
        <w:rPr>
          <w:lang w:val="fr-FR"/>
        </w:rPr>
        <w:t>it</w:t>
      </w:r>
      <w:r w:rsidR="00105E55" w:rsidRPr="00FB1BFA">
        <w:rPr>
          <w:lang w:val="fr-FR"/>
        </w:rPr>
        <w:t xml:space="preserve"> le cadre thématique </w:t>
      </w:r>
      <w:r w:rsidR="009211AC" w:rsidRPr="00FB1BFA">
        <w:rPr>
          <w:lang w:val="fr-FR"/>
        </w:rPr>
        <w:t>dans</w:t>
      </w:r>
      <w:r w:rsidR="00792001" w:rsidRPr="00FB1BFA">
        <w:rPr>
          <w:lang w:val="fr-FR"/>
        </w:rPr>
        <w:t xml:space="preserve"> </w:t>
      </w:r>
      <w:r w:rsidR="005F0A20" w:rsidRPr="00FB1BFA">
        <w:rPr>
          <w:lang w:val="fr-FR"/>
        </w:rPr>
        <w:t>lequel</w:t>
      </w:r>
      <w:r w:rsidR="00105E55" w:rsidRPr="00FB1BFA">
        <w:rPr>
          <w:lang w:val="fr-FR"/>
        </w:rPr>
        <w:t xml:space="preserve"> le BDT sera</w:t>
      </w:r>
      <w:r w:rsidR="00F7310B" w:rsidRPr="00FB1BFA">
        <w:rPr>
          <w:lang w:val="fr-FR"/>
        </w:rPr>
        <w:t>it</w:t>
      </w:r>
      <w:r w:rsidR="00105E55" w:rsidRPr="00FB1BFA">
        <w:rPr>
          <w:lang w:val="fr-FR"/>
        </w:rPr>
        <w:t xml:space="preserve"> censé </w:t>
      </w:r>
      <w:r w:rsidR="005F0A20" w:rsidRPr="00FB1BFA">
        <w:rPr>
          <w:lang w:val="fr-FR"/>
        </w:rPr>
        <w:t xml:space="preserve">intervenir de façon efficace </w:t>
      </w:r>
      <w:r w:rsidR="00931CEB" w:rsidRPr="00FB1BFA">
        <w:rPr>
          <w:lang w:val="fr-FR"/>
        </w:rPr>
        <w:t>au cours des années à venir</w:t>
      </w:r>
      <w:r w:rsidR="00792001" w:rsidRPr="00FB1BFA">
        <w:rPr>
          <w:lang w:val="fr-FR"/>
        </w:rPr>
        <w:t xml:space="preserve"> </w:t>
      </w:r>
      <w:r w:rsidR="002626F0" w:rsidRPr="00FB1BFA">
        <w:rPr>
          <w:lang w:val="fr-FR"/>
        </w:rPr>
        <w:t xml:space="preserve">et </w:t>
      </w:r>
      <w:r w:rsidR="003C0719" w:rsidRPr="00FB1BFA">
        <w:rPr>
          <w:lang w:val="fr-FR"/>
        </w:rPr>
        <w:t>qu'à travers la Déc</w:t>
      </w:r>
      <w:r w:rsidR="0005522C" w:rsidRPr="00FB1BFA">
        <w:rPr>
          <w:lang w:val="fr-FR"/>
        </w:rPr>
        <w:t>laration, les membres s'engageraie</w:t>
      </w:r>
      <w:r w:rsidR="003C0719" w:rsidRPr="00FB1BFA">
        <w:rPr>
          <w:lang w:val="fr-FR"/>
        </w:rPr>
        <w:t xml:space="preserve">nt </w:t>
      </w:r>
      <w:r w:rsidR="00CA2558" w:rsidRPr="00FB1BFA">
        <w:rPr>
          <w:lang w:val="fr-FR"/>
        </w:rPr>
        <w:t xml:space="preserve">à concrétiser leur vision, </w:t>
      </w:r>
      <w:r w:rsidR="000B6D5A" w:rsidRPr="00FB1BFA">
        <w:rPr>
          <w:lang w:val="fr-FR"/>
        </w:rPr>
        <w:t>qui est</w:t>
      </w:r>
      <w:r w:rsidR="00CA2558" w:rsidRPr="00FB1BFA">
        <w:rPr>
          <w:lang w:val="fr-FR"/>
        </w:rPr>
        <w:t xml:space="preserve"> de connecter ceux qui ne le sont pas encore afin de pa</w:t>
      </w:r>
      <w:r w:rsidR="004D5DFE" w:rsidRPr="00FB1BFA">
        <w:rPr>
          <w:lang w:val="fr-FR"/>
        </w:rPr>
        <w:t xml:space="preserve">rvenir au développement durable. </w:t>
      </w:r>
      <w:r w:rsidR="00B81FE6" w:rsidRPr="00FB1BFA">
        <w:rPr>
          <w:lang w:val="fr-FR"/>
        </w:rPr>
        <w:t xml:space="preserve">La Ministre a expliqué </w:t>
      </w:r>
      <w:r w:rsidR="00C1330F" w:rsidRPr="00FB1BFA">
        <w:rPr>
          <w:lang w:val="fr-FR"/>
        </w:rPr>
        <w:t xml:space="preserve">que la proposition du Rwanda </w:t>
      </w:r>
      <w:r w:rsidR="000B6D5A" w:rsidRPr="00FB1BFA">
        <w:rPr>
          <w:lang w:val="fr-FR"/>
        </w:rPr>
        <w:t xml:space="preserve">visant à accueillir </w:t>
      </w:r>
      <w:r w:rsidR="00C1330F" w:rsidRPr="00FB1BFA">
        <w:rPr>
          <w:lang w:val="fr-FR"/>
        </w:rPr>
        <w:t>la CMDT</w:t>
      </w:r>
      <w:r w:rsidR="00B81FE6" w:rsidRPr="00FB1BFA">
        <w:rPr>
          <w:lang w:val="fr-FR"/>
        </w:rPr>
        <w:t xml:space="preserve"> </w:t>
      </w:r>
      <w:r w:rsidR="008F5DE7" w:rsidRPr="00FB1BFA">
        <w:rPr>
          <w:lang w:val="fr-FR"/>
        </w:rPr>
        <w:t>t</w:t>
      </w:r>
      <w:r w:rsidR="00DC1AF7" w:rsidRPr="00FB1BFA">
        <w:rPr>
          <w:lang w:val="fr-FR"/>
        </w:rPr>
        <w:t>raduisait</w:t>
      </w:r>
      <w:r w:rsidR="00B81FE6" w:rsidRPr="00FB1BFA">
        <w:rPr>
          <w:lang w:val="fr-FR"/>
        </w:rPr>
        <w:t xml:space="preserve"> un engagement durable en faveur de la transformation numérique pour tous les pays en développement</w:t>
      </w:r>
      <w:r w:rsidR="008F5DE7" w:rsidRPr="00FB1BFA">
        <w:rPr>
          <w:lang w:val="fr-FR"/>
        </w:rPr>
        <w:t xml:space="preserve"> </w:t>
      </w:r>
      <w:r w:rsidR="00077FC5" w:rsidRPr="00FB1BFA">
        <w:rPr>
          <w:lang w:val="fr-FR"/>
        </w:rPr>
        <w:t xml:space="preserve">et la conviction </w:t>
      </w:r>
      <w:r w:rsidR="000B6D5A" w:rsidRPr="00FB1BFA">
        <w:rPr>
          <w:lang w:val="fr-FR"/>
        </w:rPr>
        <w:t xml:space="preserve">de ce pays </w:t>
      </w:r>
      <w:r w:rsidR="00454B23" w:rsidRPr="00FB1BFA">
        <w:rPr>
          <w:lang w:val="fr-FR"/>
        </w:rPr>
        <w:t xml:space="preserve">qu'il était grand temps d'organiser une CMDT en Afrique. </w:t>
      </w:r>
      <w:r w:rsidR="008C1B0D" w:rsidRPr="00FB1BFA">
        <w:rPr>
          <w:lang w:val="fr-FR"/>
        </w:rPr>
        <w:t>"</w:t>
      </w:r>
      <w:r w:rsidR="00DC1AF7" w:rsidRPr="00FB1BFA">
        <w:rPr>
          <w:lang w:val="fr-FR"/>
        </w:rPr>
        <w:t xml:space="preserve">Nous espérons </w:t>
      </w:r>
      <w:r w:rsidR="005F117A" w:rsidRPr="00FB1BFA">
        <w:rPr>
          <w:lang w:val="fr-FR"/>
        </w:rPr>
        <w:t xml:space="preserve">que </w:t>
      </w:r>
      <w:r w:rsidR="000B6D5A" w:rsidRPr="00FB1BFA">
        <w:rPr>
          <w:lang w:val="fr-FR"/>
        </w:rPr>
        <w:t>l</w:t>
      </w:r>
      <w:r w:rsidR="00D266D5" w:rsidRPr="00FB1BFA">
        <w:rPr>
          <w:lang w:val="fr-FR"/>
        </w:rPr>
        <w:t>'</w:t>
      </w:r>
      <w:r w:rsidR="000B6D5A" w:rsidRPr="00FB1BFA">
        <w:rPr>
          <w:lang w:val="fr-FR"/>
        </w:rPr>
        <w:t>organisation de la CMDT</w:t>
      </w:r>
      <w:r w:rsidR="00792001" w:rsidRPr="00FB1BFA">
        <w:rPr>
          <w:lang w:val="fr-FR"/>
        </w:rPr>
        <w:t xml:space="preserve"> </w:t>
      </w:r>
      <w:r w:rsidR="00F45BE5" w:rsidRPr="00FB1BFA">
        <w:rPr>
          <w:lang w:val="fr-FR"/>
        </w:rPr>
        <w:t xml:space="preserve">au </w:t>
      </w:r>
      <w:r w:rsidR="005F117A" w:rsidRPr="00FB1BFA">
        <w:rPr>
          <w:lang w:val="fr-FR"/>
        </w:rPr>
        <w:t xml:space="preserve">Rwanda ne sera pas </w:t>
      </w:r>
      <w:r w:rsidR="00F45BE5" w:rsidRPr="00FB1BFA">
        <w:rPr>
          <w:lang w:val="fr-FR"/>
        </w:rPr>
        <w:t>l'apanage</w:t>
      </w:r>
      <w:r w:rsidR="00792001" w:rsidRPr="00FB1BFA">
        <w:rPr>
          <w:lang w:val="fr-FR"/>
        </w:rPr>
        <w:t xml:space="preserve"> </w:t>
      </w:r>
      <w:r w:rsidR="00F45BE5" w:rsidRPr="00FB1BFA">
        <w:rPr>
          <w:lang w:val="fr-FR"/>
        </w:rPr>
        <w:t>de ce</w:t>
      </w:r>
      <w:r w:rsidR="005F117A" w:rsidRPr="00FB1BFA">
        <w:rPr>
          <w:lang w:val="fr-FR"/>
        </w:rPr>
        <w:t xml:space="preserve"> pays</w:t>
      </w:r>
      <w:r w:rsidR="00F45BE5" w:rsidRPr="00FB1BFA">
        <w:rPr>
          <w:lang w:val="fr-FR"/>
        </w:rPr>
        <w:t xml:space="preserve"> à lui seul</w:t>
      </w:r>
      <w:r w:rsidR="00792001" w:rsidRPr="00FB1BFA">
        <w:rPr>
          <w:lang w:val="fr-FR"/>
        </w:rPr>
        <w:t>,</w:t>
      </w:r>
      <w:r w:rsidR="005F117A" w:rsidRPr="00FB1BFA">
        <w:rPr>
          <w:lang w:val="fr-FR"/>
        </w:rPr>
        <w:t xml:space="preserve"> mais</w:t>
      </w:r>
      <w:r w:rsidR="00792001" w:rsidRPr="00FB1BFA">
        <w:rPr>
          <w:lang w:val="fr-FR"/>
        </w:rPr>
        <w:t xml:space="preserve"> </w:t>
      </w:r>
      <w:r w:rsidR="00A03608" w:rsidRPr="00FB1BFA">
        <w:rPr>
          <w:lang w:val="fr-FR"/>
        </w:rPr>
        <w:t>marquera</w:t>
      </w:r>
      <w:r w:rsidR="00C826C3" w:rsidRPr="00FB1BFA">
        <w:rPr>
          <w:lang w:val="fr-FR"/>
        </w:rPr>
        <w:t xml:space="preserve"> </w:t>
      </w:r>
      <w:r w:rsidR="00F45BE5" w:rsidRPr="00FB1BFA">
        <w:rPr>
          <w:lang w:val="fr-FR"/>
        </w:rPr>
        <w:t>l</w:t>
      </w:r>
      <w:r w:rsidR="00D266D5" w:rsidRPr="00FB1BFA">
        <w:rPr>
          <w:lang w:val="fr-FR"/>
        </w:rPr>
        <w:t>'</w:t>
      </w:r>
      <w:r w:rsidR="00F45BE5" w:rsidRPr="00FB1BFA">
        <w:rPr>
          <w:lang w:val="fr-FR"/>
        </w:rPr>
        <w:t xml:space="preserve">attachement </w:t>
      </w:r>
      <w:r w:rsidR="00C826C3" w:rsidRPr="00FB1BFA">
        <w:rPr>
          <w:lang w:val="fr-FR"/>
        </w:rPr>
        <w:t xml:space="preserve">de l'Afrique </w:t>
      </w:r>
      <w:r w:rsidR="00F45BE5" w:rsidRPr="00FB1BFA">
        <w:rPr>
          <w:lang w:val="fr-FR"/>
        </w:rPr>
        <w:t>aux</w:t>
      </w:r>
      <w:r w:rsidR="00C826C3" w:rsidRPr="00FB1BFA">
        <w:rPr>
          <w:lang w:val="fr-FR"/>
        </w:rPr>
        <w:t xml:space="preserve"> travaux de l'UIT et</w:t>
      </w:r>
      <w:r w:rsidR="00792001" w:rsidRPr="00FB1BFA">
        <w:rPr>
          <w:lang w:val="fr-FR"/>
        </w:rPr>
        <w:t xml:space="preserve"> </w:t>
      </w:r>
      <w:r w:rsidR="00C826C3" w:rsidRPr="00FB1BFA">
        <w:rPr>
          <w:lang w:val="fr-FR"/>
        </w:rPr>
        <w:t>consolidera notre contribution au développement des TIC au niveau mondial pour les années à venir", a conclu la Ministre.</w:t>
      </w:r>
    </w:p>
    <w:p w14:paraId="083D1716" w14:textId="68A37442" w:rsidR="0048027F" w:rsidRPr="00FB1BFA" w:rsidRDefault="00904AB9" w:rsidP="00792001">
      <w:pPr>
        <w:rPr>
          <w:bCs/>
          <w:u w:val="single"/>
          <w:lang w:val="fr-FR"/>
        </w:rPr>
      </w:pPr>
      <w:r w:rsidRPr="00FB1BFA">
        <w:rPr>
          <w:lang w:val="fr-FR"/>
        </w:rPr>
        <w:t>L'ordre du jour</w:t>
      </w:r>
      <w:r w:rsidR="0048027F" w:rsidRPr="00FB1BFA">
        <w:rPr>
          <w:lang w:val="fr-FR"/>
        </w:rPr>
        <w:t xml:space="preserve"> </w:t>
      </w:r>
      <w:r w:rsidRPr="00FB1BFA">
        <w:rPr>
          <w:lang w:val="fr-FR"/>
        </w:rPr>
        <w:t>(</w:t>
      </w:r>
      <w:hyperlink r:id="rId10" w:history="1">
        <w:r w:rsidR="0048027F" w:rsidRPr="00FB1BFA">
          <w:rPr>
            <w:rStyle w:val="Hyperlink"/>
            <w:lang w:val="fr-FR"/>
          </w:rPr>
          <w:t>Document 63</w:t>
        </w:r>
      </w:hyperlink>
      <w:r w:rsidRPr="00FB1BFA">
        <w:rPr>
          <w:lang w:val="fr-FR"/>
        </w:rPr>
        <w:t xml:space="preserve">) a été </w:t>
      </w:r>
      <w:r w:rsidR="00A03608" w:rsidRPr="00FB1BFA">
        <w:rPr>
          <w:lang w:val="fr-FR"/>
        </w:rPr>
        <w:t>adopté</w:t>
      </w:r>
      <w:r w:rsidR="0048027F" w:rsidRPr="00FB1BFA">
        <w:rPr>
          <w:lang w:val="fr-FR"/>
        </w:rPr>
        <w:t>.</w:t>
      </w:r>
    </w:p>
    <w:p w14:paraId="628D9E2C" w14:textId="356D043B" w:rsidR="0048027F" w:rsidRPr="00FB1BFA" w:rsidRDefault="0048027F" w:rsidP="00792001">
      <w:pPr>
        <w:pStyle w:val="Heading1"/>
        <w:rPr>
          <w:lang w:val="fr-FR"/>
        </w:rPr>
      </w:pPr>
      <w:r w:rsidRPr="00FB1BFA">
        <w:rPr>
          <w:lang w:val="fr-FR"/>
        </w:rPr>
        <w:t>2</w:t>
      </w:r>
      <w:r w:rsidRPr="00FB1BFA">
        <w:rPr>
          <w:lang w:val="fr-FR"/>
        </w:rPr>
        <w:tab/>
      </w:r>
      <w:r w:rsidR="00790D73" w:rsidRPr="00FB1BFA">
        <w:rPr>
          <w:lang w:val="fr-FR"/>
        </w:rPr>
        <w:t xml:space="preserve">État d'avancement des travaux </w:t>
      </w:r>
      <w:r w:rsidR="009070DE" w:rsidRPr="00FB1BFA">
        <w:rPr>
          <w:lang w:val="fr-FR"/>
        </w:rPr>
        <w:t>préparatoires</w:t>
      </w:r>
      <w:r w:rsidR="00790D73" w:rsidRPr="00FB1BFA">
        <w:rPr>
          <w:lang w:val="fr-FR"/>
        </w:rPr>
        <w:t xml:space="preserve"> du BDT en vue de la CMDT</w:t>
      </w:r>
    </w:p>
    <w:p w14:paraId="7E130164" w14:textId="5BCB5FA8" w:rsidR="009B06E6" w:rsidRPr="00FB1BFA" w:rsidRDefault="00CE1527" w:rsidP="00792001">
      <w:pPr>
        <w:rPr>
          <w:lang w:val="fr-FR"/>
        </w:rPr>
      </w:pPr>
      <w:r w:rsidRPr="00FB1BFA">
        <w:rPr>
          <w:lang w:val="fr-FR"/>
        </w:rPr>
        <w:t xml:space="preserve">Le BDT a informé les participants </w:t>
      </w:r>
      <w:r w:rsidR="008F526B" w:rsidRPr="00FB1BFA">
        <w:rPr>
          <w:lang w:val="fr-FR"/>
        </w:rPr>
        <w:t>qu'à la suite d'une lettre (</w:t>
      </w:r>
      <w:hyperlink r:id="rId11" w:history="1">
        <w:r w:rsidR="008F526B" w:rsidRPr="00FB1BFA">
          <w:rPr>
            <w:rStyle w:val="Hyperlink"/>
            <w:lang w:val="fr-FR"/>
          </w:rPr>
          <w:t>DM-21/1025</w:t>
        </w:r>
      </w:hyperlink>
      <w:r w:rsidR="008F526B" w:rsidRPr="00FB1BFA">
        <w:rPr>
          <w:lang w:val="fr-FR"/>
        </w:rPr>
        <w:t xml:space="preserve">) envoyée aux États Membres du Conseil le 6 décembre 2021, les </w:t>
      </w:r>
      <w:r w:rsidR="00BA62EC" w:rsidRPr="00FB1BFA">
        <w:rPr>
          <w:lang w:val="fr-FR"/>
        </w:rPr>
        <w:t>C</w:t>
      </w:r>
      <w:r w:rsidR="008F526B" w:rsidRPr="00FB1BFA">
        <w:rPr>
          <w:lang w:val="fr-FR"/>
        </w:rPr>
        <w:t>onseillers</w:t>
      </w:r>
      <w:r w:rsidR="00792001" w:rsidRPr="00FB1BFA">
        <w:rPr>
          <w:lang w:val="fr-FR"/>
        </w:rPr>
        <w:t xml:space="preserve"> </w:t>
      </w:r>
      <w:r w:rsidR="008F526B" w:rsidRPr="00FB1BFA">
        <w:rPr>
          <w:lang w:val="fr-FR"/>
        </w:rPr>
        <w:t xml:space="preserve">de ces États Membres </w:t>
      </w:r>
      <w:r w:rsidR="004C5611" w:rsidRPr="00FB1BFA">
        <w:rPr>
          <w:lang w:val="fr-FR"/>
        </w:rPr>
        <w:t>avaient</w:t>
      </w:r>
      <w:r w:rsidR="00932450" w:rsidRPr="00FB1BFA">
        <w:rPr>
          <w:lang w:val="fr-FR"/>
        </w:rPr>
        <w:t xml:space="preserve"> tenu une </w:t>
      </w:r>
      <w:r w:rsidR="00C9250C" w:rsidRPr="00FB1BFA">
        <w:rPr>
          <w:lang w:val="fr-FR"/>
        </w:rPr>
        <w:t xml:space="preserve">réunion de </w:t>
      </w:r>
      <w:r w:rsidR="00932450" w:rsidRPr="00FB1BFA">
        <w:rPr>
          <w:lang w:val="fr-FR"/>
        </w:rPr>
        <w:t xml:space="preserve">consultation informelle </w:t>
      </w:r>
      <w:r w:rsidR="003E1F7C" w:rsidRPr="00FB1BFA">
        <w:rPr>
          <w:lang w:val="fr-FR"/>
        </w:rPr>
        <w:t xml:space="preserve">le 21 janvier 2022. </w:t>
      </w:r>
      <w:r w:rsidR="00A03608" w:rsidRPr="00FB1BFA">
        <w:rPr>
          <w:lang w:val="fr-FR"/>
        </w:rPr>
        <w:t xml:space="preserve">Lors de </w:t>
      </w:r>
      <w:r w:rsidR="00BA62EC" w:rsidRPr="00FB1BFA">
        <w:rPr>
          <w:lang w:val="fr-FR"/>
        </w:rPr>
        <w:t xml:space="preserve">leurs </w:t>
      </w:r>
      <w:r w:rsidR="00A03608" w:rsidRPr="00FB1BFA">
        <w:rPr>
          <w:lang w:val="fr-FR"/>
        </w:rPr>
        <w:t>échanges de vues</w:t>
      </w:r>
      <w:r w:rsidR="00BA62EC" w:rsidRPr="00FB1BFA">
        <w:rPr>
          <w:lang w:val="fr-FR"/>
        </w:rPr>
        <w:t xml:space="preserve">, les Conseillers </w:t>
      </w:r>
      <w:r w:rsidR="00CE60E2" w:rsidRPr="00FB1BFA">
        <w:rPr>
          <w:lang w:val="fr-FR"/>
        </w:rPr>
        <w:t>s</w:t>
      </w:r>
      <w:r w:rsidR="003665F1" w:rsidRPr="00FB1BFA">
        <w:rPr>
          <w:lang w:val="fr-FR"/>
        </w:rPr>
        <w:t>ont convenus que la tenue de la CMDT à Addis-Abeba (Éthiopie) n'était plus une option</w:t>
      </w:r>
      <w:r w:rsidR="00A03608" w:rsidRPr="00FB1BFA">
        <w:rPr>
          <w:lang w:val="fr-FR"/>
        </w:rPr>
        <w:t xml:space="preserve"> via</w:t>
      </w:r>
      <w:r w:rsidR="00D266D5" w:rsidRPr="00FB1BFA">
        <w:rPr>
          <w:lang w:val="fr-FR"/>
        </w:rPr>
        <w:t>b</w:t>
      </w:r>
      <w:r w:rsidR="00A03608" w:rsidRPr="00FB1BFA">
        <w:rPr>
          <w:lang w:val="fr-FR"/>
        </w:rPr>
        <w:t>le</w:t>
      </w:r>
      <w:r w:rsidR="003665F1" w:rsidRPr="00FB1BFA">
        <w:rPr>
          <w:lang w:val="fr-FR"/>
        </w:rPr>
        <w:t xml:space="preserve">. </w:t>
      </w:r>
      <w:r w:rsidR="00A03608" w:rsidRPr="00FB1BFA">
        <w:rPr>
          <w:lang w:val="fr-FR"/>
        </w:rPr>
        <w:t>Soucieux</w:t>
      </w:r>
      <w:r w:rsidR="00792001" w:rsidRPr="00FB1BFA">
        <w:rPr>
          <w:lang w:val="fr-FR"/>
        </w:rPr>
        <w:t xml:space="preserve"> </w:t>
      </w:r>
      <w:r w:rsidR="008D2FE6" w:rsidRPr="00FB1BFA">
        <w:rPr>
          <w:lang w:val="fr-FR"/>
        </w:rPr>
        <w:t xml:space="preserve">de maintenir </w:t>
      </w:r>
      <w:r w:rsidR="00A03608" w:rsidRPr="00FB1BFA">
        <w:rPr>
          <w:lang w:val="fr-FR"/>
        </w:rPr>
        <w:t>la tenue</w:t>
      </w:r>
      <w:r w:rsidR="00792001" w:rsidRPr="00FB1BFA">
        <w:rPr>
          <w:lang w:val="fr-FR"/>
        </w:rPr>
        <w:t xml:space="preserve"> </w:t>
      </w:r>
      <w:r w:rsidR="008D2FE6" w:rsidRPr="00FB1BFA">
        <w:rPr>
          <w:lang w:val="fr-FR"/>
        </w:rPr>
        <w:t xml:space="preserve">de la conférence en Afrique, </w:t>
      </w:r>
      <w:r w:rsidR="00E33397" w:rsidRPr="00FB1BFA">
        <w:rPr>
          <w:lang w:val="fr-FR"/>
        </w:rPr>
        <w:t xml:space="preserve">ils ont invité les États Membres africains à proposer un autre lieu. </w:t>
      </w:r>
      <w:r w:rsidR="00DF76F2" w:rsidRPr="00FB1BFA">
        <w:rPr>
          <w:lang w:val="fr-FR"/>
        </w:rPr>
        <w:t xml:space="preserve">Le 30 janvier 2022, le Secrétaire général a reçu une invitation officielle </w:t>
      </w:r>
      <w:r w:rsidR="00213C06" w:rsidRPr="00FB1BFA">
        <w:rPr>
          <w:lang w:val="fr-FR"/>
        </w:rPr>
        <w:t>du Gouvernement du Rwanda en vue de tenir la CMDT à Kigali</w:t>
      </w:r>
      <w:r w:rsidR="00D266D5" w:rsidRPr="00FB1BFA">
        <w:rPr>
          <w:lang w:val="fr-FR"/>
        </w:rPr>
        <w:t xml:space="preserve"> </w:t>
      </w:r>
      <w:r w:rsidR="00213C06" w:rsidRPr="00FB1BFA">
        <w:rPr>
          <w:lang w:val="fr-FR"/>
        </w:rPr>
        <w:t>du 6 au 16</w:t>
      </w:r>
      <w:r w:rsidR="00581D84" w:rsidRPr="00FB1BFA">
        <w:rPr>
          <w:lang w:val="fr-FR"/>
        </w:rPr>
        <w:t> </w:t>
      </w:r>
      <w:r w:rsidR="00213C06" w:rsidRPr="00FB1BFA">
        <w:rPr>
          <w:lang w:val="fr-FR"/>
        </w:rPr>
        <w:t>juin</w:t>
      </w:r>
      <w:r w:rsidR="00581D84" w:rsidRPr="00FB1BFA">
        <w:rPr>
          <w:lang w:val="fr-FR"/>
        </w:rPr>
        <w:t> </w:t>
      </w:r>
      <w:r w:rsidR="00213C06" w:rsidRPr="00FB1BFA">
        <w:rPr>
          <w:lang w:val="fr-FR"/>
        </w:rPr>
        <w:t>2022,</w:t>
      </w:r>
      <w:r w:rsidR="00792001" w:rsidRPr="00FB1BFA">
        <w:rPr>
          <w:lang w:val="fr-FR"/>
        </w:rPr>
        <w:t xml:space="preserve"> </w:t>
      </w:r>
      <w:r w:rsidR="00213C06" w:rsidRPr="00FB1BFA">
        <w:rPr>
          <w:lang w:val="fr-FR"/>
        </w:rPr>
        <w:t xml:space="preserve">précédée du Sommet </w:t>
      </w:r>
      <w:r w:rsidR="00DC78DB" w:rsidRPr="00FB1BFA">
        <w:rPr>
          <w:lang w:val="fr-FR"/>
        </w:rPr>
        <w:t>de</w:t>
      </w:r>
      <w:r w:rsidR="00213C06" w:rsidRPr="00FB1BFA">
        <w:rPr>
          <w:lang w:val="fr-FR"/>
        </w:rPr>
        <w:t xml:space="preserve"> la jeunesse.</w:t>
      </w:r>
      <w:r w:rsidR="00B4147D" w:rsidRPr="00FB1BFA">
        <w:rPr>
          <w:lang w:val="fr-FR"/>
        </w:rPr>
        <w:t xml:space="preserve"> </w:t>
      </w:r>
      <w:r w:rsidR="009B06E6" w:rsidRPr="00FB1BFA">
        <w:rPr>
          <w:lang w:val="fr-FR"/>
        </w:rPr>
        <w:t xml:space="preserve">Les États Membres du Conseil </w:t>
      </w:r>
      <w:r w:rsidR="0039075D" w:rsidRPr="00FB1BFA">
        <w:rPr>
          <w:lang w:val="fr-FR"/>
        </w:rPr>
        <w:t>ont</w:t>
      </w:r>
      <w:r w:rsidR="00792001" w:rsidRPr="00FB1BFA">
        <w:rPr>
          <w:lang w:val="fr-FR"/>
        </w:rPr>
        <w:t xml:space="preserve"> </w:t>
      </w:r>
      <w:r w:rsidR="00A03608" w:rsidRPr="00FB1BFA">
        <w:rPr>
          <w:lang w:val="fr-FR"/>
        </w:rPr>
        <w:t>à</w:t>
      </w:r>
      <w:r w:rsidR="00792001" w:rsidRPr="00FB1BFA">
        <w:rPr>
          <w:lang w:val="fr-FR"/>
        </w:rPr>
        <w:t xml:space="preserve"> </w:t>
      </w:r>
      <w:r w:rsidR="0039075D" w:rsidRPr="00FB1BFA">
        <w:rPr>
          <w:lang w:val="fr-FR"/>
        </w:rPr>
        <w:t xml:space="preserve">nouveau été consultés </w:t>
      </w:r>
      <w:r w:rsidR="002E4E91" w:rsidRPr="00FB1BFA">
        <w:rPr>
          <w:lang w:val="fr-FR"/>
        </w:rPr>
        <w:t>par</w:t>
      </w:r>
      <w:r w:rsidR="00792001" w:rsidRPr="00FB1BFA">
        <w:rPr>
          <w:lang w:val="fr-FR"/>
        </w:rPr>
        <w:t xml:space="preserve"> </w:t>
      </w:r>
      <w:r w:rsidR="002E4E91" w:rsidRPr="00FB1BFA">
        <w:rPr>
          <w:lang w:val="fr-FR"/>
        </w:rPr>
        <w:t>une lettre en date du 2 février 2022 (</w:t>
      </w:r>
      <w:hyperlink r:id="rId12" w:history="1">
        <w:r w:rsidR="002E4E91" w:rsidRPr="00FB1BFA">
          <w:rPr>
            <w:rStyle w:val="Hyperlink"/>
            <w:lang w:val="fr-FR"/>
          </w:rPr>
          <w:t>DM-22/1000</w:t>
        </w:r>
      </w:hyperlink>
      <w:r w:rsidR="002E4E91" w:rsidRPr="00FB1BFA">
        <w:rPr>
          <w:u w:val="single"/>
          <w:lang w:val="fr-FR"/>
        </w:rPr>
        <w:t>)</w:t>
      </w:r>
      <w:r w:rsidR="002E4E91" w:rsidRPr="00FB1BFA">
        <w:rPr>
          <w:lang w:val="fr-FR"/>
        </w:rPr>
        <w:t xml:space="preserve"> et la majorité </w:t>
      </w:r>
      <w:r w:rsidR="00995B12" w:rsidRPr="00FB1BFA">
        <w:rPr>
          <w:lang w:val="fr-FR"/>
        </w:rPr>
        <w:t xml:space="preserve">d'entre eux se sont </w:t>
      </w:r>
      <w:r w:rsidR="00D85CC4" w:rsidRPr="00FB1BFA">
        <w:rPr>
          <w:lang w:val="fr-FR"/>
        </w:rPr>
        <w:t>dit</w:t>
      </w:r>
      <w:r w:rsidR="00995B12" w:rsidRPr="00FB1BFA">
        <w:rPr>
          <w:lang w:val="fr-FR"/>
        </w:rPr>
        <w:t xml:space="preserve"> favorables à ce changement de lieu et de dates. </w:t>
      </w:r>
      <w:r w:rsidR="00634B47" w:rsidRPr="00FB1BFA">
        <w:rPr>
          <w:lang w:val="fr-FR"/>
        </w:rPr>
        <w:t xml:space="preserve">Suite à cette décision, tous les États Membres de l'Union </w:t>
      </w:r>
      <w:r w:rsidR="00A9020E" w:rsidRPr="00FB1BFA">
        <w:rPr>
          <w:lang w:val="fr-FR"/>
        </w:rPr>
        <w:t xml:space="preserve">ont été consultés </w:t>
      </w:r>
      <w:r w:rsidR="00316AFA" w:rsidRPr="00FB1BFA">
        <w:rPr>
          <w:lang w:val="fr-FR"/>
        </w:rPr>
        <w:t>sous couvert d</w:t>
      </w:r>
      <w:r w:rsidR="00D266D5" w:rsidRPr="00FB1BFA">
        <w:rPr>
          <w:lang w:val="fr-FR"/>
        </w:rPr>
        <w:t>'</w:t>
      </w:r>
      <w:r w:rsidR="00A9020E" w:rsidRPr="00FB1BFA">
        <w:rPr>
          <w:lang w:val="fr-FR"/>
        </w:rPr>
        <w:t>une lettre circulaire en date du 9</w:t>
      </w:r>
      <w:r w:rsidR="00581D84" w:rsidRPr="00FB1BFA">
        <w:rPr>
          <w:lang w:val="fr-FR"/>
        </w:rPr>
        <w:t> </w:t>
      </w:r>
      <w:r w:rsidR="00A9020E" w:rsidRPr="00FB1BFA">
        <w:rPr>
          <w:lang w:val="fr-FR"/>
        </w:rPr>
        <w:t>février</w:t>
      </w:r>
      <w:r w:rsidR="00581D84" w:rsidRPr="00FB1BFA">
        <w:rPr>
          <w:lang w:val="fr-FR"/>
        </w:rPr>
        <w:t> </w:t>
      </w:r>
      <w:r w:rsidR="00A9020E" w:rsidRPr="00FB1BFA">
        <w:rPr>
          <w:lang w:val="fr-FR"/>
        </w:rPr>
        <w:t>2022 (</w:t>
      </w:r>
      <w:hyperlink r:id="rId13" w:history="1">
        <w:r w:rsidR="00A9020E" w:rsidRPr="00FB1BFA">
          <w:rPr>
            <w:rStyle w:val="Hyperlink"/>
            <w:lang w:val="fr-FR"/>
          </w:rPr>
          <w:t>CL</w:t>
        </w:r>
        <w:r w:rsidR="00A80823" w:rsidRPr="00FB1BFA">
          <w:rPr>
            <w:rStyle w:val="Hyperlink"/>
            <w:lang w:val="fr-FR"/>
          </w:rPr>
          <w:noBreakHyphen/>
        </w:r>
        <w:r w:rsidR="00A9020E" w:rsidRPr="00FB1BFA">
          <w:rPr>
            <w:rStyle w:val="Hyperlink"/>
            <w:lang w:val="fr-FR"/>
          </w:rPr>
          <w:t>22/4</w:t>
        </w:r>
      </w:hyperlink>
      <w:r w:rsidR="00A9020E" w:rsidRPr="00FB1BFA">
        <w:rPr>
          <w:lang w:val="fr-FR"/>
        </w:rPr>
        <w:t xml:space="preserve">) et la majorité d'entre eux </w:t>
      </w:r>
      <w:r w:rsidR="00323725" w:rsidRPr="00FB1BFA">
        <w:rPr>
          <w:lang w:val="fr-FR"/>
        </w:rPr>
        <w:t>ont accueilli favorablement la proposition du</w:t>
      </w:r>
      <w:r w:rsidR="00581D84" w:rsidRPr="00FB1BFA">
        <w:rPr>
          <w:lang w:val="fr-FR"/>
        </w:rPr>
        <w:t> </w:t>
      </w:r>
      <w:r w:rsidR="00323725" w:rsidRPr="00FB1BFA">
        <w:rPr>
          <w:lang w:val="fr-FR"/>
        </w:rPr>
        <w:t>Rwanda.</w:t>
      </w:r>
    </w:p>
    <w:p w14:paraId="0965A01B" w14:textId="371C8547" w:rsidR="003228C6" w:rsidRPr="00FB1BFA" w:rsidRDefault="003228C6" w:rsidP="00792001">
      <w:pPr>
        <w:rPr>
          <w:lang w:val="fr-FR"/>
        </w:rPr>
      </w:pPr>
      <w:r w:rsidRPr="00FB1BFA">
        <w:rPr>
          <w:lang w:val="fr-FR"/>
        </w:rPr>
        <w:t xml:space="preserve">Les invitations à </w:t>
      </w:r>
      <w:r w:rsidR="00316AFA" w:rsidRPr="00FB1BFA">
        <w:rPr>
          <w:lang w:val="fr-FR"/>
        </w:rPr>
        <w:t xml:space="preserve">participer à </w:t>
      </w:r>
      <w:r w:rsidRPr="00FB1BFA">
        <w:rPr>
          <w:lang w:val="fr-FR"/>
        </w:rPr>
        <w:t xml:space="preserve">la CMDT ont été envoyées le 22 février 2022 aux États Membres de l'UIT, aux Membres du Secteur de l'UIT-D, aux établissements universitaires participant aux travaux de l'UIT, aux </w:t>
      </w:r>
      <w:r w:rsidR="000D4BEE" w:rsidRPr="00FB1BFA">
        <w:rPr>
          <w:lang w:val="fr-FR"/>
        </w:rPr>
        <w:t>organismes</w:t>
      </w:r>
      <w:r w:rsidRPr="00FB1BFA">
        <w:rPr>
          <w:lang w:val="fr-FR"/>
        </w:rPr>
        <w:t xml:space="preserve"> du système des Nations Unies et aux organisations régionales.</w:t>
      </w:r>
    </w:p>
    <w:p w14:paraId="714163B8" w14:textId="77777777" w:rsidR="00D266D5" w:rsidRPr="00FB1BFA" w:rsidRDefault="00D266D5" w:rsidP="00792001">
      <w:pPr>
        <w:rPr>
          <w:lang w:val="fr-FR"/>
        </w:rPr>
      </w:pPr>
      <w:r w:rsidRPr="00FB1BFA">
        <w:rPr>
          <w:lang w:val="fr-FR"/>
        </w:rPr>
        <w:br w:type="page"/>
      </w:r>
    </w:p>
    <w:p w14:paraId="70ADF2CC" w14:textId="4C9AFF4F" w:rsidR="008757DD" w:rsidRPr="00FB1BFA" w:rsidRDefault="0029765D" w:rsidP="00792001">
      <w:pPr>
        <w:rPr>
          <w:lang w:val="fr-FR"/>
        </w:rPr>
      </w:pPr>
      <w:r w:rsidRPr="00FB1BFA">
        <w:rPr>
          <w:lang w:val="fr-FR"/>
        </w:rPr>
        <w:lastRenderedPageBreak/>
        <w:t xml:space="preserve">La première mission de planification à Kigali </w:t>
      </w:r>
      <w:r w:rsidR="000A3F1E" w:rsidRPr="00FB1BFA">
        <w:rPr>
          <w:lang w:val="fr-FR"/>
        </w:rPr>
        <w:t xml:space="preserve">aura lieu à la mi-mars 2022 et sera l'occasion, pour la délégation de l'UIT, de poursuivre les discussions. </w:t>
      </w:r>
      <w:r w:rsidR="00781513" w:rsidRPr="00FB1BFA">
        <w:rPr>
          <w:lang w:val="fr-FR"/>
        </w:rPr>
        <w:t>Des renseignements pratiques</w:t>
      </w:r>
      <w:r w:rsidR="00330297" w:rsidRPr="00FB1BFA">
        <w:rPr>
          <w:lang w:val="fr-FR"/>
        </w:rPr>
        <w:t xml:space="preserve">, </w:t>
      </w:r>
      <w:r w:rsidR="00316AFA" w:rsidRPr="00FB1BFA">
        <w:rPr>
          <w:lang w:val="fr-FR"/>
        </w:rPr>
        <w:t>destinés à aider les</w:t>
      </w:r>
      <w:r w:rsidR="00792001" w:rsidRPr="00FB1BFA">
        <w:rPr>
          <w:lang w:val="fr-FR"/>
        </w:rPr>
        <w:t xml:space="preserve"> </w:t>
      </w:r>
      <w:r w:rsidR="00FD1923" w:rsidRPr="00FB1BFA">
        <w:rPr>
          <w:lang w:val="fr-FR"/>
        </w:rPr>
        <w:t>délégations</w:t>
      </w:r>
      <w:r w:rsidR="00792001" w:rsidRPr="00FB1BFA">
        <w:rPr>
          <w:lang w:val="fr-FR"/>
        </w:rPr>
        <w:t xml:space="preserve"> </w:t>
      </w:r>
      <w:r w:rsidR="00316AFA" w:rsidRPr="00FB1BFA">
        <w:rPr>
          <w:lang w:val="fr-FR"/>
        </w:rPr>
        <w:t>à</w:t>
      </w:r>
      <w:r w:rsidR="00792001" w:rsidRPr="00FB1BFA">
        <w:rPr>
          <w:lang w:val="fr-FR"/>
        </w:rPr>
        <w:t xml:space="preserve"> </w:t>
      </w:r>
      <w:r w:rsidR="00015ED4" w:rsidRPr="00FB1BFA">
        <w:rPr>
          <w:lang w:val="fr-FR"/>
        </w:rPr>
        <w:t>préparer</w:t>
      </w:r>
      <w:r w:rsidR="00330297" w:rsidRPr="00FB1BFA">
        <w:rPr>
          <w:lang w:val="fr-FR"/>
        </w:rPr>
        <w:t xml:space="preserve"> leur participation</w:t>
      </w:r>
      <w:r w:rsidR="00316AFA" w:rsidRPr="00FB1BFA">
        <w:rPr>
          <w:lang w:val="fr-FR"/>
        </w:rPr>
        <w:t xml:space="preserve"> seront communiqués après approbation par le pays hôte</w:t>
      </w:r>
      <w:r w:rsidR="00330297" w:rsidRPr="00FB1BFA">
        <w:rPr>
          <w:lang w:val="fr-FR"/>
        </w:rPr>
        <w:t>.</w:t>
      </w:r>
    </w:p>
    <w:p w14:paraId="30F7DFF2" w14:textId="20B1E40A" w:rsidR="00160C7F" w:rsidRPr="00FB1BFA" w:rsidRDefault="00160C7F" w:rsidP="00792001">
      <w:pPr>
        <w:rPr>
          <w:lang w:val="fr-FR"/>
        </w:rPr>
      </w:pPr>
      <w:r w:rsidRPr="00FB1BFA">
        <w:rPr>
          <w:lang w:val="fr-FR"/>
        </w:rPr>
        <w:t xml:space="preserve">La date limite de soumission des contributions des membres </w:t>
      </w:r>
      <w:r w:rsidR="00065F1B" w:rsidRPr="00FB1BFA">
        <w:rPr>
          <w:lang w:val="fr-FR"/>
        </w:rPr>
        <w:t xml:space="preserve">est fixée </w:t>
      </w:r>
      <w:r w:rsidRPr="00FB1BFA">
        <w:rPr>
          <w:lang w:val="fr-FR"/>
        </w:rPr>
        <w:t>au 16 mai 2022, conformément à la Résolution 165 (Rév. Dubaï, 2018) de la Conférence de plénipotentiaires, intitulée "Délais de présentation des propositions et procédures d'inscription des participants aux conférences et assemblées de l'Union".</w:t>
      </w:r>
    </w:p>
    <w:p w14:paraId="0F82053F" w14:textId="0EE4BE72" w:rsidR="00340471" w:rsidRPr="00FB1BFA" w:rsidRDefault="00340471" w:rsidP="00792001">
      <w:pPr>
        <w:rPr>
          <w:lang w:val="fr-FR"/>
        </w:rPr>
      </w:pPr>
      <w:r w:rsidRPr="00FB1BFA">
        <w:rPr>
          <w:lang w:val="fr-FR"/>
        </w:rPr>
        <w:t>En mai 2021, le GCDT a approuvé la structure de la conférence, telle qu'illustr</w:t>
      </w:r>
      <w:r w:rsidR="00FA170D" w:rsidRPr="00FB1BFA">
        <w:rPr>
          <w:lang w:val="fr-FR"/>
        </w:rPr>
        <w:t xml:space="preserve">ée dans la Figure 2.1 (voir le mandat dans le </w:t>
      </w:r>
      <w:hyperlink r:id="rId14" w:history="1">
        <w:r w:rsidR="00FA170D" w:rsidRPr="00FB1BFA">
          <w:rPr>
            <w:rStyle w:val="Hyperlink"/>
            <w:bCs/>
            <w:lang w:val="fr-FR"/>
          </w:rPr>
          <w:t>Document TDAG-21/17</w:t>
        </w:r>
      </w:hyperlink>
      <w:r w:rsidR="000F38BD" w:rsidRPr="00FB1BFA">
        <w:rPr>
          <w:lang w:val="fr-FR"/>
        </w:rPr>
        <w:t>)</w:t>
      </w:r>
      <w:r w:rsidR="00FA170D" w:rsidRPr="00FB1BFA">
        <w:rPr>
          <w:lang w:val="fr-FR"/>
        </w:rPr>
        <w:t xml:space="preserve"> et le projet d'ordre du jour de la conférence, qui a été soumis au Conseil (21-31 mars 2022) pour approbation.</w:t>
      </w:r>
    </w:p>
    <w:p w14:paraId="4E6D465F" w14:textId="63A82AE3" w:rsidR="00F3312C" w:rsidRPr="00FB1BFA" w:rsidRDefault="00160C7F" w:rsidP="000E1B6C">
      <w:pPr>
        <w:pStyle w:val="Figuretitle"/>
        <w:spacing w:before="360" w:after="240"/>
        <w:rPr>
          <w:lang w:val="fr-FR"/>
        </w:rPr>
      </w:pPr>
      <w:r w:rsidRPr="00FB1BFA">
        <w:rPr>
          <w:lang w:val="fr-FR"/>
        </w:rPr>
        <w:t xml:space="preserve">Figure 2.1: </w:t>
      </w:r>
      <w:r w:rsidR="00F3312C" w:rsidRPr="00FB1BFA">
        <w:rPr>
          <w:lang w:val="fr-FR"/>
        </w:rPr>
        <w:t xml:space="preserve">Structure de la CMDT, telle qu'approuvée </w:t>
      </w:r>
      <w:r w:rsidR="00943034" w:rsidRPr="00FB1BFA">
        <w:rPr>
          <w:lang w:val="fr-FR"/>
        </w:rPr>
        <w:t>à la réunion de 2021 du GCDT</w:t>
      </w:r>
      <w:r w:rsidR="000002A1" w:rsidRPr="00FB1BFA">
        <w:rPr>
          <w:lang w:val="fr-FR"/>
        </w:rPr>
        <w:br/>
      </w:r>
      <w:r w:rsidR="00F3312C" w:rsidRPr="00FB1BFA">
        <w:rPr>
          <w:lang w:val="fr-FR"/>
        </w:rPr>
        <w:t>(24-28 mai 2021)</w:t>
      </w:r>
    </w:p>
    <w:p w14:paraId="1086AF28" w14:textId="4801B373" w:rsidR="00555D12" w:rsidRPr="00FB1BFA" w:rsidRDefault="000E1B6C" w:rsidP="00757B41">
      <w:pPr>
        <w:pStyle w:val="Figure"/>
        <w:rPr>
          <w:noProof w:val="0"/>
          <w:lang w:val="fr-FR"/>
        </w:rPr>
      </w:pPr>
      <w:r w:rsidRPr="00FB1BFA">
        <w:rPr>
          <w:noProof w:val="0"/>
          <w:lang w:val="fr-FR"/>
        </w:rPr>
        <w:drawing>
          <wp:inline distT="0" distB="0" distL="0" distR="0" wp14:anchorId="044E1940" wp14:editId="7FD8CD34">
            <wp:extent cx="6122035" cy="339090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5"/>
                    <a:stretch>
                      <a:fillRect/>
                    </a:stretch>
                  </pic:blipFill>
                  <pic:spPr>
                    <a:xfrm>
                      <a:off x="0" y="0"/>
                      <a:ext cx="6122035" cy="3390900"/>
                    </a:xfrm>
                    <a:prstGeom prst="rect">
                      <a:avLst/>
                    </a:prstGeom>
                  </pic:spPr>
                </pic:pic>
              </a:graphicData>
            </a:graphic>
          </wp:inline>
        </w:drawing>
      </w:r>
    </w:p>
    <w:p w14:paraId="2970742D" w14:textId="3662A8CE" w:rsidR="00F03032" w:rsidRPr="00FB1BFA" w:rsidRDefault="00F03032" w:rsidP="00792001">
      <w:pPr>
        <w:rPr>
          <w:lang w:val="fr-FR"/>
        </w:rPr>
      </w:pPr>
      <w:r w:rsidRPr="00FB1BFA">
        <w:rPr>
          <w:lang w:val="fr-FR"/>
        </w:rPr>
        <w:t xml:space="preserve">Le </w:t>
      </w:r>
      <w:r w:rsidR="000E1B6C" w:rsidRPr="00FB1BFA">
        <w:rPr>
          <w:lang w:val="fr-FR"/>
        </w:rPr>
        <w:t>S</w:t>
      </w:r>
      <w:r w:rsidRPr="00FB1BFA">
        <w:rPr>
          <w:lang w:val="fr-FR"/>
        </w:rPr>
        <w:t>ecrétariat de l'UIT mènera des consultations</w:t>
      </w:r>
      <w:r w:rsidR="00792001" w:rsidRPr="00FB1BFA">
        <w:rPr>
          <w:lang w:val="fr-FR"/>
        </w:rPr>
        <w:t xml:space="preserve"> </w:t>
      </w:r>
      <w:r w:rsidR="00316AFA" w:rsidRPr="00FB1BFA">
        <w:rPr>
          <w:lang w:val="fr-FR"/>
        </w:rPr>
        <w:t>auprès des</w:t>
      </w:r>
      <w:r w:rsidR="00FD1790" w:rsidRPr="00FB1BFA">
        <w:rPr>
          <w:lang w:val="fr-FR"/>
        </w:rPr>
        <w:t xml:space="preserve"> membres concernant les vice</w:t>
      </w:r>
      <w:r w:rsidR="000E1B6C" w:rsidRPr="00FB1BFA">
        <w:rPr>
          <w:lang w:val="fr-FR"/>
        </w:rPr>
        <w:noBreakHyphen/>
      </w:r>
      <w:r w:rsidR="00FD1790" w:rsidRPr="00FB1BFA">
        <w:rPr>
          <w:lang w:val="fr-FR"/>
        </w:rPr>
        <w:t xml:space="preserve">présidents de la conférence et les présidents et vice-présidents des commissions et du ou des groupes de travail de la plénière. </w:t>
      </w:r>
      <w:r w:rsidR="00530EB0" w:rsidRPr="00FB1BFA">
        <w:rPr>
          <w:lang w:val="fr-FR"/>
        </w:rPr>
        <w:t xml:space="preserve">Chaque région est invitée à </w:t>
      </w:r>
      <w:r w:rsidR="00FE42F3" w:rsidRPr="00FB1BFA">
        <w:rPr>
          <w:lang w:val="fr-FR"/>
        </w:rPr>
        <w:t xml:space="preserve">soumettre ses propositions au sujet de ces </w:t>
      </w:r>
      <w:r w:rsidR="00316AFA" w:rsidRPr="00FB1BFA">
        <w:rPr>
          <w:lang w:val="fr-FR"/>
        </w:rPr>
        <w:t xml:space="preserve">fonctions </w:t>
      </w:r>
      <w:r w:rsidR="00FE42F3" w:rsidRPr="00FB1BFA">
        <w:rPr>
          <w:lang w:val="fr-FR"/>
        </w:rPr>
        <w:t>avant le 16 mai 2022.</w:t>
      </w:r>
    </w:p>
    <w:p w14:paraId="6EC0B04D" w14:textId="45CB2E29" w:rsidR="00531BFE" w:rsidRPr="00FB1BFA" w:rsidRDefault="00316AFA" w:rsidP="00792001">
      <w:pPr>
        <w:rPr>
          <w:lang w:val="fr-FR"/>
        </w:rPr>
      </w:pPr>
      <w:r w:rsidRPr="00FB1BFA">
        <w:rPr>
          <w:lang w:val="fr-FR"/>
        </w:rPr>
        <w:t xml:space="preserve">Des </w:t>
      </w:r>
      <w:r w:rsidR="00531BFE" w:rsidRPr="00FB1BFA">
        <w:rPr>
          <w:lang w:val="fr-FR"/>
        </w:rPr>
        <w:t xml:space="preserve">bourses </w:t>
      </w:r>
      <w:r w:rsidRPr="00FB1BFA">
        <w:rPr>
          <w:lang w:val="fr-FR"/>
        </w:rPr>
        <w:t>pour la CMDT</w:t>
      </w:r>
      <w:r w:rsidR="00792001" w:rsidRPr="00FB1BFA">
        <w:rPr>
          <w:lang w:val="fr-FR"/>
        </w:rPr>
        <w:t xml:space="preserve"> </w:t>
      </w:r>
      <w:r w:rsidRPr="00FB1BFA">
        <w:rPr>
          <w:lang w:val="fr-FR"/>
        </w:rPr>
        <w:t xml:space="preserve">pourront </w:t>
      </w:r>
      <w:r w:rsidR="00531BFE" w:rsidRPr="00FB1BFA">
        <w:rPr>
          <w:lang w:val="fr-FR"/>
        </w:rPr>
        <w:t xml:space="preserve">être accordées </w:t>
      </w:r>
      <w:r w:rsidR="00D802AE" w:rsidRPr="00FB1BFA">
        <w:rPr>
          <w:lang w:val="fr-FR"/>
        </w:rPr>
        <w:t>aux</w:t>
      </w:r>
      <w:r w:rsidR="00531BFE" w:rsidRPr="00FB1BFA">
        <w:rPr>
          <w:lang w:val="fr-FR"/>
        </w:rPr>
        <w:t xml:space="preserve"> délégués issus des États Membres </w:t>
      </w:r>
      <w:r w:rsidR="00382D39" w:rsidRPr="00FB1BFA">
        <w:rPr>
          <w:lang w:val="fr-FR"/>
        </w:rPr>
        <w:t>remplissant les conditions requises</w:t>
      </w:r>
      <w:r w:rsidR="00531BFE" w:rsidRPr="00FB1BFA">
        <w:rPr>
          <w:lang w:val="fr-FR"/>
        </w:rPr>
        <w:t xml:space="preserve">, </w:t>
      </w:r>
      <w:r w:rsidRPr="00FB1BFA">
        <w:rPr>
          <w:lang w:val="fr-FR"/>
        </w:rPr>
        <w:t>à savoir</w:t>
      </w:r>
      <w:r w:rsidR="00531BFE" w:rsidRPr="00FB1BFA">
        <w:rPr>
          <w:lang w:val="fr-FR"/>
        </w:rPr>
        <w:t xml:space="preserve"> les PMA, les </w:t>
      </w:r>
      <w:r w:rsidR="00025AB3" w:rsidRPr="00FB1BFA">
        <w:rPr>
          <w:lang w:val="fr-FR"/>
        </w:rPr>
        <w:t>PDSL, les P</w:t>
      </w:r>
      <w:r w:rsidR="00171764" w:rsidRPr="00FB1BFA">
        <w:rPr>
          <w:lang w:val="fr-FR"/>
        </w:rPr>
        <w:t>EI</w:t>
      </w:r>
      <w:r w:rsidR="00025AB3" w:rsidRPr="00FB1BFA">
        <w:rPr>
          <w:lang w:val="fr-FR"/>
        </w:rPr>
        <w:t xml:space="preserve">D et les pays dont l'économie est en transition. </w:t>
      </w:r>
      <w:r w:rsidR="007255B0" w:rsidRPr="00FB1BFA">
        <w:rPr>
          <w:lang w:val="fr-FR"/>
        </w:rPr>
        <w:t xml:space="preserve">Les demandes de bourses doivent être </w:t>
      </w:r>
      <w:r w:rsidR="00CA4E18" w:rsidRPr="00FB1BFA">
        <w:rPr>
          <w:lang w:val="fr-FR"/>
        </w:rPr>
        <w:t>envoyées à l'adresse</w:t>
      </w:r>
      <w:r w:rsidR="007255B0" w:rsidRPr="00FB1BFA">
        <w:rPr>
          <w:lang w:val="fr-FR"/>
        </w:rPr>
        <w:t xml:space="preserve"> </w:t>
      </w:r>
      <w:hyperlink r:id="rId16" w:history="1">
        <w:r w:rsidR="00B568F4" w:rsidRPr="00FB1BFA">
          <w:rPr>
            <w:rStyle w:val="Hyperlink"/>
            <w:lang w:val="fr-FR"/>
          </w:rPr>
          <w:t>fellowships@itu.int</w:t>
        </w:r>
      </w:hyperlink>
      <w:r w:rsidR="007255B0" w:rsidRPr="00FB1BFA">
        <w:rPr>
          <w:lang w:val="fr-FR"/>
        </w:rPr>
        <w:t xml:space="preserve"> avant le 22 avril 2022.</w:t>
      </w:r>
    </w:p>
    <w:p w14:paraId="02895912" w14:textId="28C10692" w:rsidR="00C53466" w:rsidRPr="00FB1BFA" w:rsidRDefault="00F448C0" w:rsidP="00792001">
      <w:pPr>
        <w:rPr>
          <w:lang w:val="fr-FR"/>
        </w:rPr>
      </w:pPr>
      <w:r w:rsidRPr="00FB1BFA">
        <w:rPr>
          <w:lang w:val="fr-FR"/>
        </w:rPr>
        <w:t>Le Service du protocole de l'UIT (</w:t>
      </w:r>
      <w:hyperlink r:id="rId17" w:history="1">
        <w:r w:rsidRPr="00FB1BFA">
          <w:rPr>
            <w:rStyle w:val="Hyperlink"/>
            <w:lang w:val="fr-FR"/>
          </w:rPr>
          <w:t>protocol.service@itu.int</w:t>
        </w:r>
      </w:hyperlink>
      <w:r w:rsidRPr="00FB1BFA">
        <w:rPr>
          <w:lang w:val="fr-FR"/>
        </w:rPr>
        <w:t xml:space="preserve">) </w:t>
      </w:r>
      <w:r w:rsidR="00721D2E" w:rsidRPr="00FB1BFA">
        <w:rPr>
          <w:lang w:val="fr-FR"/>
        </w:rPr>
        <w:t xml:space="preserve">assurera la coordination du calendrier des réceptions </w:t>
      </w:r>
      <w:r w:rsidR="00EF079E" w:rsidRPr="00FB1BFA">
        <w:rPr>
          <w:lang w:val="fr-FR"/>
        </w:rPr>
        <w:t>pour la CMDT.</w:t>
      </w:r>
      <w:r w:rsidR="00C53EDB" w:rsidRPr="00FB1BFA">
        <w:rPr>
          <w:lang w:val="fr-FR"/>
        </w:rPr>
        <w:t xml:space="preserve"> </w:t>
      </w:r>
      <w:r w:rsidR="009B2F12" w:rsidRPr="00FB1BFA">
        <w:rPr>
          <w:lang w:val="fr-FR"/>
        </w:rPr>
        <w:t xml:space="preserve">Les </w:t>
      </w:r>
      <w:r w:rsidR="00716BA9" w:rsidRPr="00FB1BFA">
        <w:rPr>
          <w:lang w:val="fr-FR"/>
        </w:rPr>
        <w:t>possibilités de</w:t>
      </w:r>
      <w:r w:rsidR="00716BA9" w:rsidRPr="00FB1BFA" w:rsidDel="00716BA9">
        <w:rPr>
          <w:lang w:val="fr-FR"/>
        </w:rPr>
        <w:t xml:space="preserve"> </w:t>
      </w:r>
      <w:r w:rsidR="009B2F12" w:rsidRPr="00FB1BFA">
        <w:rPr>
          <w:lang w:val="fr-FR"/>
        </w:rPr>
        <w:t xml:space="preserve">réceptions (pauses café, déjeuners, </w:t>
      </w:r>
      <w:r w:rsidR="00D157E3" w:rsidRPr="00FB1BFA">
        <w:rPr>
          <w:lang w:val="fr-FR"/>
        </w:rPr>
        <w:t>cocktails et dîners) sont</w:t>
      </w:r>
      <w:r w:rsidR="00792001" w:rsidRPr="00FB1BFA">
        <w:rPr>
          <w:lang w:val="fr-FR"/>
        </w:rPr>
        <w:t xml:space="preserve"> </w:t>
      </w:r>
      <w:r w:rsidR="00716BA9" w:rsidRPr="00FB1BFA">
        <w:rPr>
          <w:lang w:val="fr-FR"/>
        </w:rPr>
        <w:t>fonction</w:t>
      </w:r>
      <w:r w:rsidR="00440DF7" w:rsidRPr="00FB1BFA">
        <w:rPr>
          <w:lang w:val="fr-FR"/>
        </w:rPr>
        <w:t xml:space="preserve"> du </w:t>
      </w:r>
      <w:r w:rsidR="00290069" w:rsidRPr="00FB1BFA">
        <w:rPr>
          <w:lang w:val="fr-FR"/>
        </w:rPr>
        <w:t xml:space="preserve">programme de gestion du temps. </w:t>
      </w:r>
      <w:r w:rsidR="00FE5C76" w:rsidRPr="00FB1BFA">
        <w:rPr>
          <w:lang w:val="fr-FR"/>
        </w:rPr>
        <w:t xml:space="preserve">Les créneaux prévus pour les réceptions sont attribués </w:t>
      </w:r>
      <w:r w:rsidR="00C46EBD" w:rsidRPr="00FB1BFA">
        <w:rPr>
          <w:lang w:val="fr-FR"/>
        </w:rPr>
        <w:t>dans l'ordre des demandes.</w:t>
      </w:r>
    </w:p>
    <w:p w14:paraId="0B904D30" w14:textId="2C6A22E6" w:rsidR="0093069E" w:rsidRPr="00FB1BFA" w:rsidRDefault="0093069E" w:rsidP="00792001">
      <w:pPr>
        <w:pStyle w:val="Heading2"/>
        <w:rPr>
          <w:lang w:val="fr-FR"/>
        </w:rPr>
      </w:pPr>
      <w:r w:rsidRPr="00FB1BFA">
        <w:rPr>
          <w:lang w:val="fr-FR"/>
        </w:rPr>
        <w:lastRenderedPageBreak/>
        <w:t>2.1</w:t>
      </w:r>
      <w:r w:rsidRPr="00FB1BFA">
        <w:rPr>
          <w:lang w:val="fr-FR"/>
        </w:rPr>
        <w:tab/>
      </w:r>
      <w:r w:rsidR="003A0A10" w:rsidRPr="00FB1BFA">
        <w:rPr>
          <w:lang w:val="fr-FR"/>
        </w:rPr>
        <w:t>Quelles sont les nouveautés de la CMDT</w:t>
      </w:r>
      <w:r w:rsidRPr="00FB1BFA">
        <w:rPr>
          <w:lang w:val="fr-FR"/>
        </w:rPr>
        <w:t>?</w:t>
      </w:r>
    </w:p>
    <w:p w14:paraId="7EB80DE1" w14:textId="1A202DCC" w:rsidR="00C60464" w:rsidRPr="00FB1BFA" w:rsidRDefault="00C60464" w:rsidP="00792001">
      <w:pPr>
        <w:rPr>
          <w:lang w:val="fr-FR"/>
        </w:rPr>
      </w:pPr>
      <w:r w:rsidRPr="00FB1BFA">
        <w:rPr>
          <w:lang w:val="fr-FR"/>
        </w:rPr>
        <w:t xml:space="preserve">Le </w:t>
      </w:r>
      <w:r w:rsidRPr="00FB1BFA">
        <w:rPr>
          <w:b/>
          <w:lang w:val="fr-FR"/>
        </w:rPr>
        <w:t xml:space="preserve">Sommet mondial de la jeunesse </w:t>
      </w:r>
      <w:r w:rsidR="00277039" w:rsidRPr="00FB1BFA">
        <w:rPr>
          <w:b/>
          <w:lang w:val="fr-FR"/>
        </w:rPr>
        <w:t xml:space="preserve">organisé dans le cadre de l'initiative </w:t>
      </w:r>
      <w:r w:rsidRPr="00FB1BFA">
        <w:rPr>
          <w:b/>
          <w:lang w:val="fr-FR"/>
        </w:rPr>
        <w:t>Generation Connect</w:t>
      </w:r>
      <w:r w:rsidRPr="00FB1BFA">
        <w:rPr>
          <w:lang w:val="fr-FR"/>
        </w:rPr>
        <w:t xml:space="preserve"> sera l'occasion, pour les représentants </w:t>
      </w:r>
      <w:r w:rsidR="0053188F" w:rsidRPr="00FB1BFA">
        <w:rPr>
          <w:lang w:val="fr-FR"/>
        </w:rPr>
        <w:t xml:space="preserve">de la jeunesse </w:t>
      </w:r>
      <w:r w:rsidRPr="00FB1BFA">
        <w:rPr>
          <w:lang w:val="fr-FR"/>
        </w:rPr>
        <w:t xml:space="preserve">du monde entier, de débattre et d'établir des relations avec des décideurs </w:t>
      </w:r>
      <w:r w:rsidR="00D95C3F" w:rsidRPr="00FB1BFA">
        <w:rPr>
          <w:lang w:val="fr-FR"/>
        </w:rPr>
        <w:t>mondiaux du</w:t>
      </w:r>
      <w:r w:rsidRPr="00FB1BFA">
        <w:rPr>
          <w:lang w:val="fr-FR"/>
        </w:rPr>
        <w:t xml:space="preserve"> secteur des TIC.</w:t>
      </w:r>
      <w:r w:rsidR="00A86059" w:rsidRPr="00FB1BFA">
        <w:rPr>
          <w:lang w:val="fr-FR"/>
        </w:rPr>
        <w:t xml:space="preserve"> </w:t>
      </w:r>
      <w:r w:rsidR="00716BA9" w:rsidRPr="00FB1BFA">
        <w:rPr>
          <w:lang w:val="fr-FR"/>
        </w:rPr>
        <w:t xml:space="preserve">Des </w:t>
      </w:r>
      <w:r w:rsidR="005876BF" w:rsidRPr="00FB1BFA">
        <w:rPr>
          <w:lang w:val="fr-FR"/>
        </w:rPr>
        <w:t>jeunes</w:t>
      </w:r>
      <w:r w:rsidR="00716BA9" w:rsidRPr="00FB1BFA">
        <w:rPr>
          <w:lang w:val="fr-FR"/>
        </w:rPr>
        <w:t xml:space="preserve"> engageront</w:t>
      </w:r>
      <w:r w:rsidR="005876BF" w:rsidRPr="00FB1BFA">
        <w:rPr>
          <w:lang w:val="fr-FR"/>
        </w:rPr>
        <w:t xml:space="preserve"> une réflexion sur la façon</w:t>
      </w:r>
      <w:r w:rsidR="00792001" w:rsidRPr="00FB1BFA">
        <w:rPr>
          <w:lang w:val="fr-FR"/>
        </w:rPr>
        <w:t xml:space="preserve"> </w:t>
      </w:r>
      <w:r w:rsidR="005876BF" w:rsidRPr="00FB1BFA">
        <w:rPr>
          <w:lang w:val="fr-FR"/>
        </w:rPr>
        <w:t>de tirer parti des technologies pour progresser s</w:t>
      </w:r>
      <w:r w:rsidR="009F0C19" w:rsidRPr="00FB1BFA">
        <w:rPr>
          <w:lang w:val="fr-FR"/>
        </w:rPr>
        <w:t xml:space="preserve">ur la voie de la réalisation des Objectifs de développement durable (ODD) de l'ONU et sur la manière dont </w:t>
      </w:r>
      <w:r w:rsidR="00F05085" w:rsidRPr="00FB1BFA">
        <w:rPr>
          <w:lang w:val="fr-FR"/>
        </w:rPr>
        <w:t>ils peuvent contribuer, à travers leur</w:t>
      </w:r>
      <w:r w:rsidR="00792001" w:rsidRPr="00FB1BFA">
        <w:rPr>
          <w:lang w:val="fr-FR"/>
        </w:rPr>
        <w:t xml:space="preserve"> </w:t>
      </w:r>
      <w:r w:rsidR="004A43D4" w:rsidRPr="00FB1BFA">
        <w:rPr>
          <w:lang w:val="fr-FR"/>
        </w:rPr>
        <w:t>participation</w:t>
      </w:r>
      <w:r w:rsidR="00F05085" w:rsidRPr="00FB1BFA">
        <w:rPr>
          <w:lang w:val="fr-FR"/>
        </w:rPr>
        <w:t xml:space="preserve">, à changer le monde. </w:t>
      </w:r>
      <w:r w:rsidR="00DF2629" w:rsidRPr="00FB1BFA">
        <w:rPr>
          <w:lang w:val="fr-FR"/>
        </w:rPr>
        <w:t xml:space="preserve">Les jeunes de 18 à 29 ans sont invités à participer sur place, à Kigali, et les jeunes de 15 à 29 ans peuvent également participer </w:t>
      </w:r>
      <w:r w:rsidR="00411880" w:rsidRPr="00FB1BFA">
        <w:rPr>
          <w:lang w:val="fr-FR"/>
        </w:rPr>
        <w:t>à distance</w:t>
      </w:r>
      <w:r w:rsidR="00DF2629" w:rsidRPr="00FB1BFA">
        <w:rPr>
          <w:lang w:val="fr-FR"/>
        </w:rPr>
        <w:t>.</w:t>
      </w:r>
      <w:r w:rsidR="00411880" w:rsidRPr="00FB1BFA">
        <w:rPr>
          <w:lang w:val="fr-FR"/>
        </w:rPr>
        <w:t xml:space="preserve"> </w:t>
      </w:r>
      <w:r w:rsidR="0064235D" w:rsidRPr="00FB1BFA">
        <w:rPr>
          <w:lang w:val="fr-FR"/>
        </w:rPr>
        <w:t xml:space="preserve">La Directrice du BDT </w:t>
      </w:r>
      <w:r w:rsidR="00B95339" w:rsidRPr="00FB1BFA">
        <w:rPr>
          <w:lang w:val="fr-FR"/>
        </w:rPr>
        <w:t xml:space="preserve">a encouragé toutes les délégations à envisager </w:t>
      </w:r>
      <w:r w:rsidR="009E7F10" w:rsidRPr="00FB1BFA">
        <w:rPr>
          <w:lang w:val="fr-FR"/>
        </w:rPr>
        <w:t xml:space="preserve">d'inclure les participants au Sommet de la jeunesse dans </w:t>
      </w:r>
      <w:r w:rsidR="004A43D4" w:rsidRPr="00FB1BFA">
        <w:rPr>
          <w:lang w:val="fr-FR"/>
        </w:rPr>
        <w:t>leur</w:t>
      </w:r>
      <w:r w:rsidR="00792001" w:rsidRPr="00FB1BFA">
        <w:rPr>
          <w:lang w:val="fr-FR"/>
        </w:rPr>
        <w:t xml:space="preserve"> </w:t>
      </w:r>
      <w:r w:rsidR="004A43D4" w:rsidRPr="00FB1BFA">
        <w:rPr>
          <w:lang w:val="fr-FR"/>
        </w:rPr>
        <w:t>délégation</w:t>
      </w:r>
      <w:r w:rsidR="00792001" w:rsidRPr="00FB1BFA">
        <w:rPr>
          <w:lang w:val="fr-FR"/>
        </w:rPr>
        <w:t xml:space="preserve"> </w:t>
      </w:r>
      <w:r w:rsidR="004A43D4" w:rsidRPr="00FB1BFA">
        <w:rPr>
          <w:lang w:val="fr-FR"/>
        </w:rPr>
        <w:t xml:space="preserve">nationale </w:t>
      </w:r>
      <w:r w:rsidR="009E7F10" w:rsidRPr="00FB1BFA">
        <w:rPr>
          <w:lang w:val="fr-FR"/>
        </w:rPr>
        <w:t xml:space="preserve">ou </w:t>
      </w:r>
      <w:r w:rsidR="004A43D4" w:rsidRPr="00FB1BFA">
        <w:rPr>
          <w:lang w:val="fr-FR"/>
        </w:rPr>
        <w:t>celle des</w:t>
      </w:r>
      <w:r w:rsidR="00792001" w:rsidRPr="00FB1BFA">
        <w:rPr>
          <w:lang w:val="fr-FR"/>
        </w:rPr>
        <w:t xml:space="preserve"> </w:t>
      </w:r>
      <w:r w:rsidR="009E7F10" w:rsidRPr="00FB1BFA">
        <w:rPr>
          <w:lang w:val="fr-FR"/>
        </w:rPr>
        <w:t xml:space="preserve">Membres de Secteur, afin de </w:t>
      </w:r>
      <w:r w:rsidR="00B27C9A" w:rsidRPr="00FB1BFA">
        <w:rPr>
          <w:lang w:val="fr-FR"/>
        </w:rPr>
        <w:t xml:space="preserve">former la prochaine génération </w:t>
      </w:r>
      <w:r w:rsidR="004A43D4" w:rsidRPr="00FB1BFA">
        <w:rPr>
          <w:lang w:val="fr-FR"/>
        </w:rPr>
        <w:t>d</w:t>
      </w:r>
      <w:r w:rsidR="00D266D5" w:rsidRPr="00FB1BFA">
        <w:rPr>
          <w:lang w:val="fr-FR"/>
        </w:rPr>
        <w:t>'</w:t>
      </w:r>
      <w:r w:rsidR="004A43D4" w:rsidRPr="00FB1BFA">
        <w:rPr>
          <w:lang w:val="fr-FR"/>
        </w:rPr>
        <w:t xml:space="preserve">apprentis </w:t>
      </w:r>
      <w:r w:rsidR="008E5F1B" w:rsidRPr="00FB1BFA">
        <w:rPr>
          <w:lang w:val="fr-FR"/>
        </w:rPr>
        <w:t>délégués</w:t>
      </w:r>
      <w:r w:rsidR="00792001" w:rsidRPr="00FB1BFA">
        <w:rPr>
          <w:lang w:val="fr-FR"/>
        </w:rPr>
        <w:t xml:space="preserve"> </w:t>
      </w:r>
      <w:r w:rsidR="008E5F1B" w:rsidRPr="00FB1BFA">
        <w:rPr>
          <w:lang w:val="fr-FR"/>
        </w:rPr>
        <w:t>de l'UIT.</w:t>
      </w:r>
    </w:p>
    <w:p w14:paraId="06748B9A" w14:textId="7B8CF88F" w:rsidR="004D7379" w:rsidRPr="00FB1BFA" w:rsidRDefault="004D7379" w:rsidP="00792001">
      <w:pPr>
        <w:rPr>
          <w:lang w:val="fr-FR"/>
        </w:rPr>
      </w:pPr>
      <w:r w:rsidRPr="00FB1BFA">
        <w:rPr>
          <w:lang w:val="fr-FR"/>
        </w:rPr>
        <w:t xml:space="preserve">La </w:t>
      </w:r>
      <w:r w:rsidRPr="00FB1BFA">
        <w:rPr>
          <w:b/>
          <w:lang w:val="fr-FR"/>
        </w:rPr>
        <w:t>Table ronde "Partner2Connect" pour le développement du numérique</w:t>
      </w:r>
      <w:r w:rsidRPr="00FB1BFA">
        <w:rPr>
          <w:lang w:val="fr-FR"/>
        </w:rPr>
        <w:t xml:space="preserve"> </w:t>
      </w:r>
      <w:r w:rsidR="008758EE" w:rsidRPr="00FB1BFA">
        <w:rPr>
          <w:lang w:val="fr-FR"/>
        </w:rPr>
        <w:t xml:space="preserve">fait partie intégrante de la CMDT. </w:t>
      </w:r>
      <w:r w:rsidR="00B3506F" w:rsidRPr="00FB1BFA">
        <w:rPr>
          <w:lang w:val="fr-FR"/>
        </w:rPr>
        <w:t xml:space="preserve">Il est prévu qu'elle </w:t>
      </w:r>
      <w:r w:rsidR="004A43D4" w:rsidRPr="00FB1BFA">
        <w:rPr>
          <w:lang w:val="fr-FR"/>
        </w:rPr>
        <w:t xml:space="preserve">comprenne </w:t>
      </w:r>
      <w:r w:rsidR="00B3506F" w:rsidRPr="00FB1BFA">
        <w:rPr>
          <w:lang w:val="fr-FR"/>
        </w:rPr>
        <w:t xml:space="preserve">plusieurs </w:t>
      </w:r>
      <w:r w:rsidR="00250F11" w:rsidRPr="00FB1BFA">
        <w:rPr>
          <w:lang w:val="fr-FR"/>
        </w:rPr>
        <w:t xml:space="preserve">débats de haut niveau, qui seront </w:t>
      </w:r>
      <w:r w:rsidR="00017345" w:rsidRPr="00FB1BFA">
        <w:rPr>
          <w:lang w:val="fr-FR"/>
        </w:rPr>
        <w:t>complétés par des séances en petits groupes</w:t>
      </w:r>
      <w:r w:rsidR="002A216D" w:rsidRPr="00FB1BFA">
        <w:rPr>
          <w:lang w:val="fr-FR"/>
        </w:rPr>
        <w:t xml:space="preserve"> et</w:t>
      </w:r>
      <w:r w:rsidR="00792001" w:rsidRPr="00FB1BFA">
        <w:rPr>
          <w:lang w:val="fr-FR"/>
        </w:rPr>
        <w:t xml:space="preserve"> </w:t>
      </w:r>
      <w:r w:rsidR="00017345" w:rsidRPr="00FB1BFA">
        <w:rPr>
          <w:lang w:val="fr-FR"/>
        </w:rPr>
        <w:t xml:space="preserve">des </w:t>
      </w:r>
      <w:r w:rsidR="00DC2607" w:rsidRPr="00FB1BFA">
        <w:rPr>
          <w:lang w:val="fr-FR"/>
        </w:rPr>
        <w:t>séances ciblées</w:t>
      </w:r>
      <w:r w:rsidR="002A216D" w:rsidRPr="00FB1BFA">
        <w:rPr>
          <w:lang w:val="fr-FR"/>
        </w:rPr>
        <w:t>,</w:t>
      </w:r>
      <w:r w:rsidR="00792001" w:rsidRPr="00FB1BFA">
        <w:rPr>
          <w:lang w:val="fr-FR"/>
        </w:rPr>
        <w:t xml:space="preserve"> </w:t>
      </w:r>
      <w:r w:rsidR="00DC2607" w:rsidRPr="00FB1BFA">
        <w:rPr>
          <w:lang w:val="fr-FR"/>
        </w:rPr>
        <w:t xml:space="preserve">et </w:t>
      </w:r>
      <w:r w:rsidR="002A216D" w:rsidRPr="00FB1BFA">
        <w:rPr>
          <w:lang w:val="fr-FR"/>
        </w:rPr>
        <w:t xml:space="preserve">offre </w:t>
      </w:r>
      <w:r w:rsidR="00DC2607" w:rsidRPr="00FB1BFA">
        <w:rPr>
          <w:lang w:val="fr-FR"/>
        </w:rPr>
        <w:t xml:space="preserve">des </w:t>
      </w:r>
      <w:r w:rsidR="00F6394D" w:rsidRPr="00FB1BFA">
        <w:rPr>
          <w:lang w:val="fr-FR"/>
        </w:rPr>
        <w:t xml:space="preserve">possibilités de nouer des contacts. Elle </w:t>
      </w:r>
      <w:r w:rsidR="002A216D" w:rsidRPr="00FB1BFA">
        <w:rPr>
          <w:lang w:val="fr-FR"/>
        </w:rPr>
        <w:t>sera</w:t>
      </w:r>
      <w:r w:rsidR="00792001" w:rsidRPr="00FB1BFA">
        <w:rPr>
          <w:lang w:val="fr-FR"/>
        </w:rPr>
        <w:t xml:space="preserve"> </w:t>
      </w:r>
      <w:r w:rsidR="00F6394D" w:rsidRPr="00FB1BFA">
        <w:rPr>
          <w:lang w:val="fr-FR"/>
        </w:rPr>
        <w:t>l'occasion</w:t>
      </w:r>
      <w:r w:rsidR="00792001" w:rsidRPr="00FB1BFA">
        <w:rPr>
          <w:lang w:val="fr-FR"/>
        </w:rPr>
        <w:t xml:space="preserve"> </w:t>
      </w:r>
      <w:r w:rsidR="002A216D" w:rsidRPr="00FB1BFA">
        <w:rPr>
          <w:lang w:val="fr-FR"/>
        </w:rPr>
        <w:t>pour les</w:t>
      </w:r>
      <w:r w:rsidR="00792001" w:rsidRPr="00FB1BFA">
        <w:rPr>
          <w:lang w:val="fr-FR"/>
        </w:rPr>
        <w:t xml:space="preserve"> </w:t>
      </w:r>
      <w:r w:rsidR="00EE6138" w:rsidRPr="00FB1BFA">
        <w:rPr>
          <w:lang w:val="fr-FR"/>
        </w:rPr>
        <w:t xml:space="preserve">États Membres, </w:t>
      </w:r>
      <w:r w:rsidR="002A216D" w:rsidRPr="00FB1BFA">
        <w:rPr>
          <w:lang w:val="fr-FR"/>
        </w:rPr>
        <w:t>les</w:t>
      </w:r>
      <w:r w:rsidR="00792001" w:rsidRPr="00FB1BFA">
        <w:rPr>
          <w:lang w:val="fr-FR"/>
        </w:rPr>
        <w:t xml:space="preserve"> </w:t>
      </w:r>
      <w:r w:rsidR="00EE6138" w:rsidRPr="00FB1BFA">
        <w:rPr>
          <w:lang w:val="fr-FR"/>
        </w:rPr>
        <w:t xml:space="preserve">Membres du Secteur de l'UIT-D et </w:t>
      </w:r>
      <w:r w:rsidR="002A216D" w:rsidRPr="00FB1BFA">
        <w:rPr>
          <w:lang w:val="fr-FR"/>
        </w:rPr>
        <w:t>les</w:t>
      </w:r>
      <w:r w:rsidR="00792001" w:rsidRPr="00FB1BFA">
        <w:rPr>
          <w:lang w:val="fr-FR"/>
        </w:rPr>
        <w:t xml:space="preserve"> </w:t>
      </w:r>
      <w:r w:rsidR="00EE6138" w:rsidRPr="00FB1BFA">
        <w:rPr>
          <w:lang w:val="fr-FR"/>
        </w:rPr>
        <w:t>autres parties prenantes</w:t>
      </w:r>
      <w:r w:rsidR="00792001" w:rsidRPr="00FB1BFA">
        <w:rPr>
          <w:lang w:val="fr-FR"/>
        </w:rPr>
        <w:t xml:space="preserve"> </w:t>
      </w:r>
      <w:r w:rsidR="00EE6138" w:rsidRPr="00FB1BFA">
        <w:rPr>
          <w:lang w:val="fr-FR"/>
        </w:rPr>
        <w:t xml:space="preserve">de prendre part </w:t>
      </w:r>
      <w:r w:rsidR="007829F2" w:rsidRPr="00FB1BFA">
        <w:rPr>
          <w:lang w:val="fr-FR"/>
        </w:rPr>
        <w:t xml:space="preserve">à des discussions de haut niveau sur les enjeux et les perspectives </w:t>
      </w:r>
      <w:r w:rsidR="002A216D" w:rsidRPr="00FB1BFA">
        <w:rPr>
          <w:lang w:val="fr-FR"/>
        </w:rPr>
        <w:t>du</w:t>
      </w:r>
      <w:r w:rsidR="00C61EE7" w:rsidRPr="00FB1BFA">
        <w:rPr>
          <w:lang w:val="fr-FR"/>
        </w:rPr>
        <w:t xml:space="preserve"> développement du numérique, de prendre des engagements concrets et de nouer de nouveaux partenariats.</w:t>
      </w:r>
    </w:p>
    <w:p w14:paraId="6ED58540" w14:textId="03575AA1" w:rsidR="000E7E72" w:rsidRPr="00FB1BFA" w:rsidRDefault="005B7C91" w:rsidP="00792001">
      <w:pPr>
        <w:rPr>
          <w:lang w:val="fr-FR"/>
        </w:rPr>
      </w:pPr>
      <w:r w:rsidRPr="00FB1BFA">
        <w:rPr>
          <w:lang w:val="fr-FR"/>
        </w:rPr>
        <w:t xml:space="preserve">La fracture numérique demeure un problème, en particulier </w:t>
      </w:r>
      <w:r w:rsidR="00A51E3D" w:rsidRPr="00FB1BFA">
        <w:rPr>
          <w:lang w:val="fr-FR"/>
        </w:rPr>
        <w:t>dans</w:t>
      </w:r>
      <w:r w:rsidRPr="00FB1BFA">
        <w:rPr>
          <w:lang w:val="fr-FR"/>
        </w:rPr>
        <w:t xml:space="preserve"> les PMA, les PDSL et les PEID. </w:t>
      </w:r>
      <w:r w:rsidR="001B37D6" w:rsidRPr="00FB1BFA">
        <w:rPr>
          <w:lang w:val="fr-FR"/>
        </w:rPr>
        <w:t>L</w:t>
      </w:r>
      <w:r w:rsidR="000E7E72" w:rsidRPr="00FB1BFA">
        <w:rPr>
          <w:lang w:val="fr-FR"/>
        </w:rPr>
        <w:t xml:space="preserve">a Coalition </w:t>
      </w:r>
      <w:r w:rsidR="001B37D6" w:rsidRPr="00FB1BFA">
        <w:rPr>
          <w:lang w:val="fr-FR"/>
        </w:rPr>
        <w:t xml:space="preserve">pour le numérique "Partner2Connect" (P2C) a été </w:t>
      </w:r>
      <w:r w:rsidR="002A216D" w:rsidRPr="00FB1BFA">
        <w:rPr>
          <w:lang w:val="fr-FR"/>
        </w:rPr>
        <w:t xml:space="preserve">mise sur pied </w:t>
      </w:r>
      <w:r w:rsidR="001B37D6" w:rsidRPr="00FB1BFA">
        <w:rPr>
          <w:lang w:val="fr-FR"/>
        </w:rPr>
        <w:t xml:space="preserve">le 20 septembre 2021 pour remédier à ce problème et </w:t>
      </w:r>
      <w:r w:rsidR="00B93D26" w:rsidRPr="00FB1BFA">
        <w:rPr>
          <w:lang w:val="fr-FR"/>
        </w:rPr>
        <w:t>ses travaux s'articulent autour de quatre domaines d'action:</w:t>
      </w:r>
    </w:p>
    <w:p w14:paraId="663F4EB3" w14:textId="61D6CDDF" w:rsidR="005B7C91" w:rsidRPr="00FB1BFA" w:rsidRDefault="005B7C91" w:rsidP="00792001">
      <w:pPr>
        <w:pStyle w:val="enumlev1"/>
        <w:rPr>
          <w:lang w:val="fr-FR"/>
        </w:rPr>
      </w:pPr>
      <w:r w:rsidRPr="00FB1BFA">
        <w:rPr>
          <w:lang w:val="fr-FR"/>
        </w:rPr>
        <w:t>–</w:t>
      </w:r>
      <w:r w:rsidRPr="00FB1BFA">
        <w:rPr>
          <w:lang w:val="fr-FR"/>
        </w:rPr>
        <w:tab/>
      </w:r>
      <w:r w:rsidR="00BB1B36" w:rsidRPr="00FB1BFA">
        <w:rPr>
          <w:b/>
          <w:lang w:val="fr-FR"/>
        </w:rPr>
        <w:t xml:space="preserve">Accès: </w:t>
      </w:r>
      <w:r w:rsidRPr="00FB1BFA">
        <w:rPr>
          <w:b/>
          <w:bCs/>
          <w:lang w:val="fr-FR"/>
        </w:rPr>
        <w:t>Connecter les populations partout</w:t>
      </w:r>
      <w:r w:rsidR="002A216D" w:rsidRPr="00FB1BFA">
        <w:rPr>
          <w:b/>
          <w:bCs/>
          <w:lang w:val="fr-FR"/>
        </w:rPr>
        <w:t xml:space="preserve"> dans le monde</w:t>
      </w:r>
    </w:p>
    <w:p w14:paraId="0F403EF9" w14:textId="248B71EC" w:rsidR="005B7C91" w:rsidRPr="00FB1BFA" w:rsidRDefault="005B7C91" w:rsidP="00792001">
      <w:pPr>
        <w:pStyle w:val="enumlev1"/>
        <w:rPr>
          <w:b/>
          <w:bCs/>
          <w:lang w:val="fr-FR"/>
        </w:rPr>
      </w:pPr>
      <w:r w:rsidRPr="00FB1BFA">
        <w:rPr>
          <w:lang w:val="fr-FR"/>
        </w:rPr>
        <w:t>–</w:t>
      </w:r>
      <w:r w:rsidRPr="00FB1BFA">
        <w:rPr>
          <w:lang w:val="fr-FR"/>
        </w:rPr>
        <w:tab/>
      </w:r>
      <w:r w:rsidR="00BB1B36" w:rsidRPr="00FB1BFA">
        <w:rPr>
          <w:b/>
          <w:lang w:val="fr-FR"/>
        </w:rPr>
        <w:t xml:space="preserve">Adoption: </w:t>
      </w:r>
      <w:r w:rsidRPr="00FB1BFA">
        <w:rPr>
          <w:b/>
          <w:bCs/>
          <w:lang w:val="fr-FR"/>
        </w:rPr>
        <w:t>Autonomiser les communautés</w:t>
      </w:r>
    </w:p>
    <w:p w14:paraId="22D1FE1E" w14:textId="1B914DD7" w:rsidR="005B7C91" w:rsidRPr="00FB1BFA" w:rsidRDefault="005B7C91" w:rsidP="00792001">
      <w:pPr>
        <w:pStyle w:val="enumlev1"/>
        <w:rPr>
          <w:lang w:val="fr-FR"/>
        </w:rPr>
      </w:pPr>
      <w:r w:rsidRPr="00FB1BFA">
        <w:rPr>
          <w:lang w:val="fr-FR"/>
        </w:rPr>
        <w:t>–</w:t>
      </w:r>
      <w:r w:rsidRPr="00FB1BFA">
        <w:rPr>
          <w:lang w:val="fr-FR"/>
        </w:rPr>
        <w:tab/>
      </w:r>
      <w:r w:rsidR="00BB1B36" w:rsidRPr="00FB1BFA">
        <w:rPr>
          <w:b/>
          <w:lang w:val="fr-FR"/>
        </w:rPr>
        <w:t xml:space="preserve">Création de valeur: </w:t>
      </w:r>
      <w:r w:rsidRPr="00FB1BFA">
        <w:rPr>
          <w:b/>
          <w:bCs/>
          <w:lang w:val="fr-FR"/>
        </w:rPr>
        <w:t>Instaurer des écosystèmes numériques</w:t>
      </w:r>
    </w:p>
    <w:p w14:paraId="482FE546" w14:textId="77E7B6FD" w:rsidR="005B7C91" w:rsidRPr="00FB1BFA" w:rsidRDefault="005B7C91" w:rsidP="00792001">
      <w:pPr>
        <w:pStyle w:val="enumlev1"/>
        <w:rPr>
          <w:b/>
          <w:bCs/>
          <w:lang w:val="fr-FR"/>
        </w:rPr>
      </w:pPr>
      <w:r w:rsidRPr="00FB1BFA">
        <w:rPr>
          <w:lang w:val="fr-FR"/>
        </w:rPr>
        <w:t>–</w:t>
      </w:r>
      <w:r w:rsidRPr="00FB1BFA">
        <w:rPr>
          <w:lang w:val="fr-FR"/>
        </w:rPr>
        <w:tab/>
      </w:r>
      <w:r w:rsidR="000A728B" w:rsidRPr="00FB1BFA">
        <w:rPr>
          <w:b/>
          <w:lang w:val="fr-FR"/>
        </w:rPr>
        <w:t>Accélérer</w:t>
      </w:r>
      <w:r w:rsidR="00BB1B36" w:rsidRPr="00FB1BFA">
        <w:rPr>
          <w:b/>
          <w:lang w:val="fr-FR"/>
        </w:rPr>
        <w:t xml:space="preserve">: </w:t>
      </w:r>
      <w:r w:rsidRPr="00FB1BFA">
        <w:rPr>
          <w:b/>
          <w:bCs/>
          <w:lang w:val="fr-FR"/>
        </w:rPr>
        <w:t>Encourager les investissements</w:t>
      </w:r>
    </w:p>
    <w:p w14:paraId="79036A9B" w14:textId="4CF87D36" w:rsidR="00DB39DC" w:rsidRPr="00FB1BFA" w:rsidRDefault="00F27F8E" w:rsidP="00792001">
      <w:pPr>
        <w:rPr>
          <w:lang w:val="fr-FR"/>
        </w:rPr>
      </w:pPr>
      <w:r w:rsidRPr="00FB1BFA">
        <w:rPr>
          <w:lang w:val="fr-FR"/>
        </w:rPr>
        <w:t xml:space="preserve">Les participants de haut rang, </w:t>
      </w:r>
      <w:r w:rsidR="002A216D" w:rsidRPr="00FB1BFA">
        <w:rPr>
          <w:lang w:val="fr-FR"/>
        </w:rPr>
        <w:t>notamment</w:t>
      </w:r>
      <w:r w:rsidRPr="00FB1BFA">
        <w:rPr>
          <w:lang w:val="fr-FR"/>
        </w:rPr>
        <w:t xml:space="preserve"> les Ministres et les directeurs généraux, </w:t>
      </w:r>
      <w:r w:rsidR="00835E95" w:rsidRPr="00FB1BFA">
        <w:rPr>
          <w:lang w:val="fr-FR"/>
        </w:rPr>
        <w:t>ont la possibilité de</w:t>
      </w:r>
      <w:r w:rsidR="008F7CA8" w:rsidRPr="00FB1BFA">
        <w:rPr>
          <w:lang w:val="fr-FR"/>
        </w:rPr>
        <w:t xml:space="preserve"> </w:t>
      </w:r>
      <w:r w:rsidR="00C72005" w:rsidRPr="00FB1BFA">
        <w:rPr>
          <w:lang w:val="fr-FR"/>
        </w:rPr>
        <w:t xml:space="preserve">prendre des engagements dans ces domaines. </w:t>
      </w:r>
      <w:r w:rsidR="00F37A9F" w:rsidRPr="00FB1BFA">
        <w:rPr>
          <w:lang w:val="fr-FR"/>
        </w:rPr>
        <w:t>Le 24 février 2022, Inmarsat a</w:t>
      </w:r>
      <w:r w:rsidR="00792001" w:rsidRPr="00FB1BFA">
        <w:rPr>
          <w:lang w:val="fr-FR"/>
        </w:rPr>
        <w:t xml:space="preserve"> </w:t>
      </w:r>
      <w:r w:rsidR="00F37A9F" w:rsidRPr="00FB1BFA">
        <w:rPr>
          <w:lang w:val="fr-FR"/>
        </w:rPr>
        <w:t xml:space="preserve">annoncé qu'il </w:t>
      </w:r>
      <w:r w:rsidR="002A216D" w:rsidRPr="00FB1BFA">
        <w:rPr>
          <w:lang w:val="fr-FR"/>
        </w:rPr>
        <w:t>ferait</w:t>
      </w:r>
      <w:r w:rsidR="00792001" w:rsidRPr="00FB1BFA">
        <w:rPr>
          <w:lang w:val="fr-FR"/>
        </w:rPr>
        <w:t xml:space="preserve"> </w:t>
      </w:r>
      <w:r w:rsidR="002E69EF" w:rsidRPr="00FB1BFA">
        <w:rPr>
          <w:lang w:val="fr-FR"/>
        </w:rPr>
        <w:t>un don</w:t>
      </w:r>
      <w:r w:rsidR="007E3A76" w:rsidRPr="00FB1BFA">
        <w:rPr>
          <w:lang w:val="fr-FR"/>
        </w:rPr>
        <w:t xml:space="preserve"> </w:t>
      </w:r>
      <w:r w:rsidR="002A216D" w:rsidRPr="00FB1BFA">
        <w:rPr>
          <w:lang w:val="fr-FR"/>
        </w:rPr>
        <w:t>d</w:t>
      </w:r>
      <w:r w:rsidR="00D266D5" w:rsidRPr="00FB1BFA">
        <w:rPr>
          <w:lang w:val="fr-FR"/>
        </w:rPr>
        <w:t>'</w:t>
      </w:r>
      <w:r w:rsidR="002A216D" w:rsidRPr="00FB1BFA">
        <w:rPr>
          <w:lang w:val="fr-FR"/>
        </w:rPr>
        <w:t>un montant de</w:t>
      </w:r>
      <w:r w:rsidR="007E3A76" w:rsidRPr="00FB1BFA">
        <w:rPr>
          <w:lang w:val="fr-FR"/>
        </w:rPr>
        <w:t xml:space="preserve"> 1,2 million </w:t>
      </w:r>
      <w:r w:rsidR="002A216D" w:rsidRPr="00FB1BFA">
        <w:rPr>
          <w:lang w:val="fr-FR"/>
        </w:rPr>
        <w:t>USD</w:t>
      </w:r>
      <w:r w:rsidR="00792001" w:rsidRPr="00FB1BFA">
        <w:rPr>
          <w:lang w:val="fr-FR"/>
        </w:rPr>
        <w:t>,</w:t>
      </w:r>
      <w:r w:rsidR="007E3A76" w:rsidRPr="00FB1BFA">
        <w:rPr>
          <w:lang w:val="fr-FR"/>
        </w:rPr>
        <w:t xml:space="preserve"> </w:t>
      </w:r>
      <w:r w:rsidR="00CA7D6D" w:rsidRPr="00FB1BFA">
        <w:rPr>
          <w:lang w:val="fr-FR"/>
        </w:rPr>
        <w:t>sous la forme de temps d'émission de satellite af</w:t>
      </w:r>
      <w:r w:rsidR="00881738" w:rsidRPr="00FB1BFA">
        <w:rPr>
          <w:lang w:val="fr-FR"/>
        </w:rPr>
        <w:t>in de "connecter les</w:t>
      </w:r>
      <w:r w:rsidR="00792001" w:rsidRPr="00FB1BFA">
        <w:rPr>
          <w:lang w:val="fr-FR"/>
        </w:rPr>
        <w:t xml:space="preserve"> </w:t>
      </w:r>
      <w:r w:rsidR="000411FC" w:rsidRPr="00FB1BFA">
        <w:rPr>
          <w:lang w:val="fr-FR"/>
        </w:rPr>
        <w:t>populations partout dans le monde</w:t>
      </w:r>
      <w:r w:rsidR="00CA7D6D" w:rsidRPr="00FB1BFA">
        <w:rPr>
          <w:lang w:val="fr-FR"/>
        </w:rPr>
        <w:t>".</w:t>
      </w:r>
    </w:p>
    <w:p w14:paraId="29F1ABDA" w14:textId="1DCD7EFE" w:rsidR="00A57865" w:rsidRPr="00FB1BFA" w:rsidRDefault="000411FC" w:rsidP="00792001">
      <w:pPr>
        <w:rPr>
          <w:lang w:val="fr-FR"/>
        </w:rPr>
      </w:pPr>
      <w:r w:rsidRPr="00FB1BFA">
        <w:rPr>
          <w:lang w:val="fr-FR"/>
        </w:rPr>
        <w:t>Autre première pendant la CMDT</w:t>
      </w:r>
      <w:r w:rsidR="00792001" w:rsidRPr="00FB1BFA">
        <w:rPr>
          <w:lang w:val="fr-FR"/>
        </w:rPr>
        <w:t>:</w:t>
      </w:r>
      <w:r w:rsidRPr="00FB1BFA">
        <w:rPr>
          <w:lang w:val="fr-FR"/>
        </w:rPr>
        <w:t xml:space="preserve"> le </w:t>
      </w:r>
      <w:r w:rsidR="00A57865" w:rsidRPr="00FB1BFA">
        <w:rPr>
          <w:b/>
          <w:lang w:val="fr-FR"/>
        </w:rPr>
        <w:t>Réseau de femmes (NoW)</w:t>
      </w:r>
      <w:r w:rsidR="00A57865" w:rsidRPr="00FB1BFA">
        <w:rPr>
          <w:lang w:val="fr-FR"/>
        </w:rPr>
        <w:t>,</w:t>
      </w:r>
      <w:r w:rsidR="00792001" w:rsidRPr="00FB1BFA">
        <w:rPr>
          <w:lang w:val="fr-FR"/>
        </w:rPr>
        <w:t xml:space="preserve"> </w:t>
      </w:r>
      <w:r w:rsidR="00A57865" w:rsidRPr="00FB1BFA">
        <w:rPr>
          <w:lang w:val="fr-FR"/>
        </w:rPr>
        <w:t xml:space="preserve">lancé en 2021 et </w:t>
      </w:r>
      <w:r w:rsidRPr="00FB1BFA">
        <w:rPr>
          <w:lang w:val="fr-FR"/>
        </w:rPr>
        <w:t xml:space="preserve">qui </w:t>
      </w:r>
      <w:r w:rsidR="00A57865" w:rsidRPr="00FB1BFA">
        <w:rPr>
          <w:lang w:val="fr-FR"/>
        </w:rPr>
        <w:t>compte six</w:t>
      </w:r>
      <w:r w:rsidR="00A5484C" w:rsidRPr="00FB1BFA">
        <w:rPr>
          <w:lang w:val="fr-FR"/>
        </w:rPr>
        <w:t> </w:t>
      </w:r>
      <w:r w:rsidR="00A57865" w:rsidRPr="00FB1BFA">
        <w:rPr>
          <w:lang w:val="fr-FR"/>
        </w:rPr>
        <w:t>groupes régionaux très actifs</w:t>
      </w:r>
      <w:r w:rsidR="00792001" w:rsidRPr="00FB1BFA">
        <w:rPr>
          <w:lang w:val="fr-FR"/>
        </w:rPr>
        <w:t>.</w:t>
      </w:r>
      <w:r w:rsidR="00C83300" w:rsidRPr="00FB1BFA">
        <w:rPr>
          <w:lang w:val="fr-FR"/>
        </w:rPr>
        <w:t xml:space="preserve"> </w:t>
      </w:r>
      <w:r w:rsidR="00161A96" w:rsidRPr="00FB1BFA">
        <w:rPr>
          <w:lang w:val="fr-FR"/>
        </w:rPr>
        <w:t>Le Réseau de femmes a pour</w:t>
      </w:r>
      <w:r w:rsidRPr="00FB1BFA">
        <w:rPr>
          <w:lang w:val="fr-FR"/>
        </w:rPr>
        <w:t xml:space="preserve"> ambition</w:t>
      </w:r>
      <w:r w:rsidR="00161A96" w:rsidRPr="00FB1BFA">
        <w:rPr>
          <w:lang w:val="fr-FR"/>
        </w:rPr>
        <w:t xml:space="preserve"> de promouvoir </w:t>
      </w:r>
      <w:r w:rsidR="00624A6C" w:rsidRPr="00FB1BFA">
        <w:rPr>
          <w:lang w:val="fr-FR"/>
        </w:rPr>
        <w:t xml:space="preserve">la participation active des femmes </w:t>
      </w:r>
      <w:r w:rsidR="007676F8" w:rsidRPr="00FB1BFA">
        <w:rPr>
          <w:lang w:val="fr-FR"/>
        </w:rPr>
        <w:t xml:space="preserve">aux activités de l'UIT et </w:t>
      </w:r>
      <w:r w:rsidR="009E5DE6" w:rsidRPr="00FB1BFA">
        <w:rPr>
          <w:lang w:val="fr-FR"/>
        </w:rPr>
        <w:t>aux travaux</w:t>
      </w:r>
      <w:r w:rsidR="007676F8" w:rsidRPr="00FB1BFA">
        <w:rPr>
          <w:lang w:val="fr-FR"/>
        </w:rPr>
        <w:t xml:space="preserve"> du sec</w:t>
      </w:r>
      <w:r w:rsidR="00921C0D" w:rsidRPr="00FB1BFA">
        <w:rPr>
          <w:lang w:val="fr-FR"/>
        </w:rPr>
        <w:t>teur des TIC dans son ensemble</w:t>
      </w:r>
      <w:r w:rsidRPr="00FB1BFA">
        <w:rPr>
          <w:lang w:val="fr-FR"/>
        </w:rPr>
        <w:t>,</w:t>
      </w:r>
      <w:r w:rsidR="00792001" w:rsidRPr="00FB1BFA">
        <w:rPr>
          <w:lang w:val="fr-FR"/>
        </w:rPr>
        <w:t xml:space="preserve"> </w:t>
      </w:r>
      <w:r w:rsidR="00921C0D" w:rsidRPr="00FB1BFA">
        <w:rPr>
          <w:lang w:val="fr-FR"/>
        </w:rPr>
        <w:t xml:space="preserve">de </w:t>
      </w:r>
      <w:r w:rsidR="00B64755" w:rsidRPr="00FB1BFA">
        <w:rPr>
          <w:lang w:val="fr-FR"/>
        </w:rPr>
        <w:t xml:space="preserve">donner de la visibilité aux femmes et de leur </w:t>
      </w:r>
      <w:r w:rsidRPr="00FB1BFA">
        <w:rPr>
          <w:lang w:val="fr-FR"/>
        </w:rPr>
        <w:t xml:space="preserve">donner </w:t>
      </w:r>
      <w:r w:rsidR="00B64755" w:rsidRPr="00FB1BFA">
        <w:rPr>
          <w:lang w:val="fr-FR"/>
        </w:rPr>
        <w:t xml:space="preserve">les moyens d'assumer des responsabilités plus importantes au sein de </w:t>
      </w:r>
      <w:r w:rsidR="00B45C33" w:rsidRPr="00FB1BFA">
        <w:rPr>
          <w:lang w:val="fr-FR"/>
        </w:rPr>
        <w:t xml:space="preserve">leurs délégations, </w:t>
      </w:r>
      <w:r w:rsidRPr="00FB1BFA">
        <w:rPr>
          <w:lang w:val="fr-FR"/>
        </w:rPr>
        <w:t>lors</w:t>
      </w:r>
      <w:r w:rsidR="00B45C33" w:rsidRPr="00FB1BFA">
        <w:rPr>
          <w:lang w:val="fr-FR"/>
        </w:rPr>
        <w:t xml:space="preserve"> de la CMDT et </w:t>
      </w:r>
      <w:r w:rsidRPr="00FB1BFA">
        <w:rPr>
          <w:lang w:val="fr-FR"/>
        </w:rPr>
        <w:t>de</w:t>
      </w:r>
      <w:r w:rsidR="00792001" w:rsidRPr="00FB1BFA">
        <w:rPr>
          <w:lang w:val="fr-FR"/>
        </w:rPr>
        <w:t xml:space="preserve"> </w:t>
      </w:r>
      <w:r w:rsidR="00B45C33" w:rsidRPr="00FB1BFA">
        <w:rPr>
          <w:lang w:val="fr-FR"/>
        </w:rPr>
        <w:t xml:space="preserve">futures manifestations </w:t>
      </w:r>
      <w:r w:rsidR="006555B2" w:rsidRPr="00FB1BFA">
        <w:rPr>
          <w:lang w:val="fr-FR"/>
        </w:rPr>
        <w:t>analogues</w:t>
      </w:r>
      <w:r w:rsidR="00B45C33" w:rsidRPr="00FB1BFA">
        <w:rPr>
          <w:lang w:val="fr-FR"/>
        </w:rPr>
        <w:t>.</w:t>
      </w:r>
    </w:p>
    <w:p w14:paraId="5EF8968E" w14:textId="46E6D08A" w:rsidR="005B7C91" w:rsidRPr="00FB1BFA" w:rsidRDefault="005B7C91" w:rsidP="00792001">
      <w:pPr>
        <w:pStyle w:val="Heading2"/>
        <w:rPr>
          <w:lang w:val="fr-FR"/>
        </w:rPr>
      </w:pPr>
      <w:r w:rsidRPr="00FB1BFA">
        <w:rPr>
          <w:lang w:val="fr-FR"/>
        </w:rPr>
        <w:t>2.2</w:t>
      </w:r>
      <w:r w:rsidRPr="00FB1BFA">
        <w:rPr>
          <w:lang w:val="fr-FR"/>
        </w:rPr>
        <w:tab/>
      </w:r>
      <w:r w:rsidR="0030310B" w:rsidRPr="00FB1BFA">
        <w:rPr>
          <w:lang w:val="fr-FR"/>
        </w:rPr>
        <w:t>Observations des participants</w:t>
      </w:r>
    </w:p>
    <w:p w14:paraId="760EDEF6" w14:textId="57C26DEB" w:rsidR="007C2F2A" w:rsidRPr="00FB1BFA" w:rsidRDefault="007C2F2A" w:rsidP="00792001">
      <w:pPr>
        <w:rPr>
          <w:bCs/>
          <w:lang w:val="fr-FR"/>
        </w:rPr>
      </w:pPr>
      <w:r w:rsidRPr="00FB1BFA">
        <w:rPr>
          <w:bCs/>
          <w:lang w:val="fr-FR"/>
        </w:rPr>
        <w:t xml:space="preserve">Tous les participants qui ont pris la parole </w:t>
      </w:r>
      <w:r w:rsidR="008A3DCD" w:rsidRPr="00FB1BFA">
        <w:rPr>
          <w:bCs/>
          <w:lang w:val="fr-FR"/>
        </w:rPr>
        <w:t xml:space="preserve">après les allocutions d'ouverture et les présentations du BDT ont remercié le Gouvernement du Rwanda </w:t>
      </w:r>
      <w:r w:rsidR="00C70A74" w:rsidRPr="00FB1BFA">
        <w:rPr>
          <w:bCs/>
          <w:lang w:val="fr-FR"/>
        </w:rPr>
        <w:t>d'avoir</w:t>
      </w:r>
      <w:r w:rsidR="00855E6B" w:rsidRPr="00FB1BFA">
        <w:rPr>
          <w:bCs/>
          <w:lang w:val="fr-FR"/>
        </w:rPr>
        <w:t xml:space="preserve"> généreusement</w:t>
      </w:r>
      <w:r w:rsidR="00C70A74" w:rsidRPr="00FB1BFA">
        <w:rPr>
          <w:bCs/>
          <w:lang w:val="fr-FR"/>
        </w:rPr>
        <w:t xml:space="preserve"> proposé d'accueillir la CMDT et ont indiqué qu'ils </w:t>
      </w:r>
      <w:r w:rsidR="00686B12" w:rsidRPr="00FB1BFA">
        <w:rPr>
          <w:bCs/>
          <w:lang w:val="fr-FR"/>
        </w:rPr>
        <w:t xml:space="preserve">attendaient avec </w:t>
      </w:r>
      <w:r w:rsidR="00855E6B" w:rsidRPr="00FB1BFA">
        <w:rPr>
          <w:bCs/>
          <w:lang w:val="fr-FR"/>
        </w:rPr>
        <w:t>beaucoup d</w:t>
      </w:r>
      <w:r w:rsidR="00D266D5" w:rsidRPr="00FB1BFA">
        <w:rPr>
          <w:bCs/>
          <w:lang w:val="fr-FR"/>
        </w:rPr>
        <w:t>'</w:t>
      </w:r>
      <w:r w:rsidR="00686B12" w:rsidRPr="00FB1BFA">
        <w:rPr>
          <w:bCs/>
          <w:lang w:val="fr-FR"/>
        </w:rPr>
        <w:t xml:space="preserve">intérêt </w:t>
      </w:r>
      <w:r w:rsidR="00F8272E" w:rsidRPr="00FB1BFA">
        <w:rPr>
          <w:bCs/>
          <w:lang w:val="fr-FR"/>
        </w:rPr>
        <w:t xml:space="preserve">le moment </w:t>
      </w:r>
      <w:r w:rsidR="00FE424C" w:rsidRPr="00FB1BFA">
        <w:rPr>
          <w:bCs/>
          <w:lang w:val="fr-FR"/>
        </w:rPr>
        <w:t>historique</w:t>
      </w:r>
      <w:r w:rsidR="00F8272E" w:rsidRPr="00FB1BFA">
        <w:rPr>
          <w:bCs/>
          <w:lang w:val="fr-FR"/>
        </w:rPr>
        <w:t xml:space="preserve"> où ils se </w:t>
      </w:r>
      <w:r w:rsidR="008E7EAE" w:rsidRPr="00FB1BFA">
        <w:rPr>
          <w:bCs/>
          <w:lang w:val="fr-FR"/>
        </w:rPr>
        <w:t>r</w:t>
      </w:r>
      <w:r w:rsidR="00DA1755" w:rsidRPr="00FB1BFA">
        <w:rPr>
          <w:bCs/>
          <w:lang w:val="fr-FR"/>
        </w:rPr>
        <w:t>éuniraie</w:t>
      </w:r>
      <w:r w:rsidR="008E7EAE" w:rsidRPr="00FB1BFA">
        <w:rPr>
          <w:bCs/>
          <w:lang w:val="fr-FR"/>
        </w:rPr>
        <w:t xml:space="preserve">nt dans </w:t>
      </w:r>
      <w:r w:rsidR="00855E6B" w:rsidRPr="00FB1BFA">
        <w:rPr>
          <w:bCs/>
          <w:lang w:val="fr-FR"/>
        </w:rPr>
        <w:t xml:space="preserve">cette </w:t>
      </w:r>
      <w:r w:rsidR="008E7EAE" w:rsidRPr="00FB1BFA">
        <w:rPr>
          <w:bCs/>
          <w:lang w:val="fr-FR"/>
        </w:rPr>
        <w:t>ville merveilleuse</w:t>
      </w:r>
      <w:r w:rsidR="00792001" w:rsidRPr="00FB1BFA">
        <w:rPr>
          <w:bCs/>
          <w:lang w:val="fr-FR"/>
        </w:rPr>
        <w:t xml:space="preserve"> </w:t>
      </w:r>
      <w:r w:rsidR="00855E6B" w:rsidRPr="00FB1BFA">
        <w:rPr>
          <w:bCs/>
          <w:lang w:val="fr-FR"/>
        </w:rPr>
        <w:t>qu</w:t>
      </w:r>
      <w:r w:rsidR="00D266D5" w:rsidRPr="00FB1BFA">
        <w:rPr>
          <w:bCs/>
          <w:lang w:val="fr-FR"/>
        </w:rPr>
        <w:t>'</w:t>
      </w:r>
      <w:r w:rsidR="00855E6B" w:rsidRPr="00FB1BFA">
        <w:rPr>
          <w:bCs/>
          <w:lang w:val="fr-FR"/>
        </w:rPr>
        <w:t xml:space="preserve">est </w:t>
      </w:r>
      <w:r w:rsidR="008E7EAE" w:rsidRPr="00FB1BFA">
        <w:rPr>
          <w:bCs/>
          <w:lang w:val="fr-FR"/>
        </w:rPr>
        <w:t>Kigali</w:t>
      </w:r>
      <w:r w:rsidR="00F8272E" w:rsidRPr="00FB1BFA">
        <w:rPr>
          <w:bCs/>
          <w:lang w:val="fr-FR"/>
        </w:rPr>
        <w:t>.</w:t>
      </w:r>
    </w:p>
    <w:p w14:paraId="1A694B54" w14:textId="1E596A45" w:rsidR="00130C36" w:rsidRPr="00FB1BFA" w:rsidRDefault="003C1934" w:rsidP="00792001">
      <w:pPr>
        <w:rPr>
          <w:bCs/>
          <w:lang w:val="fr-FR"/>
        </w:rPr>
      </w:pPr>
      <w:r w:rsidRPr="00FB1BFA">
        <w:rPr>
          <w:bCs/>
          <w:lang w:val="fr-FR"/>
        </w:rPr>
        <w:t xml:space="preserve">Le </w:t>
      </w:r>
      <w:r w:rsidR="00855E6B" w:rsidRPr="00FB1BFA">
        <w:rPr>
          <w:bCs/>
          <w:lang w:val="fr-FR"/>
        </w:rPr>
        <w:t xml:space="preserve">représentant du </w:t>
      </w:r>
      <w:r w:rsidRPr="00FB1BFA">
        <w:rPr>
          <w:bCs/>
          <w:lang w:val="fr-FR"/>
        </w:rPr>
        <w:t xml:space="preserve">Canada a </w:t>
      </w:r>
      <w:r w:rsidR="00622BFF" w:rsidRPr="00FB1BFA">
        <w:rPr>
          <w:bCs/>
          <w:lang w:val="fr-FR"/>
        </w:rPr>
        <w:t>annoncé</w:t>
      </w:r>
      <w:r w:rsidRPr="00FB1BFA">
        <w:rPr>
          <w:bCs/>
          <w:lang w:val="fr-FR"/>
        </w:rPr>
        <w:t xml:space="preserve"> que son administration </w:t>
      </w:r>
      <w:r w:rsidR="00127919" w:rsidRPr="00FB1BFA">
        <w:rPr>
          <w:bCs/>
          <w:lang w:val="fr-FR"/>
        </w:rPr>
        <w:t>financerait la participation de 12</w:t>
      </w:r>
      <w:r w:rsidR="00A5484C" w:rsidRPr="00FB1BFA">
        <w:rPr>
          <w:bCs/>
          <w:lang w:val="fr-FR"/>
        </w:rPr>
        <w:t> </w:t>
      </w:r>
      <w:r w:rsidR="00127919" w:rsidRPr="00FB1BFA">
        <w:rPr>
          <w:bCs/>
          <w:lang w:val="fr-FR"/>
        </w:rPr>
        <w:t>jeunes au Sommet de la jeu</w:t>
      </w:r>
      <w:r w:rsidR="006165DC" w:rsidRPr="00FB1BFA">
        <w:rPr>
          <w:bCs/>
          <w:lang w:val="fr-FR"/>
        </w:rPr>
        <w:t xml:space="preserve">nesse et qu'elle </w:t>
      </w:r>
      <w:r w:rsidR="00DD141E" w:rsidRPr="00FB1BFA">
        <w:rPr>
          <w:bCs/>
          <w:lang w:val="fr-FR"/>
        </w:rPr>
        <w:t>était en train de mobiliser</w:t>
      </w:r>
      <w:r w:rsidR="006165DC" w:rsidRPr="00FB1BFA">
        <w:rPr>
          <w:bCs/>
          <w:lang w:val="fr-FR"/>
        </w:rPr>
        <w:t xml:space="preserve"> </w:t>
      </w:r>
      <w:r w:rsidR="00DD141E" w:rsidRPr="00FB1BFA">
        <w:rPr>
          <w:bCs/>
          <w:lang w:val="fr-FR"/>
        </w:rPr>
        <w:t>des fonds supplémentaires</w:t>
      </w:r>
      <w:r w:rsidR="006165DC" w:rsidRPr="00FB1BFA">
        <w:rPr>
          <w:bCs/>
          <w:lang w:val="fr-FR"/>
        </w:rPr>
        <w:t xml:space="preserve"> pour accroître ce nombre.</w:t>
      </w:r>
    </w:p>
    <w:p w14:paraId="37CB4BCA" w14:textId="70A2BE9C" w:rsidR="00CD02CB" w:rsidRPr="00FB1BFA" w:rsidRDefault="00CD02CB" w:rsidP="00792001">
      <w:pPr>
        <w:rPr>
          <w:bCs/>
          <w:lang w:val="fr-FR"/>
        </w:rPr>
      </w:pPr>
      <w:r w:rsidRPr="00FB1BFA">
        <w:rPr>
          <w:bCs/>
          <w:lang w:val="fr-FR"/>
        </w:rPr>
        <w:lastRenderedPageBreak/>
        <w:t>Le</w:t>
      </w:r>
      <w:r w:rsidR="00855E6B" w:rsidRPr="00FB1BFA">
        <w:rPr>
          <w:bCs/>
          <w:lang w:val="fr-FR"/>
        </w:rPr>
        <w:t xml:space="preserve"> représentant du</w:t>
      </w:r>
      <w:r w:rsidRPr="00FB1BFA">
        <w:rPr>
          <w:bCs/>
          <w:lang w:val="fr-FR"/>
        </w:rPr>
        <w:t xml:space="preserve"> Koweït a remercié le Rwanda et la Ministre pour les efforts qu'ils ont déployés en vue de </w:t>
      </w:r>
      <w:r w:rsidR="00855E6B" w:rsidRPr="00FB1BFA">
        <w:rPr>
          <w:bCs/>
          <w:lang w:val="fr-FR"/>
        </w:rPr>
        <w:t>promouvoir</w:t>
      </w:r>
      <w:r w:rsidRPr="00FB1BFA">
        <w:rPr>
          <w:bCs/>
          <w:lang w:val="fr-FR"/>
        </w:rPr>
        <w:t xml:space="preserve"> le développement et les partenariats au sein de l'UIT et a demandé si les administrations des États Membres recevraient une invitation officielle </w:t>
      </w:r>
      <w:r w:rsidR="004B33C3" w:rsidRPr="00FB1BFA">
        <w:rPr>
          <w:bCs/>
          <w:lang w:val="fr-FR"/>
        </w:rPr>
        <w:t>à transmettre aux universités et aux établissements universitaires intéressés.</w:t>
      </w:r>
      <w:r w:rsidR="00F63DC1" w:rsidRPr="00FB1BFA">
        <w:rPr>
          <w:bCs/>
          <w:lang w:val="fr-FR"/>
        </w:rPr>
        <w:t xml:space="preserve"> La Ministre </w:t>
      </w:r>
      <w:r w:rsidR="0040396D" w:rsidRPr="00FB1BFA">
        <w:rPr>
          <w:bCs/>
          <w:lang w:val="fr-FR"/>
        </w:rPr>
        <w:t>a répondu par l'affirmative.</w:t>
      </w:r>
    </w:p>
    <w:p w14:paraId="5C4CF94C" w14:textId="0FED10B3" w:rsidR="00DA4897" w:rsidRPr="00FB1BFA" w:rsidRDefault="00855E6B" w:rsidP="00792001">
      <w:pPr>
        <w:rPr>
          <w:bCs/>
          <w:lang w:val="fr-FR"/>
        </w:rPr>
      </w:pPr>
      <w:r w:rsidRPr="00FB1BFA">
        <w:rPr>
          <w:bCs/>
          <w:lang w:val="fr-FR"/>
        </w:rPr>
        <w:t xml:space="preserve">Le représentant de la </w:t>
      </w:r>
      <w:r w:rsidR="002003BC" w:rsidRPr="00FB1BFA">
        <w:rPr>
          <w:bCs/>
          <w:lang w:val="fr-FR"/>
        </w:rPr>
        <w:t xml:space="preserve">Fédération de Russie a remercié le Gouvernement du Rwanda </w:t>
      </w:r>
      <w:r w:rsidR="00917AD4" w:rsidRPr="00FB1BFA">
        <w:rPr>
          <w:bCs/>
          <w:lang w:val="fr-FR"/>
        </w:rPr>
        <w:t>d'avoir prolongé</w:t>
      </w:r>
      <w:r w:rsidRPr="00FB1BFA">
        <w:rPr>
          <w:bCs/>
          <w:lang w:val="fr-FR"/>
        </w:rPr>
        <w:t xml:space="preserve"> d'un jour</w:t>
      </w:r>
      <w:r w:rsidR="00917AD4" w:rsidRPr="00FB1BFA">
        <w:rPr>
          <w:bCs/>
          <w:lang w:val="fr-FR"/>
        </w:rPr>
        <w:t xml:space="preserve"> la durée de la conférence</w:t>
      </w:r>
      <w:r w:rsidR="00792001" w:rsidRPr="00FB1BFA">
        <w:rPr>
          <w:bCs/>
          <w:lang w:val="fr-FR"/>
        </w:rPr>
        <w:t xml:space="preserve"> </w:t>
      </w:r>
      <w:r w:rsidR="00917AD4" w:rsidRPr="00FB1BFA">
        <w:rPr>
          <w:bCs/>
          <w:lang w:val="fr-FR"/>
        </w:rPr>
        <w:t xml:space="preserve">et a </w:t>
      </w:r>
      <w:r w:rsidR="00B23EFC" w:rsidRPr="00FB1BFA">
        <w:rPr>
          <w:bCs/>
          <w:lang w:val="fr-FR"/>
        </w:rPr>
        <w:t xml:space="preserve">souligné que le programme final de la conférence devrait </w:t>
      </w:r>
      <w:r w:rsidR="009F6D9C" w:rsidRPr="00FB1BFA">
        <w:rPr>
          <w:bCs/>
          <w:lang w:val="fr-FR"/>
        </w:rPr>
        <w:t xml:space="preserve">mettre l'accent nécessaire sur </w:t>
      </w:r>
      <w:r w:rsidR="00470AC2" w:rsidRPr="00FB1BFA">
        <w:rPr>
          <w:bCs/>
          <w:lang w:val="fr-FR"/>
        </w:rPr>
        <w:t xml:space="preserve">l'objectif central de la CMDT, </w:t>
      </w:r>
      <w:r w:rsidRPr="00FB1BFA">
        <w:rPr>
          <w:bCs/>
          <w:lang w:val="fr-FR"/>
        </w:rPr>
        <w:t>qui est</w:t>
      </w:r>
      <w:r w:rsidR="00470AC2" w:rsidRPr="00FB1BFA">
        <w:rPr>
          <w:bCs/>
          <w:lang w:val="fr-FR"/>
        </w:rPr>
        <w:t xml:space="preserve"> d'examiner les principaux documents </w:t>
      </w:r>
      <w:r w:rsidRPr="00FB1BFA">
        <w:rPr>
          <w:bCs/>
          <w:lang w:val="fr-FR"/>
        </w:rPr>
        <w:t>comme</w:t>
      </w:r>
      <w:r w:rsidR="00470AC2" w:rsidRPr="00FB1BFA">
        <w:rPr>
          <w:bCs/>
          <w:lang w:val="fr-FR"/>
        </w:rPr>
        <w:t xml:space="preserve"> les R</w:t>
      </w:r>
      <w:r w:rsidR="005250F5" w:rsidRPr="00FB1BFA">
        <w:rPr>
          <w:bCs/>
          <w:lang w:val="fr-FR"/>
        </w:rPr>
        <w:t>ésolutions, les Recommandations et</w:t>
      </w:r>
      <w:r w:rsidR="00470AC2" w:rsidRPr="00FB1BFA">
        <w:rPr>
          <w:bCs/>
          <w:lang w:val="fr-FR"/>
        </w:rPr>
        <w:t xml:space="preserve"> le Plan d'action </w:t>
      </w:r>
      <w:r w:rsidR="005250F5" w:rsidRPr="00FB1BFA">
        <w:rPr>
          <w:bCs/>
          <w:lang w:val="fr-FR"/>
        </w:rPr>
        <w:t xml:space="preserve">ainsi que les questions </w:t>
      </w:r>
      <w:r w:rsidRPr="00FB1BFA">
        <w:rPr>
          <w:bCs/>
          <w:lang w:val="fr-FR"/>
        </w:rPr>
        <w:t>intéressant les</w:t>
      </w:r>
      <w:r w:rsidR="005250F5" w:rsidRPr="00FB1BFA">
        <w:rPr>
          <w:bCs/>
          <w:lang w:val="fr-FR"/>
        </w:rPr>
        <w:t xml:space="preserve"> commissions d'études.</w:t>
      </w:r>
      <w:r w:rsidR="00470AC2" w:rsidRPr="00FB1BFA">
        <w:rPr>
          <w:bCs/>
          <w:lang w:val="fr-FR"/>
        </w:rPr>
        <w:t xml:space="preserve"> </w:t>
      </w:r>
      <w:r w:rsidR="00A5484C" w:rsidRPr="00FB1BFA">
        <w:rPr>
          <w:bCs/>
          <w:lang w:val="fr-FR"/>
        </w:rPr>
        <w:t>À</w:t>
      </w:r>
      <w:r w:rsidRPr="00FB1BFA">
        <w:rPr>
          <w:bCs/>
          <w:lang w:val="fr-FR"/>
        </w:rPr>
        <w:t xml:space="preserve"> cet égard,</w:t>
      </w:r>
      <w:r w:rsidR="00792001" w:rsidRPr="00FB1BFA">
        <w:rPr>
          <w:bCs/>
          <w:lang w:val="fr-FR"/>
        </w:rPr>
        <w:t xml:space="preserve"> </w:t>
      </w:r>
      <w:r w:rsidR="00BD51F7" w:rsidRPr="00FB1BFA">
        <w:rPr>
          <w:bCs/>
          <w:lang w:val="fr-FR"/>
        </w:rPr>
        <w:t xml:space="preserve">ces nouvelles manifestations d'une importance </w:t>
      </w:r>
      <w:r w:rsidR="000928EA" w:rsidRPr="00FB1BFA">
        <w:rPr>
          <w:bCs/>
          <w:lang w:val="fr-FR"/>
        </w:rPr>
        <w:t>évidente</w:t>
      </w:r>
      <w:r w:rsidR="00BD51F7" w:rsidRPr="00FB1BFA">
        <w:rPr>
          <w:bCs/>
          <w:lang w:val="fr-FR"/>
        </w:rPr>
        <w:t xml:space="preserve"> </w:t>
      </w:r>
      <w:r w:rsidR="00C0772D" w:rsidRPr="00FB1BFA">
        <w:rPr>
          <w:bCs/>
          <w:lang w:val="fr-FR"/>
        </w:rPr>
        <w:t xml:space="preserve">n'empièteront pas sur </w:t>
      </w:r>
      <w:r w:rsidR="00C7140E" w:rsidRPr="00FB1BFA">
        <w:rPr>
          <w:lang w:val="fr-FR"/>
        </w:rPr>
        <w:t>les questions de fond</w:t>
      </w:r>
      <w:r w:rsidR="00792001" w:rsidRPr="00FB1BFA">
        <w:rPr>
          <w:bCs/>
          <w:lang w:val="fr-FR"/>
        </w:rPr>
        <w:t xml:space="preserve"> </w:t>
      </w:r>
      <w:r w:rsidR="00C7140E" w:rsidRPr="00FB1BFA">
        <w:rPr>
          <w:bCs/>
          <w:lang w:val="fr-FR"/>
        </w:rPr>
        <w:t xml:space="preserve">étudiées par </w:t>
      </w:r>
      <w:r w:rsidR="000F0EB9" w:rsidRPr="00FB1BFA">
        <w:rPr>
          <w:bCs/>
          <w:lang w:val="fr-FR"/>
        </w:rPr>
        <w:t xml:space="preserve">la conférence. </w:t>
      </w:r>
      <w:r w:rsidR="00B43A1B" w:rsidRPr="00FB1BFA">
        <w:rPr>
          <w:bCs/>
          <w:lang w:val="fr-FR"/>
        </w:rPr>
        <w:t xml:space="preserve">La Présidente </w:t>
      </w:r>
      <w:r w:rsidR="003C7FAA" w:rsidRPr="00FB1BFA">
        <w:rPr>
          <w:bCs/>
          <w:lang w:val="fr-FR"/>
        </w:rPr>
        <w:t xml:space="preserve">a répondu </w:t>
      </w:r>
      <w:r w:rsidR="00703FB5" w:rsidRPr="00FB1BFA">
        <w:rPr>
          <w:bCs/>
          <w:lang w:val="fr-FR"/>
        </w:rPr>
        <w:t xml:space="preserve">que tout serait mis en œuvre pour </w:t>
      </w:r>
      <w:r w:rsidR="00856F27" w:rsidRPr="00FB1BFA">
        <w:rPr>
          <w:bCs/>
          <w:lang w:val="fr-FR"/>
        </w:rPr>
        <w:t xml:space="preserve">trouver des moyens de </w:t>
      </w:r>
      <w:r w:rsidR="005B5226" w:rsidRPr="00FB1BFA">
        <w:rPr>
          <w:bCs/>
          <w:lang w:val="fr-FR"/>
        </w:rPr>
        <w:t>dialoguer avec les États Membres et les Membres de Secteur</w:t>
      </w:r>
      <w:r w:rsidR="00C7140E" w:rsidRPr="00FB1BFA">
        <w:rPr>
          <w:bCs/>
          <w:lang w:val="fr-FR"/>
        </w:rPr>
        <w:t>,</w:t>
      </w:r>
      <w:r w:rsidR="005B5226" w:rsidRPr="00FB1BFA">
        <w:rPr>
          <w:bCs/>
          <w:lang w:val="fr-FR"/>
        </w:rPr>
        <w:t xml:space="preserve"> afin </w:t>
      </w:r>
      <w:r w:rsidR="004C06FD" w:rsidRPr="00FB1BFA">
        <w:rPr>
          <w:bCs/>
          <w:lang w:val="fr-FR"/>
        </w:rPr>
        <w:t>qu'ils puissent faire part</w:t>
      </w:r>
      <w:r w:rsidR="00792001" w:rsidRPr="00FB1BFA">
        <w:rPr>
          <w:bCs/>
          <w:lang w:val="fr-FR"/>
        </w:rPr>
        <w:t xml:space="preserve"> </w:t>
      </w:r>
      <w:r w:rsidR="00E92161" w:rsidRPr="00FB1BFA">
        <w:rPr>
          <w:bCs/>
          <w:lang w:val="fr-FR"/>
        </w:rPr>
        <w:t>au préalable</w:t>
      </w:r>
      <w:r w:rsidR="00792001" w:rsidRPr="00FB1BFA">
        <w:rPr>
          <w:bCs/>
          <w:lang w:val="fr-FR"/>
        </w:rPr>
        <w:t xml:space="preserve"> </w:t>
      </w:r>
      <w:r w:rsidR="004C06FD" w:rsidRPr="00FB1BFA">
        <w:rPr>
          <w:bCs/>
          <w:lang w:val="fr-FR"/>
        </w:rPr>
        <w:t xml:space="preserve">de leurs observations et de leurs </w:t>
      </w:r>
      <w:r w:rsidR="00C7140E" w:rsidRPr="00FB1BFA">
        <w:rPr>
          <w:bCs/>
          <w:lang w:val="fr-FR"/>
        </w:rPr>
        <w:t>contributions</w:t>
      </w:r>
      <w:r w:rsidR="00A5484C" w:rsidRPr="00FB1BFA">
        <w:rPr>
          <w:bCs/>
          <w:lang w:val="fr-FR"/>
        </w:rPr>
        <w:t xml:space="preserve"> </w:t>
      </w:r>
      <w:r w:rsidR="004C06FD" w:rsidRPr="00FB1BFA">
        <w:rPr>
          <w:bCs/>
          <w:lang w:val="fr-FR"/>
        </w:rPr>
        <w:t xml:space="preserve">concernant ces </w:t>
      </w:r>
      <w:r w:rsidR="00C7140E" w:rsidRPr="00FB1BFA">
        <w:rPr>
          <w:bCs/>
          <w:lang w:val="fr-FR"/>
        </w:rPr>
        <w:t xml:space="preserve">sujets </w:t>
      </w:r>
      <w:r w:rsidR="004C06FD" w:rsidRPr="00FB1BFA">
        <w:rPr>
          <w:bCs/>
          <w:lang w:val="fr-FR"/>
        </w:rPr>
        <w:t>de discussion essentiels</w:t>
      </w:r>
      <w:r w:rsidR="00130A9B" w:rsidRPr="00FB1BFA">
        <w:rPr>
          <w:bCs/>
          <w:lang w:val="fr-FR"/>
        </w:rPr>
        <w:t>.</w:t>
      </w:r>
    </w:p>
    <w:p w14:paraId="4CE68488" w14:textId="0D2C9CC1" w:rsidR="007751FA" w:rsidRPr="00FB1BFA" w:rsidRDefault="007751FA" w:rsidP="00792001">
      <w:pPr>
        <w:rPr>
          <w:lang w:val="fr-FR"/>
        </w:rPr>
      </w:pPr>
      <w:r w:rsidRPr="00FB1BFA">
        <w:rPr>
          <w:lang w:val="fr-FR"/>
        </w:rPr>
        <w:t>L</w:t>
      </w:r>
      <w:r w:rsidR="00855E6B" w:rsidRPr="00FB1BFA">
        <w:rPr>
          <w:lang w:val="fr-FR"/>
        </w:rPr>
        <w:t>e</w:t>
      </w:r>
      <w:r w:rsidR="00855E6B" w:rsidRPr="00FB1BFA">
        <w:rPr>
          <w:bCs/>
          <w:lang w:val="fr-FR"/>
        </w:rPr>
        <w:t xml:space="preserve"> représentant de l</w:t>
      </w:r>
      <w:r w:rsidRPr="00FB1BFA">
        <w:rPr>
          <w:lang w:val="fr-FR"/>
        </w:rPr>
        <w:t xml:space="preserve">'UAT a remercié le Rwanda </w:t>
      </w:r>
      <w:r w:rsidR="00C7140E" w:rsidRPr="00FB1BFA">
        <w:rPr>
          <w:lang w:val="fr-FR"/>
        </w:rPr>
        <w:t>d</w:t>
      </w:r>
      <w:r w:rsidR="00D266D5" w:rsidRPr="00FB1BFA">
        <w:rPr>
          <w:lang w:val="fr-FR"/>
        </w:rPr>
        <w:t>'</w:t>
      </w:r>
      <w:r w:rsidR="00C7140E" w:rsidRPr="00FB1BFA">
        <w:rPr>
          <w:lang w:val="fr-FR"/>
        </w:rPr>
        <w:t>être</w:t>
      </w:r>
      <w:r w:rsidR="004A5CC5" w:rsidRPr="00FB1BFA">
        <w:rPr>
          <w:lang w:val="fr-FR"/>
        </w:rPr>
        <w:t xml:space="preserve"> "disponible pour l'Afrique</w:t>
      </w:r>
      <w:r w:rsidR="00CA4723" w:rsidRPr="00FB1BFA">
        <w:rPr>
          <w:lang w:val="fr-FR"/>
        </w:rPr>
        <w:t xml:space="preserve">" et </w:t>
      </w:r>
      <w:r w:rsidR="004A5CC5" w:rsidRPr="00FB1BFA">
        <w:rPr>
          <w:lang w:val="fr-FR"/>
        </w:rPr>
        <w:t xml:space="preserve">a </w:t>
      </w:r>
      <w:r w:rsidR="00C7140E" w:rsidRPr="00FB1BFA">
        <w:rPr>
          <w:lang w:val="fr-FR"/>
        </w:rPr>
        <w:t>exprimé sa reconnaissance aux</w:t>
      </w:r>
      <w:r w:rsidR="004A5CC5" w:rsidRPr="00FB1BFA">
        <w:rPr>
          <w:lang w:val="fr-FR"/>
        </w:rPr>
        <w:t xml:space="preserve"> États Membres du Conseil ainsi qu</w:t>
      </w:r>
      <w:r w:rsidR="00D266D5" w:rsidRPr="00FB1BFA">
        <w:rPr>
          <w:lang w:val="fr-FR"/>
        </w:rPr>
        <w:t>'</w:t>
      </w:r>
      <w:r w:rsidR="00C7140E" w:rsidRPr="00FB1BFA">
        <w:rPr>
          <w:lang w:val="fr-FR"/>
        </w:rPr>
        <w:t>à</w:t>
      </w:r>
      <w:r w:rsidR="00792001" w:rsidRPr="00FB1BFA">
        <w:rPr>
          <w:lang w:val="fr-FR"/>
        </w:rPr>
        <w:t xml:space="preserve"> </w:t>
      </w:r>
      <w:r w:rsidR="004A5CC5" w:rsidRPr="00FB1BFA">
        <w:rPr>
          <w:lang w:val="fr-FR"/>
        </w:rPr>
        <w:t>l'ensemble des États Membres</w:t>
      </w:r>
      <w:r w:rsidR="00792001" w:rsidRPr="00FB1BFA">
        <w:rPr>
          <w:lang w:val="fr-FR"/>
        </w:rPr>
        <w:t>,</w:t>
      </w:r>
      <w:r w:rsidR="00C7140E" w:rsidRPr="00FB1BFA">
        <w:rPr>
          <w:lang w:val="fr-FR"/>
        </w:rPr>
        <w:t xml:space="preserve"> qui ont </w:t>
      </w:r>
      <w:r w:rsidR="000E6E45" w:rsidRPr="00FB1BFA">
        <w:rPr>
          <w:lang w:val="fr-FR"/>
        </w:rPr>
        <w:t>appuy</w:t>
      </w:r>
      <w:r w:rsidR="00C7140E" w:rsidRPr="00FB1BFA">
        <w:rPr>
          <w:lang w:val="fr-FR"/>
        </w:rPr>
        <w:t>é</w:t>
      </w:r>
      <w:r w:rsidR="00792001" w:rsidRPr="00FB1BFA">
        <w:rPr>
          <w:lang w:val="fr-FR"/>
        </w:rPr>
        <w:t xml:space="preserve"> </w:t>
      </w:r>
      <w:r w:rsidR="00C7140E" w:rsidRPr="00FB1BFA">
        <w:rPr>
          <w:lang w:val="fr-FR"/>
        </w:rPr>
        <w:t>l</w:t>
      </w:r>
      <w:r w:rsidR="00D266D5" w:rsidRPr="00FB1BFA">
        <w:rPr>
          <w:lang w:val="fr-FR"/>
        </w:rPr>
        <w:t>'</w:t>
      </w:r>
      <w:r w:rsidR="00C7140E" w:rsidRPr="00FB1BFA">
        <w:rPr>
          <w:lang w:val="fr-FR"/>
        </w:rPr>
        <w:t>aimable invitation</w:t>
      </w:r>
      <w:r w:rsidR="000E6E45" w:rsidRPr="00FB1BFA">
        <w:rPr>
          <w:lang w:val="fr-FR"/>
        </w:rPr>
        <w:t xml:space="preserve"> du Rwanda. </w:t>
      </w:r>
      <w:r w:rsidR="00C7140E" w:rsidRPr="00FB1BFA">
        <w:rPr>
          <w:lang w:val="fr-FR"/>
        </w:rPr>
        <w:t>Il s</w:t>
      </w:r>
      <w:r w:rsidR="00D266D5" w:rsidRPr="00FB1BFA">
        <w:rPr>
          <w:lang w:val="fr-FR"/>
        </w:rPr>
        <w:t>'</w:t>
      </w:r>
      <w:r w:rsidR="00C7140E" w:rsidRPr="00FB1BFA">
        <w:rPr>
          <w:lang w:val="fr-FR"/>
        </w:rPr>
        <w:t>est dit</w:t>
      </w:r>
      <w:r w:rsidR="00960DFE" w:rsidRPr="00FB1BFA">
        <w:rPr>
          <w:lang w:val="fr-FR"/>
        </w:rPr>
        <w:t xml:space="preserve"> </w:t>
      </w:r>
      <w:r w:rsidR="00C7140E" w:rsidRPr="00FB1BFA">
        <w:rPr>
          <w:lang w:val="fr-FR"/>
        </w:rPr>
        <w:t>résolu</w:t>
      </w:r>
      <w:r w:rsidR="00792001" w:rsidRPr="00FB1BFA">
        <w:rPr>
          <w:lang w:val="fr-FR"/>
        </w:rPr>
        <w:t xml:space="preserve"> </w:t>
      </w:r>
      <w:r w:rsidR="00960DFE" w:rsidRPr="00FB1BFA">
        <w:rPr>
          <w:lang w:val="fr-FR"/>
        </w:rPr>
        <w:t>à</w:t>
      </w:r>
      <w:r w:rsidR="00792001" w:rsidRPr="00FB1BFA">
        <w:rPr>
          <w:lang w:val="fr-FR"/>
        </w:rPr>
        <w:t xml:space="preserve"> </w:t>
      </w:r>
      <w:r w:rsidR="00C7140E" w:rsidRPr="00FB1BFA">
        <w:rPr>
          <w:lang w:val="fr-FR"/>
        </w:rPr>
        <w:t>collaborer</w:t>
      </w:r>
      <w:r w:rsidR="00792001" w:rsidRPr="00FB1BFA">
        <w:rPr>
          <w:lang w:val="fr-FR"/>
        </w:rPr>
        <w:t xml:space="preserve"> </w:t>
      </w:r>
      <w:r w:rsidR="00FC5189" w:rsidRPr="00FB1BFA">
        <w:rPr>
          <w:lang w:val="fr-FR"/>
        </w:rPr>
        <w:t>avec le BDT et</w:t>
      </w:r>
      <w:r w:rsidR="00792001" w:rsidRPr="00FB1BFA">
        <w:rPr>
          <w:lang w:val="fr-FR"/>
        </w:rPr>
        <w:t xml:space="preserve"> </w:t>
      </w:r>
      <w:r w:rsidR="00FC5189" w:rsidRPr="00FB1BFA">
        <w:rPr>
          <w:lang w:val="fr-FR"/>
        </w:rPr>
        <w:t>la Ministre</w:t>
      </w:r>
      <w:r w:rsidR="00C7140E" w:rsidRPr="00FB1BFA">
        <w:rPr>
          <w:lang w:val="fr-FR"/>
        </w:rPr>
        <w:t>,</w:t>
      </w:r>
      <w:r w:rsidR="00FC5189" w:rsidRPr="00FB1BFA">
        <w:rPr>
          <w:lang w:val="fr-FR"/>
        </w:rPr>
        <w:t xml:space="preserve"> pour veiller à ce que la CMDT </w:t>
      </w:r>
      <w:r w:rsidR="00CA4723" w:rsidRPr="00FB1BFA">
        <w:rPr>
          <w:lang w:val="fr-FR"/>
        </w:rPr>
        <w:t>soit véritablement</w:t>
      </w:r>
      <w:r w:rsidR="00AB00D6" w:rsidRPr="00FB1BFA">
        <w:rPr>
          <w:lang w:val="fr-FR"/>
        </w:rPr>
        <w:t xml:space="preserve"> une manifestation africaine. </w:t>
      </w:r>
      <w:r w:rsidR="00B03365" w:rsidRPr="00FB1BFA">
        <w:rPr>
          <w:lang w:val="fr-FR"/>
        </w:rPr>
        <w:t xml:space="preserve">La Ministre a souscrit à cet engagement </w:t>
      </w:r>
      <w:r w:rsidR="006C1686" w:rsidRPr="00FB1BFA">
        <w:rPr>
          <w:lang w:val="fr-FR"/>
        </w:rPr>
        <w:t xml:space="preserve">et </w:t>
      </w:r>
      <w:r w:rsidR="00CA4723" w:rsidRPr="00FB1BFA">
        <w:rPr>
          <w:lang w:val="fr-FR"/>
        </w:rPr>
        <w:t>souligné</w:t>
      </w:r>
      <w:r w:rsidR="006C1686" w:rsidRPr="00FB1BFA">
        <w:rPr>
          <w:lang w:val="fr-FR"/>
        </w:rPr>
        <w:t xml:space="preserve"> qu'elle comptait sur le soutien de l'UAT</w:t>
      </w:r>
      <w:r w:rsidR="00433EB3" w:rsidRPr="00FB1BFA">
        <w:rPr>
          <w:lang w:val="fr-FR"/>
        </w:rPr>
        <w:t xml:space="preserve"> et, </w:t>
      </w:r>
      <w:r w:rsidR="00CA4723" w:rsidRPr="00FB1BFA">
        <w:rPr>
          <w:lang w:val="fr-FR"/>
        </w:rPr>
        <w:t>au reste</w:t>
      </w:r>
      <w:r w:rsidR="00433EB3" w:rsidRPr="00FB1BFA">
        <w:rPr>
          <w:lang w:val="fr-FR"/>
        </w:rPr>
        <w:t>, de</w:t>
      </w:r>
      <w:r w:rsidR="006C1686" w:rsidRPr="00FB1BFA">
        <w:rPr>
          <w:lang w:val="fr-FR"/>
        </w:rPr>
        <w:t xml:space="preserve"> </w:t>
      </w:r>
      <w:r w:rsidR="00CA4723" w:rsidRPr="00FB1BFA">
        <w:rPr>
          <w:lang w:val="fr-FR"/>
        </w:rPr>
        <w:t>tous les</w:t>
      </w:r>
      <w:r w:rsidR="006C1686" w:rsidRPr="00FB1BFA">
        <w:rPr>
          <w:lang w:val="fr-FR"/>
        </w:rPr>
        <w:t xml:space="preserve"> États</w:t>
      </w:r>
      <w:r w:rsidR="00A5484C" w:rsidRPr="00FB1BFA">
        <w:rPr>
          <w:lang w:val="fr-FR"/>
        </w:rPr>
        <w:t> </w:t>
      </w:r>
      <w:r w:rsidR="006C1686" w:rsidRPr="00FB1BFA">
        <w:rPr>
          <w:lang w:val="fr-FR"/>
        </w:rPr>
        <w:t xml:space="preserve">Membres pour </w:t>
      </w:r>
      <w:r w:rsidR="00CA4723" w:rsidRPr="00FB1BFA">
        <w:rPr>
          <w:lang w:val="fr-FR"/>
        </w:rPr>
        <w:t>contribuer au</w:t>
      </w:r>
      <w:r w:rsidR="00E76850" w:rsidRPr="00FB1BFA">
        <w:rPr>
          <w:lang w:val="fr-FR"/>
        </w:rPr>
        <w:t xml:space="preserve"> succès de la conférence</w:t>
      </w:r>
      <w:r w:rsidR="006C1686" w:rsidRPr="00FB1BFA">
        <w:rPr>
          <w:lang w:val="fr-FR"/>
        </w:rPr>
        <w:t>.</w:t>
      </w:r>
    </w:p>
    <w:p w14:paraId="79725E5D" w14:textId="708C9F0E" w:rsidR="00583898" w:rsidRPr="00FB1BFA" w:rsidRDefault="00855E6B" w:rsidP="00792001">
      <w:pPr>
        <w:rPr>
          <w:lang w:val="fr-FR"/>
        </w:rPr>
      </w:pPr>
      <w:r w:rsidRPr="00FB1BFA">
        <w:rPr>
          <w:lang w:val="fr-FR"/>
        </w:rPr>
        <w:t>Le</w:t>
      </w:r>
      <w:r w:rsidRPr="00FB1BFA">
        <w:rPr>
          <w:bCs/>
          <w:lang w:val="fr-FR"/>
        </w:rPr>
        <w:t xml:space="preserve"> représentant de la</w:t>
      </w:r>
      <w:r w:rsidR="00CA4723" w:rsidRPr="00FB1BFA">
        <w:rPr>
          <w:bCs/>
          <w:lang w:val="fr-FR"/>
        </w:rPr>
        <w:t xml:space="preserve"> </w:t>
      </w:r>
      <w:r w:rsidR="00583898" w:rsidRPr="00FB1BFA">
        <w:rPr>
          <w:lang w:val="fr-FR"/>
        </w:rPr>
        <w:t xml:space="preserve">Tunisie a remercié le Rwanda </w:t>
      </w:r>
      <w:r w:rsidR="001C7BBF" w:rsidRPr="00FB1BFA">
        <w:rPr>
          <w:lang w:val="fr-FR"/>
        </w:rPr>
        <w:t xml:space="preserve">de tout mettre en œuvre pour </w:t>
      </w:r>
      <w:r w:rsidR="006F5186" w:rsidRPr="00FB1BFA">
        <w:rPr>
          <w:lang w:val="fr-FR"/>
        </w:rPr>
        <w:t xml:space="preserve">que cette conférence </w:t>
      </w:r>
      <w:r w:rsidR="00CA4723" w:rsidRPr="00FB1BFA">
        <w:rPr>
          <w:lang w:val="fr-FR"/>
        </w:rPr>
        <w:t>se tienne</w:t>
      </w:r>
      <w:r w:rsidR="007253AB" w:rsidRPr="00FB1BFA">
        <w:rPr>
          <w:lang w:val="fr-FR"/>
        </w:rPr>
        <w:t xml:space="preserve"> en Afrique </w:t>
      </w:r>
      <w:r w:rsidR="0028150C" w:rsidRPr="00FB1BFA">
        <w:rPr>
          <w:lang w:val="fr-FR"/>
        </w:rPr>
        <w:t xml:space="preserve">et a indiqué ce qui suit: "Nous </w:t>
      </w:r>
      <w:r w:rsidR="00CA4723" w:rsidRPr="00FB1BFA">
        <w:rPr>
          <w:lang w:val="fr-FR"/>
        </w:rPr>
        <w:t>saurons nous souvenir de</w:t>
      </w:r>
      <w:r w:rsidR="00792001" w:rsidRPr="00FB1BFA">
        <w:rPr>
          <w:lang w:val="fr-FR"/>
        </w:rPr>
        <w:t xml:space="preserve"> </w:t>
      </w:r>
      <w:r w:rsidR="00F524CF" w:rsidRPr="00FB1BFA">
        <w:rPr>
          <w:lang w:val="fr-FR"/>
        </w:rPr>
        <w:t xml:space="preserve">cette générosité". </w:t>
      </w:r>
      <w:r w:rsidR="00CA4723" w:rsidRPr="00FB1BFA">
        <w:rPr>
          <w:lang w:val="fr-FR"/>
        </w:rPr>
        <w:t>S</w:t>
      </w:r>
      <w:r w:rsidR="00D266D5" w:rsidRPr="00FB1BFA">
        <w:rPr>
          <w:lang w:val="fr-FR"/>
        </w:rPr>
        <w:t>'</w:t>
      </w:r>
      <w:r w:rsidR="00CA4723" w:rsidRPr="00FB1BFA">
        <w:rPr>
          <w:lang w:val="fr-FR"/>
        </w:rPr>
        <w:t>agissant du</w:t>
      </w:r>
      <w:r w:rsidR="00F524CF" w:rsidRPr="00FB1BFA">
        <w:rPr>
          <w:lang w:val="fr-FR"/>
        </w:rPr>
        <w:t xml:space="preserve"> Sommet de la jeunesse, la Tunisie </w:t>
      </w:r>
      <w:r w:rsidR="00AF2749" w:rsidRPr="00FB1BFA">
        <w:rPr>
          <w:lang w:val="fr-FR"/>
        </w:rPr>
        <w:t>souhaite que les administrations jouent un rôle actif et a proposé</w:t>
      </w:r>
      <w:r w:rsidR="00DF10BE" w:rsidRPr="00FB1BFA">
        <w:rPr>
          <w:lang w:val="fr-FR"/>
        </w:rPr>
        <w:t xml:space="preserve"> qu'elles bénéficient de la priorité pour envoyer les invitations directement aux jeunes des établissements universitaires</w:t>
      </w:r>
      <w:r w:rsidR="00CA4723" w:rsidRPr="00FB1BFA">
        <w:rPr>
          <w:lang w:val="fr-FR"/>
        </w:rPr>
        <w:t xml:space="preserve"> </w:t>
      </w:r>
      <w:r w:rsidR="00A5484C" w:rsidRPr="00FB1BFA">
        <w:rPr>
          <w:lang w:val="fr-FR"/>
        </w:rPr>
        <w:t>–</w:t>
      </w:r>
      <w:r w:rsidR="00CA4723" w:rsidRPr="00FB1BFA">
        <w:rPr>
          <w:lang w:val="fr-FR"/>
        </w:rPr>
        <w:t xml:space="preserve"> </w:t>
      </w:r>
      <w:r w:rsidR="00DF10BE" w:rsidRPr="00FB1BFA">
        <w:rPr>
          <w:lang w:val="fr-FR"/>
        </w:rPr>
        <w:t>qui</w:t>
      </w:r>
      <w:r w:rsidR="00CA4723" w:rsidRPr="00FB1BFA">
        <w:rPr>
          <w:lang w:val="fr-FR"/>
        </w:rPr>
        <w:t xml:space="preserve"> comprennent</w:t>
      </w:r>
      <w:r w:rsidR="00DF10BE" w:rsidRPr="00FB1BFA">
        <w:rPr>
          <w:lang w:val="fr-FR"/>
        </w:rPr>
        <w:t xml:space="preserve"> les </w:t>
      </w:r>
      <w:r w:rsidR="00857EA3" w:rsidRPr="00FB1BFA">
        <w:rPr>
          <w:lang w:val="fr-FR"/>
        </w:rPr>
        <w:t>instituts et les universités</w:t>
      </w:r>
      <w:r w:rsidR="00A5484C" w:rsidRPr="00FB1BFA">
        <w:rPr>
          <w:lang w:val="fr-FR"/>
        </w:rPr>
        <w:t xml:space="preserve"> – </w:t>
      </w:r>
      <w:r w:rsidR="00857EA3" w:rsidRPr="00FB1BFA">
        <w:rPr>
          <w:lang w:val="fr-FR"/>
        </w:rPr>
        <w:t xml:space="preserve">étant donné </w:t>
      </w:r>
      <w:r w:rsidR="00CA4723" w:rsidRPr="00FB1BFA">
        <w:rPr>
          <w:lang w:val="fr-FR"/>
        </w:rPr>
        <w:t>qu</w:t>
      </w:r>
      <w:r w:rsidR="00D266D5" w:rsidRPr="00FB1BFA">
        <w:rPr>
          <w:lang w:val="fr-FR"/>
        </w:rPr>
        <w:t>'</w:t>
      </w:r>
      <w:r w:rsidR="00CA4723" w:rsidRPr="00FB1BFA">
        <w:rPr>
          <w:lang w:val="fr-FR"/>
        </w:rPr>
        <w:t>elles</w:t>
      </w:r>
      <w:r w:rsidR="00792001" w:rsidRPr="00FB1BFA">
        <w:rPr>
          <w:lang w:val="fr-FR"/>
        </w:rPr>
        <w:t xml:space="preserve"> </w:t>
      </w:r>
      <w:r w:rsidR="002963D9" w:rsidRPr="00FB1BFA">
        <w:rPr>
          <w:lang w:val="fr-FR"/>
        </w:rPr>
        <w:t>sont mieux placées pour coordonner la composition de leurs délégations.</w:t>
      </w:r>
    </w:p>
    <w:p w14:paraId="567F0535" w14:textId="35670238" w:rsidR="00EB0906" w:rsidRPr="00FB1BFA" w:rsidRDefault="00EB0906" w:rsidP="00792001">
      <w:pPr>
        <w:rPr>
          <w:lang w:val="fr-FR"/>
        </w:rPr>
      </w:pPr>
      <w:r w:rsidRPr="00FB1BFA">
        <w:rPr>
          <w:lang w:val="fr-FR"/>
        </w:rPr>
        <w:t xml:space="preserve">Le secrétariat du BDT a répondu que l'invitation de l'UIT serait envoyée aux États Membres de l'UIT et aux Membres du Secteur de l'UIT-D. </w:t>
      </w:r>
      <w:r w:rsidR="00DE0AB2" w:rsidRPr="00FB1BFA">
        <w:rPr>
          <w:lang w:val="fr-FR"/>
        </w:rPr>
        <w:t xml:space="preserve">S'agissant de la participation </w:t>
      </w:r>
      <w:r w:rsidR="00B0730C" w:rsidRPr="00FB1BFA">
        <w:rPr>
          <w:lang w:val="fr-FR"/>
        </w:rPr>
        <w:t xml:space="preserve">en présentiel à la conférence, les coordonnateurs désignés </w:t>
      </w:r>
      <w:r w:rsidR="00536F36" w:rsidRPr="00FB1BFA">
        <w:rPr>
          <w:lang w:val="fr-FR"/>
        </w:rPr>
        <w:t xml:space="preserve">pour les conférences de l'UIT </w:t>
      </w:r>
      <w:r w:rsidR="00F718BE" w:rsidRPr="00FB1BFA">
        <w:rPr>
          <w:lang w:val="fr-FR"/>
        </w:rPr>
        <w:t xml:space="preserve">établiront </w:t>
      </w:r>
      <w:r w:rsidR="00602C3E" w:rsidRPr="00FB1BFA">
        <w:rPr>
          <w:lang w:val="fr-FR"/>
        </w:rPr>
        <w:t xml:space="preserve">et approuveront </w:t>
      </w:r>
      <w:r w:rsidR="00F718BE" w:rsidRPr="00FB1BFA">
        <w:rPr>
          <w:lang w:val="fr-FR"/>
        </w:rPr>
        <w:t>la composition</w:t>
      </w:r>
      <w:r w:rsidR="00084466" w:rsidRPr="00FB1BFA">
        <w:rPr>
          <w:lang w:val="fr-FR"/>
        </w:rPr>
        <w:t xml:space="preserve"> finale </w:t>
      </w:r>
      <w:r w:rsidR="002B0B3E" w:rsidRPr="00FB1BFA">
        <w:rPr>
          <w:lang w:val="fr-FR"/>
        </w:rPr>
        <w:t>de leurs délégations.</w:t>
      </w:r>
      <w:r w:rsidR="002A5BA0" w:rsidRPr="00FB1BFA">
        <w:rPr>
          <w:lang w:val="fr-FR"/>
        </w:rPr>
        <w:t xml:space="preserve"> </w:t>
      </w:r>
      <w:r w:rsidR="00084466" w:rsidRPr="00FB1BFA">
        <w:rPr>
          <w:lang w:val="fr-FR"/>
        </w:rPr>
        <w:t>En conséquence,</w:t>
      </w:r>
      <w:r w:rsidR="00871553" w:rsidRPr="00FB1BFA">
        <w:rPr>
          <w:lang w:val="fr-FR"/>
        </w:rPr>
        <w:t xml:space="preserve"> toutes les administrations </w:t>
      </w:r>
      <w:r w:rsidR="00084466" w:rsidRPr="00FB1BFA">
        <w:rPr>
          <w:lang w:val="fr-FR"/>
        </w:rPr>
        <w:t xml:space="preserve">sont appelées à jouer </w:t>
      </w:r>
      <w:r w:rsidR="00871553" w:rsidRPr="00FB1BFA">
        <w:rPr>
          <w:lang w:val="fr-FR"/>
        </w:rPr>
        <w:t xml:space="preserve">un rôle essentiel </w:t>
      </w:r>
      <w:r w:rsidR="00B11072" w:rsidRPr="00FB1BFA">
        <w:rPr>
          <w:lang w:val="fr-FR"/>
        </w:rPr>
        <w:t xml:space="preserve">dans la coordination de la participation de leur </w:t>
      </w:r>
      <w:r w:rsidR="00705A35" w:rsidRPr="00FB1BFA">
        <w:rPr>
          <w:lang w:val="fr-FR"/>
        </w:rPr>
        <w:t>pays</w:t>
      </w:r>
      <w:r w:rsidR="00B11072" w:rsidRPr="00FB1BFA">
        <w:rPr>
          <w:lang w:val="fr-FR"/>
        </w:rPr>
        <w:t>.</w:t>
      </w:r>
    </w:p>
    <w:p w14:paraId="198154DC" w14:textId="3924558B" w:rsidR="005B7C91" w:rsidRPr="00FB1BFA" w:rsidRDefault="005B7C91" w:rsidP="00792001">
      <w:pPr>
        <w:pStyle w:val="Heading2"/>
        <w:rPr>
          <w:lang w:val="fr-FR"/>
        </w:rPr>
      </w:pPr>
      <w:r w:rsidRPr="00FB1BFA">
        <w:rPr>
          <w:lang w:val="fr-FR"/>
        </w:rPr>
        <w:t>2.3</w:t>
      </w:r>
      <w:r w:rsidRPr="00FB1BFA">
        <w:rPr>
          <w:lang w:val="fr-FR"/>
        </w:rPr>
        <w:tab/>
      </w:r>
      <w:r w:rsidR="005D104B" w:rsidRPr="00FB1BFA">
        <w:rPr>
          <w:lang w:val="fr-FR"/>
        </w:rPr>
        <w:t>Prochaines étapes</w:t>
      </w:r>
    </w:p>
    <w:p w14:paraId="1CF94B27" w14:textId="12CA1AD2" w:rsidR="00941B63" w:rsidRPr="00FB1BFA" w:rsidRDefault="001A00D3" w:rsidP="00792001">
      <w:pPr>
        <w:rPr>
          <w:lang w:val="fr-FR"/>
        </w:rPr>
      </w:pPr>
      <w:r w:rsidRPr="00FB1BFA">
        <w:rPr>
          <w:lang w:val="fr-FR"/>
        </w:rPr>
        <w:t>Les participants à l</w:t>
      </w:r>
      <w:r w:rsidR="00084466" w:rsidRPr="00FB1BFA">
        <w:rPr>
          <w:lang w:val="fr-FR"/>
        </w:rPr>
        <w:t xml:space="preserve">a réunion </w:t>
      </w:r>
      <w:r w:rsidRPr="00FB1BFA">
        <w:rPr>
          <w:lang w:val="fr-FR"/>
        </w:rPr>
        <w:t>IRM-3 ont</w:t>
      </w:r>
      <w:r w:rsidR="00792001" w:rsidRPr="00FB1BFA">
        <w:rPr>
          <w:lang w:val="fr-FR"/>
        </w:rPr>
        <w:t xml:space="preserve"> </w:t>
      </w:r>
      <w:r w:rsidR="00084466" w:rsidRPr="00FB1BFA">
        <w:rPr>
          <w:lang w:val="fr-FR"/>
        </w:rPr>
        <w:t xml:space="preserve">pris note </w:t>
      </w:r>
      <w:r w:rsidR="00ED4B60" w:rsidRPr="00FB1BFA">
        <w:rPr>
          <w:lang w:val="fr-FR"/>
        </w:rPr>
        <w:t>avec satisfaction</w:t>
      </w:r>
      <w:r w:rsidR="00084466" w:rsidRPr="00FB1BFA">
        <w:rPr>
          <w:lang w:val="fr-FR"/>
        </w:rPr>
        <w:t xml:space="preserve"> des</w:t>
      </w:r>
      <w:r w:rsidR="00792001" w:rsidRPr="00FB1BFA">
        <w:rPr>
          <w:lang w:val="fr-FR"/>
        </w:rPr>
        <w:t xml:space="preserve"> </w:t>
      </w:r>
      <w:r w:rsidR="00ED4B60" w:rsidRPr="00FB1BFA">
        <w:rPr>
          <w:lang w:val="fr-FR"/>
        </w:rPr>
        <w:t>travaux préparatoires</w:t>
      </w:r>
      <w:r w:rsidR="00792001" w:rsidRPr="00FB1BFA">
        <w:rPr>
          <w:lang w:val="fr-FR"/>
        </w:rPr>
        <w:t xml:space="preserve"> </w:t>
      </w:r>
      <w:r w:rsidR="00ED4B60" w:rsidRPr="00FB1BFA">
        <w:rPr>
          <w:lang w:val="fr-FR"/>
        </w:rPr>
        <w:t>en vue de la CMDT</w:t>
      </w:r>
      <w:r w:rsidR="00084466" w:rsidRPr="00FB1BFA">
        <w:rPr>
          <w:lang w:val="fr-FR"/>
        </w:rPr>
        <w:t xml:space="preserve"> dans leur ensemble</w:t>
      </w:r>
      <w:r w:rsidR="00792001" w:rsidRPr="00FB1BFA">
        <w:rPr>
          <w:lang w:val="fr-FR"/>
        </w:rPr>
        <w:t xml:space="preserve"> </w:t>
      </w:r>
      <w:r w:rsidR="00ED4B60" w:rsidRPr="00FB1BFA">
        <w:rPr>
          <w:lang w:val="fr-FR"/>
        </w:rPr>
        <w:t>et la Ministre a fait observer que l'init</w:t>
      </w:r>
      <w:r w:rsidR="00D5543A" w:rsidRPr="00FB1BFA">
        <w:rPr>
          <w:lang w:val="fr-FR"/>
        </w:rPr>
        <w:t>iative Partner2Connect constituait</w:t>
      </w:r>
      <w:r w:rsidR="00ED4B60" w:rsidRPr="00FB1BFA">
        <w:rPr>
          <w:lang w:val="fr-FR"/>
        </w:rPr>
        <w:t xml:space="preserve"> déjà un programme </w:t>
      </w:r>
      <w:r w:rsidR="00D802AE" w:rsidRPr="00FB1BFA">
        <w:rPr>
          <w:lang w:val="fr-FR"/>
        </w:rPr>
        <w:t>passionnant</w:t>
      </w:r>
      <w:r w:rsidR="00C70A30" w:rsidRPr="00FB1BFA">
        <w:rPr>
          <w:lang w:val="fr-FR"/>
        </w:rPr>
        <w:t xml:space="preserve"> </w:t>
      </w:r>
      <w:r w:rsidR="00A35AAA" w:rsidRPr="00FB1BFA">
        <w:rPr>
          <w:lang w:val="fr-FR"/>
        </w:rPr>
        <w:t xml:space="preserve">et qu'au-delà </w:t>
      </w:r>
      <w:r w:rsidR="00084466" w:rsidRPr="00FB1BFA">
        <w:rPr>
          <w:lang w:val="fr-FR"/>
        </w:rPr>
        <w:t>des</w:t>
      </w:r>
      <w:r w:rsidR="00792001" w:rsidRPr="00FB1BFA">
        <w:rPr>
          <w:lang w:val="fr-FR"/>
        </w:rPr>
        <w:t xml:space="preserve"> </w:t>
      </w:r>
      <w:r w:rsidR="00A35AAA" w:rsidRPr="00FB1BFA">
        <w:rPr>
          <w:lang w:val="fr-FR"/>
        </w:rPr>
        <w:t>engagements</w:t>
      </w:r>
      <w:r w:rsidR="00084466" w:rsidRPr="00FB1BFA">
        <w:rPr>
          <w:lang w:val="fr-FR"/>
        </w:rPr>
        <w:t xml:space="preserve"> pris</w:t>
      </w:r>
      <w:r w:rsidR="00A35AAA" w:rsidRPr="00FB1BFA">
        <w:rPr>
          <w:lang w:val="fr-FR"/>
        </w:rPr>
        <w:t xml:space="preserve">, </w:t>
      </w:r>
      <w:r w:rsidR="00084466" w:rsidRPr="00FB1BFA">
        <w:rPr>
          <w:lang w:val="fr-FR"/>
        </w:rPr>
        <w:t>l</w:t>
      </w:r>
      <w:r w:rsidR="00D266D5" w:rsidRPr="00FB1BFA">
        <w:rPr>
          <w:lang w:val="fr-FR"/>
        </w:rPr>
        <w:t>'</w:t>
      </w:r>
      <w:r w:rsidR="00244D49" w:rsidRPr="00FB1BFA">
        <w:rPr>
          <w:lang w:val="fr-FR"/>
        </w:rPr>
        <w:t xml:space="preserve">essentiel </w:t>
      </w:r>
      <w:r w:rsidR="00084466" w:rsidRPr="00FB1BFA">
        <w:rPr>
          <w:lang w:val="fr-FR"/>
        </w:rPr>
        <w:t xml:space="preserve">était </w:t>
      </w:r>
      <w:r w:rsidR="00244D49" w:rsidRPr="00FB1BFA">
        <w:rPr>
          <w:lang w:val="fr-FR"/>
        </w:rPr>
        <w:t xml:space="preserve">de mobiliser les ressources </w:t>
      </w:r>
      <w:r w:rsidR="006D6921" w:rsidRPr="00FB1BFA">
        <w:rPr>
          <w:lang w:val="fr-FR"/>
        </w:rPr>
        <w:t xml:space="preserve">indispensables pour </w:t>
      </w:r>
      <w:r w:rsidR="00F8238A" w:rsidRPr="00FB1BFA">
        <w:rPr>
          <w:lang w:val="fr-FR"/>
        </w:rPr>
        <w:t xml:space="preserve">produire des effets </w:t>
      </w:r>
      <w:r w:rsidR="002F3821" w:rsidRPr="00FB1BFA">
        <w:rPr>
          <w:lang w:val="fr-FR"/>
        </w:rPr>
        <w:t xml:space="preserve">et réduire l'écart entre les personnes connectées et celles qui ne le sont pas. </w:t>
      </w:r>
      <w:r w:rsidR="00CF5FC2" w:rsidRPr="00FB1BFA">
        <w:rPr>
          <w:lang w:val="fr-FR"/>
        </w:rPr>
        <w:t>"</w:t>
      </w:r>
      <w:r w:rsidR="00E36891" w:rsidRPr="00FB1BFA">
        <w:rPr>
          <w:lang w:val="fr-FR"/>
        </w:rPr>
        <w:t xml:space="preserve">Notre objectif est que </w:t>
      </w:r>
      <w:r w:rsidR="00177261" w:rsidRPr="00FB1BFA">
        <w:rPr>
          <w:lang w:val="fr-FR"/>
        </w:rPr>
        <w:t>la conférence</w:t>
      </w:r>
      <w:r w:rsidR="00E36891" w:rsidRPr="00FB1BFA">
        <w:rPr>
          <w:lang w:val="fr-FR"/>
        </w:rPr>
        <w:t xml:space="preserve"> soit un succès</w:t>
      </w:r>
      <w:r w:rsidR="00792001" w:rsidRPr="00FB1BFA">
        <w:rPr>
          <w:lang w:val="fr-FR"/>
        </w:rPr>
        <w:t>,</w:t>
      </w:r>
      <w:r w:rsidR="001F20F8" w:rsidRPr="00FB1BFA">
        <w:rPr>
          <w:lang w:val="fr-FR"/>
        </w:rPr>
        <w:t xml:space="preserve"> </w:t>
      </w:r>
      <w:r w:rsidR="00E36891" w:rsidRPr="00FB1BFA">
        <w:rPr>
          <w:lang w:val="fr-FR"/>
        </w:rPr>
        <w:t xml:space="preserve">mais </w:t>
      </w:r>
      <w:r w:rsidR="00B552E2" w:rsidRPr="00FB1BFA">
        <w:rPr>
          <w:lang w:val="fr-FR"/>
        </w:rPr>
        <w:t xml:space="preserve">nous pouvons </w:t>
      </w:r>
      <w:r w:rsidR="00E36891" w:rsidRPr="00FB1BFA">
        <w:rPr>
          <w:lang w:val="fr-FR"/>
        </w:rPr>
        <w:t xml:space="preserve">aussi </w:t>
      </w:r>
      <w:r w:rsidR="00084466" w:rsidRPr="00FB1BFA">
        <w:rPr>
          <w:lang w:val="fr-FR"/>
        </w:rPr>
        <w:t xml:space="preserve">recenser </w:t>
      </w:r>
      <w:r w:rsidR="00B552E2" w:rsidRPr="00FB1BFA">
        <w:rPr>
          <w:lang w:val="fr-FR"/>
        </w:rPr>
        <w:t xml:space="preserve">des </w:t>
      </w:r>
      <w:r w:rsidR="004A48E6" w:rsidRPr="00FB1BFA">
        <w:rPr>
          <w:lang w:val="fr-FR"/>
        </w:rPr>
        <w:t xml:space="preserve">mesures concrètes </w:t>
      </w:r>
      <w:r w:rsidR="005A151B" w:rsidRPr="00FB1BFA">
        <w:rPr>
          <w:lang w:val="fr-FR"/>
        </w:rPr>
        <w:t>et nouer des partenariats</w:t>
      </w:r>
      <w:r w:rsidR="00282246" w:rsidRPr="00FB1BFA">
        <w:rPr>
          <w:lang w:val="fr-FR"/>
        </w:rPr>
        <w:t xml:space="preserve"> que nous </w:t>
      </w:r>
      <w:r w:rsidR="00084466" w:rsidRPr="00FB1BFA">
        <w:rPr>
          <w:lang w:val="fr-FR"/>
        </w:rPr>
        <w:t xml:space="preserve">superviserons </w:t>
      </w:r>
      <w:r w:rsidR="000C2D80" w:rsidRPr="00FB1BFA">
        <w:rPr>
          <w:lang w:val="fr-FR"/>
        </w:rPr>
        <w:t>à mesure que les travaux de l'UIT-D progresseront", a-t-elle indiqué</w:t>
      </w:r>
      <w:r w:rsidR="00450AA2" w:rsidRPr="00FB1BFA">
        <w:rPr>
          <w:lang w:val="fr-FR"/>
        </w:rPr>
        <w:t>.</w:t>
      </w:r>
    </w:p>
    <w:p w14:paraId="03EF11C8" w14:textId="31874517" w:rsidR="00C428C5" w:rsidRPr="00FB1BFA" w:rsidRDefault="005B7C91" w:rsidP="00792001">
      <w:pPr>
        <w:pStyle w:val="Heading1"/>
        <w:rPr>
          <w:lang w:val="fr-FR"/>
        </w:rPr>
      </w:pPr>
      <w:r w:rsidRPr="00FB1BFA">
        <w:rPr>
          <w:lang w:val="fr-FR"/>
        </w:rPr>
        <w:lastRenderedPageBreak/>
        <w:t>3</w:t>
      </w:r>
      <w:r w:rsidRPr="00FB1BFA">
        <w:rPr>
          <w:lang w:val="fr-FR"/>
        </w:rPr>
        <w:tab/>
      </w:r>
      <w:r w:rsidR="00C428C5" w:rsidRPr="00FB1BFA">
        <w:rPr>
          <w:lang w:val="fr-FR"/>
        </w:rPr>
        <w:t xml:space="preserve">État d'avancement des travaux </w:t>
      </w:r>
      <w:r w:rsidR="00CB7669" w:rsidRPr="00FB1BFA">
        <w:rPr>
          <w:lang w:val="fr-FR"/>
        </w:rPr>
        <w:t>préparatoires</w:t>
      </w:r>
      <w:r w:rsidR="00C428C5" w:rsidRPr="00FB1BFA">
        <w:rPr>
          <w:lang w:val="fr-FR"/>
        </w:rPr>
        <w:t xml:space="preserve"> en vue de la CMDT menés par les organisations </w:t>
      </w:r>
      <w:r w:rsidR="005E5A6A" w:rsidRPr="00FB1BFA">
        <w:rPr>
          <w:lang w:val="fr-FR"/>
        </w:rPr>
        <w:t>régionales de télécommunication</w:t>
      </w:r>
    </w:p>
    <w:p w14:paraId="47A6BD09" w14:textId="10BDE323" w:rsidR="005B7C91" w:rsidRPr="00FB1BFA" w:rsidRDefault="005B7C91" w:rsidP="00792001">
      <w:pPr>
        <w:pStyle w:val="Heading2"/>
        <w:rPr>
          <w:lang w:val="fr-FR"/>
        </w:rPr>
      </w:pPr>
      <w:r w:rsidRPr="00FB1BFA">
        <w:rPr>
          <w:lang w:val="fr-FR"/>
        </w:rPr>
        <w:t>3.1</w:t>
      </w:r>
      <w:r w:rsidRPr="00FB1BFA">
        <w:rPr>
          <w:lang w:val="fr-FR"/>
        </w:rPr>
        <w:tab/>
      </w:r>
      <w:r w:rsidR="00DB6EA3" w:rsidRPr="00FB1BFA">
        <w:rPr>
          <w:lang w:val="fr-FR"/>
        </w:rPr>
        <w:t>Union africaine des télécommunications (UAT)</w:t>
      </w:r>
    </w:p>
    <w:p w14:paraId="28D8281E" w14:textId="553124E9" w:rsidR="00EA1B36" w:rsidRPr="00FB1BFA" w:rsidRDefault="00EA1B36" w:rsidP="00792001">
      <w:pPr>
        <w:rPr>
          <w:lang w:val="fr-FR"/>
        </w:rPr>
      </w:pPr>
      <w:r w:rsidRPr="00FB1BFA">
        <w:rPr>
          <w:lang w:val="fr-FR"/>
        </w:rPr>
        <w:t xml:space="preserve">L'UAT a tenu quatre réunions </w:t>
      </w:r>
      <w:r w:rsidR="005A5685" w:rsidRPr="00FB1BFA">
        <w:rPr>
          <w:lang w:val="fr-FR"/>
        </w:rPr>
        <w:t xml:space="preserve">préparatoires (voir la Figure 3.1) </w:t>
      </w:r>
      <w:r w:rsidR="00E627F8" w:rsidRPr="00FB1BFA">
        <w:rPr>
          <w:lang w:val="fr-FR"/>
        </w:rPr>
        <w:t>et</w:t>
      </w:r>
      <w:r w:rsidR="00792001" w:rsidRPr="00FB1BFA">
        <w:rPr>
          <w:lang w:val="fr-FR"/>
        </w:rPr>
        <w:t xml:space="preserve"> </w:t>
      </w:r>
      <w:r w:rsidR="00592B9A" w:rsidRPr="00FB1BFA">
        <w:rPr>
          <w:lang w:val="fr-FR"/>
        </w:rPr>
        <w:t>approuvé les</w:t>
      </w:r>
      <w:r w:rsidR="00016408" w:rsidRPr="00FB1BFA">
        <w:rPr>
          <w:lang w:val="fr-FR"/>
        </w:rPr>
        <w:t xml:space="preserve"> priorités </w:t>
      </w:r>
      <w:r w:rsidR="00E36891" w:rsidRPr="00FB1BFA">
        <w:rPr>
          <w:lang w:val="fr-FR"/>
        </w:rPr>
        <w:t>de l</w:t>
      </w:r>
      <w:r w:rsidR="00D266D5" w:rsidRPr="00FB1BFA">
        <w:rPr>
          <w:lang w:val="fr-FR"/>
        </w:rPr>
        <w:t>'</w:t>
      </w:r>
      <w:r w:rsidR="00E36891" w:rsidRPr="00FB1BFA">
        <w:rPr>
          <w:lang w:val="fr-FR"/>
        </w:rPr>
        <w:t xml:space="preserve">Afrique </w:t>
      </w:r>
      <w:r w:rsidR="00016408" w:rsidRPr="00FB1BFA">
        <w:rPr>
          <w:lang w:val="fr-FR"/>
        </w:rPr>
        <w:t>pour la CMDT</w:t>
      </w:r>
      <w:r w:rsidR="00E36891" w:rsidRPr="00FB1BFA">
        <w:rPr>
          <w:lang w:val="fr-FR"/>
        </w:rPr>
        <w:t>,</w:t>
      </w:r>
      <w:r w:rsidR="00792001" w:rsidRPr="00FB1BFA">
        <w:rPr>
          <w:lang w:val="fr-FR"/>
        </w:rPr>
        <w:t xml:space="preserve"> </w:t>
      </w:r>
      <w:r w:rsidR="00016408" w:rsidRPr="00FB1BFA">
        <w:rPr>
          <w:lang w:val="fr-FR"/>
        </w:rPr>
        <w:t>révisé les initiatives régionales pour l'Afrique</w:t>
      </w:r>
      <w:r w:rsidR="00E36891" w:rsidRPr="00FB1BFA">
        <w:rPr>
          <w:lang w:val="fr-FR"/>
        </w:rPr>
        <w:t xml:space="preserve"> et </w:t>
      </w:r>
      <w:r w:rsidR="00016408" w:rsidRPr="00FB1BFA">
        <w:rPr>
          <w:lang w:val="fr-FR"/>
        </w:rPr>
        <w:t xml:space="preserve">approuvé 12 </w:t>
      </w:r>
      <w:r w:rsidR="00F00A6E" w:rsidRPr="00FB1BFA">
        <w:rPr>
          <w:lang w:val="fr-FR"/>
        </w:rPr>
        <w:t xml:space="preserve">propositions </w:t>
      </w:r>
      <w:r w:rsidR="00F13C4D" w:rsidRPr="00FB1BFA">
        <w:rPr>
          <w:lang w:val="fr-FR"/>
        </w:rPr>
        <w:t xml:space="preserve">africaines </w:t>
      </w:r>
      <w:r w:rsidR="00F00A6E" w:rsidRPr="00FB1BFA">
        <w:rPr>
          <w:lang w:val="fr-FR"/>
        </w:rPr>
        <w:t>communes sur les Résolutions existantes de la CMDT</w:t>
      </w:r>
      <w:r w:rsidR="00E36891" w:rsidRPr="00FB1BFA">
        <w:rPr>
          <w:lang w:val="fr-FR"/>
        </w:rPr>
        <w:t xml:space="preserve"> ainsi qu</w:t>
      </w:r>
      <w:r w:rsidR="00D266D5" w:rsidRPr="00FB1BFA">
        <w:rPr>
          <w:lang w:val="fr-FR"/>
        </w:rPr>
        <w:t>'</w:t>
      </w:r>
      <w:r w:rsidR="00F00A6E" w:rsidRPr="00FB1BFA">
        <w:rPr>
          <w:lang w:val="fr-FR"/>
        </w:rPr>
        <w:t xml:space="preserve">un projet </w:t>
      </w:r>
      <w:r w:rsidR="001C5843" w:rsidRPr="00FB1BFA">
        <w:rPr>
          <w:lang w:val="fr-FR"/>
        </w:rPr>
        <w:t>de</w:t>
      </w:r>
      <w:r w:rsidR="00F00A6E" w:rsidRPr="00FB1BFA">
        <w:rPr>
          <w:lang w:val="fr-FR"/>
        </w:rPr>
        <w:t xml:space="preserve"> nouvelle Résolution sur la transformation numérique (voir le Tableau 3.1). </w:t>
      </w:r>
      <w:r w:rsidR="00DA7C1D" w:rsidRPr="00FB1BFA">
        <w:rPr>
          <w:lang w:val="fr-FR"/>
        </w:rPr>
        <w:t xml:space="preserve">En outre, l'Afrique a </w:t>
      </w:r>
      <w:r w:rsidR="00F53CBC" w:rsidRPr="00FB1BFA">
        <w:rPr>
          <w:lang w:val="fr-FR"/>
        </w:rPr>
        <w:t xml:space="preserve">désigné des candidats pour plusieurs </w:t>
      </w:r>
      <w:r w:rsidR="00565294" w:rsidRPr="00FB1BFA">
        <w:rPr>
          <w:lang w:val="fr-FR"/>
        </w:rPr>
        <w:t xml:space="preserve">postes de direction </w:t>
      </w:r>
      <w:r w:rsidR="00E36891" w:rsidRPr="00FB1BFA">
        <w:rPr>
          <w:lang w:val="fr-FR"/>
        </w:rPr>
        <w:t xml:space="preserve">au sein </w:t>
      </w:r>
      <w:r w:rsidR="00565294" w:rsidRPr="00FB1BFA">
        <w:rPr>
          <w:lang w:val="fr-FR"/>
        </w:rPr>
        <w:t>du GCDT, des commissions d'études de l'UIT-D (voir le Tableau 3.2) et des commissions de la CMDT (voir le Tableau 3.3).</w:t>
      </w:r>
    </w:p>
    <w:p w14:paraId="2A8E7250" w14:textId="5B0CD648" w:rsidR="005B7C91" w:rsidRPr="00FB1BFA" w:rsidRDefault="005B7C91" w:rsidP="00A5484C">
      <w:pPr>
        <w:pStyle w:val="Figuretitle"/>
        <w:spacing w:before="360" w:after="240"/>
        <w:rPr>
          <w:lang w:val="fr-FR"/>
        </w:rPr>
      </w:pPr>
      <w:r w:rsidRPr="00FB1BFA">
        <w:rPr>
          <w:lang w:val="fr-FR"/>
        </w:rPr>
        <w:t xml:space="preserve">Figure 3.1: </w:t>
      </w:r>
      <w:r w:rsidR="00AA4BAA" w:rsidRPr="00FB1BFA">
        <w:rPr>
          <w:lang w:val="fr-FR"/>
        </w:rPr>
        <w:t>Réunions préparatoires de l'UAT</w:t>
      </w:r>
    </w:p>
    <w:p w14:paraId="65009D8E" w14:textId="6D7AB81B" w:rsidR="005B7C91" w:rsidRPr="00FB1BFA" w:rsidRDefault="00B60163" w:rsidP="00757B41">
      <w:pPr>
        <w:pStyle w:val="Figure"/>
        <w:rPr>
          <w:noProof w:val="0"/>
          <w:lang w:val="fr-FR"/>
        </w:rPr>
      </w:pPr>
      <w:r w:rsidRPr="00FB1BFA">
        <w:rPr>
          <w:noProof w:val="0"/>
          <w:lang w:val="fr-FR"/>
        </w:rPr>
        <w:drawing>
          <wp:inline distT="0" distB="0" distL="0" distR="0" wp14:anchorId="17F5E55D" wp14:editId="71CCFAA9">
            <wp:extent cx="5152445" cy="2267771"/>
            <wp:effectExtent l="0" t="0" r="0" b="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18"/>
                    <a:stretch>
                      <a:fillRect/>
                    </a:stretch>
                  </pic:blipFill>
                  <pic:spPr>
                    <a:xfrm>
                      <a:off x="0" y="0"/>
                      <a:ext cx="5162256" cy="2272089"/>
                    </a:xfrm>
                    <a:prstGeom prst="rect">
                      <a:avLst/>
                    </a:prstGeom>
                  </pic:spPr>
                </pic:pic>
              </a:graphicData>
            </a:graphic>
          </wp:inline>
        </w:drawing>
      </w:r>
    </w:p>
    <w:p w14:paraId="521A4328" w14:textId="5DB3A03E" w:rsidR="005B7C91" w:rsidRPr="00FB1BFA" w:rsidRDefault="007A1807" w:rsidP="00792001">
      <w:pPr>
        <w:pStyle w:val="Headingb"/>
        <w:rPr>
          <w:lang w:val="fr-FR"/>
        </w:rPr>
      </w:pPr>
      <w:r w:rsidRPr="00FB1BFA">
        <w:rPr>
          <w:lang w:val="fr-FR"/>
        </w:rPr>
        <w:t>Priorités</w:t>
      </w:r>
      <w:r w:rsidR="00792001" w:rsidRPr="00FB1BFA">
        <w:rPr>
          <w:lang w:val="fr-FR"/>
        </w:rPr>
        <w:t xml:space="preserve"> </w:t>
      </w:r>
      <w:r w:rsidR="00E36891" w:rsidRPr="00FB1BFA">
        <w:rPr>
          <w:lang w:val="fr-FR"/>
        </w:rPr>
        <w:t>de l</w:t>
      </w:r>
      <w:r w:rsidR="00D266D5" w:rsidRPr="00FB1BFA">
        <w:rPr>
          <w:lang w:val="fr-FR"/>
        </w:rPr>
        <w:t>'</w:t>
      </w:r>
      <w:r w:rsidR="00E36891" w:rsidRPr="00FB1BFA">
        <w:rPr>
          <w:lang w:val="fr-FR"/>
        </w:rPr>
        <w:t xml:space="preserve">Afrique </w:t>
      </w:r>
      <w:r w:rsidRPr="00FB1BFA">
        <w:rPr>
          <w:lang w:val="fr-FR"/>
        </w:rPr>
        <w:t>pour la CMDT</w:t>
      </w:r>
    </w:p>
    <w:p w14:paraId="583AB0D8" w14:textId="2EDC0A4B" w:rsidR="00D42747" w:rsidRPr="00FB1BFA" w:rsidRDefault="00CB2785" w:rsidP="00792001">
      <w:pPr>
        <w:rPr>
          <w:lang w:val="fr-FR"/>
        </w:rPr>
      </w:pPr>
      <w:r w:rsidRPr="00FB1BFA">
        <w:rPr>
          <w:lang w:val="fr-FR"/>
        </w:rPr>
        <w:t xml:space="preserve">La connectivité large bande, y compris dans les </w:t>
      </w:r>
      <w:r w:rsidR="00847736" w:rsidRPr="00FB1BFA">
        <w:rPr>
          <w:lang w:val="fr-FR"/>
        </w:rPr>
        <w:t>zones rurales et isolées</w:t>
      </w:r>
      <w:r w:rsidR="00E36891" w:rsidRPr="00FB1BFA">
        <w:rPr>
          <w:lang w:val="fr-FR"/>
        </w:rPr>
        <w:t xml:space="preserve">, </w:t>
      </w:r>
      <w:r w:rsidR="00847736" w:rsidRPr="00FB1BFA">
        <w:rPr>
          <w:lang w:val="fr-FR"/>
        </w:rPr>
        <w:t xml:space="preserve">l'inclusion numérique; la cybersécurité et </w:t>
      </w:r>
      <w:r w:rsidR="00D009B3" w:rsidRPr="00FB1BFA">
        <w:rPr>
          <w:lang w:val="fr-FR"/>
        </w:rPr>
        <w:t>l'instauration de la confiance dans l'utilisation des TIC</w:t>
      </w:r>
      <w:r w:rsidR="00E36891" w:rsidRPr="00FB1BFA">
        <w:rPr>
          <w:lang w:val="fr-FR"/>
        </w:rPr>
        <w:t>,</w:t>
      </w:r>
      <w:r w:rsidR="00731C70" w:rsidRPr="00FB1BFA">
        <w:rPr>
          <w:lang w:val="fr-FR"/>
        </w:rPr>
        <w:t xml:space="preserve"> </w:t>
      </w:r>
      <w:r w:rsidR="001A2327" w:rsidRPr="00FB1BFA">
        <w:rPr>
          <w:lang w:val="fr-FR"/>
        </w:rPr>
        <w:t>la gestion du spectre et la réduction de la fracture numérique et de l'écart en matière de normalisation</w:t>
      </w:r>
      <w:r w:rsidR="00E36891" w:rsidRPr="00FB1BFA">
        <w:rPr>
          <w:lang w:val="fr-FR"/>
        </w:rPr>
        <w:t xml:space="preserve">, </w:t>
      </w:r>
      <w:r w:rsidR="00626828" w:rsidRPr="00FB1BFA">
        <w:rPr>
          <w:lang w:val="fr-FR"/>
        </w:rPr>
        <w:t>l'instauration d'un environnement propice à la transformation numérique et</w:t>
      </w:r>
      <w:r w:rsidR="00644623" w:rsidRPr="00FB1BFA">
        <w:rPr>
          <w:lang w:val="fr-FR"/>
        </w:rPr>
        <w:t xml:space="preserve"> à</w:t>
      </w:r>
      <w:r w:rsidR="00626828" w:rsidRPr="00FB1BFA">
        <w:rPr>
          <w:lang w:val="fr-FR"/>
        </w:rPr>
        <w:t xml:space="preserve"> la mise en œuvre des Objectifs de développement durable</w:t>
      </w:r>
      <w:r w:rsidR="00E36891" w:rsidRPr="00FB1BFA">
        <w:rPr>
          <w:lang w:val="fr-FR"/>
        </w:rPr>
        <w:t xml:space="preserve">, </w:t>
      </w:r>
      <w:r w:rsidR="00BE4182" w:rsidRPr="00FB1BFA">
        <w:rPr>
          <w:lang w:val="fr-FR"/>
        </w:rPr>
        <w:t xml:space="preserve">la promotion </w:t>
      </w:r>
      <w:r w:rsidR="00E36891" w:rsidRPr="00FB1BFA">
        <w:rPr>
          <w:lang w:val="fr-FR"/>
        </w:rPr>
        <w:t>d</w:t>
      </w:r>
      <w:r w:rsidR="00D266D5" w:rsidRPr="00FB1BFA">
        <w:rPr>
          <w:lang w:val="fr-FR"/>
        </w:rPr>
        <w:t>'</w:t>
      </w:r>
      <w:r w:rsidR="00BE4182" w:rsidRPr="00FB1BFA">
        <w:rPr>
          <w:lang w:val="fr-FR"/>
        </w:rPr>
        <w:t xml:space="preserve">écosystèmes de l'innovation et l'utilisation </w:t>
      </w:r>
      <w:r w:rsidR="0093464A" w:rsidRPr="00FB1BFA">
        <w:rPr>
          <w:lang w:val="fr-FR"/>
        </w:rPr>
        <w:t xml:space="preserve">des technologies émergentes </w:t>
      </w:r>
      <w:r w:rsidR="00E36891" w:rsidRPr="00FB1BFA">
        <w:rPr>
          <w:lang w:val="fr-FR"/>
        </w:rPr>
        <w:t>au service du</w:t>
      </w:r>
      <w:r w:rsidR="0093464A" w:rsidRPr="00FB1BFA">
        <w:rPr>
          <w:lang w:val="fr-FR"/>
        </w:rPr>
        <w:t xml:space="preserve"> développement</w:t>
      </w:r>
      <w:r w:rsidR="00E36891" w:rsidRPr="00FB1BFA">
        <w:rPr>
          <w:lang w:val="fr-FR"/>
        </w:rPr>
        <w:t xml:space="preserve"> </w:t>
      </w:r>
      <w:r w:rsidR="0093464A" w:rsidRPr="00FB1BFA">
        <w:rPr>
          <w:lang w:val="fr-FR"/>
        </w:rPr>
        <w:t xml:space="preserve">et </w:t>
      </w:r>
      <w:r w:rsidR="002F48D0" w:rsidRPr="00FB1BFA">
        <w:rPr>
          <w:lang w:val="fr-FR"/>
        </w:rPr>
        <w:t xml:space="preserve">l'examen des </w:t>
      </w:r>
      <w:r w:rsidR="002B0F30" w:rsidRPr="00FB1BFA">
        <w:rPr>
          <w:lang w:val="fr-FR"/>
        </w:rPr>
        <w:t>textes issus du Sommet mondial sur la société de l'information (SMSI)</w:t>
      </w:r>
      <w:r w:rsidR="00E36891" w:rsidRPr="00FB1BFA">
        <w:rPr>
          <w:lang w:val="fr-FR"/>
        </w:rPr>
        <w:t xml:space="preserve"> figurent au nombre des priorités</w:t>
      </w:r>
      <w:r w:rsidR="00792001" w:rsidRPr="00FB1BFA">
        <w:rPr>
          <w:lang w:val="fr-FR"/>
        </w:rPr>
        <w:t xml:space="preserve"> </w:t>
      </w:r>
      <w:r w:rsidR="00E36891" w:rsidRPr="00FB1BFA">
        <w:rPr>
          <w:lang w:val="fr-FR"/>
        </w:rPr>
        <w:t>de l</w:t>
      </w:r>
      <w:r w:rsidR="00D266D5" w:rsidRPr="00FB1BFA">
        <w:rPr>
          <w:lang w:val="fr-FR"/>
        </w:rPr>
        <w:t>'</w:t>
      </w:r>
      <w:r w:rsidR="00E36891" w:rsidRPr="00FB1BFA">
        <w:rPr>
          <w:lang w:val="fr-FR"/>
        </w:rPr>
        <w:t>Afrique pour la CMDT</w:t>
      </w:r>
      <w:r w:rsidR="002B0F30" w:rsidRPr="00FB1BFA">
        <w:rPr>
          <w:lang w:val="fr-FR"/>
        </w:rPr>
        <w:t>.</w:t>
      </w:r>
    </w:p>
    <w:p w14:paraId="12E87A5C" w14:textId="39CED0D4" w:rsidR="005B7C91" w:rsidRPr="00FB1BFA" w:rsidRDefault="006B48B9" w:rsidP="00792001">
      <w:pPr>
        <w:pStyle w:val="Headingb"/>
        <w:rPr>
          <w:lang w:val="fr-FR"/>
        </w:rPr>
      </w:pPr>
      <w:r w:rsidRPr="00FB1BFA">
        <w:rPr>
          <w:lang w:val="fr-FR"/>
        </w:rPr>
        <w:t>Version révisée des initiatives régionales pour l'Afrique</w:t>
      </w:r>
    </w:p>
    <w:p w14:paraId="01DB0FC0" w14:textId="652D163C" w:rsidR="005B7C91" w:rsidRPr="00FB1BFA" w:rsidRDefault="005B7C91" w:rsidP="00792001">
      <w:pPr>
        <w:pStyle w:val="enumlev1"/>
        <w:rPr>
          <w:lang w:val="fr-FR"/>
        </w:rPr>
      </w:pPr>
      <w:r w:rsidRPr="00FB1BFA">
        <w:rPr>
          <w:lang w:val="fr-FR"/>
        </w:rPr>
        <w:t>–</w:t>
      </w:r>
      <w:r w:rsidRPr="00FB1BFA">
        <w:rPr>
          <w:lang w:val="fr-FR"/>
        </w:rPr>
        <w:tab/>
        <w:t>AFR1: Soutenir la transformation numérique pour permettre une transition rapide vers l'économie numérique tout en accélérant l'innovation en Afrique.</w:t>
      </w:r>
    </w:p>
    <w:p w14:paraId="41597EA9" w14:textId="0DBAE1ED" w:rsidR="005B7C91" w:rsidRPr="00FB1BFA" w:rsidRDefault="005B7C91" w:rsidP="00792001">
      <w:pPr>
        <w:pStyle w:val="enumlev1"/>
        <w:rPr>
          <w:lang w:val="fr-FR"/>
        </w:rPr>
      </w:pPr>
      <w:r w:rsidRPr="00FB1BFA">
        <w:rPr>
          <w:lang w:val="fr-FR"/>
        </w:rPr>
        <w:t>–</w:t>
      </w:r>
      <w:r w:rsidRPr="00FB1BFA">
        <w:rPr>
          <w:lang w:val="fr-FR"/>
        </w:rPr>
        <w:tab/>
        <w:t>AFR2: Mise en œuvre et expansion des infrastructures à large bande, de la connectivité et des technologies émergentes.</w:t>
      </w:r>
    </w:p>
    <w:p w14:paraId="0690EBDF" w14:textId="0EBB464A" w:rsidR="005B7C91" w:rsidRPr="00FB1BFA" w:rsidRDefault="005B7C91" w:rsidP="00792001">
      <w:pPr>
        <w:pStyle w:val="enumlev1"/>
        <w:rPr>
          <w:lang w:val="fr-FR"/>
        </w:rPr>
      </w:pPr>
      <w:r w:rsidRPr="00FB1BFA">
        <w:rPr>
          <w:lang w:val="fr-FR"/>
        </w:rPr>
        <w:t>–</w:t>
      </w:r>
      <w:r w:rsidRPr="00FB1BFA">
        <w:rPr>
          <w:lang w:val="fr-FR"/>
        </w:rPr>
        <w:tab/>
        <w:t>AFR3: Renforcer la confiance, la sûreté et la sécurité dans l'utilisation des télécommunications/technologies de l'information et de la communication et la protection des données personnelles.</w:t>
      </w:r>
    </w:p>
    <w:p w14:paraId="75FB6DCC" w14:textId="41844D90" w:rsidR="005B7C91" w:rsidRPr="00FB1BFA" w:rsidRDefault="005B7C91" w:rsidP="00792001">
      <w:pPr>
        <w:pStyle w:val="enumlev1"/>
        <w:rPr>
          <w:lang w:val="fr-FR"/>
        </w:rPr>
      </w:pPr>
      <w:r w:rsidRPr="00FB1BFA">
        <w:rPr>
          <w:lang w:val="fr-FR"/>
        </w:rPr>
        <w:t>–</w:t>
      </w:r>
      <w:r w:rsidRPr="00FB1BFA">
        <w:rPr>
          <w:lang w:val="fr-FR"/>
        </w:rPr>
        <w:tab/>
        <w:t>AFR4: Promouvoir les technologies émergentes et les écosystèmes d'innovation.</w:t>
      </w:r>
    </w:p>
    <w:p w14:paraId="04F7C177" w14:textId="29BA7AB3" w:rsidR="005B7C91" w:rsidRPr="00FB1BFA" w:rsidRDefault="005B7C91" w:rsidP="00757B41">
      <w:pPr>
        <w:pStyle w:val="Note"/>
        <w:rPr>
          <w:lang w:val="fr-FR"/>
        </w:rPr>
      </w:pPr>
      <w:r w:rsidRPr="00FB1BFA">
        <w:rPr>
          <w:lang w:val="fr-FR"/>
        </w:rPr>
        <w:t xml:space="preserve">Note: </w:t>
      </w:r>
      <w:r w:rsidR="007019DD" w:rsidRPr="00FB1BFA">
        <w:rPr>
          <w:lang w:val="fr-FR"/>
        </w:rPr>
        <w:t xml:space="preserve">Chaque initiative </w:t>
      </w:r>
      <w:r w:rsidR="00E36891" w:rsidRPr="00FB1BFA">
        <w:rPr>
          <w:lang w:val="fr-FR"/>
        </w:rPr>
        <w:t xml:space="preserve">comporte </w:t>
      </w:r>
      <w:r w:rsidR="007019DD" w:rsidRPr="00FB1BFA">
        <w:rPr>
          <w:lang w:val="fr-FR"/>
        </w:rPr>
        <w:t>une composante relative au renforcement des capacités.</w:t>
      </w:r>
    </w:p>
    <w:p w14:paraId="5D2FEDE6" w14:textId="7BC63B4B" w:rsidR="005B7C91" w:rsidRPr="00FB1BFA" w:rsidRDefault="00444011" w:rsidP="00731C70">
      <w:pPr>
        <w:pStyle w:val="Tabletitle"/>
        <w:rPr>
          <w:lang w:val="fr-FR"/>
        </w:rPr>
      </w:pPr>
      <w:r w:rsidRPr="00FB1BFA">
        <w:rPr>
          <w:lang w:val="fr-FR"/>
        </w:rPr>
        <w:lastRenderedPageBreak/>
        <w:t>Table</w:t>
      </w:r>
      <w:r w:rsidR="00BF6301" w:rsidRPr="00FB1BFA">
        <w:rPr>
          <w:lang w:val="fr-FR"/>
        </w:rPr>
        <w:t>au</w:t>
      </w:r>
      <w:r w:rsidRPr="00FB1BFA">
        <w:rPr>
          <w:lang w:val="fr-FR"/>
        </w:rPr>
        <w:t xml:space="preserve"> 3.1:</w:t>
      </w:r>
      <w:r w:rsidR="009A4293" w:rsidRPr="00FB1BFA">
        <w:rPr>
          <w:lang w:val="fr-FR"/>
        </w:rPr>
        <w:t xml:space="preserve"> Propositions africaines communes (AFCP</w:t>
      </w:r>
      <w:r w:rsidRPr="00FB1BFA">
        <w:rPr>
          <w:lang w:val="fr-FR"/>
        </w:rPr>
        <w:t>)</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103"/>
      </w:tblGrid>
      <w:tr w:rsidR="00444011" w:rsidRPr="00FB1BFA" w14:paraId="437B4469" w14:textId="77777777" w:rsidTr="005F54BE">
        <w:tc>
          <w:tcPr>
            <w:tcW w:w="4526" w:type="dxa"/>
            <w:shd w:val="clear" w:color="auto" w:fill="31849B"/>
          </w:tcPr>
          <w:p w14:paraId="273EA0F5" w14:textId="1D6058FD" w:rsidR="00444011" w:rsidRPr="00FB1BFA" w:rsidRDefault="00444011" w:rsidP="00792001">
            <w:pPr>
              <w:pStyle w:val="Tabletext"/>
              <w:rPr>
                <w:b/>
                <w:bCs/>
                <w:color w:val="FFFFFF" w:themeColor="background1"/>
                <w:lang w:val="fr-FR"/>
              </w:rPr>
            </w:pPr>
            <w:r w:rsidRPr="00FB1BFA">
              <w:rPr>
                <w:b/>
                <w:bCs/>
                <w:color w:val="FFFFFF" w:themeColor="background1"/>
                <w:lang w:val="fr-FR"/>
              </w:rPr>
              <w:t>MOD: Résolution 1 (Rév. Buenos Aires, 2017)</w:t>
            </w:r>
          </w:p>
        </w:tc>
        <w:tc>
          <w:tcPr>
            <w:tcW w:w="5103" w:type="dxa"/>
            <w:shd w:val="clear" w:color="auto" w:fill="D9D9D9"/>
          </w:tcPr>
          <w:p w14:paraId="28B1AE5F" w14:textId="58D0CBF2" w:rsidR="00444011" w:rsidRPr="00FB1BFA" w:rsidRDefault="00EE10E8" w:rsidP="00792001">
            <w:pPr>
              <w:pStyle w:val="Tabletext"/>
              <w:rPr>
                <w:lang w:val="fr-FR"/>
              </w:rPr>
            </w:pPr>
            <w:r w:rsidRPr="00FB1BFA">
              <w:rPr>
                <w:lang w:val="fr-FR"/>
              </w:rPr>
              <w:t>Règlement intérieur du Secteur du développement des télécommunications de l'UIT</w:t>
            </w:r>
          </w:p>
        </w:tc>
      </w:tr>
      <w:tr w:rsidR="00444011" w:rsidRPr="00FB1BFA" w14:paraId="43D0D3F1" w14:textId="77777777" w:rsidTr="005F54BE">
        <w:tc>
          <w:tcPr>
            <w:tcW w:w="4526" w:type="dxa"/>
            <w:shd w:val="clear" w:color="auto" w:fill="31849B"/>
          </w:tcPr>
          <w:p w14:paraId="6AFC3813" w14:textId="5AC878DC" w:rsidR="00444011" w:rsidRPr="00FB1BFA" w:rsidRDefault="00444011" w:rsidP="00792001">
            <w:pPr>
              <w:pStyle w:val="Tabletext"/>
              <w:rPr>
                <w:b/>
                <w:bCs/>
                <w:color w:val="FFFFFF" w:themeColor="background1"/>
                <w:lang w:val="fr-FR"/>
              </w:rPr>
            </w:pPr>
            <w:r w:rsidRPr="00FB1BFA">
              <w:rPr>
                <w:b/>
                <w:bCs/>
                <w:color w:val="FFFFFF" w:themeColor="background1"/>
                <w:lang w:val="fr-FR"/>
              </w:rPr>
              <w:t>MOD: Résolution 2 (Rév. Buenos Aires, 2017)</w:t>
            </w:r>
          </w:p>
        </w:tc>
        <w:tc>
          <w:tcPr>
            <w:tcW w:w="5103" w:type="dxa"/>
            <w:shd w:val="clear" w:color="auto" w:fill="D9D9D9"/>
          </w:tcPr>
          <w:p w14:paraId="69001920" w14:textId="7B09303A" w:rsidR="00444011" w:rsidRPr="00FB1BFA" w:rsidRDefault="00EE10E8" w:rsidP="00792001">
            <w:pPr>
              <w:pStyle w:val="Tabletext"/>
              <w:rPr>
                <w:lang w:val="fr-FR"/>
              </w:rPr>
            </w:pPr>
            <w:r w:rsidRPr="00FB1BFA">
              <w:rPr>
                <w:lang w:val="fr-FR"/>
              </w:rPr>
              <w:t>Établissement de commissions d'études</w:t>
            </w:r>
          </w:p>
        </w:tc>
      </w:tr>
      <w:tr w:rsidR="00444011" w:rsidRPr="00FB1BFA" w14:paraId="605D5CDD" w14:textId="77777777" w:rsidTr="005F54BE">
        <w:tc>
          <w:tcPr>
            <w:tcW w:w="4526" w:type="dxa"/>
            <w:shd w:val="clear" w:color="auto" w:fill="31849B"/>
          </w:tcPr>
          <w:p w14:paraId="3D5F8CEF" w14:textId="0D8E3A23" w:rsidR="00444011" w:rsidRPr="00FB1BFA" w:rsidRDefault="00444011" w:rsidP="00792001">
            <w:pPr>
              <w:pStyle w:val="Tabletext"/>
              <w:rPr>
                <w:b/>
                <w:bCs/>
                <w:color w:val="FFFFFF" w:themeColor="background1"/>
                <w:lang w:val="fr-FR"/>
              </w:rPr>
            </w:pPr>
            <w:r w:rsidRPr="00FB1BFA">
              <w:rPr>
                <w:b/>
                <w:bCs/>
                <w:color w:val="FFFFFF" w:themeColor="background1"/>
                <w:lang w:val="fr-FR"/>
              </w:rPr>
              <w:t>MOD: Résolution 8 (Rév. Buenos Aires, 2017)</w:t>
            </w:r>
          </w:p>
        </w:tc>
        <w:tc>
          <w:tcPr>
            <w:tcW w:w="5103" w:type="dxa"/>
            <w:shd w:val="clear" w:color="auto" w:fill="D9D9D9"/>
          </w:tcPr>
          <w:p w14:paraId="15AE7223" w14:textId="4BEDA376" w:rsidR="00444011" w:rsidRPr="00FB1BFA" w:rsidRDefault="00EE10E8" w:rsidP="00792001">
            <w:pPr>
              <w:pStyle w:val="Tabletext"/>
              <w:rPr>
                <w:lang w:val="fr-FR"/>
              </w:rPr>
            </w:pPr>
            <w:r w:rsidRPr="00FB1BFA">
              <w:rPr>
                <w:lang w:val="fr-FR"/>
              </w:rPr>
              <w:t>Collecte et diffusion d'informations et de statistiques</w:t>
            </w:r>
          </w:p>
        </w:tc>
      </w:tr>
      <w:tr w:rsidR="00444011" w:rsidRPr="00FB1BFA" w14:paraId="0E182289" w14:textId="77777777" w:rsidTr="005F54BE">
        <w:tc>
          <w:tcPr>
            <w:tcW w:w="4526" w:type="dxa"/>
            <w:shd w:val="clear" w:color="auto" w:fill="31849B"/>
          </w:tcPr>
          <w:p w14:paraId="78C0744E" w14:textId="453D5A96" w:rsidR="00444011" w:rsidRPr="00FB1BFA" w:rsidRDefault="00444011" w:rsidP="00792001">
            <w:pPr>
              <w:pStyle w:val="Tabletext"/>
              <w:rPr>
                <w:b/>
                <w:bCs/>
                <w:color w:val="FFFFFF" w:themeColor="background1"/>
                <w:lang w:val="fr-FR"/>
              </w:rPr>
            </w:pPr>
            <w:r w:rsidRPr="00FB1BFA">
              <w:rPr>
                <w:b/>
                <w:bCs/>
                <w:color w:val="FFFFFF" w:themeColor="background1"/>
                <w:lang w:val="fr-FR"/>
              </w:rPr>
              <w:t>MOD: Résolution 9 (Rév. Buenos Aires, 2017)</w:t>
            </w:r>
          </w:p>
        </w:tc>
        <w:tc>
          <w:tcPr>
            <w:tcW w:w="5103" w:type="dxa"/>
            <w:shd w:val="clear" w:color="auto" w:fill="D9D9D9"/>
          </w:tcPr>
          <w:p w14:paraId="0A3AD55E" w14:textId="2840AC57" w:rsidR="00444011" w:rsidRPr="00FB1BFA" w:rsidRDefault="00F60CF8" w:rsidP="00792001">
            <w:pPr>
              <w:pStyle w:val="Tabletext"/>
              <w:rPr>
                <w:lang w:val="fr-FR"/>
              </w:rPr>
            </w:pPr>
            <w:r w:rsidRPr="00FB1BFA">
              <w:rPr>
                <w:lang w:val="fr-FR"/>
              </w:rPr>
              <w:t>Participation des pays, en particulier des pays en développement, à la gestion du spectre</w:t>
            </w:r>
          </w:p>
        </w:tc>
      </w:tr>
      <w:tr w:rsidR="00444011" w:rsidRPr="00FB1BFA" w14:paraId="3BA13AD4" w14:textId="77777777" w:rsidTr="005F54BE">
        <w:tc>
          <w:tcPr>
            <w:tcW w:w="4526" w:type="dxa"/>
            <w:shd w:val="clear" w:color="auto" w:fill="31849B"/>
          </w:tcPr>
          <w:p w14:paraId="4EF19BC3" w14:textId="5B82F1A6" w:rsidR="00444011" w:rsidRPr="00FB1BFA" w:rsidRDefault="00444011" w:rsidP="00792001">
            <w:pPr>
              <w:pStyle w:val="Tabletext"/>
              <w:rPr>
                <w:b/>
                <w:bCs/>
                <w:color w:val="FFFFFF" w:themeColor="background1"/>
                <w:lang w:val="fr-FR"/>
              </w:rPr>
            </w:pPr>
            <w:r w:rsidRPr="00FB1BFA">
              <w:rPr>
                <w:b/>
                <w:bCs/>
                <w:color w:val="FFFFFF" w:themeColor="background1"/>
                <w:lang w:val="fr-FR"/>
              </w:rPr>
              <w:t>MOD: Résolution 11 (Rév. Buenos Aires, 2017)</w:t>
            </w:r>
          </w:p>
        </w:tc>
        <w:tc>
          <w:tcPr>
            <w:tcW w:w="5103" w:type="dxa"/>
            <w:shd w:val="clear" w:color="auto" w:fill="D9D9D9"/>
          </w:tcPr>
          <w:p w14:paraId="25F1784F" w14:textId="675A38C3" w:rsidR="00444011" w:rsidRPr="00FB1BFA" w:rsidRDefault="00F60CF8" w:rsidP="00792001">
            <w:pPr>
              <w:pStyle w:val="Tabletext"/>
              <w:rPr>
                <w:lang w:val="fr-FR"/>
              </w:rPr>
            </w:pPr>
            <w:r w:rsidRPr="00FB1BFA">
              <w:rPr>
                <w:lang w:val="fr-FR"/>
              </w:rPr>
              <w:t>Services issus des télécommunications/technologies de l'information et de la communication dans les zones rurales, isolées et mal desservies et au sein des communautés autochtones</w:t>
            </w:r>
          </w:p>
        </w:tc>
      </w:tr>
      <w:tr w:rsidR="00444011" w:rsidRPr="00FB1BFA" w14:paraId="67302130" w14:textId="77777777" w:rsidTr="005F54BE">
        <w:tc>
          <w:tcPr>
            <w:tcW w:w="4526" w:type="dxa"/>
            <w:shd w:val="clear" w:color="auto" w:fill="31849B"/>
          </w:tcPr>
          <w:p w14:paraId="335A9F79" w14:textId="68AE8AA0" w:rsidR="00444011" w:rsidRPr="00FB1BFA" w:rsidRDefault="00444011" w:rsidP="00792001">
            <w:pPr>
              <w:pStyle w:val="Tabletext"/>
              <w:rPr>
                <w:b/>
                <w:bCs/>
                <w:color w:val="FFFFFF" w:themeColor="background1"/>
                <w:lang w:val="fr-FR"/>
              </w:rPr>
            </w:pPr>
            <w:r w:rsidRPr="00FB1BFA">
              <w:rPr>
                <w:b/>
                <w:bCs/>
                <w:color w:val="FFFFFF" w:themeColor="background1"/>
                <w:lang w:val="fr-FR"/>
              </w:rPr>
              <w:t>MOD: Résolution 17 (Rév. Buenos Aires, 2017)</w:t>
            </w:r>
          </w:p>
        </w:tc>
        <w:tc>
          <w:tcPr>
            <w:tcW w:w="5103" w:type="dxa"/>
            <w:shd w:val="clear" w:color="auto" w:fill="D9D9D9"/>
          </w:tcPr>
          <w:p w14:paraId="36A4B13C" w14:textId="5436FD5E" w:rsidR="00444011" w:rsidRPr="00FB1BFA" w:rsidRDefault="00F60CF8" w:rsidP="00792001">
            <w:pPr>
              <w:pStyle w:val="Tabletext"/>
              <w:rPr>
                <w:lang w:val="fr-FR"/>
              </w:rPr>
            </w:pPr>
            <w:r w:rsidRPr="00FB1BFA">
              <w:rPr>
                <w:lang w:val="fr-FR"/>
              </w:rPr>
              <w:t xml:space="preserve">Mise en </w:t>
            </w:r>
            <w:r w:rsidR="00D802AE" w:rsidRPr="00FB1BFA">
              <w:rPr>
                <w:lang w:val="fr-FR"/>
              </w:rPr>
              <w:t>œuvre</w:t>
            </w:r>
            <w:r w:rsidRPr="00FB1BFA">
              <w:rPr>
                <w:lang w:val="fr-FR"/>
              </w:rPr>
              <w:t xml:space="preserve"> aux niveaux national, régional, interrégional et mondial des initiatives régionales approuvées par les régions</w:t>
            </w:r>
            <w:r w:rsidR="00FE6EC1" w:rsidRPr="00FB1BFA">
              <w:rPr>
                <w:lang w:val="fr-FR"/>
              </w:rPr>
              <w:t xml:space="preserve"> et coopération en la matière</w:t>
            </w:r>
          </w:p>
        </w:tc>
      </w:tr>
      <w:tr w:rsidR="00444011" w:rsidRPr="00FB1BFA" w14:paraId="355FE175" w14:textId="77777777" w:rsidTr="005F54BE">
        <w:tc>
          <w:tcPr>
            <w:tcW w:w="4526" w:type="dxa"/>
            <w:shd w:val="clear" w:color="auto" w:fill="31849B"/>
          </w:tcPr>
          <w:p w14:paraId="3C7618D6" w14:textId="4A5DCF51" w:rsidR="00444011" w:rsidRPr="00FB1BFA" w:rsidRDefault="00444011" w:rsidP="00792001">
            <w:pPr>
              <w:pStyle w:val="Tabletext"/>
              <w:rPr>
                <w:b/>
                <w:bCs/>
                <w:color w:val="FFFFFF" w:themeColor="background1"/>
                <w:lang w:val="fr-FR"/>
              </w:rPr>
            </w:pPr>
            <w:r w:rsidRPr="00FB1BFA">
              <w:rPr>
                <w:b/>
                <w:bCs/>
                <w:color w:val="FFFFFF" w:themeColor="background1"/>
                <w:lang w:val="fr-FR"/>
              </w:rPr>
              <w:t>MOD: Résolution 34 (Rév. Buenos Aires, 2017)</w:t>
            </w:r>
          </w:p>
        </w:tc>
        <w:tc>
          <w:tcPr>
            <w:tcW w:w="5103" w:type="dxa"/>
            <w:shd w:val="clear" w:color="auto" w:fill="D9D9D9"/>
          </w:tcPr>
          <w:p w14:paraId="19A3A0E3" w14:textId="27349369" w:rsidR="00444011" w:rsidRPr="00FB1BFA" w:rsidRDefault="00F60CF8" w:rsidP="00792001">
            <w:pPr>
              <w:pStyle w:val="Tabletext"/>
              <w:rPr>
                <w:lang w:val="fr-FR"/>
              </w:rPr>
            </w:pPr>
            <w:r w:rsidRPr="00FB1BFA">
              <w:rPr>
                <w:lang w:val="fr-FR"/>
              </w:rPr>
              <w:t>Rôle des télécommunications et des technologies de l'information et de la communication dans la préparation en prévision des catastrophes, l'alerte avancée, l'atténuation des effets des catastrophes, les interventions et les opérations de secours</w:t>
            </w:r>
          </w:p>
        </w:tc>
      </w:tr>
      <w:tr w:rsidR="00444011" w:rsidRPr="00FB1BFA" w14:paraId="2C3F850F" w14:textId="77777777" w:rsidTr="005F54BE">
        <w:tc>
          <w:tcPr>
            <w:tcW w:w="4526" w:type="dxa"/>
            <w:shd w:val="clear" w:color="auto" w:fill="31849B"/>
          </w:tcPr>
          <w:p w14:paraId="3A5919CD" w14:textId="4846D3CE" w:rsidR="00444011" w:rsidRPr="00FB1BFA" w:rsidRDefault="00444011" w:rsidP="00792001">
            <w:pPr>
              <w:pStyle w:val="Tabletext"/>
              <w:rPr>
                <w:b/>
                <w:bCs/>
                <w:color w:val="FFFFFF" w:themeColor="background1"/>
                <w:lang w:val="fr-FR"/>
              </w:rPr>
            </w:pPr>
            <w:r w:rsidRPr="00FB1BFA">
              <w:rPr>
                <w:b/>
                <w:bCs/>
                <w:color w:val="FFFFFF" w:themeColor="background1"/>
                <w:lang w:val="fr-FR"/>
              </w:rPr>
              <w:t>MOD: R</w:t>
            </w:r>
            <w:r w:rsidR="00EE10E8" w:rsidRPr="00FB1BFA">
              <w:rPr>
                <w:b/>
                <w:bCs/>
                <w:color w:val="FFFFFF" w:themeColor="background1"/>
                <w:lang w:val="fr-FR"/>
              </w:rPr>
              <w:t>é</w:t>
            </w:r>
            <w:r w:rsidRPr="00FB1BFA">
              <w:rPr>
                <w:b/>
                <w:bCs/>
                <w:color w:val="FFFFFF" w:themeColor="background1"/>
                <w:lang w:val="fr-FR"/>
              </w:rPr>
              <w:t>solution 36 (R</w:t>
            </w:r>
            <w:r w:rsidR="00EE10E8" w:rsidRPr="00FB1BFA">
              <w:rPr>
                <w:b/>
                <w:bCs/>
                <w:color w:val="FFFFFF" w:themeColor="background1"/>
                <w:lang w:val="fr-FR"/>
              </w:rPr>
              <w:t>é</w:t>
            </w:r>
            <w:r w:rsidRPr="00FB1BFA">
              <w:rPr>
                <w:b/>
                <w:bCs/>
                <w:color w:val="FFFFFF" w:themeColor="background1"/>
                <w:lang w:val="fr-FR"/>
              </w:rPr>
              <w:t xml:space="preserve">v. Buenos Aires, 2017) </w:t>
            </w:r>
          </w:p>
        </w:tc>
        <w:tc>
          <w:tcPr>
            <w:tcW w:w="5103" w:type="dxa"/>
            <w:shd w:val="clear" w:color="auto" w:fill="D9D9D9"/>
          </w:tcPr>
          <w:p w14:paraId="073F8E37" w14:textId="78F77462" w:rsidR="00444011" w:rsidRPr="00FB1BFA" w:rsidRDefault="00F60CF8" w:rsidP="00792001">
            <w:pPr>
              <w:pStyle w:val="Tabletext"/>
              <w:rPr>
                <w:lang w:val="fr-FR"/>
              </w:rPr>
            </w:pPr>
            <w:r w:rsidRPr="00FB1BFA">
              <w:rPr>
                <w:lang w:val="fr-FR"/>
              </w:rPr>
              <w:t>Soutien à l'Union africaine des télécommunications</w:t>
            </w:r>
          </w:p>
        </w:tc>
      </w:tr>
      <w:tr w:rsidR="00444011" w:rsidRPr="00FB1BFA" w14:paraId="0D234266" w14:textId="77777777" w:rsidTr="005F54BE">
        <w:tc>
          <w:tcPr>
            <w:tcW w:w="4526" w:type="dxa"/>
            <w:shd w:val="clear" w:color="auto" w:fill="31849B"/>
          </w:tcPr>
          <w:p w14:paraId="1BE06951" w14:textId="08998E43" w:rsidR="00444011" w:rsidRPr="00FB1BFA" w:rsidRDefault="00444011" w:rsidP="00792001">
            <w:pPr>
              <w:pStyle w:val="Tabletext"/>
              <w:rPr>
                <w:b/>
                <w:bCs/>
                <w:color w:val="FFFFFF" w:themeColor="background1"/>
                <w:lang w:val="fr-FR"/>
              </w:rPr>
            </w:pPr>
            <w:r w:rsidRPr="00FB1BFA">
              <w:rPr>
                <w:b/>
                <w:bCs/>
                <w:color w:val="FFFFFF" w:themeColor="background1"/>
                <w:lang w:val="fr-FR"/>
              </w:rPr>
              <w:t>MOD: R</w:t>
            </w:r>
            <w:r w:rsidR="00EE10E8" w:rsidRPr="00FB1BFA">
              <w:rPr>
                <w:b/>
                <w:bCs/>
                <w:color w:val="FFFFFF" w:themeColor="background1"/>
                <w:lang w:val="fr-FR"/>
              </w:rPr>
              <w:t>é</w:t>
            </w:r>
            <w:r w:rsidRPr="00FB1BFA">
              <w:rPr>
                <w:b/>
                <w:bCs/>
                <w:color w:val="FFFFFF" w:themeColor="background1"/>
                <w:lang w:val="fr-FR"/>
              </w:rPr>
              <w:t>solution 45 (R</w:t>
            </w:r>
            <w:r w:rsidR="00EE10E8" w:rsidRPr="00FB1BFA">
              <w:rPr>
                <w:b/>
                <w:bCs/>
                <w:color w:val="FFFFFF" w:themeColor="background1"/>
                <w:lang w:val="fr-FR"/>
              </w:rPr>
              <w:t>é</w:t>
            </w:r>
            <w:r w:rsidRPr="00FB1BFA">
              <w:rPr>
                <w:b/>
                <w:bCs/>
                <w:color w:val="FFFFFF" w:themeColor="background1"/>
                <w:lang w:val="fr-FR"/>
              </w:rPr>
              <w:t xml:space="preserve">v. Buenos Aires, 2017) </w:t>
            </w:r>
          </w:p>
        </w:tc>
        <w:tc>
          <w:tcPr>
            <w:tcW w:w="5103" w:type="dxa"/>
            <w:shd w:val="clear" w:color="auto" w:fill="D9D9D9"/>
          </w:tcPr>
          <w:p w14:paraId="0B350C3D" w14:textId="56CC82A8" w:rsidR="00444011" w:rsidRPr="00FB1BFA" w:rsidRDefault="00F60CF8" w:rsidP="00792001">
            <w:pPr>
              <w:pStyle w:val="Tabletext"/>
              <w:rPr>
                <w:lang w:val="fr-FR"/>
              </w:rPr>
            </w:pPr>
            <w:r w:rsidRPr="00FB1BFA">
              <w:rPr>
                <w:lang w:val="fr-FR"/>
              </w:rPr>
              <w:t>Mécanismes propres à améliorer la coopération en matière de cybersécurité, y compris la lutte contre le spam</w:t>
            </w:r>
          </w:p>
        </w:tc>
      </w:tr>
      <w:tr w:rsidR="00444011" w:rsidRPr="00FB1BFA" w14:paraId="55474DBA" w14:textId="77777777" w:rsidTr="005F54BE">
        <w:tc>
          <w:tcPr>
            <w:tcW w:w="4526" w:type="dxa"/>
            <w:shd w:val="clear" w:color="auto" w:fill="31849B"/>
          </w:tcPr>
          <w:p w14:paraId="1CB70C69" w14:textId="21908234" w:rsidR="00444011" w:rsidRPr="00FB1BFA" w:rsidRDefault="00444011" w:rsidP="00792001">
            <w:pPr>
              <w:pStyle w:val="Tabletext"/>
              <w:rPr>
                <w:b/>
                <w:bCs/>
                <w:color w:val="FFFFFF" w:themeColor="background1"/>
                <w:lang w:val="fr-FR"/>
              </w:rPr>
            </w:pPr>
            <w:r w:rsidRPr="00FB1BFA">
              <w:rPr>
                <w:b/>
                <w:bCs/>
                <w:color w:val="FFFFFF" w:themeColor="background1"/>
                <w:lang w:val="fr-FR"/>
              </w:rPr>
              <w:t>MOD: R</w:t>
            </w:r>
            <w:r w:rsidR="00EE10E8" w:rsidRPr="00FB1BFA">
              <w:rPr>
                <w:b/>
                <w:bCs/>
                <w:color w:val="FFFFFF" w:themeColor="background1"/>
                <w:lang w:val="fr-FR"/>
              </w:rPr>
              <w:t>é</w:t>
            </w:r>
            <w:r w:rsidRPr="00FB1BFA">
              <w:rPr>
                <w:b/>
                <w:bCs/>
                <w:color w:val="FFFFFF" w:themeColor="background1"/>
                <w:lang w:val="fr-FR"/>
              </w:rPr>
              <w:t>solution 63 (R</w:t>
            </w:r>
            <w:r w:rsidR="00EE10E8" w:rsidRPr="00FB1BFA">
              <w:rPr>
                <w:b/>
                <w:bCs/>
                <w:color w:val="FFFFFF" w:themeColor="background1"/>
                <w:lang w:val="fr-FR"/>
              </w:rPr>
              <w:t>é</w:t>
            </w:r>
            <w:r w:rsidRPr="00FB1BFA">
              <w:rPr>
                <w:b/>
                <w:bCs/>
                <w:color w:val="FFFFFF" w:themeColor="background1"/>
                <w:lang w:val="fr-FR"/>
              </w:rPr>
              <w:t>v. Buenos Aires, 2017)</w:t>
            </w:r>
          </w:p>
        </w:tc>
        <w:tc>
          <w:tcPr>
            <w:tcW w:w="5103" w:type="dxa"/>
            <w:shd w:val="clear" w:color="auto" w:fill="D9D9D9"/>
          </w:tcPr>
          <w:p w14:paraId="3563EB51" w14:textId="4C4BB97E" w:rsidR="00444011" w:rsidRPr="00FB1BFA" w:rsidRDefault="00F60CF8" w:rsidP="00792001">
            <w:pPr>
              <w:pStyle w:val="Tabletext"/>
              <w:rPr>
                <w:lang w:val="fr-FR"/>
              </w:rPr>
            </w:pPr>
            <w:r w:rsidRPr="00FB1BFA">
              <w:rPr>
                <w:lang w:val="fr-FR"/>
              </w:rPr>
              <w:t xml:space="preserve">Attribution des adresses IP et mesures propres à faciliter le </w:t>
            </w:r>
            <w:r w:rsidR="000F5F81" w:rsidRPr="00FB1BFA">
              <w:rPr>
                <w:lang w:val="fr-FR"/>
              </w:rPr>
              <w:t>passage au</w:t>
            </w:r>
            <w:r w:rsidRPr="00FB1BFA">
              <w:rPr>
                <w:lang w:val="fr-FR"/>
              </w:rPr>
              <w:t xml:space="preserve"> protocole IPv6 dans les pays en développement</w:t>
            </w:r>
          </w:p>
        </w:tc>
      </w:tr>
      <w:tr w:rsidR="00444011" w:rsidRPr="00FB1BFA" w14:paraId="7CDE6197" w14:textId="77777777" w:rsidTr="005F54BE">
        <w:tc>
          <w:tcPr>
            <w:tcW w:w="4526" w:type="dxa"/>
            <w:shd w:val="clear" w:color="auto" w:fill="31849B"/>
          </w:tcPr>
          <w:p w14:paraId="2B7DC777" w14:textId="32145351" w:rsidR="00444011" w:rsidRPr="00FB1BFA" w:rsidRDefault="00444011" w:rsidP="00792001">
            <w:pPr>
              <w:pStyle w:val="Tabletext"/>
              <w:rPr>
                <w:b/>
                <w:bCs/>
                <w:color w:val="FFFFFF" w:themeColor="background1"/>
                <w:lang w:val="fr-FR"/>
              </w:rPr>
            </w:pPr>
            <w:r w:rsidRPr="00FB1BFA">
              <w:rPr>
                <w:b/>
                <w:bCs/>
                <w:color w:val="FFFFFF" w:themeColor="background1"/>
                <w:lang w:val="fr-FR"/>
              </w:rPr>
              <w:t>MOD: R</w:t>
            </w:r>
            <w:r w:rsidR="00EE10E8" w:rsidRPr="00FB1BFA">
              <w:rPr>
                <w:b/>
                <w:bCs/>
                <w:color w:val="FFFFFF" w:themeColor="background1"/>
                <w:lang w:val="fr-FR"/>
              </w:rPr>
              <w:t>é</w:t>
            </w:r>
            <w:r w:rsidRPr="00FB1BFA">
              <w:rPr>
                <w:b/>
                <w:bCs/>
                <w:color w:val="FFFFFF" w:themeColor="background1"/>
                <w:lang w:val="fr-FR"/>
              </w:rPr>
              <w:t>solution 82 (R</w:t>
            </w:r>
            <w:r w:rsidR="00EE10E8" w:rsidRPr="00FB1BFA">
              <w:rPr>
                <w:b/>
                <w:bCs/>
                <w:color w:val="FFFFFF" w:themeColor="background1"/>
                <w:lang w:val="fr-FR"/>
              </w:rPr>
              <w:t>é</w:t>
            </w:r>
            <w:r w:rsidRPr="00FB1BFA">
              <w:rPr>
                <w:b/>
                <w:bCs/>
                <w:color w:val="FFFFFF" w:themeColor="background1"/>
                <w:lang w:val="fr-FR"/>
              </w:rPr>
              <w:t xml:space="preserve">v. Buenos Aires, 2017) </w:t>
            </w:r>
          </w:p>
        </w:tc>
        <w:tc>
          <w:tcPr>
            <w:tcW w:w="5103" w:type="dxa"/>
            <w:shd w:val="clear" w:color="auto" w:fill="D9D9D9"/>
          </w:tcPr>
          <w:p w14:paraId="1359F37B" w14:textId="2089243C" w:rsidR="00444011" w:rsidRPr="00FB1BFA" w:rsidRDefault="00F60CF8" w:rsidP="00792001">
            <w:pPr>
              <w:pStyle w:val="Tabletext"/>
              <w:rPr>
                <w:lang w:val="fr-FR"/>
              </w:rPr>
            </w:pPr>
            <w:r w:rsidRPr="00FB1BFA">
              <w:rPr>
                <w:lang w:val="fr-FR"/>
              </w:rPr>
              <w:t>Préserver et promouvoir le multilinguisme sur l'Internet en faveur d'une société de l'information inclusive</w:t>
            </w:r>
          </w:p>
        </w:tc>
      </w:tr>
      <w:tr w:rsidR="00444011" w:rsidRPr="00FB1BFA" w14:paraId="545F8CDE" w14:textId="77777777" w:rsidTr="005F54BE">
        <w:tc>
          <w:tcPr>
            <w:tcW w:w="4526" w:type="dxa"/>
            <w:shd w:val="clear" w:color="auto" w:fill="31849B"/>
          </w:tcPr>
          <w:p w14:paraId="7A52C8A0" w14:textId="7D990B11" w:rsidR="00444011" w:rsidRPr="00FB1BFA" w:rsidRDefault="00444011" w:rsidP="00792001">
            <w:pPr>
              <w:pStyle w:val="Tabletext"/>
              <w:rPr>
                <w:b/>
                <w:bCs/>
                <w:color w:val="FFFFFF" w:themeColor="background1"/>
                <w:lang w:val="fr-FR"/>
              </w:rPr>
            </w:pPr>
            <w:r w:rsidRPr="00FB1BFA">
              <w:rPr>
                <w:b/>
                <w:bCs/>
                <w:color w:val="FFFFFF" w:themeColor="background1"/>
                <w:lang w:val="fr-FR"/>
              </w:rPr>
              <w:t>MOD: R</w:t>
            </w:r>
            <w:r w:rsidR="00EE10E8" w:rsidRPr="00FB1BFA">
              <w:rPr>
                <w:b/>
                <w:bCs/>
                <w:color w:val="FFFFFF" w:themeColor="background1"/>
                <w:lang w:val="fr-FR"/>
              </w:rPr>
              <w:t>é</w:t>
            </w:r>
            <w:r w:rsidRPr="00FB1BFA">
              <w:rPr>
                <w:b/>
                <w:bCs/>
                <w:color w:val="FFFFFF" w:themeColor="background1"/>
                <w:lang w:val="fr-FR"/>
              </w:rPr>
              <w:t>solution 85 (R</w:t>
            </w:r>
            <w:r w:rsidR="00EE10E8" w:rsidRPr="00FB1BFA">
              <w:rPr>
                <w:b/>
                <w:bCs/>
                <w:color w:val="FFFFFF" w:themeColor="background1"/>
                <w:lang w:val="fr-FR"/>
              </w:rPr>
              <w:t>é</w:t>
            </w:r>
            <w:r w:rsidRPr="00FB1BFA">
              <w:rPr>
                <w:b/>
                <w:bCs/>
                <w:color w:val="FFFFFF" w:themeColor="background1"/>
                <w:lang w:val="fr-FR"/>
              </w:rPr>
              <w:t xml:space="preserve">v. Buenos Aires, 2017) </w:t>
            </w:r>
          </w:p>
        </w:tc>
        <w:tc>
          <w:tcPr>
            <w:tcW w:w="5103" w:type="dxa"/>
            <w:shd w:val="clear" w:color="auto" w:fill="D9D9D9"/>
          </w:tcPr>
          <w:p w14:paraId="54E79C2F" w14:textId="51FFF8BC" w:rsidR="00444011" w:rsidRPr="00FB1BFA" w:rsidRDefault="00F60CF8" w:rsidP="00792001">
            <w:pPr>
              <w:pStyle w:val="Tabletext"/>
              <w:rPr>
                <w:lang w:val="fr-FR"/>
              </w:rPr>
            </w:pPr>
            <w:r w:rsidRPr="00FB1BFA">
              <w:rPr>
                <w:lang w:val="fr-FR"/>
              </w:rPr>
              <w:t>Faciliter l'avènement de l'Internet des objets ainsi que des villes et communautés intelligentes pour le développement à l'échelle mondiale</w:t>
            </w:r>
          </w:p>
        </w:tc>
      </w:tr>
      <w:tr w:rsidR="00444011" w:rsidRPr="00FB1BFA" w14:paraId="5C06F54B" w14:textId="77777777" w:rsidTr="005F54BE">
        <w:tc>
          <w:tcPr>
            <w:tcW w:w="4526" w:type="dxa"/>
            <w:shd w:val="clear" w:color="auto" w:fill="31849B"/>
          </w:tcPr>
          <w:p w14:paraId="70ABF9A9" w14:textId="43B6EA3E" w:rsidR="00444011" w:rsidRPr="00FB1BFA" w:rsidRDefault="00444011" w:rsidP="00792001">
            <w:pPr>
              <w:pStyle w:val="Tabletext"/>
              <w:rPr>
                <w:b/>
                <w:bCs/>
                <w:color w:val="FFFFFF" w:themeColor="background1"/>
                <w:lang w:val="fr-FR"/>
              </w:rPr>
            </w:pPr>
            <w:r w:rsidRPr="00FB1BFA">
              <w:rPr>
                <w:b/>
                <w:bCs/>
                <w:color w:val="FFFFFF" w:themeColor="background1"/>
                <w:lang w:val="fr-FR"/>
              </w:rPr>
              <w:t xml:space="preserve">ADD: </w:t>
            </w:r>
            <w:r w:rsidR="00F60CF8" w:rsidRPr="00FB1BFA">
              <w:rPr>
                <w:b/>
                <w:bCs/>
                <w:color w:val="FFFFFF" w:themeColor="background1"/>
                <w:lang w:val="fr-FR"/>
              </w:rPr>
              <w:t xml:space="preserve">Projet de nouvelle </w:t>
            </w:r>
            <w:r w:rsidR="00F13C4D" w:rsidRPr="00FB1BFA">
              <w:rPr>
                <w:b/>
                <w:bCs/>
                <w:color w:val="FFFFFF" w:themeColor="background1"/>
                <w:lang w:val="fr-FR"/>
              </w:rPr>
              <w:t>R</w:t>
            </w:r>
            <w:r w:rsidR="00F60CF8" w:rsidRPr="00FB1BFA">
              <w:rPr>
                <w:b/>
                <w:bCs/>
                <w:color w:val="FFFFFF" w:themeColor="background1"/>
                <w:lang w:val="fr-FR"/>
              </w:rPr>
              <w:t>ésolution</w:t>
            </w:r>
          </w:p>
        </w:tc>
        <w:tc>
          <w:tcPr>
            <w:tcW w:w="5103" w:type="dxa"/>
            <w:shd w:val="clear" w:color="auto" w:fill="D9D9D9"/>
          </w:tcPr>
          <w:p w14:paraId="1095C082" w14:textId="734EC8BE" w:rsidR="00444011" w:rsidRPr="00FB1BFA" w:rsidRDefault="00F60CF8" w:rsidP="00792001">
            <w:pPr>
              <w:pStyle w:val="Tabletext"/>
              <w:rPr>
                <w:lang w:val="fr-FR"/>
              </w:rPr>
            </w:pPr>
            <w:r w:rsidRPr="00FB1BFA">
              <w:rPr>
                <w:szCs w:val="18"/>
                <w:lang w:val="fr-FR"/>
              </w:rPr>
              <w:t>Transformation numérique</w:t>
            </w:r>
          </w:p>
        </w:tc>
      </w:tr>
    </w:tbl>
    <w:p w14:paraId="558EE030" w14:textId="07B9039F" w:rsidR="00444011" w:rsidRPr="00FB1BFA" w:rsidRDefault="00F60CF8" w:rsidP="00792001">
      <w:pPr>
        <w:pStyle w:val="Tablelegend"/>
        <w:rPr>
          <w:sz w:val="18"/>
          <w:szCs w:val="18"/>
          <w:lang w:val="fr-FR"/>
        </w:rPr>
      </w:pPr>
      <w:r w:rsidRPr="00FB1BFA">
        <w:rPr>
          <w:i/>
          <w:iCs/>
          <w:sz w:val="18"/>
          <w:szCs w:val="18"/>
          <w:lang w:val="fr-FR"/>
        </w:rPr>
        <w:t>Source</w:t>
      </w:r>
      <w:r w:rsidRPr="00FB1BFA">
        <w:rPr>
          <w:sz w:val="18"/>
          <w:szCs w:val="18"/>
          <w:lang w:val="fr-FR"/>
        </w:rPr>
        <w:t xml:space="preserve">: </w:t>
      </w:r>
      <w:r w:rsidR="00665C06" w:rsidRPr="00FB1BFA">
        <w:rPr>
          <w:sz w:val="18"/>
          <w:szCs w:val="18"/>
          <w:lang w:val="fr-FR"/>
        </w:rPr>
        <w:t>Adapté de l'exposé présenté par l'UAT à l</w:t>
      </w:r>
      <w:r w:rsidR="006F5A77" w:rsidRPr="00FB1BFA">
        <w:rPr>
          <w:sz w:val="18"/>
          <w:szCs w:val="18"/>
          <w:lang w:val="fr-FR"/>
        </w:rPr>
        <w:t xml:space="preserve">a réunion </w:t>
      </w:r>
      <w:r w:rsidR="00665C06" w:rsidRPr="00FB1BFA">
        <w:rPr>
          <w:sz w:val="18"/>
          <w:szCs w:val="18"/>
          <w:lang w:val="fr-FR"/>
        </w:rPr>
        <w:t>IRM-3</w:t>
      </w:r>
      <w:r w:rsidR="00792001" w:rsidRPr="00FB1BFA">
        <w:rPr>
          <w:sz w:val="18"/>
          <w:szCs w:val="18"/>
          <w:lang w:val="fr-FR"/>
        </w:rPr>
        <w:t xml:space="preserve"> </w:t>
      </w:r>
      <w:r w:rsidR="00665C06" w:rsidRPr="00FB1BFA">
        <w:rPr>
          <w:sz w:val="18"/>
          <w:szCs w:val="18"/>
          <w:lang w:val="fr-FR"/>
        </w:rPr>
        <w:t>le 10 mars 2022.</w:t>
      </w:r>
    </w:p>
    <w:p w14:paraId="774D73E7" w14:textId="77777777" w:rsidR="00731C70" w:rsidRPr="00FB1BFA" w:rsidRDefault="00731C70" w:rsidP="00731C70">
      <w:pPr>
        <w:pStyle w:val="Tabletitle"/>
        <w:spacing w:before="240"/>
        <w:rPr>
          <w:lang w:val="fr-FR"/>
        </w:rPr>
      </w:pPr>
      <w:r w:rsidRPr="00FB1BFA">
        <w:rPr>
          <w:lang w:val="fr-FR"/>
        </w:rPr>
        <w:br w:type="page"/>
      </w:r>
    </w:p>
    <w:p w14:paraId="1680C819" w14:textId="1C4DFF72" w:rsidR="00BF6301" w:rsidRPr="00FB1BFA" w:rsidRDefault="00F60CF8" w:rsidP="00731C70">
      <w:pPr>
        <w:pStyle w:val="Tabletitle"/>
        <w:spacing w:before="240"/>
        <w:rPr>
          <w:lang w:val="fr-FR"/>
        </w:rPr>
      </w:pPr>
      <w:r w:rsidRPr="00FB1BFA">
        <w:rPr>
          <w:lang w:val="fr-FR"/>
        </w:rPr>
        <w:lastRenderedPageBreak/>
        <w:t>Table</w:t>
      </w:r>
      <w:r w:rsidR="00BF6301" w:rsidRPr="00FB1BFA">
        <w:rPr>
          <w:lang w:val="fr-FR"/>
        </w:rPr>
        <w:t>au</w:t>
      </w:r>
      <w:r w:rsidRPr="00FB1BFA">
        <w:rPr>
          <w:lang w:val="fr-FR"/>
        </w:rPr>
        <w:t xml:space="preserve"> 3.2: </w:t>
      </w:r>
      <w:r w:rsidR="006E213E" w:rsidRPr="00FB1BFA">
        <w:rPr>
          <w:lang w:val="fr-FR"/>
        </w:rPr>
        <w:t xml:space="preserve">Candidats </w:t>
      </w:r>
      <w:r w:rsidR="006F5A77" w:rsidRPr="00FB1BFA">
        <w:rPr>
          <w:lang w:val="fr-FR"/>
        </w:rPr>
        <w:t>de l</w:t>
      </w:r>
      <w:r w:rsidR="00D266D5" w:rsidRPr="00FB1BFA">
        <w:rPr>
          <w:lang w:val="fr-FR"/>
        </w:rPr>
        <w:t>'</w:t>
      </w:r>
      <w:r w:rsidR="006F5A77" w:rsidRPr="00FB1BFA">
        <w:rPr>
          <w:lang w:val="fr-FR"/>
        </w:rPr>
        <w:t xml:space="preserve">Afrique </w:t>
      </w:r>
      <w:r w:rsidR="006E213E" w:rsidRPr="00FB1BFA">
        <w:rPr>
          <w:lang w:val="fr-FR"/>
        </w:rPr>
        <w:t>aux postes de direction du GCDT et des commissions</w:t>
      </w:r>
      <w:r w:rsidR="00731C70" w:rsidRPr="00FB1BFA">
        <w:rPr>
          <w:lang w:val="fr-FR"/>
        </w:rPr>
        <w:t> </w:t>
      </w:r>
      <w:r w:rsidR="006E213E" w:rsidRPr="00FB1BFA">
        <w:rPr>
          <w:lang w:val="fr-FR"/>
        </w:rPr>
        <w:t>d'études de l'UIT-D</w:t>
      </w:r>
    </w:p>
    <w:tbl>
      <w:tblPr>
        <w:tblW w:w="5000" w:type="pct"/>
        <w:tblCellMar>
          <w:left w:w="0" w:type="dxa"/>
          <w:right w:w="0" w:type="dxa"/>
        </w:tblCellMar>
        <w:tblLook w:val="04A0" w:firstRow="1" w:lastRow="0" w:firstColumn="1" w:lastColumn="0" w:noHBand="0" w:noVBand="1"/>
      </w:tblPr>
      <w:tblGrid>
        <w:gridCol w:w="3251"/>
        <w:gridCol w:w="3784"/>
        <w:gridCol w:w="2586"/>
      </w:tblGrid>
      <w:tr w:rsidR="00F60CF8" w:rsidRPr="00FB1BFA" w14:paraId="524B10AE" w14:textId="77777777" w:rsidTr="00F60CF8">
        <w:trPr>
          <w:trHeight w:val="502"/>
          <w:tblHeader/>
        </w:trPr>
        <w:tc>
          <w:tcPr>
            <w:tcW w:w="3251" w:type="dxa"/>
            <w:tcBorders>
              <w:top w:val="single" w:sz="8" w:space="0" w:color="FFFFFF"/>
              <w:left w:val="single" w:sz="8" w:space="0" w:color="FFFFFF"/>
              <w:bottom w:val="single" w:sz="12" w:space="0" w:color="FFFFFF"/>
              <w:right w:val="single" w:sz="12" w:space="0" w:color="FFFFFF"/>
            </w:tcBorders>
            <w:shd w:val="clear" w:color="auto" w:fill="31849B"/>
            <w:tcMar>
              <w:top w:w="0" w:type="dxa"/>
              <w:left w:w="108" w:type="dxa"/>
              <w:bottom w:w="0" w:type="dxa"/>
              <w:right w:w="108" w:type="dxa"/>
            </w:tcMar>
            <w:hideMark/>
          </w:tcPr>
          <w:p w14:paraId="0B465EE2" w14:textId="77777777" w:rsidR="00F60CF8" w:rsidRPr="00FB1BFA" w:rsidRDefault="00F60CF8" w:rsidP="00792001">
            <w:pPr>
              <w:pStyle w:val="Tablehead"/>
              <w:rPr>
                <w:lang w:val="fr-FR"/>
              </w:rPr>
            </w:pPr>
          </w:p>
        </w:tc>
        <w:tc>
          <w:tcPr>
            <w:tcW w:w="6370" w:type="dxa"/>
            <w:gridSpan w:val="2"/>
            <w:tcBorders>
              <w:top w:val="single" w:sz="8" w:space="0" w:color="FFFFFF"/>
              <w:left w:val="single" w:sz="12" w:space="0" w:color="FFFFFF"/>
              <w:bottom w:val="single" w:sz="12" w:space="0" w:color="FFFFFF"/>
              <w:right w:val="single" w:sz="8" w:space="0" w:color="FFFFFF"/>
            </w:tcBorders>
            <w:shd w:val="clear" w:color="auto" w:fill="31849B"/>
            <w:tcMar>
              <w:top w:w="0" w:type="dxa"/>
              <w:left w:w="108" w:type="dxa"/>
              <w:bottom w:w="0" w:type="dxa"/>
              <w:right w:w="108" w:type="dxa"/>
            </w:tcMar>
          </w:tcPr>
          <w:p w14:paraId="25B2AAB1" w14:textId="5EDB0970" w:rsidR="00F60CF8" w:rsidRPr="00FB1BFA" w:rsidRDefault="007B694A" w:rsidP="00792001">
            <w:pPr>
              <w:pStyle w:val="Tablehead"/>
              <w:rPr>
                <w:color w:val="FFFFFF" w:themeColor="background1"/>
                <w:lang w:val="fr-FR"/>
              </w:rPr>
            </w:pPr>
            <w:r w:rsidRPr="00FB1BFA">
              <w:rPr>
                <w:color w:val="FFFFFF" w:themeColor="background1"/>
                <w:lang w:val="fr-FR"/>
              </w:rPr>
              <w:t>Candidats désignés par l'UAT</w:t>
            </w:r>
          </w:p>
        </w:tc>
      </w:tr>
      <w:tr w:rsidR="00F60CF8" w:rsidRPr="00FB1BFA" w14:paraId="3883A51D" w14:textId="77777777" w:rsidTr="00F60CF8">
        <w:tc>
          <w:tcPr>
            <w:tcW w:w="3251" w:type="dxa"/>
            <w:tcBorders>
              <w:top w:val="single" w:sz="12" w:space="0" w:color="FFFFFF"/>
              <w:left w:val="single" w:sz="8" w:space="0" w:color="FFFFFF"/>
              <w:bottom w:val="single" w:sz="8" w:space="0" w:color="FFFFFF"/>
              <w:right w:val="single" w:sz="12" w:space="0" w:color="FFFFFF"/>
            </w:tcBorders>
            <w:shd w:val="clear" w:color="auto" w:fill="31849B"/>
            <w:tcMar>
              <w:top w:w="0" w:type="dxa"/>
              <w:left w:w="108" w:type="dxa"/>
              <w:bottom w:w="0" w:type="dxa"/>
              <w:right w:w="108" w:type="dxa"/>
            </w:tcMar>
          </w:tcPr>
          <w:p w14:paraId="24CBCEE3" w14:textId="75617FC0" w:rsidR="00F60CF8" w:rsidRPr="00FB1BFA" w:rsidRDefault="007B694A" w:rsidP="00792001">
            <w:pPr>
              <w:pStyle w:val="Tabletext"/>
              <w:rPr>
                <w:b/>
                <w:bCs/>
                <w:color w:val="FFFFFF" w:themeColor="background1"/>
                <w:lang w:val="fr-FR"/>
              </w:rPr>
            </w:pPr>
            <w:r w:rsidRPr="00FB1BFA">
              <w:rPr>
                <w:b/>
                <w:bCs/>
                <w:color w:val="FFFFFF" w:themeColor="background1"/>
                <w:lang w:val="fr-FR"/>
              </w:rPr>
              <w:t>Groupe et poste</w:t>
            </w:r>
          </w:p>
        </w:tc>
        <w:tc>
          <w:tcPr>
            <w:tcW w:w="3784" w:type="dxa"/>
            <w:tcBorders>
              <w:top w:val="single" w:sz="12" w:space="0" w:color="FFFFFF"/>
              <w:left w:val="single" w:sz="12" w:space="0" w:color="FFFFFF"/>
              <w:bottom w:val="single" w:sz="8" w:space="0" w:color="FFFFFF"/>
              <w:right w:val="single" w:sz="12" w:space="0" w:color="FFFFFF"/>
            </w:tcBorders>
            <w:shd w:val="clear" w:color="auto" w:fill="A6A6A6"/>
            <w:tcMar>
              <w:top w:w="0" w:type="dxa"/>
              <w:left w:w="108" w:type="dxa"/>
              <w:bottom w:w="0" w:type="dxa"/>
              <w:right w:w="108" w:type="dxa"/>
            </w:tcMar>
          </w:tcPr>
          <w:p w14:paraId="39CC8E9E" w14:textId="521E6BF2" w:rsidR="00F60CF8" w:rsidRPr="00FB1BFA" w:rsidRDefault="007B694A" w:rsidP="00792001">
            <w:pPr>
              <w:pStyle w:val="Tabletext"/>
              <w:rPr>
                <w:b/>
                <w:bCs/>
                <w:color w:val="FFFFFF" w:themeColor="background1"/>
                <w:lang w:val="fr-FR"/>
              </w:rPr>
            </w:pPr>
            <w:r w:rsidRPr="00FB1BFA">
              <w:rPr>
                <w:b/>
                <w:bCs/>
                <w:color w:val="FFFFFF" w:themeColor="background1"/>
                <w:lang w:val="fr-FR"/>
              </w:rPr>
              <w:t>Candidat(e)</w:t>
            </w:r>
          </w:p>
        </w:tc>
        <w:tc>
          <w:tcPr>
            <w:tcW w:w="2586" w:type="dxa"/>
            <w:tcBorders>
              <w:top w:val="nil"/>
              <w:left w:val="single" w:sz="12" w:space="0" w:color="FFFFFF"/>
              <w:bottom w:val="single" w:sz="8" w:space="0" w:color="FFFFFF"/>
              <w:right w:val="single" w:sz="8" w:space="0" w:color="FFFFFF"/>
            </w:tcBorders>
            <w:shd w:val="clear" w:color="auto" w:fill="A6A6A6"/>
            <w:tcMar>
              <w:top w:w="0" w:type="dxa"/>
              <w:left w:w="108" w:type="dxa"/>
              <w:bottom w:w="0" w:type="dxa"/>
              <w:right w:w="108" w:type="dxa"/>
            </w:tcMar>
          </w:tcPr>
          <w:p w14:paraId="7788070E" w14:textId="7BA7567D" w:rsidR="00F60CF8" w:rsidRPr="00FB1BFA" w:rsidRDefault="007B694A" w:rsidP="00792001">
            <w:pPr>
              <w:pStyle w:val="Tabletext"/>
              <w:rPr>
                <w:b/>
                <w:bCs/>
                <w:color w:val="FFFFFF" w:themeColor="background1"/>
                <w:lang w:val="fr-FR"/>
              </w:rPr>
            </w:pPr>
            <w:r w:rsidRPr="00FB1BFA">
              <w:rPr>
                <w:b/>
                <w:bCs/>
                <w:color w:val="FFFFFF" w:themeColor="background1"/>
                <w:lang w:val="fr-FR"/>
              </w:rPr>
              <w:t>Pays</w:t>
            </w:r>
          </w:p>
        </w:tc>
      </w:tr>
      <w:tr w:rsidR="00F60CF8" w:rsidRPr="00FB1BFA" w14:paraId="28A91694" w14:textId="77777777" w:rsidTr="00F60CF8">
        <w:tc>
          <w:tcPr>
            <w:tcW w:w="3251" w:type="dxa"/>
            <w:tcBorders>
              <w:top w:val="single" w:sz="8" w:space="0" w:color="FFFFFF"/>
              <w:left w:val="single" w:sz="8" w:space="0" w:color="FFFFFF"/>
              <w:bottom w:val="single" w:sz="12" w:space="0" w:color="FFFFFF"/>
              <w:right w:val="single" w:sz="12" w:space="0" w:color="FFFFFF"/>
            </w:tcBorders>
            <w:shd w:val="clear" w:color="auto" w:fill="31849B"/>
            <w:tcMar>
              <w:top w:w="0" w:type="dxa"/>
              <w:left w:w="108" w:type="dxa"/>
              <w:bottom w:w="0" w:type="dxa"/>
              <w:right w:w="108" w:type="dxa"/>
            </w:tcMar>
          </w:tcPr>
          <w:p w14:paraId="2D621B49" w14:textId="24CEDCB2" w:rsidR="00F60CF8" w:rsidRPr="00FB1BFA" w:rsidRDefault="00DD664E" w:rsidP="00792001">
            <w:pPr>
              <w:pStyle w:val="Tabletext"/>
              <w:rPr>
                <w:b/>
                <w:bCs/>
                <w:color w:val="FFFFFF" w:themeColor="background1"/>
                <w:lang w:val="fr-FR"/>
              </w:rPr>
            </w:pPr>
            <w:r w:rsidRPr="00FB1BFA">
              <w:rPr>
                <w:b/>
                <w:bCs/>
                <w:color w:val="FFFFFF" w:themeColor="background1"/>
                <w:lang w:val="fr-FR"/>
              </w:rPr>
              <w:t>Vice-Président du GCDT</w:t>
            </w:r>
            <w:r w:rsidR="00F60CF8" w:rsidRPr="00FB1BFA">
              <w:rPr>
                <w:b/>
                <w:bCs/>
                <w:color w:val="FFFFFF" w:themeColor="background1"/>
                <w:lang w:val="fr-FR"/>
              </w:rPr>
              <w:br/>
            </w:r>
            <w:r w:rsidR="00F60CF8" w:rsidRPr="00FB1BFA">
              <w:rPr>
                <w:b/>
                <w:bCs/>
                <w:color w:val="FFFFFF" w:themeColor="background1"/>
                <w:lang w:val="fr-FR"/>
              </w:rPr>
              <w:br/>
            </w:r>
            <w:r w:rsidR="00B6424A" w:rsidRPr="00FB1BFA">
              <w:rPr>
                <w:b/>
                <w:bCs/>
                <w:color w:val="FFFFFF" w:themeColor="background1"/>
                <w:lang w:val="fr-FR"/>
              </w:rPr>
              <w:t>Vice-Président du GCDT</w:t>
            </w:r>
          </w:p>
        </w:tc>
        <w:tc>
          <w:tcPr>
            <w:tcW w:w="3784" w:type="dxa"/>
            <w:tcBorders>
              <w:top w:val="single" w:sz="8" w:space="0" w:color="FFFFFF"/>
              <w:left w:val="single" w:sz="12" w:space="0" w:color="FFFFFF"/>
              <w:bottom w:val="single" w:sz="12" w:space="0" w:color="FFFFFF"/>
              <w:right w:val="single" w:sz="12" w:space="0" w:color="FFFFFF"/>
            </w:tcBorders>
            <w:shd w:val="clear" w:color="auto" w:fill="D9D9D9"/>
            <w:tcMar>
              <w:top w:w="0" w:type="dxa"/>
              <w:left w:w="108" w:type="dxa"/>
              <w:bottom w:w="0" w:type="dxa"/>
              <w:right w:w="108" w:type="dxa"/>
            </w:tcMar>
          </w:tcPr>
          <w:p w14:paraId="27BD7984" w14:textId="09E8C3E3" w:rsidR="00F60CF8" w:rsidRPr="00FB1BFA" w:rsidRDefault="00F60CF8" w:rsidP="00792001">
            <w:pPr>
              <w:pStyle w:val="Tabletext"/>
              <w:rPr>
                <w:lang w:val="fr-FR"/>
              </w:rPr>
            </w:pPr>
            <w:r w:rsidRPr="00FB1BFA">
              <w:rPr>
                <w:lang w:val="fr-FR"/>
              </w:rPr>
              <w:t>M. Christopher Kemei (</w:t>
            </w:r>
            <w:r w:rsidR="00FB34BC" w:rsidRPr="00FB1BFA">
              <w:rPr>
                <w:lang w:val="fr-FR"/>
              </w:rPr>
              <w:t>2ème mandat</w:t>
            </w:r>
            <w:r w:rsidRPr="00FB1BFA">
              <w:rPr>
                <w:lang w:val="fr-FR"/>
              </w:rPr>
              <w:t>)</w:t>
            </w:r>
            <w:r w:rsidRPr="00FB1BFA">
              <w:rPr>
                <w:lang w:val="fr-FR"/>
              </w:rPr>
              <w:br/>
            </w:r>
            <w:r w:rsidRPr="00FB1BFA">
              <w:rPr>
                <w:lang w:val="fr-FR"/>
              </w:rPr>
              <w:br/>
              <w:t>M. Abdulkarim Oloyede (</w:t>
            </w:r>
            <w:r w:rsidR="00FB34BC" w:rsidRPr="00FB1BFA">
              <w:rPr>
                <w:lang w:val="fr-FR"/>
              </w:rPr>
              <w:t>2ème mandat</w:t>
            </w:r>
            <w:r w:rsidRPr="00FB1BFA">
              <w:rPr>
                <w:lang w:val="fr-FR"/>
              </w:rPr>
              <w:t>)</w:t>
            </w:r>
          </w:p>
        </w:tc>
        <w:tc>
          <w:tcPr>
            <w:tcW w:w="2586" w:type="dxa"/>
            <w:tcBorders>
              <w:top w:val="single" w:sz="8" w:space="0" w:color="FFFFFF"/>
              <w:left w:val="single" w:sz="12" w:space="0" w:color="FFFFFF"/>
              <w:bottom w:val="single" w:sz="12" w:space="0" w:color="FFFFFF"/>
              <w:right w:val="single" w:sz="8" w:space="0" w:color="FFFFFF"/>
            </w:tcBorders>
            <w:shd w:val="clear" w:color="auto" w:fill="D9D9D9"/>
            <w:tcMar>
              <w:top w:w="0" w:type="dxa"/>
              <w:left w:w="108" w:type="dxa"/>
              <w:bottom w:w="0" w:type="dxa"/>
              <w:right w:w="108" w:type="dxa"/>
            </w:tcMar>
          </w:tcPr>
          <w:p w14:paraId="2AEB870F" w14:textId="2188FFC8" w:rsidR="00F60CF8" w:rsidRPr="00FB1BFA" w:rsidRDefault="00FD677B" w:rsidP="00792001">
            <w:pPr>
              <w:pStyle w:val="Tabletext"/>
              <w:rPr>
                <w:lang w:val="fr-FR"/>
              </w:rPr>
            </w:pPr>
            <w:r w:rsidRPr="00FB1BFA">
              <w:rPr>
                <w:lang w:val="fr-FR"/>
              </w:rPr>
              <w:t>Kenya</w:t>
            </w:r>
            <w:r w:rsidRPr="00FB1BFA">
              <w:rPr>
                <w:lang w:val="fr-FR"/>
              </w:rPr>
              <w:br/>
            </w:r>
            <w:r w:rsidRPr="00FB1BFA">
              <w:rPr>
                <w:lang w:val="fr-FR"/>
              </w:rPr>
              <w:br/>
              <w:t>Nigé</w:t>
            </w:r>
            <w:r w:rsidR="00F60CF8" w:rsidRPr="00FB1BFA">
              <w:rPr>
                <w:lang w:val="fr-FR"/>
              </w:rPr>
              <w:t>ria</w:t>
            </w:r>
          </w:p>
        </w:tc>
      </w:tr>
      <w:tr w:rsidR="00F60CF8" w:rsidRPr="00FB1BFA" w14:paraId="41508054" w14:textId="77777777" w:rsidTr="00F60CF8">
        <w:tc>
          <w:tcPr>
            <w:tcW w:w="3251" w:type="dxa"/>
            <w:tcBorders>
              <w:top w:val="single" w:sz="12" w:space="0" w:color="FFFFFF"/>
              <w:left w:val="single" w:sz="8" w:space="0" w:color="FFFFFF"/>
              <w:bottom w:val="single" w:sz="12" w:space="0" w:color="FFFFFF"/>
              <w:right w:val="single" w:sz="12" w:space="0" w:color="FFFFFF"/>
            </w:tcBorders>
            <w:shd w:val="clear" w:color="auto" w:fill="31849B"/>
            <w:tcMar>
              <w:top w:w="0" w:type="dxa"/>
              <w:left w:w="108" w:type="dxa"/>
              <w:bottom w:w="0" w:type="dxa"/>
              <w:right w:w="108" w:type="dxa"/>
            </w:tcMar>
          </w:tcPr>
          <w:p w14:paraId="79D3F438" w14:textId="2CDC71A0" w:rsidR="00F60CF8" w:rsidRPr="00FB1BFA" w:rsidRDefault="00B6424A" w:rsidP="00792001">
            <w:pPr>
              <w:pStyle w:val="Tabletext"/>
              <w:rPr>
                <w:b/>
                <w:bCs/>
                <w:color w:val="FFFFFF" w:themeColor="background1"/>
                <w:lang w:val="fr-FR"/>
              </w:rPr>
            </w:pPr>
            <w:r w:rsidRPr="00FB1BFA">
              <w:rPr>
                <w:b/>
                <w:bCs/>
                <w:color w:val="FFFFFF" w:themeColor="background1"/>
                <w:lang w:val="fr-FR"/>
              </w:rPr>
              <w:t>Présidente de la Commission d'études 1</w:t>
            </w:r>
          </w:p>
        </w:tc>
        <w:tc>
          <w:tcPr>
            <w:tcW w:w="3784"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8" w:type="dxa"/>
              <w:bottom w:w="0" w:type="dxa"/>
              <w:right w:w="108" w:type="dxa"/>
            </w:tcMar>
          </w:tcPr>
          <w:p w14:paraId="534CFAFC" w14:textId="7BCD26D1" w:rsidR="00F60CF8" w:rsidRPr="00FB1BFA" w:rsidRDefault="00F60CF8" w:rsidP="00792001">
            <w:pPr>
              <w:pStyle w:val="Tabletext"/>
              <w:rPr>
                <w:lang w:val="fr-FR"/>
              </w:rPr>
            </w:pPr>
            <w:r w:rsidRPr="00FB1BFA">
              <w:rPr>
                <w:lang w:val="fr-FR"/>
              </w:rPr>
              <w:t>Mme Regina Bessou-Assoumou (</w:t>
            </w:r>
            <w:r w:rsidR="00FB34BC" w:rsidRPr="00FB1BFA">
              <w:rPr>
                <w:lang w:val="fr-FR"/>
              </w:rPr>
              <w:t>2ème</w:t>
            </w:r>
            <w:r w:rsidR="00731C70" w:rsidRPr="00FB1BFA">
              <w:rPr>
                <w:lang w:val="fr-FR"/>
              </w:rPr>
              <w:t> </w:t>
            </w:r>
            <w:r w:rsidR="00FB34BC" w:rsidRPr="00FB1BFA">
              <w:rPr>
                <w:lang w:val="fr-FR"/>
              </w:rPr>
              <w:t>mandat</w:t>
            </w:r>
            <w:r w:rsidRPr="00FB1BFA">
              <w:rPr>
                <w:lang w:val="fr-FR"/>
              </w:rPr>
              <w:t>)</w:t>
            </w:r>
          </w:p>
        </w:tc>
        <w:tc>
          <w:tcPr>
            <w:tcW w:w="2586" w:type="dxa"/>
            <w:tcBorders>
              <w:top w:val="single" w:sz="12" w:space="0" w:color="FFFFFF"/>
              <w:left w:val="single" w:sz="12" w:space="0" w:color="FFFFFF"/>
              <w:bottom w:val="single" w:sz="12" w:space="0" w:color="FFFFFF"/>
              <w:right w:val="single" w:sz="8" w:space="0" w:color="FFFFFF"/>
            </w:tcBorders>
            <w:shd w:val="clear" w:color="auto" w:fill="D9D9D9"/>
            <w:tcMar>
              <w:top w:w="0" w:type="dxa"/>
              <w:left w:w="108" w:type="dxa"/>
              <w:bottom w:w="0" w:type="dxa"/>
              <w:right w:w="108" w:type="dxa"/>
            </w:tcMar>
          </w:tcPr>
          <w:p w14:paraId="4B456C17" w14:textId="2C1CBCDE" w:rsidR="00F60CF8" w:rsidRPr="00FB1BFA" w:rsidRDefault="00F60CF8" w:rsidP="00792001">
            <w:pPr>
              <w:pStyle w:val="Tabletext"/>
              <w:rPr>
                <w:lang w:val="fr-FR"/>
              </w:rPr>
            </w:pPr>
            <w:r w:rsidRPr="00FB1BFA">
              <w:rPr>
                <w:lang w:val="fr-FR"/>
              </w:rPr>
              <w:t>Côte d</w:t>
            </w:r>
            <w:r w:rsidR="00D266D5" w:rsidRPr="00FB1BFA">
              <w:rPr>
                <w:lang w:val="fr-FR"/>
              </w:rPr>
              <w:t>'</w:t>
            </w:r>
            <w:r w:rsidRPr="00FB1BFA">
              <w:rPr>
                <w:lang w:val="fr-FR"/>
              </w:rPr>
              <w:t>Ivoire</w:t>
            </w:r>
          </w:p>
        </w:tc>
      </w:tr>
      <w:tr w:rsidR="00F60CF8" w:rsidRPr="00FB1BFA" w14:paraId="712747D9" w14:textId="77777777" w:rsidTr="00F60CF8">
        <w:tc>
          <w:tcPr>
            <w:tcW w:w="3251" w:type="dxa"/>
            <w:tcBorders>
              <w:top w:val="single" w:sz="12" w:space="0" w:color="FFFFFF"/>
              <w:left w:val="single" w:sz="8" w:space="0" w:color="FFFFFF"/>
              <w:bottom w:val="single" w:sz="12" w:space="0" w:color="FFFFFF"/>
              <w:right w:val="single" w:sz="12" w:space="0" w:color="FFFFFF"/>
            </w:tcBorders>
            <w:shd w:val="clear" w:color="auto" w:fill="31849B"/>
            <w:tcMar>
              <w:top w:w="0" w:type="dxa"/>
              <w:left w:w="108" w:type="dxa"/>
              <w:bottom w:w="0" w:type="dxa"/>
              <w:right w:w="108" w:type="dxa"/>
            </w:tcMar>
          </w:tcPr>
          <w:p w14:paraId="4857E56A" w14:textId="50F699B3" w:rsidR="00F60CF8" w:rsidRPr="00FB1BFA" w:rsidRDefault="00004F18" w:rsidP="00792001">
            <w:pPr>
              <w:pStyle w:val="Tabletext"/>
              <w:rPr>
                <w:b/>
                <w:bCs/>
                <w:color w:val="FFFFFF" w:themeColor="background1"/>
                <w:lang w:val="fr-FR"/>
              </w:rPr>
            </w:pPr>
            <w:r w:rsidRPr="00FB1BFA">
              <w:rPr>
                <w:b/>
                <w:bCs/>
                <w:color w:val="FFFFFF" w:themeColor="background1"/>
                <w:lang w:val="fr-FR"/>
              </w:rPr>
              <w:t>Vice-Présidente de la Commission d'études 1</w:t>
            </w:r>
          </w:p>
        </w:tc>
        <w:tc>
          <w:tcPr>
            <w:tcW w:w="3784"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8" w:type="dxa"/>
              <w:bottom w:w="0" w:type="dxa"/>
              <w:right w:w="108" w:type="dxa"/>
            </w:tcMar>
          </w:tcPr>
          <w:p w14:paraId="6F08F79C" w14:textId="495D79FF" w:rsidR="00F60CF8" w:rsidRPr="00FB1BFA" w:rsidRDefault="00F60CF8" w:rsidP="00792001">
            <w:pPr>
              <w:pStyle w:val="Tabletext"/>
              <w:rPr>
                <w:lang w:val="fr-FR"/>
              </w:rPr>
            </w:pPr>
            <w:r w:rsidRPr="00FB1BFA">
              <w:rPr>
                <w:lang w:val="fr-FR"/>
              </w:rPr>
              <w:t>Mme Caecilia Nyamutswa</w:t>
            </w:r>
          </w:p>
        </w:tc>
        <w:tc>
          <w:tcPr>
            <w:tcW w:w="2586" w:type="dxa"/>
            <w:tcBorders>
              <w:top w:val="single" w:sz="12" w:space="0" w:color="FFFFFF"/>
              <w:left w:val="single" w:sz="12" w:space="0" w:color="FFFFFF"/>
              <w:bottom w:val="single" w:sz="12" w:space="0" w:color="FFFFFF"/>
              <w:right w:val="single" w:sz="8" w:space="0" w:color="FFFFFF"/>
            </w:tcBorders>
            <w:shd w:val="clear" w:color="auto" w:fill="D9D9D9"/>
            <w:tcMar>
              <w:top w:w="0" w:type="dxa"/>
              <w:left w:w="108" w:type="dxa"/>
              <w:bottom w:w="0" w:type="dxa"/>
              <w:right w:w="108" w:type="dxa"/>
            </w:tcMar>
          </w:tcPr>
          <w:p w14:paraId="46100F49" w14:textId="5542BCE0" w:rsidR="00F60CF8" w:rsidRPr="00FB1BFA" w:rsidRDefault="00F60CF8" w:rsidP="00792001">
            <w:pPr>
              <w:pStyle w:val="Tabletext"/>
              <w:rPr>
                <w:lang w:val="fr-FR"/>
              </w:rPr>
            </w:pPr>
            <w:r w:rsidRPr="00FB1BFA">
              <w:rPr>
                <w:lang w:val="fr-FR"/>
              </w:rPr>
              <w:t>Zimbabwe</w:t>
            </w:r>
          </w:p>
        </w:tc>
      </w:tr>
      <w:tr w:rsidR="00F60CF8" w:rsidRPr="00FB1BFA" w14:paraId="41100640" w14:textId="77777777" w:rsidTr="00F60CF8">
        <w:trPr>
          <w:trHeight w:val="924"/>
        </w:trPr>
        <w:tc>
          <w:tcPr>
            <w:tcW w:w="3251" w:type="dxa"/>
            <w:tcBorders>
              <w:top w:val="single" w:sz="12" w:space="0" w:color="FFFFFF"/>
              <w:left w:val="single" w:sz="8" w:space="0" w:color="FFFFFF"/>
              <w:bottom w:val="single" w:sz="8" w:space="0" w:color="FFFFFF"/>
              <w:right w:val="single" w:sz="12" w:space="0" w:color="FFFFFF"/>
            </w:tcBorders>
            <w:shd w:val="clear" w:color="auto" w:fill="31849B"/>
            <w:tcMar>
              <w:top w:w="0" w:type="dxa"/>
              <w:left w:w="108" w:type="dxa"/>
              <w:bottom w:w="0" w:type="dxa"/>
              <w:right w:w="108" w:type="dxa"/>
            </w:tcMar>
          </w:tcPr>
          <w:p w14:paraId="0AFC31FE" w14:textId="57CF189E" w:rsidR="00F60CF8" w:rsidRPr="00FB1BFA" w:rsidRDefault="00033BB3" w:rsidP="00792001">
            <w:pPr>
              <w:pStyle w:val="Tabletext"/>
              <w:rPr>
                <w:b/>
                <w:bCs/>
                <w:color w:val="FFFFFF" w:themeColor="background1"/>
                <w:lang w:val="fr-FR"/>
              </w:rPr>
            </w:pPr>
            <w:r w:rsidRPr="00FB1BFA">
              <w:rPr>
                <w:b/>
                <w:bCs/>
                <w:color w:val="FFFFFF" w:themeColor="background1"/>
                <w:lang w:val="fr-FR"/>
              </w:rPr>
              <w:t>Vice-Président de la Commission d'études 2</w:t>
            </w:r>
            <w:r w:rsidR="00F60CF8" w:rsidRPr="00FB1BFA">
              <w:rPr>
                <w:b/>
                <w:bCs/>
                <w:color w:val="FFFFFF" w:themeColor="background1"/>
                <w:lang w:val="fr-FR"/>
              </w:rPr>
              <w:br/>
            </w:r>
            <w:r w:rsidR="00262D75" w:rsidRPr="00FB1BFA">
              <w:rPr>
                <w:b/>
                <w:bCs/>
                <w:color w:val="FFFFFF" w:themeColor="background1"/>
                <w:lang w:val="fr-FR"/>
              </w:rPr>
              <w:t>Vice-Président de la Commission d'études 2</w:t>
            </w:r>
          </w:p>
        </w:tc>
        <w:tc>
          <w:tcPr>
            <w:tcW w:w="3784" w:type="dxa"/>
            <w:tcBorders>
              <w:top w:val="single" w:sz="12" w:space="0" w:color="FFFFFF"/>
              <w:left w:val="single" w:sz="12" w:space="0" w:color="FFFFFF"/>
              <w:bottom w:val="single" w:sz="8" w:space="0" w:color="FFFFFF"/>
              <w:right w:val="single" w:sz="12" w:space="0" w:color="FFFFFF"/>
            </w:tcBorders>
            <w:shd w:val="clear" w:color="auto" w:fill="D9D9D9"/>
            <w:tcMar>
              <w:top w:w="0" w:type="dxa"/>
              <w:left w:w="108" w:type="dxa"/>
              <w:bottom w:w="0" w:type="dxa"/>
              <w:right w:w="108" w:type="dxa"/>
            </w:tcMar>
          </w:tcPr>
          <w:p w14:paraId="08168EF4" w14:textId="021CC00A" w:rsidR="00F60CF8" w:rsidRPr="00FB1BFA" w:rsidRDefault="00F60CF8" w:rsidP="00792001">
            <w:pPr>
              <w:pStyle w:val="Tabletext"/>
              <w:rPr>
                <w:lang w:val="fr-FR"/>
              </w:rPr>
            </w:pPr>
            <w:r w:rsidRPr="00FB1BFA">
              <w:rPr>
                <w:lang w:val="fr-FR"/>
              </w:rPr>
              <w:t>M. Roland Yaw Kudozia (</w:t>
            </w:r>
            <w:r w:rsidR="00FB34BC" w:rsidRPr="00FB1BFA">
              <w:rPr>
                <w:lang w:val="fr-FR"/>
              </w:rPr>
              <w:t>2ème mandat</w:t>
            </w:r>
            <w:r w:rsidRPr="00FB1BFA">
              <w:rPr>
                <w:lang w:val="fr-FR"/>
              </w:rPr>
              <w:t>)</w:t>
            </w:r>
            <w:r w:rsidRPr="00FB1BFA">
              <w:rPr>
                <w:lang w:val="fr-FR"/>
              </w:rPr>
              <w:br/>
            </w:r>
            <w:r w:rsidRPr="00FB1BFA">
              <w:rPr>
                <w:lang w:val="fr-FR"/>
              </w:rPr>
              <w:br/>
              <w:t>M. Henry Nkemadu (</w:t>
            </w:r>
            <w:r w:rsidR="00FB34BC" w:rsidRPr="00FB1BFA">
              <w:rPr>
                <w:lang w:val="fr-FR"/>
              </w:rPr>
              <w:t>2ème mandat</w:t>
            </w:r>
            <w:r w:rsidRPr="00FB1BFA">
              <w:rPr>
                <w:lang w:val="fr-FR"/>
              </w:rPr>
              <w:t>)</w:t>
            </w:r>
          </w:p>
        </w:tc>
        <w:tc>
          <w:tcPr>
            <w:tcW w:w="2586" w:type="dxa"/>
            <w:tcBorders>
              <w:top w:val="single" w:sz="12" w:space="0" w:color="FFFFFF"/>
              <w:left w:val="single" w:sz="12" w:space="0" w:color="FFFFFF"/>
              <w:bottom w:val="single" w:sz="8" w:space="0" w:color="FFFFFF"/>
              <w:right w:val="single" w:sz="8" w:space="0" w:color="FFFFFF"/>
            </w:tcBorders>
            <w:shd w:val="clear" w:color="auto" w:fill="D9D9D9"/>
            <w:tcMar>
              <w:top w:w="0" w:type="dxa"/>
              <w:left w:w="108" w:type="dxa"/>
              <w:bottom w:w="0" w:type="dxa"/>
              <w:right w:w="108" w:type="dxa"/>
            </w:tcMar>
          </w:tcPr>
          <w:p w14:paraId="6476EA86" w14:textId="10DC5776" w:rsidR="00F60CF8" w:rsidRPr="00FB1BFA" w:rsidRDefault="00FD677B" w:rsidP="00792001">
            <w:pPr>
              <w:pStyle w:val="Tabletext"/>
              <w:rPr>
                <w:lang w:val="fr-FR"/>
              </w:rPr>
            </w:pPr>
            <w:r w:rsidRPr="00FB1BFA">
              <w:rPr>
                <w:lang w:val="fr-FR"/>
              </w:rPr>
              <w:t>Ghana</w:t>
            </w:r>
            <w:r w:rsidRPr="00FB1BFA">
              <w:rPr>
                <w:lang w:val="fr-FR"/>
              </w:rPr>
              <w:br/>
            </w:r>
            <w:r w:rsidRPr="00FB1BFA">
              <w:rPr>
                <w:lang w:val="fr-FR"/>
              </w:rPr>
              <w:br/>
              <w:t>Nigé</w:t>
            </w:r>
            <w:r w:rsidR="00F60CF8" w:rsidRPr="00FB1BFA">
              <w:rPr>
                <w:lang w:val="fr-FR"/>
              </w:rPr>
              <w:t>ria</w:t>
            </w:r>
          </w:p>
        </w:tc>
      </w:tr>
    </w:tbl>
    <w:p w14:paraId="0973BA30" w14:textId="5FB917F5" w:rsidR="00D905C9" w:rsidRPr="00FB1BFA" w:rsidRDefault="00C458D5" w:rsidP="00792001">
      <w:pPr>
        <w:pStyle w:val="Tablelegend"/>
        <w:rPr>
          <w:sz w:val="18"/>
          <w:szCs w:val="18"/>
          <w:lang w:val="fr-FR"/>
        </w:rPr>
      </w:pPr>
      <w:r w:rsidRPr="00FB1BFA">
        <w:rPr>
          <w:i/>
          <w:iCs/>
          <w:sz w:val="18"/>
          <w:szCs w:val="18"/>
          <w:lang w:val="fr-FR"/>
        </w:rPr>
        <w:t>Source</w:t>
      </w:r>
      <w:r w:rsidRPr="00FB1BFA">
        <w:rPr>
          <w:sz w:val="18"/>
          <w:szCs w:val="18"/>
          <w:lang w:val="fr-FR"/>
        </w:rPr>
        <w:t>: Adapté de l'exposé présenté par l'UAT à</w:t>
      </w:r>
      <w:r w:rsidR="00792001" w:rsidRPr="00FB1BFA">
        <w:rPr>
          <w:sz w:val="18"/>
          <w:szCs w:val="18"/>
          <w:lang w:val="fr-FR"/>
        </w:rPr>
        <w:t xml:space="preserve"> </w:t>
      </w:r>
      <w:r w:rsidR="006F5A77" w:rsidRPr="00FB1BFA">
        <w:rPr>
          <w:sz w:val="18"/>
          <w:szCs w:val="18"/>
          <w:lang w:val="fr-FR"/>
        </w:rPr>
        <w:t>la réunion IRM</w:t>
      </w:r>
      <w:r w:rsidRPr="00FB1BFA">
        <w:rPr>
          <w:sz w:val="18"/>
          <w:szCs w:val="18"/>
          <w:lang w:val="fr-FR"/>
        </w:rPr>
        <w:t>-3</w:t>
      </w:r>
      <w:r w:rsidR="00792001" w:rsidRPr="00FB1BFA">
        <w:rPr>
          <w:sz w:val="18"/>
          <w:szCs w:val="18"/>
          <w:lang w:val="fr-FR"/>
        </w:rPr>
        <w:t xml:space="preserve"> </w:t>
      </w:r>
      <w:r w:rsidRPr="00FB1BFA">
        <w:rPr>
          <w:sz w:val="18"/>
          <w:szCs w:val="18"/>
          <w:lang w:val="fr-FR"/>
        </w:rPr>
        <w:t>le 10 mars 2022.</w:t>
      </w:r>
    </w:p>
    <w:p w14:paraId="6157644C" w14:textId="77777777" w:rsidR="00CD509F" w:rsidRPr="00FB1BFA" w:rsidRDefault="00CD509F" w:rsidP="00ED1ECF">
      <w:pPr>
        <w:pStyle w:val="Tabletitle"/>
        <w:spacing w:before="240"/>
        <w:rPr>
          <w:lang w:val="fr-FR"/>
        </w:rPr>
      </w:pPr>
      <w:r w:rsidRPr="00FB1BFA">
        <w:rPr>
          <w:lang w:val="fr-FR"/>
        </w:rPr>
        <w:t>Tableau 3.3: Candidats de l'Afrique à des postes de direction dans le cadre de la CMDT</w:t>
      </w:r>
    </w:p>
    <w:tbl>
      <w:tblPr>
        <w:tblW w:w="5117"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2" w:space="0" w:color="FFFFFF" w:themeColor="background1"/>
          <w:insideV w:val="single" w:sz="12" w:space="0" w:color="FFFFFF" w:themeColor="background1"/>
        </w:tblBorders>
        <w:tblCellMar>
          <w:left w:w="0" w:type="dxa"/>
          <w:right w:w="0" w:type="dxa"/>
        </w:tblCellMar>
        <w:tblLook w:val="0600" w:firstRow="0" w:lastRow="0" w:firstColumn="0" w:lastColumn="0" w:noHBand="1" w:noVBand="1"/>
      </w:tblPr>
      <w:tblGrid>
        <w:gridCol w:w="455"/>
        <w:gridCol w:w="3546"/>
        <w:gridCol w:w="4258"/>
        <w:gridCol w:w="1561"/>
      </w:tblGrid>
      <w:tr w:rsidR="00CD509F" w:rsidRPr="00FB1BFA" w14:paraId="3B07077D" w14:textId="77777777" w:rsidTr="00375A6F">
        <w:tc>
          <w:tcPr>
            <w:tcW w:w="455" w:type="dxa"/>
            <w:shd w:val="clear" w:color="auto" w:fill="31849B"/>
            <w:tcMar>
              <w:top w:w="72" w:type="dxa"/>
              <w:left w:w="108" w:type="dxa"/>
              <w:bottom w:w="72" w:type="dxa"/>
              <w:right w:w="108" w:type="dxa"/>
            </w:tcMar>
            <w:hideMark/>
          </w:tcPr>
          <w:p w14:paraId="70AFB530" w14:textId="77777777" w:rsidR="00CD509F" w:rsidRPr="00FB1BFA" w:rsidRDefault="00CD509F" w:rsidP="00375A6F">
            <w:pPr>
              <w:keepNext/>
              <w:spacing w:before="0"/>
              <w:rPr>
                <w:color w:val="FFFFFF" w:themeColor="background1"/>
                <w:sz w:val="20"/>
                <w:lang w:val="fr-FR"/>
              </w:rPr>
            </w:pPr>
            <w:r w:rsidRPr="00FB1BFA">
              <w:rPr>
                <w:b/>
                <w:bCs/>
                <w:color w:val="FFFFFF" w:themeColor="background1"/>
                <w:sz w:val="20"/>
                <w:lang w:val="fr-FR"/>
              </w:rPr>
              <w:t> </w:t>
            </w:r>
          </w:p>
        </w:tc>
        <w:tc>
          <w:tcPr>
            <w:tcW w:w="3546" w:type="dxa"/>
            <w:shd w:val="clear" w:color="auto" w:fill="31849B"/>
            <w:tcMar>
              <w:top w:w="72" w:type="dxa"/>
              <w:left w:w="108" w:type="dxa"/>
              <w:bottom w:w="72" w:type="dxa"/>
              <w:right w:w="108" w:type="dxa"/>
            </w:tcMar>
            <w:hideMark/>
          </w:tcPr>
          <w:p w14:paraId="1FC6DCC3" w14:textId="77777777" w:rsidR="00CD509F" w:rsidRPr="00FB1BFA" w:rsidRDefault="00CD509F" w:rsidP="00375A6F">
            <w:pPr>
              <w:keepNext/>
              <w:spacing w:before="0"/>
              <w:rPr>
                <w:color w:val="FFFFFF" w:themeColor="background1"/>
                <w:sz w:val="20"/>
                <w:lang w:val="fr-FR"/>
              </w:rPr>
            </w:pPr>
            <w:r w:rsidRPr="00FB1BFA">
              <w:rPr>
                <w:b/>
                <w:bCs/>
                <w:color w:val="FFFFFF" w:themeColor="background1"/>
                <w:sz w:val="20"/>
                <w:lang w:val="fr-FR"/>
              </w:rPr>
              <w:t>Groupe et poste</w:t>
            </w:r>
          </w:p>
        </w:tc>
        <w:tc>
          <w:tcPr>
            <w:tcW w:w="4258" w:type="dxa"/>
            <w:shd w:val="clear" w:color="auto" w:fill="31849B"/>
            <w:tcMar>
              <w:top w:w="72" w:type="dxa"/>
              <w:left w:w="108" w:type="dxa"/>
              <w:bottom w:w="72" w:type="dxa"/>
              <w:right w:w="108" w:type="dxa"/>
            </w:tcMar>
            <w:hideMark/>
          </w:tcPr>
          <w:p w14:paraId="2B0FF517" w14:textId="77777777" w:rsidR="00CD509F" w:rsidRPr="00FB1BFA" w:rsidRDefault="00CD509F" w:rsidP="00375A6F">
            <w:pPr>
              <w:keepNext/>
              <w:spacing w:before="0"/>
              <w:rPr>
                <w:color w:val="FFFFFF" w:themeColor="background1"/>
                <w:sz w:val="20"/>
                <w:lang w:val="fr-FR"/>
              </w:rPr>
            </w:pPr>
            <w:r w:rsidRPr="00FB1BFA">
              <w:rPr>
                <w:b/>
                <w:bCs/>
                <w:color w:val="FFFFFF" w:themeColor="background1"/>
                <w:sz w:val="20"/>
                <w:lang w:val="fr-FR"/>
              </w:rPr>
              <w:t xml:space="preserve">Candidature </w:t>
            </w:r>
          </w:p>
        </w:tc>
        <w:tc>
          <w:tcPr>
            <w:tcW w:w="1561" w:type="dxa"/>
            <w:shd w:val="clear" w:color="auto" w:fill="31849B"/>
            <w:tcMar>
              <w:top w:w="72" w:type="dxa"/>
              <w:left w:w="108" w:type="dxa"/>
              <w:bottom w:w="72" w:type="dxa"/>
              <w:right w:w="108" w:type="dxa"/>
            </w:tcMar>
            <w:hideMark/>
          </w:tcPr>
          <w:p w14:paraId="1E3A3B70" w14:textId="77777777" w:rsidR="00CD509F" w:rsidRPr="00FB1BFA" w:rsidRDefault="00CD509F" w:rsidP="00375A6F">
            <w:pPr>
              <w:keepNext/>
              <w:spacing w:before="0"/>
              <w:rPr>
                <w:color w:val="FFFFFF" w:themeColor="background1"/>
                <w:sz w:val="20"/>
                <w:lang w:val="fr-FR"/>
              </w:rPr>
            </w:pPr>
            <w:r w:rsidRPr="00FB1BFA">
              <w:rPr>
                <w:color w:val="FFFFFF" w:themeColor="background1"/>
                <w:sz w:val="20"/>
                <w:lang w:val="fr-FR"/>
              </w:rPr>
              <w:t>Pays</w:t>
            </w:r>
          </w:p>
        </w:tc>
      </w:tr>
      <w:tr w:rsidR="00CD509F" w:rsidRPr="00FB1BFA" w14:paraId="7F014D85" w14:textId="77777777" w:rsidTr="00375A6F">
        <w:tc>
          <w:tcPr>
            <w:tcW w:w="455" w:type="dxa"/>
            <w:shd w:val="clear" w:color="auto" w:fill="D9D9D9"/>
            <w:tcMar>
              <w:top w:w="72" w:type="dxa"/>
              <w:left w:w="108" w:type="dxa"/>
              <w:bottom w:w="72" w:type="dxa"/>
              <w:right w:w="108" w:type="dxa"/>
            </w:tcMar>
            <w:hideMark/>
          </w:tcPr>
          <w:p w14:paraId="17B70B0C" w14:textId="77777777" w:rsidR="00CD509F" w:rsidRPr="00FB1BFA" w:rsidRDefault="00CD509F" w:rsidP="00375A6F">
            <w:pPr>
              <w:keepNext/>
              <w:spacing w:before="0"/>
              <w:rPr>
                <w:sz w:val="20"/>
                <w:lang w:val="fr-FR"/>
              </w:rPr>
            </w:pPr>
            <w:r w:rsidRPr="00FB1BFA">
              <w:rPr>
                <w:sz w:val="20"/>
                <w:lang w:val="fr-FR"/>
              </w:rPr>
              <w:t>1.</w:t>
            </w:r>
          </w:p>
        </w:tc>
        <w:tc>
          <w:tcPr>
            <w:tcW w:w="3546" w:type="dxa"/>
            <w:shd w:val="clear" w:color="auto" w:fill="D9D9D9"/>
            <w:tcMar>
              <w:top w:w="72" w:type="dxa"/>
              <w:left w:w="108" w:type="dxa"/>
              <w:bottom w:w="72" w:type="dxa"/>
              <w:right w:w="108" w:type="dxa"/>
            </w:tcMar>
            <w:hideMark/>
          </w:tcPr>
          <w:p w14:paraId="642F8D85" w14:textId="77777777" w:rsidR="00CD509F" w:rsidRPr="00FB1BFA" w:rsidRDefault="00CD509F" w:rsidP="00375A6F">
            <w:pPr>
              <w:pStyle w:val="Tabletext"/>
              <w:rPr>
                <w:b/>
                <w:bCs/>
                <w:sz w:val="20"/>
                <w:lang w:val="fr-FR"/>
              </w:rPr>
            </w:pPr>
            <w:r w:rsidRPr="00FB1BFA">
              <w:rPr>
                <w:b/>
                <w:bCs/>
                <w:lang w:val="fr-FR"/>
              </w:rPr>
              <w:t>Commission 1 – Commission de direction: Vice-Président</w:t>
            </w:r>
          </w:p>
        </w:tc>
        <w:tc>
          <w:tcPr>
            <w:tcW w:w="4258" w:type="dxa"/>
            <w:shd w:val="clear" w:color="auto" w:fill="D9D9D9"/>
            <w:tcMar>
              <w:top w:w="72" w:type="dxa"/>
              <w:left w:w="108" w:type="dxa"/>
              <w:bottom w:w="72" w:type="dxa"/>
              <w:right w:w="108" w:type="dxa"/>
            </w:tcMar>
            <w:hideMark/>
          </w:tcPr>
          <w:p w14:paraId="0F551012" w14:textId="77777777" w:rsidR="00CD509F" w:rsidRPr="00FB1BFA" w:rsidRDefault="00CD509F" w:rsidP="00375A6F">
            <w:pPr>
              <w:pStyle w:val="Tabletext"/>
              <w:rPr>
                <w:sz w:val="20"/>
                <w:lang w:val="fr-FR"/>
              </w:rPr>
            </w:pPr>
            <w:r w:rsidRPr="00FB1BFA">
              <w:rPr>
                <w:lang w:val="fr-FR"/>
              </w:rPr>
              <w:t>(Nom à ajouter)</w:t>
            </w:r>
          </w:p>
        </w:tc>
        <w:tc>
          <w:tcPr>
            <w:tcW w:w="1561" w:type="dxa"/>
            <w:shd w:val="clear" w:color="auto" w:fill="D9D9D9"/>
            <w:tcMar>
              <w:top w:w="72" w:type="dxa"/>
              <w:left w:w="108" w:type="dxa"/>
              <w:bottom w:w="72" w:type="dxa"/>
              <w:right w:w="108" w:type="dxa"/>
            </w:tcMar>
            <w:hideMark/>
          </w:tcPr>
          <w:p w14:paraId="4D563377" w14:textId="77777777" w:rsidR="00CD509F" w:rsidRPr="00FB1BFA" w:rsidRDefault="00CD509F" w:rsidP="00375A6F">
            <w:pPr>
              <w:pStyle w:val="Tabletext"/>
              <w:rPr>
                <w:lang w:val="fr-FR"/>
              </w:rPr>
            </w:pPr>
            <w:r w:rsidRPr="00FB1BFA">
              <w:rPr>
                <w:lang w:val="fr-FR"/>
              </w:rPr>
              <w:t>Tunisie</w:t>
            </w:r>
          </w:p>
        </w:tc>
      </w:tr>
      <w:tr w:rsidR="00CD509F" w:rsidRPr="00FB1BFA" w14:paraId="72CC71CF" w14:textId="77777777" w:rsidTr="00375A6F">
        <w:tc>
          <w:tcPr>
            <w:tcW w:w="455" w:type="dxa"/>
            <w:shd w:val="clear" w:color="auto" w:fill="D9D9D9"/>
            <w:tcMar>
              <w:top w:w="72" w:type="dxa"/>
              <w:left w:w="108" w:type="dxa"/>
              <w:bottom w:w="72" w:type="dxa"/>
              <w:right w:w="108" w:type="dxa"/>
            </w:tcMar>
            <w:hideMark/>
          </w:tcPr>
          <w:p w14:paraId="7007D9BB" w14:textId="77777777" w:rsidR="00CD509F" w:rsidRPr="00FB1BFA" w:rsidRDefault="00CD509F" w:rsidP="00375A6F">
            <w:pPr>
              <w:spacing w:before="0"/>
              <w:rPr>
                <w:sz w:val="20"/>
                <w:lang w:val="fr-FR"/>
              </w:rPr>
            </w:pPr>
            <w:r w:rsidRPr="00FB1BFA">
              <w:rPr>
                <w:sz w:val="20"/>
                <w:lang w:val="fr-FR"/>
              </w:rPr>
              <w:t>2.</w:t>
            </w:r>
          </w:p>
        </w:tc>
        <w:tc>
          <w:tcPr>
            <w:tcW w:w="3546" w:type="dxa"/>
            <w:shd w:val="clear" w:color="auto" w:fill="D9D9D9"/>
            <w:tcMar>
              <w:top w:w="72" w:type="dxa"/>
              <w:left w:w="108" w:type="dxa"/>
              <w:bottom w:w="72" w:type="dxa"/>
              <w:right w:w="108" w:type="dxa"/>
            </w:tcMar>
            <w:hideMark/>
          </w:tcPr>
          <w:p w14:paraId="7838C2DB" w14:textId="77777777" w:rsidR="00CD509F" w:rsidRPr="00FB1BFA" w:rsidRDefault="00CD509F" w:rsidP="00375A6F">
            <w:pPr>
              <w:pStyle w:val="Tabletext"/>
              <w:rPr>
                <w:b/>
                <w:bCs/>
                <w:sz w:val="20"/>
                <w:lang w:val="fr-FR"/>
              </w:rPr>
            </w:pPr>
            <w:r w:rsidRPr="00FB1BFA">
              <w:rPr>
                <w:b/>
                <w:bCs/>
                <w:lang w:val="fr-FR"/>
              </w:rPr>
              <w:t>Commission 2 – Commission de contrôle budgétaire:</w:t>
            </w:r>
            <w:r w:rsidRPr="00FB1BFA">
              <w:rPr>
                <w:b/>
                <w:bCs/>
                <w:lang w:val="fr-FR"/>
              </w:rPr>
              <w:br/>
              <w:t>Vice-Président</w:t>
            </w:r>
          </w:p>
        </w:tc>
        <w:tc>
          <w:tcPr>
            <w:tcW w:w="4258" w:type="dxa"/>
            <w:shd w:val="clear" w:color="auto" w:fill="D9D9D9"/>
            <w:tcMar>
              <w:top w:w="72" w:type="dxa"/>
              <w:left w:w="108" w:type="dxa"/>
              <w:bottom w:w="72" w:type="dxa"/>
              <w:right w:w="108" w:type="dxa"/>
            </w:tcMar>
            <w:hideMark/>
          </w:tcPr>
          <w:p w14:paraId="3498495D" w14:textId="77777777" w:rsidR="00CD509F" w:rsidRPr="00FB1BFA" w:rsidRDefault="00CD509F" w:rsidP="00375A6F">
            <w:pPr>
              <w:pStyle w:val="Tabletext"/>
              <w:spacing w:after="0"/>
              <w:rPr>
                <w:lang w:val="fr-FR"/>
              </w:rPr>
            </w:pPr>
            <w:r w:rsidRPr="00FB1BFA">
              <w:rPr>
                <w:lang w:val="fr-FR"/>
              </w:rPr>
              <w:t>M. Biggie Chiripanhura</w:t>
            </w:r>
          </w:p>
          <w:p w14:paraId="51434DB9" w14:textId="77777777" w:rsidR="00CD509F" w:rsidRPr="00FB1BFA" w:rsidRDefault="00CD509F" w:rsidP="00375A6F">
            <w:pPr>
              <w:pStyle w:val="Tabletext"/>
              <w:spacing w:before="0"/>
              <w:rPr>
                <w:sz w:val="20"/>
                <w:lang w:val="fr-FR"/>
              </w:rPr>
            </w:pPr>
            <w:hyperlink r:id="rId19" w:history="1">
              <w:r w:rsidRPr="00FB1BFA">
                <w:rPr>
                  <w:color w:val="0000FF"/>
                  <w:u w:val="single"/>
                  <w:lang w:val="fr-FR"/>
                </w:rPr>
                <w:t>biggie.chiripanhura@potraz.gov.zw</w:t>
              </w:r>
            </w:hyperlink>
          </w:p>
        </w:tc>
        <w:tc>
          <w:tcPr>
            <w:tcW w:w="1561" w:type="dxa"/>
            <w:shd w:val="clear" w:color="auto" w:fill="D9D9D9"/>
            <w:tcMar>
              <w:top w:w="72" w:type="dxa"/>
              <w:left w:w="108" w:type="dxa"/>
              <w:bottom w:w="72" w:type="dxa"/>
              <w:right w:w="108" w:type="dxa"/>
            </w:tcMar>
            <w:hideMark/>
          </w:tcPr>
          <w:p w14:paraId="1E09A35A" w14:textId="77777777" w:rsidR="00CD509F" w:rsidRPr="00FB1BFA" w:rsidRDefault="00CD509F" w:rsidP="00375A6F">
            <w:pPr>
              <w:pStyle w:val="Tabletext"/>
              <w:rPr>
                <w:lang w:val="fr-FR"/>
              </w:rPr>
            </w:pPr>
            <w:r w:rsidRPr="00FB1BFA">
              <w:rPr>
                <w:lang w:val="fr-FR"/>
              </w:rPr>
              <w:t>Zimbabwe</w:t>
            </w:r>
          </w:p>
        </w:tc>
      </w:tr>
      <w:tr w:rsidR="00CD509F" w:rsidRPr="00FB1BFA" w14:paraId="64FB7179" w14:textId="77777777" w:rsidTr="00375A6F">
        <w:tc>
          <w:tcPr>
            <w:tcW w:w="455" w:type="dxa"/>
            <w:shd w:val="clear" w:color="auto" w:fill="D9D9D9"/>
            <w:tcMar>
              <w:top w:w="72" w:type="dxa"/>
              <w:left w:w="108" w:type="dxa"/>
              <w:bottom w:w="72" w:type="dxa"/>
              <w:right w:w="108" w:type="dxa"/>
            </w:tcMar>
            <w:hideMark/>
          </w:tcPr>
          <w:p w14:paraId="2837024B" w14:textId="77777777" w:rsidR="00CD509F" w:rsidRPr="00FB1BFA" w:rsidRDefault="00CD509F" w:rsidP="00375A6F">
            <w:pPr>
              <w:spacing w:before="0"/>
              <w:rPr>
                <w:sz w:val="20"/>
                <w:lang w:val="fr-FR"/>
              </w:rPr>
            </w:pPr>
            <w:r w:rsidRPr="00FB1BFA">
              <w:rPr>
                <w:sz w:val="20"/>
                <w:lang w:val="fr-FR"/>
              </w:rPr>
              <w:t>3.</w:t>
            </w:r>
          </w:p>
        </w:tc>
        <w:tc>
          <w:tcPr>
            <w:tcW w:w="3546" w:type="dxa"/>
            <w:shd w:val="clear" w:color="auto" w:fill="D9D9D9"/>
            <w:tcMar>
              <w:top w:w="72" w:type="dxa"/>
              <w:left w:w="108" w:type="dxa"/>
              <w:bottom w:w="72" w:type="dxa"/>
              <w:right w:w="108" w:type="dxa"/>
            </w:tcMar>
            <w:hideMark/>
          </w:tcPr>
          <w:p w14:paraId="615FC6E5" w14:textId="77777777" w:rsidR="00CD509F" w:rsidRPr="00FB1BFA" w:rsidRDefault="00CD509F" w:rsidP="00375A6F">
            <w:pPr>
              <w:pStyle w:val="Tabletext"/>
              <w:rPr>
                <w:b/>
                <w:bCs/>
                <w:sz w:val="20"/>
                <w:lang w:val="fr-FR"/>
              </w:rPr>
            </w:pPr>
            <w:r w:rsidRPr="00FB1BFA">
              <w:rPr>
                <w:b/>
                <w:bCs/>
                <w:lang w:val="fr-FR"/>
              </w:rPr>
              <w:t>Commission 3 – Objectifs:</w:t>
            </w:r>
            <w:r w:rsidRPr="00FB1BFA">
              <w:rPr>
                <w:b/>
                <w:bCs/>
                <w:lang w:val="fr-FR"/>
              </w:rPr>
              <w:br/>
              <w:t>Présidente</w:t>
            </w:r>
          </w:p>
        </w:tc>
        <w:tc>
          <w:tcPr>
            <w:tcW w:w="4258" w:type="dxa"/>
            <w:shd w:val="clear" w:color="auto" w:fill="D9D9D9"/>
            <w:tcMar>
              <w:top w:w="72" w:type="dxa"/>
              <w:left w:w="108" w:type="dxa"/>
              <w:bottom w:w="72" w:type="dxa"/>
              <w:right w:w="108" w:type="dxa"/>
            </w:tcMar>
            <w:hideMark/>
          </w:tcPr>
          <w:p w14:paraId="325E1C41" w14:textId="77777777" w:rsidR="00CD509F" w:rsidRPr="00FB1BFA" w:rsidRDefault="00CD509F" w:rsidP="00375A6F">
            <w:pPr>
              <w:pStyle w:val="Tabletext"/>
              <w:spacing w:after="0"/>
              <w:rPr>
                <w:lang w:val="fr-FR"/>
              </w:rPr>
            </w:pPr>
            <w:r w:rsidRPr="00FB1BFA">
              <w:rPr>
                <w:lang w:val="fr-FR"/>
              </w:rPr>
              <w:t>Mme Regina Assoumou</w:t>
            </w:r>
          </w:p>
          <w:p w14:paraId="5F6EB404" w14:textId="77777777" w:rsidR="00CD509F" w:rsidRPr="00FB1BFA" w:rsidRDefault="00CD509F" w:rsidP="00375A6F">
            <w:pPr>
              <w:pStyle w:val="Tabletext"/>
              <w:spacing w:before="0"/>
              <w:rPr>
                <w:sz w:val="20"/>
                <w:lang w:val="fr-FR"/>
              </w:rPr>
            </w:pPr>
            <w:hyperlink r:id="rId20" w:history="1">
              <w:r w:rsidRPr="00FB1BFA">
                <w:rPr>
                  <w:color w:val="0000FF"/>
                  <w:u w:val="single"/>
                  <w:lang w:val="fr-FR"/>
                </w:rPr>
                <w:t>bessou.regina@artci.ci</w:t>
              </w:r>
            </w:hyperlink>
          </w:p>
        </w:tc>
        <w:tc>
          <w:tcPr>
            <w:tcW w:w="1561" w:type="dxa"/>
            <w:shd w:val="clear" w:color="auto" w:fill="D9D9D9"/>
            <w:tcMar>
              <w:top w:w="72" w:type="dxa"/>
              <w:left w:w="108" w:type="dxa"/>
              <w:bottom w:w="72" w:type="dxa"/>
              <w:right w:w="108" w:type="dxa"/>
            </w:tcMar>
            <w:hideMark/>
          </w:tcPr>
          <w:p w14:paraId="34FCE574" w14:textId="77777777" w:rsidR="00CD509F" w:rsidRPr="00FB1BFA" w:rsidRDefault="00CD509F" w:rsidP="00375A6F">
            <w:pPr>
              <w:pStyle w:val="Tabletext"/>
              <w:rPr>
                <w:lang w:val="fr-FR"/>
              </w:rPr>
            </w:pPr>
            <w:r w:rsidRPr="00FB1BFA">
              <w:rPr>
                <w:lang w:val="fr-FR"/>
              </w:rPr>
              <w:t>Côte d'Ivoire</w:t>
            </w:r>
          </w:p>
        </w:tc>
      </w:tr>
      <w:tr w:rsidR="00CD509F" w:rsidRPr="00FB1BFA" w14:paraId="43B9DBC3" w14:textId="77777777" w:rsidTr="00375A6F">
        <w:tc>
          <w:tcPr>
            <w:tcW w:w="455" w:type="dxa"/>
            <w:shd w:val="clear" w:color="auto" w:fill="D9D9D9"/>
            <w:tcMar>
              <w:top w:w="72" w:type="dxa"/>
              <w:left w:w="108" w:type="dxa"/>
              <w:bottom w:w="72" w:type="dxa"/>
              <w:right w:w="108" w:type="dxa"/>
            </w:tcMar>
            <w:hideMark/>
          </w:tcPr>
          <w:p w14:paraId="1D3D2319" w14:textId="77777777" w:rsidR="00CD509F" w:rsidRPr="00FB1BFA" w:rsidRDefault="00CD509F" w:rsidP="00375A6F">
            <w:pPr>
              <w:spacing w:before="0"/>
              <w:rPr>
                <w:sz w:val="20"/>
                <w:lang w:val="fr-FR"/>
              </w:rPr>
            </w:pPr>
            <w:r w:rsidRPr="00FB1BFA">
              <w:rPr>
                <w:sz w:val="20"/>
                <w:lang w:val="fr-FR"/>
              </w:rPr>
              <w:t>4.</w:t>
            </w:r>
          </w:p>
        </w:tc>
        <w:tc>
          <w:tcPr>
            <w:tcW w:w="3546" w:type="dxa"/>
            <w:shd w:val="clear" w:color="auto" w:fill="D9D9D9"/>
            <w:tcMar>
              <w:top w:w="72" w:type="dxa"/>
              <w:left w:w="108" w:type="dxa"/>
              <w:bottom w:w="72" w:type="dxa"/>
              <w:right w:w="108" w:type="dxa"/>
            </w:tcMar>
            <w:hideMark/>
          </w:tcPr>
          <w:p w14:paraId="4D783E63" w14:textId="77777777" w:rsidR="00CD509F" w:rsidRPr="00FB1BFA" w:rsidRDefault="00CD509F" w:rsidP="00375A6F">
            <w:pPr>
              <w:pStyle w:val="Tabletext"/>
              <w:rPr>
                <w:b/>
                <w:bCs/>
                <w:sz w:val="20"/>
                <w:lang w:val="fr-FR"/>
              </w:rPr>
            </w:pPr>
            <w:r w:rsidRPr="00FB1BFA">
              <w:rPr>
                <w:b/>
                <w:bCs/>
                <w:lang w:val="fr-FR"/>
              </w:rPr>
              <w:t>Commission 4 – Méthodes de travail de l'UIT-D: Vice-Président</w:t>
            </w:r>
          </w:p>
        </w:tc>
        <w:tc>
          <w:tcPr>
            <w:tcW w:w="4258" w:type="dxa"/>
            <w:shd w:val="clear" w:color="auto" w:fill="D9D9D9"/>
            <w:tcMar>
              <w:top w:w="72" w:type="dxa"/>
              <w:left w:w="108" w:type="dxa"/>
              <w:bottom w:w="72" w:type="dxa"/>
              <w:right w:w="108" w:type="dxa"/>
            </w:tcMar>
            <w:hideMark/>
          </w:tcPr>
          <w:p w14:paraId="18FE40AC" w14:textId="77777777" w:rsidR="00CD509F" w:rsidRPr="00FB1BFA" w:rsidRDefault="00CD509F" w:rsidP="00375A6F">
            <w:pPr>
              <w:pStyle w:val="Tabletext"/>
              <w:rPr>
                <w:sz w:val="20"/>
                <w:lang w:val="fr-FR"/>
              </w:rPr>
            </w:pPr>
            <w:r w:rsidRPr="00FB1BFA">
              <w:rPr>
                <w:lang w:val="fr-FR"/>
              </w:rPr>
              <w:t>M. Mohamed Benziane</w:t>
            </w:r>
          </w:p>
        </w:tc>
        <w:tc>
          <w:tcPr>
            <w:tcW w:w="1561" w:type="dxa"/>
            <w:shd w:val="clear" w:color="auto" w:fill="D9D9D9"/>
            <w:tcMar>
              <w:top w:w="72" w:type="dxa"/>
              <w:left w:w="108" w:type="dxa"/>
              <w:bottom w:w="72" w:type="dxa"/>
              <w:right w:w="108" w:type="dxa"/>
            </w:tcMar>
            <w:hideMark/>
          </w:tcPr>
          <w:p w14:paraId="6D03BEC1" w14:textId="77777777" w:rsidR="00CD509F" w:rsidRPr="00FB1BFA" w:rsidRDefault="00CD509F" w:rsidP="00375A6F">
            <w:pPr>
              <w:pStyle w:val="Tabletext"/>
              <w:rPr>
                <w:lang w:val="fr-FR"/>
              </w:rPr>
            </w:pPr>
            <w:r w:rsidRPr="00FB1BFA">
              <w:rPr>
                <w:lang w:val="fr-FR"/>
              </w:rPr>
              <w:t>Algérie (à confirmer)</w:t>
            </w:r>
          </w:p>
        </w:tc>
      </w:tr>
      <w:tr w:rsidR="00CD509F" w:rsidRPr="00FB1BFA" w14:paraId="2913C591" w14:textId="77777777" w:rsidTr="00375A6F">
        <w:tc>
          <w:tcPr>
            <w:tcW w:w="455" w:type="dxa"/>
            <w:shd w:val="clear" w:color="auto" w:fill="D9D9D9"/>
            <w:tcMar>
              <w:top w:w="72" w:type="dxa"/>
              <w:left w:w="108" w:type="dxa"/>
              <w:bottom w:w="72" w:type="dxa"/>
              <w:right w:w="108" w:type="dxa"/>
            </w:tcMar>
            <w:hideMark/>
          </w:tcPr>
          <w:p w14:paraId="4C30A62D" w14:textId="77777777" w:rsidR="00CD509F" w:rsidRPr="00FB1BFA" w:rsidRDefault="00CD509F" w:rsidP="00375A6F">
            <w:pPr>
              <w:spacing w:before="0"/>
              <w:rPr>
                <w:sz w:val="20"/>
                <w:lang w:val="fr-FR"/>
              </w:rPr>
            </w:pPr>
            <w:r w:rsidRPr="00FB1BFA">
              <w:rPr>
                <w:sz w:val="20"/>
                <w:lang w:val="fr-FR"/>
              </w:rPr>
              <w:t>5.</w:t>
            </w:r>
          </w:p>
        </w:tc>
        <w:tc>
          <w:tcPr>
            <w:tcW w:w="3546" w:type="dxa"/>
            <w:shd w:val="clear" w:color="auto" w:fill="D9D9D9"/>
            <w:tcMar>
              <w:top w:w="72" w:type="dxa"/>
              <w:left w:w="108" w:type="dxa"/>
              <w:bottom w:w="72" w:type="dxa"/>
              <w:right w:w="108" w:type="dxa"/>
            </w:tcMar>
            <w:hideMark/>
          </w:tcPr>
          <w:p w14:paraId="0163DA21" w14:textId="77777777" w:rsidR="00CD509F" w:rsidRPr="00FB1BFA" w:rsidRDefault="00CD509F" w:rsidP="00375A6F">
            <w:pPr>
              <w:pStyle w:val="Tabletext"/>
              <w:rPr>
                <w:b/>
                <w:bCs/>
                <w:sz w:val="20"/>
                <w:lang w:val="fr-FR"/>
              </w:rPr>
            </w:pPr>
            <w:r w:rsidRPr="00FB1BFA">
              <w:rPr>
                <w:b/>
                <w:bCs/>
                <w:lang w:val="fr-FR"/>
              </w:rPr>
              <w:t>Commission 5 – Commission de rédaction: Vice-Présidente</w:t>
            </w:r>
          </w:p>
        </w:tc>
        <w:tc>
          <w:tcPr>
            <w:tcW w:w="4258" w:type="dxa"/>
            <w:shd w:val="clear" w:color="auto" w:fill="D9D9D9"/>
            <w:tcMar>
              <w:top w:w="72" w:type="dxa"/>
              <w:left w:w="108" w:type="dxa"/>
              <w:bottom w:w="72" w:type="dxa"/>
              <w:right w:w="108" w:type="dxa"/>
            </w:tcMar>
            <w:hideMark/>
          </w:tcPr>
          <w:p w14:paraId="6EB3C5EE" w14:textId="77777777" w:rsidR="00CD509F" w:rsidRPr="00FB1BFA" w:rsidRDefault="00CD509F" w:rsidP="00375A6F">
            <w:pPr>
              <w:pStyle w:val="Tabletext"/>
              <w:spacing w:after="0"/>
              <w:rPr>
                <w:lang w:val="fr-FR"/>
              </w:rPr>
            </w:pPr>
            <w:r w:rsidRPr="00FB1BFA">
              <w:rPr>
                <w:lang w:val="fr-FR"/>
              </w:rPr>
              <w:t>Mme Sharon Bosire</w:t>
            </w:r>
          </w:p>
          <w:p w14:paraId="01BD202B" w14:textId="77777777" w:rsidR="00CD509F" w:rsidRPr="00FB1BFA" w:rsidRDefault="00CD509F" w:rsidP="00375A6F">
            <w:pPr>
              <w:pStyle w:val="Tabletext"/>
              <w:spacing w:before="0"/>
              <w:rPr>
                <w:sz w:val="20"/>
                <w:lang w:val="fr-FR"/>
              </w:rPr>
            </w:pPr>
            <w:hyperlink r:id="rId21" w:history="1">
              <w:r w:rsidRPr="00FB1BFA">
                <w:rPr>
                  <w:color w:val="0000FF"/>
                  <w:u w:val="single"/>
                  <w:lang w:val="fr-FR"/>
                </w:rPr>
                <w:t>bosire@ca.go.ke</w:t>
              </w:r>
            </w:hyperlink>
          </w:p>
        </w:tc>
        <w:tc>
          <w:tcPr>
            <w:tcW w:w="1561" w:type="dxa"/>
            <w:shd w:val="clear" w:color="auto" w:fill="D9D9D9"/>
            <w:tcMar>
              <w:top w:w="72" w:type="dxa"/>
              <w:left w:w="108" w:type="dxa"/>
              <w:bottom w:w="72" w:type="dxa"/>
              <w:right w:w="108" w:type="dxa"/>
            </w:tcMar>
            <w:hideMark/>
          </w:tcPr>
          <w:p w14:paraId="4F87D56E" w14:textId="77777777" w:rsidR="00CD509F" w:rsidRPr="00FB1BFA" w:rsidRDefault="00CD509F" w:rsidP="00375A6F">
            <w:pPr>
              <w:pStyle w:val="Tabletext"/>
              <w:rPr>
                <w:lang w:val="fr-FR"/>
              </w:rPr>
            </w:pPr>
            <w:r w:rsidRPr="00FB1BFA">
              <w:rPr>
                <w:lang w:val="fr-FR"/>
              </w:rPr>
              <w:t xml:space="preserve">Kenya </w:t>
            </w:r>
          </w:p>
        </w:tc>
      </w:tr>
      <w:tr w:rsidR="00CD509F" w:rsidRPr="00FB1BFA" w14:paraId="14ADDD2D" w14:textId="77777777" w:rsidTr="00375A6F">
        <w:tc>
          <w:tcPr>
            <w:tcW w:w="455" w:type="dxa"/>
            <w:shd w:val="clear" w:color="auto" w:fill="D9D9D9"/>
            <w:tcMar>
              <w:top w:w="72" w:type="dxa"/>
              <w:left w:w="108" w:type="dxa"/>
              <w:bottom w:w="72" w:type="dxa"/>
              <w:right w:w="108" w:type="dxa"/>
            </w:tcMar>
            <w:hideMark/>
          </w:tcPr>
          <w:p w14:paraId="768F05AB" w14:textId="77777777" w:rsidR="00CD509F" w:rsidRPr="00FB1BFA" w:rsidRDefault="00CD509F" w:rsidP="00375A6F">
            <w:pPr>
              <w:spacing w:before="0"/>
              <w:rPr>
                <w:sz w:val="20"/>
                <w:lang w:val="fr-FR"/>
              </w:rPr>
            </w:pPr>
            <w:r w:rsidRPr="00FB1BFA">
              <w:rPr>
                <w:sz w:val="20"/>
                <w:lang w:val="fr-FR"/>
              </w:rPr>
              <w:t>6.</w:t>
            </w:r>
          </w:p>
        </w:tc>
        <w:tc>
          <w:tcPr>
            <w:tcW w:w="3546" w:type="dxa"/>
            <w:shd w:val="clear" w:color="auto" w:fill="D9D9D9"/>
            <w:tcMar>
              <w:top w:w="72" w:type="dxa"/>
              <w:left w:w="108" w:type="dxa"/>
              <w:bottom w:w="72" w:type="dxa"/>
              <w:right w:w="108" w:type="dxa"/>
            </w:tcMar>
            <w:hideMark/>
          </w:tcPr>
          <w:p w14:paraId="67D96196" w14:textId="77777777" w:rsidR="00CD509F" w:rsidRPr="00FB1BFA" w:rsidRDefault="00CD509F" w:rsidP="00375A6F">
            <w:pPr>
              <w:pStyle w:val="Tabletext"/>
              <w:rPr>
                <w:b/>
                <w:bCs/>
                <w:sz w:val="20"/>
                <w:lang w:val="fr-FR"/>
              </w:rPr>
            </w:pPr>
            <w:r w:rsidRPr="00FB1BFA">
              <w:rPr>
                <w:b/>
                <w:bCs/>
                <w:lang w:val="fr-FR"/>
              </w:rPr>
              <w:t>Groupe de travail de la plénière: Plan stratégique de l'UIT-D et Déclaration de la CMDT</w:t>
            </w:r>
          </w:p>
        </w:tc>
        <w:tc>
          <w:tcPr>
            <w:tcW w:w="4258" w:type="dxa"/>
            <w:shd w:val="clear" w:color="auto" w:fill="D9D9D9"/>
            <w:tcMar>
              <w:top w:w="72" w:type="dxa"/>
              <w:left w:w="108" w:type="dxa"/>
              <w:bottom w:w="72" w:type="dxa"/>
              <w:right w:w="108" w:type="dxa"/>
            </w:tcMar>
            <w:hideMark/>
          </w:tcPr>
          <w:p w14:paraId="1981AA0F" w14:textId="77777777" w:rsidR="00CD509F" w:rsidRPr="00FB1BFA" w:rsidRDefault="00CD509F" w:rsidP="00375A6F">
            <w:pPr>
              <w:pStyle w:val="Tabletext"/>
              <w:spacing w:after="0"/>
              <w:rPr>
                <w:lang w:val="fr-FR"/>
              </w:rPr>
            </w:pPr>
            <w:r w:rsidRPr="00FB1BFA">
              <w:rPr>
                <w:lang w:val="fr-FR"/>
              </w:rPr>
              <w:t>M. Richard Anago</w:t>
            </w:r>
          </w:p>
          <w:p w14:paraId="1E65D0E0" w14:textId="77777777" w:rsidR="00CD509F" w:rsidRPr="00FB1BFA" w:rsidRDefault="00CD509F" w:rsidP="00375A6F">
            <w:pPr>
              <w:pStyle w:val="Tabletext"/>
              <w:spacing w:before="0"/>
              <w:rPr>
                <w:sz w:val="20"/>
                <w:lang w:val="fr-FR"/>
              </w:rPr>
            </w:pPr>
            <w:hyperlink r:id="rId22" w:history="1">
              <w:r w:rsidRPr="00FB1BFA">
                <w:rPr>
                  <w:color w:val="0000FF"/>
                  <w:u w:val="single"/>
                  <w:lang w:val="fr-FR"/>
                </w:rPr>
                <w:t>anago.richard@gmail.com</w:t>
              </w:r>
            </w:hyperlink>
          </w:p>
        </w:tc>
        <w:tc>
          <w:tcPr>
            <w:tcW w:w="1561" w:type="dxa"/>
            <w:shd w:val="clear" w:color="auto" w:fill="D9D9D9"/>
            <w:tcMar>
              <w:top w:w="72" w:type="dxa"/>
              <w:left w:w="108" w:type="dxa"/>
              <w:bottom w:w="72" w:type="dxa"/>
              <w:right w:w="108" w:type="dxa"/>
            </w:tcMar>
            <w:hideMark/>
          </w:tcPr>
          <w:p w14:paraId="430AE988" w14:textId="77777777" w:rsidR="00CD509F" w:rsidRPr="00FB1BFA" w:rsidRDefault="00CD509F" w:rsidP="00375A6F">
            <w:pPr>
              <w:pStyle w:val="Tabletext"/>
              <w:rPr>
                <w:lang w:val="fr-FR"/>
              </w:rPr>
            </w:pPr>
            <w:r w:rsidRPr="00FB1BFA">
              <w:rPr>
                <w:lang w:val="fr-FR"/>
              </w:rPr>
              <w:t>Burkina Faso</w:t>
            </w:r>
          </w:p>
        </w:tc>
      </w:tr>
    </w:tbl>
    <w:p w14:paraId="6D0AC7DC"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adapté de la présentation de l'UAT lors de la réunion IRM-3, 10 mars 2022.</w:t>
      </w:r>
    </w:p>
    <w:p w14:paraId="51A22BD2" w14:textId="77777777" w:rsidR="00CD509F" w:rsidRPr="00FB1BFA" w:rsidRDefault="00CD509F" w:rsidP="00CD509F">
      <w:pPr>
        <w:pStyle w:val="Heading2"/>
        <w:rPr>
          <w:lang w:val="fr-FR"/>
        </w:rPr>
      </w:pPr>
      <w:r w:rsidRPr="00FB1BFA">
        <w:rPr>
          <w:lang w:val="fr-FR"/>
        </w:rPr>
        <w:t>3.2</w:t>
      </w:r>
      <w:r w:rsidRPr="00FB1BFA">
        <w:rPr>
          <w:lang w:val="fr-FR"/>
        </w:rPr>
        <w:tab/>
        <w:t>Commission interaméricaine des télécommunications (CITEL)</w:t>
      </w:r>
    </w:p>
    <w:p w14:paraId="5577FC84" w14:textId="77777777" w:rsidR="00CD509F" w:rsidRPr="00FB1BFA" w:rsidRDefault="00CD509F" w:rsidP="00CD509F">
      <w:pPr>
        <w:rPr>
          <w:lang w:val="fr-FR"/>
        </w:rPr>
      </w:pPr>
      <w:r w:rsidRPr="00FB1BFA">
        <w:rPr>
          <w:lang w:val="fr-FR"/>
        </w:rPr>
        <w:t xml:space="preserve">Le représentant des États-Unis, au nom de la CITEL, a présenté l'état d'avancement des travaux préparatoires dans la région Amériques. Les travaux préparatoires de la CITEL sont menés par l'intermédiaire du Groupe de travail sur le suivi de la CMDT, de l'AMNT et de la CMTI du Comité consultatif permanent I (Télécommunications/TIC). Ce groupe de travail est placé sous la </w:t>
      </w:r>
      <w:r w:rsidRPr="00FB1BFA">
        <w:rPr>
          <w:lang w:val="fr-FR"/>
        </w:rPr>
        <w:lastRenderedPageBreak/>
        <w:t>présidence de M. Santiago Reyes-Borda (Canada) et sous la vice-présidence de M. Greg Ratta (États-Unis). La CITEL a tenu 11 réunions et prévoit de tenir sa dernière réunion du 4 au 8 avril 2022 (voir la Figure 3.2) pour établir la version définitive de ses propositions à la CMDT.</w:t>
      </w:r>
    </w:p>
    <w:p w14:paraId="771F3D00" w14:textId="77777777" w:rsidR="00CD509F" w:rsidRPr="00FB1BFA" w:rsidRDefault="00CD509F" w:rsidP="00CD509F">
      <w:pPr>
        <w:pStyle w:val="Figuretitle"/>
        <w:keepNext/>
        <w:spacing w:before="240" w:after="120"/>
        <w:rPr>
          <w:lang w:val="fr-FR"/>
        </w:rPr>
      </w:pPr>
      <w:r w:rsidRPr="00FB1BFA">
        <w:rPr>
          <w:lang w:val="fr-FR"/>
        </w:rPr>
        <w:t>Figure 3.2: Réunions préparatoires de la CITEL</w:t>
      </w:r>
    </w:p>
    <w:p w14:paraId="04741C2B" w14:textId="77777777" w:rsidR="00CD509F" w:rsidRPr="00FB1BFA" w:rsidRDefault="00CD509F" w:rsidP="00CD509F">
      <w:pPr>
        <w:pStyle w:val="Figure"/>
        <w:keepNext/>
        <w:keepLines/>
        <w:rPr>
          <w:noProof w:val="0"/>
          <w:lang w:val="fr-FR"/>
        </w:rPr>
      </w:pPr>
      <w:r w:rsidRPr="00FB1BFA">
        <w:rPr>
          <w:noProof w:val="0"/>
          <w:lang w:val="fr-FR"/>
        </w:rPr>
        <w:drawing>
          <wp:inline distT="0" distB="0" distL="0" distR="0" wp14:anchorId="2DC0EE98" wp14:editId="5D8DFB8F">
            <wp:extent cx="6395461" cy="3327778"/>
            <wp:effectExtent l="0" t="0" r="5715" b="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13273" cy="3337046"/>
                    </a:xfrm>
                    <a:prstGeom prst="rect">
                      <a:avLst/>
                    </a:prstGeom>
                    <a:noFill/>
                  </pic:spPr>
                </pic:pic>
              </a:graphicData>
            </a:graphic>
          </wp:inline>
        </w:drawing>
      </w:r>
    </w:p>
    <w:p w14:paraId="75695823" w14:textId="77777777" w:rsidR="00CD509F" w:rsidRPr="00FB1BFA" w:rsidRDefault="00CD509F" w:rsidP="00CD509F">
      <w:pPr>
        <w:pStyle w:val="Figurelegend"/>
        <w:rPr>
          <w:lang w:val="fr-FR"/>
        </w:rPr>
      </w:pPr>
      <w:r w:rsidRPr="00FB1BFA">
        <w:rPr>
          <w:i/>
          <w:iCs/>
          <w:lang w:val="fr-FR"/>
        </w:rPr>
        <w:t>Source</w:t>
      </w:r>
      <w:r w:rsidRPr="00FB1BFA">
        <w:rPr>
          <w:lang w:val="fr-FR"/>
        </w:rPr>
        <w:t xml:space="preserve">: adaptée </w:t>
      </w:r>
      <w:r w:rsidRPr="00FB1BFA">
        <w:rPr>
          <w:szCs w:val="18"/>
          <w:lang w:val="fr-FR"/>
        </w:rPr>
        <w:t>de la présentation de l'UAT lors de la réunion IRM-3, 10 mars 2022</w:t>
      </w:r>
      <w:r w:rsidRPr="00FB1BFA">
        <w:rPr>
          <w:lang w:val="fr-FR"/>
        </w:rPr>
        <w:t>.</w:t>
      </w:r>
    </w:p>
    <w:p w14:paraId="65673198" w14:textId="77777777" w:rsidR="00CD509F" w:rsidRPr="00FB1BFA" w:rsidRDefault="00CD509F" w:rsidP="00CD509F">
      <w:pPr>
        <w:rPr>
          <w:lang w:val="fr-FR"/>
        </w:rPr>
      </w:pPr>
      <w:r w:rsidRPr="00FB1BFA">
        <w:rPr>
          <w:lang w:val="fr-FR"/>
        </w:rPr>
        <w:t>Le Tableau 3.4 énumère les conclusions déjà formulées dans la région en tant que propositions interaméricaines (IAP). Il est proposé de modifier sept résolutions</w:t>
      </w:r>
      <w:r w:rsidRPr="00FB1BFA" w:rsidDel="005B52BF">
        <w:rPr>
          <w:lang w:val="fr-FR"/>
        </w:rPr>
        <w:t xml:space="preserve"> </w:t>
      </w:r>
      <w:r w:rsidRPr="00FB1BFA">
        <w:rPr>
          <w:lang w:val="fr-FR"/>
        </w:rPr>
        <w:t xml:space="preserve">(MOD) et d'en supprimer deux (SUP). Le Tableau 3.5 indique les résolutions qui font toujours l'objet de négociations, ainsi qu'un projet de mise à l'étude d'une nouvelle Question sur le large bande. </w:t>
      </w:r>
      <w:bookmarkStart w:id="7" w:name="lt_pId143"/>
      <w:r w:rsidRPr="00FB1BFA">
        <w:rPr>
          <w:rFonts w:cstheme="minorHAnsi"/>
          <w:szCs w:val="24"/>
          <w:lang w:val="fr-FR"/>
        </w:rPr>
        <w:t>La CITEL est convenue des candidatures suivantes aux postes de direction du GCDT et des commissions d'études de l'UIT-D pour la période 2022-2025</w:t>
      </w:r>
      <w:bookmarkEnd w:id="7"/>
      <w:r w:rsidRPr="00FB1BFA">
        <w:rPr>
          <w:rFonts w:cstheme="minorHAnsi"/>
          <w:szCs w:val="24"/>
          <w:lang w:val="fr-FR"/>
        </w:rPr>
        <w:t>,</w:t>
      </w:r>
      <w:r w:rsidRPr="00FB1BFA">
        <w:rPr>
          <w:lang w:val="fr-FR"/>
        </w:rPr>
        <w:t xml:space="preserve"> comme indiqué dans le Tableau 3.6.</w:t>
      </w:r>
    </w:p>
    <w:p w14:paraId="42E6903A" w14:textId="77777777" w:rsidR="00CD509F" w:rsidRPr="00FB1BFA" w:rsidRDefault="00CD509F" w:rsidP="00CD509F">
      <w:pPr>
        <w:pStyle w:val="Headingb"/>
        <w:rPr>
          <w:lang w:val="fr-FR"/>
        </w:rPr>
      </w:pPr>
      <w:r w:rsidRPr="00FB1BFA">
        <w:rPr>
          <w:lang w:val="fr-FR"/>
        </w:rPr>
        <w:t>Priorités pour la CITEL</w:t>
      </w:r>
    </w:p>
    <w:p w14:paraId="2237CC27" w14:textId="77777777" w:rsidR="00CD509F" w:rsidRPr="00FB1BFA" w:rsidRDefault="00CD509F" w:rsidP="00CD509F">
      <w:pPr>
        <w:rPr>
          <w:lang w:val="fr-FR"/>
        </w:rPr>
      </w:pPr>
      <w:r w:rsidRPr="00FB1BFA">
        <w:rPr>
          <w:lang w:val="fr-FR"/>
        </w:rPr>
        <w:t>La CITEL œuvre dans l</w:t>
      </w:r>
      <w:r w:rsidRPr="00FB1BFA">
        <w:rPr>
          <w:rFonts w:cstheme="minorHAnsi"/>
          <w:szCs w:val="24"/>
          <w:lang w:val="fr-FR"/>
        </w:rPr>
        <w:t>'esprit d'</w:t>
      </w:r>
      <w:r w:rsidRPr="00FB1BFA">
        <w:rPr>
          <w:lang w:val="fr-FR"/>
        </w:rPr>
        <w:t>une "UIT en adéquation avec sa mission" et collabore avec la Directrice du BDT, le GCDT et d</w:t>
      </w:r>
      <w:r w:rsidRPr="00FB1BFA">
        <w:rPr>
          <w:rFonts w:cstheme="minorHAnsi"/>
          <w:szCs w:val="24"/>
          <w:lang w:val="fr-FR"/>
        </w:rPr>
        <w:t xml:space="preserve">'autres États Membres, </w:t>
      </w:r>
      <w:r w:rsidRPr="00FB1BFA">
        <w:rPr>
          <w:lang w:val="fr-FR"/>
        </w:rPr>
        <w:t>pour faire de la CMDT un cadre propice qui encourage la conception et la mise en œuvre de solutions concrètes et efficaces pour le développement et l'utilisation des TIC dans les pays en développement, en particulier les pays les moins avancés (PMA), les pays en développement sans littoral (PDSL) et les petits États insulaires en développement (PEID).</w:t>
      </w:r>
    </w:p>
    <w:p w14:paraId="519FA7CB" w14:textId="77777777" w:rsidR="00CD509F" w:rsidRPr="00FB1BFA" w:rsidRDefault="00CD509F" w:rsidP="00CD509F">
      <w:pPr>
        <w:rPr>
          <w:lang w:val="fr-FR"/>
        </w:rPr>
      </w:pPr>
      <w:r w:rsidRPr="00FB1BFA">
        <w:rPr>
          <w:lang w:val="fr-FR"/>
        </w:rPr>
        <w:t>Pour la CITEL, il est important de renforcer la participation de ces pays aux travaux de l'UIT-D, en particulier des parties prenantes de la région des Amériques (y compris les petites et moyennes entreprises (PME) et les établissements universitaires).</w:t>
      </w:r>
    </w:p>
    <w:p w14:paraId="74F4F65A" w14:textId="77777777" w:rsidR="00CD509F" w:rsidRPr="00FB1BFA" w:rsidRDefault="00CD509F" w:rsidP="00CD509F">
      <w:pPr>
        <w:rPr>
          <w:lang w:val="fr-FR"/>
        </w:rPr>
      </w:pPr>
      <w:r w:rsidRPr="00FB1BFA">
        <w:rPr>
          <w:lang w:val="fr-FR"/>
        </w:rPr>
        <w:t>La région Amériques souhaite que la CMDT examine de manière efficace les grandes priorités en matière de TIC au service du développement identifiées par les régions et axées sur la réduction de la fracture numérique sous toutes ses formes, qui noue le dialogue avec les communautés marginalisées, promeuve les réseaux communautaires et garantisse l'équité et l'égalité hommes</w:t>
      </w:r>
      <w:r w:rsidRPr="00FB1BFA">
        <w:rPr>
          <w:lang w:val="fr-FR"/>
        </w:rPr>
        <w:noBreakHyphen/>
        <w:t xml:space="preserve">femmes ainsi qu'une une mobilisation accrue des jeunes. La CITEL est déterminée à faire </w:t>
      </w:r>
      <w:r w:rsidRPr="00FB1BFA">
        <w:rPr>
          <w:lang w:val="fr-FR"/>
        </w:rPr>
        <w:lastRenderedPageBreak/>
        <w:t>en sorte que les résultats de la CMDT rendent compte de mesures et de politiques concrètes et coordonnées communes à toutes les parties prenantes (États Membres, Membres de Secteur, Associés, société civile, ONG, institutions financières internationales, secteur privé et banques de développement). La CITEL souhaite adopter une approche ascendante, assortie de politiques destinées aux bénéficiaires de programmes, dont les points de vue sont essentiels pour déterminer les aspects sur lesquels l'action collective de l'UIT doit porter. Le renforcement de la coopération avec toutes les régions de l'UIT et les organisations régionales de télécommunication est également une priorité pour la CITEL.</w:t>
      </w:r>
    </w:p>
    <w:p w14:paraId="749BD234" w14:textId="77777777" w:rsidR="00CD509F" w:rsidRPr="00FB1BFA" w:rsidRDefault="00CD509F" w:rsidP="00CD509F">
      <w:pPr>
        <w:pStyle w:val="Headingb"/>
        <w:rPr>
          <w:lang w:val="fr-FR"/>
        </w:rPr>
      </w:pPr>
      <w:r w:rsidRPr="00FB1BFA">
        <w:rPr>
          <w:lang w:val="fr-FR"/>
        </w:rPr>
        <w:t>Initiatives régionales de la région Amériques [priorités]</w:t>
      </w:r>
    </w:p>
    <w:p w14:paraId="18DC0A4E" w14:textId="77777777" w:rsidR="00CD509F" w:rsidRPr="00FB1BFA" w:rsidRDefault="00CD509F" w:rsidP="00CD509F">
      <w:pPr>
        <w:pStyle w:val="enumlev1"/>
        <w:rPr>
          <w:lang w:val="fr-FR"/>
        </w:rPr>
      </w:pPr>
      <w:r w:rsidRPr="00FB1BFA">
        <w:rPr>
          <w:lang w:val="fr-FR"/>
        </w:rPr>
        <w:t>–</w:t>
      </w:r>
      <w:r w:rsidRPr="00FB1BFA">
        <w:rPr>
          <w:lang w:val="fr-FR"/>
        </w:rPr>
        <w:tab/>
        <w:t>AMS1: Déploiement d'infrastructures de télécommunication/TIC modernes, résilientes, sécurisées et durables.</w:t>
      </w:r>
    </w:p>
    <w:p w14:paraId="4C841E17" w14:textId="77777777" w:rsidR="00CD509F" w:rsidRPr="00FB1BFA" w:rsidRDefault="00CD509F" w:rsidP="00CD509F">
      <w:pPr>
        <w:pStyle w:val="enumlev1"/>
        <w:rPr>
          <w:lang w:val="fr-FR"/>
        </w:rPr>
      </w:pPr>
      <w:r w:rsidRPr="00FB1BFA">
        <w:rPr>
          <w:lang w:val="fr-FR"/>
        </w:rPr>
        <w:t>–</w:t>
      </w:r>
      <w:r w:rsidRPr="00FB1BFA">
        <w:rPr>
          <w:lang w:val="fr-FR"/>
        </w:rPr>
        <w:tab/>
        <w:t>AMS2: Amélioration et intensification des programmes de maîtrise des outils et des compétences numériques et d'inclusion numérique, en particulier pour les populations vulnérables.</w:t>
      </w:r>
    </w:p>
    <w:p w14:paraId="03832456" w14:textId="77777777" w:rsidR="00CD509F" w:rsidRPr="00FB1BFA" w:rsidRDefault="00CD509F" w:rsidP="00CD509F">
      <w:pPr>
        <w:pStyle w:val="enumlev1"/>
        <w:rPr>
          <w:lang w:val="fr-FR"/>
        </w:rPr>
      </w:pPr>
      <w:r w:rsidRPr="00FB1BFA">
        <w:rPr>
          <w:lang w:val="fr-FR"/>
        </w:rPr>
        <w:t>–</w:t>
      </w:r>
      <w:r w:rsidRPr="00FB1BFA">
        <w:rPr>
          <w:lang w:val="fr-FR"/>
        </w:rPr>
        <w:tab/>
        <w:t>AMS3: Appui efficace à la transformation numérique et aux écosystèmes de l'innovation dans le cadre de projets de connectivité modulables, financés et durables.</w:t>
      </w:r>
    </w:p>
    <w:p w14:paraId="5915B1C3" w14:textId="77777777" w:rsidR="00CD509F" w:rsidRPr="00FB1BFA" w:rsidRDefault="00CD509F" w:rsidP="00CD509F">
      <w:pPr>
        <w:pStyle w:val="enumlev1"/>
        <w:rPr>
          <w:lang w:val="fr-FR"/>
        </w:rPr>
      </w:pPr>
      <w:r w:rsidRPr="00FB1BFA">
        <w:rPr>
          <w:lang w:val="fr-FR"/>
        </w:rPr>
        <w:t>–</w:t>
      </w:r>
      <w:r w:rsidRPr="00FB1BFA">
        <w:rPr>
          <w:lang w:val="fr-FR"/>
        </w:rPr>
        <w:tab/>
        <w:t>AMS4: Mise en place d'environnements politiques et réglementaires propices, pour connecter ceux qui ne le sont pas encore grâce à des télécommunications/TIC accessibles et financièrement abordables propres à favoriser la réalisation des ODD et le passage à une économie numérique.</w:t>
      </w:r>
    </w:p>
    <w:p w14:paraId="30515A5C" w14:textId="77777777" w:rsidR="00CD509F" w:rsidRPr="00FB1BFA" w:rsidRDefault="00CD509F" w:rsidP="00CD509F">
      <w:pPr>
        <w:pStyle w:val="Tabletitle"/>
        <w:spacing w:before="240"/>
        <w:rPr>
          <w:lang w:val="fr-FR"/>
        </w:rPr>
      </w:pPr>
      <w:r w:rsidRPr="00FB1BFA">
        <w:rPr>
          <w:lang w:val="fr-FR"/>
        </w:rPr>
        <w:t>Tableau 3.4: Propositions interaméricaines (IAP) de la CITEL</w:t>
      </w:r>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387"/>
      </w:tblGrid>
      <w:tr w:rsidR="00CD509F" w:rsidRPr="00FB1BFA" w14:paraId="74C3CB99" w14:textId="77777777" w:rsidTr="00375A6F">
        <w:tc>
          <w:tcPr>
            <w:tcW w:w="4526" w:type="dxa"/>
            <w:shd w:val="clear" w:color="auto" w:fill="31849B"/>
          </w:tcPr>
          <w:p w14:paraId="3C045111"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11 (Rév. Buenos Aires, 2017)</w:t>
            </w:r>
          </w:p>
        </w:tc>
        <w:tc>
          <w:tcPr>
            <w:tcW w:w="5387" w:type="dxa"/>
            <w:shd w:val="clear" w:color="auto" w:fill="D9D9D9"/>
          </w:tcPr>
          <w:p w14:paraId="0CA6C442" w14:textId="77777777" w:rsidR="00CD509F" w:rsidRPr="00FB1BFA" w:rsidRDefault="00CD509F" w:rsidP="00375A6F">
            <w:pPr>
              <w:pStyle w:val="Tabletext"/>
              <w:rPr>
                <w:lang w:val="fr-FR"/>
              </w:rPr>
            </w:pPr>
            <w:r w:rsidRPr="00FB1BFA">
              <w:rPr>
                <w:lang w:val="fr-FR"/>
              </w:rPr>
              <w:t>Services issus des télécommunications/technologies de l'information et de la communication dans les zones rurales, isolées et mal desservies et au sein des communautés autochtones</w:t>
            </w:r>
          </w:p>
        </w:tc>
      </w:tr>
      <w:tr w:rsidR="00CD509F" w:rsidRPr="00FB1BFA" w14:paraId="3C277546" w14:textId="77777777" w:rsidTr="00375A6F">
        <w:tc>
          <w:tcPr>
            <w:tcW w:w="4526" w:type="dxa"/>
            <w:shd w:val="clear" w:color="auto" w:fill="31849B"/>
          </w:tcPr>
          <w:p w14:paraId="1666B28F"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24 (Rév. Dubaï, 2014)</w:t>
            </w:r>
          </w:p>
        </w:tc>
        <w:tc>
          <w:tcPr>
            <w:tcW w:w="5387" w:type="dxa"/>
            <w:shd w:val="clear" w:color="auto" w:fill="D9D9D9"/>
          </w:tcPr>
          <w:p w14:paraId="7CDCC2BB" w14:textId="77777777" w:rsidR="00CD509F" w:rsidRPr="00FB1BFA" w:rsidRDefault="00CD509F" w:rsidP="00375A6F">
            <w:pPr>
              <w:pStyle w:val="Tabletext"/>
              <w:rPr>
                <w:lang w:val="fr-FR"/>
              </w:rPr>
            </w:pPr>
            <w:r w:rsidRPr="00FB1BFA">
              <w:rPr>
                <w:lang w:val="fr-FR"/>
              </w:rPr>
              <w:t>Pouvoir conféré au Groupe consultatif pour le développement des télécommunications d'agir entre les Conférences mondiales de développement des télécommunications</w:t>
            </w:r>
          </w:p>
        </w:tc>
      </w:tr>
      <w:tr w:rsidR="00CD509F" w:rsidRPr="00FB1BFA" w14:paraId="1E3A7AAB" w14:textId="77777777" w:rsidTr="00375A6F">
        <w:tc>
          <w:tcPr>
            <w:tcW w:w="4526" w:type="dxa"/>
            <w:shd w:val="clear" w:color="auto" w:fill="31849B"/>
          </w:tcPr>
          <w:p w14:paraId="50CAC34A"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46 (Rév. Buenos Aires, 2017)</w:t>
            </w:r>
          </w:p>
        </w:tc>
        <w:tc>
          <w:tcPr>
            <w:tcW w:w="5387" w:type="dxa"/>
            <w:shd w:val="clear" w:color="auto" w:fill="D9D9D9"/>
          </w:tcPr>
          <w:p w14:paraId="0DB2C4F4" w14:textId="77777777" w:rsidR="00CD509F" w:rsidRPr="00FB1BFA" w:rsidRDefault="00CD509F" w:rsidP="00375A6F">
            <w:pPr>
              <w:pStyle w:val="Tabletext"/>
              <w:rPr>
                <w:lang w:val="fr-FR"/>
              </w:rPr>
            </w:pPr>
            <w:r w:rsidRPr="00FB1BFA">
              <w:rPr>
                <w:lang w:val="fr-FR"/>
              </w:rPr>
              <w:t>Assistance en faveur des peuples et des communautés autochtones par le biais des technologies de l'information et de la communication</w:t>
            </w:r>
          </w:p>
        </w:tc>
      </w:tr>
      <w:tr w:rsidR="00CD509F" w:rsidRPr="00FB1BFA" w14:paraId="7405AB14" w14:textId="77777777" w:rsidTr="00375A6F">
        <w:tc>
          <w:tcPr>
            <w:tcW w:w="4526" w:type="dxa"/>
            <w:shd w:val="clear" w:color="auto" w:fill="31849B"/>
          </w:tcPr>
          <w:p w14:paraId="4480A42C"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58 (Rév. Buenos Aires, 2017)</w:t>
            </w:r>
          </w:p>
        </w:tc>
        <w:tc>
          <w:tcPr>
            <w:tcW w:w="5387" w:type="dxa"/>
            <w:shd w:val="clear" w:color="auto" w:fill="D9D9D9"/>
          </w:tcPr>
          <w:p w14:paraId="162712B7" w14:textId="77777777" w:rsidR="00CD509F" w:rsidRPr="00FB1BFA" w:rsidRDefault="00CD509F" w:rsidP="00375A6F">
            <w:pPr>
              <w:pStyle w:val="Tabletext"/>
              <w:rPr>
                <w:lang w:val="fr-FR"/>
              </w:rPr>
            </w:pPr>
            <w:r w:rsidRPr="00FB1BFA">
              <w:rPr>
                <w:lang w:val="fr-FR"/>
              </w:rPr>
              <w:t>Accessibilité des télécommunications/technologies de l'information et de la communication pour les personnes handicapées et les personnes ayant des besoins particuliers</w:t>
            </w:r>
          </w:p>
        </w:tc>
      </w:tr>
      <w:tr w:rsidR="00CD509F" w:rsidRPr="00FB1BFA" w14:paraId="497B884C" w14:textId="77777777" w:rsidTr="00375A6F">
        <w:tc>
          <w:tcPr>
            <w:tcW w:w="4526" w:type="dxa"/>
            <w:shd w:val="clear" w:color="auto" w:fill="31849B"/>
          </w:tcPr>
          <w:p w14:paraId="18810BBD"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SUP: Résolution 61 (Rév. Dubaï, 2014)</w:t>
            </w:r>
          </w:p>
        </w:tc>
        <w:tc>
          <w:tcPr>
            <w:tcW w:w="5387" w:type="dxa"/>
            <w:shd w:val="clear" w:color="auto" w:fill="D9D9D9"/>
          </w:tcPr>
          <w:p w14:paraId="29AC13AC" w14:textId="77777777" w:rsidR="00CD509F" w:rsidRPr="00FB1BFA" w:rsidRDefault="00CD509F" w:rsidP="00375A6F">
            <w:pPr>
              <w:pStyle w:val="Tabletext"/>
              <w:rPr>
                <w:lang w:val="fr-FR"/>
              </w:rPr>
            </w:pPr>
            <w:r w:rsidRPr="00FB1BFA">
              <w:rPr>
                <w:lang w:val="fr-FR"/>
              </w:rPr>
              <w:t>Nomination et durée maximale du mandat des présidents et vice-présidents des commissions d'études du Secteur du développement des télécommunications de l'UIT et du Groupe consultatif pour le développement des télécommunications</w:t>
            </w:r>
          </w:p>
        </w:tc>
      </w:tr>
      <w:tr w:rsidR="00CD509F" w:rsidRPr="00FB1BFA" w14:paraId="5F98CADB" w14:textId="77777777" w:rsidTr="00375A6F">
        <w:tc>
          <w:tcPr>
            <w:tcW w:w="4526" w:type="dxa"/>
            <w:shd w:val="clear" w:color="auto" w:fill="31849B"/>
          </w:tcPr>
          <w:p w14:paraId="2328AB25"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64 (Rév. Buenos Aires, 2017)</w:t>
            </w:r>
          </w:p>
        </w:tc>
        <w:tc>
          <w:tcPr>
            <w:tcW w:w="5387" w:type="dxa"/>
            <w:shd w:val="clear" w:color="auto" w:fill="D9D9D9"/>
          </w:tcPr>
          <w:p w14:paraId="6A3A749E" w14:textId="77777777" w:rsidR="00CD509F" w:rsidRPr="00FB1BFA" w:rsidRDefault="00CD509F" w:rsidP="00375A6F">
            <w:pPr>
              <w:pStyle w:val="Tabletext"/>
              <w:rPr>
                <w:lang w:val="fr-FR"/>
              </w:rPr>
            </w:pPr>
            <w:r w:rsidRPr="00FB1BFA">
              <w:rPr>
                <w:lang w:val="fr-FR"/>
              </w:rPr>
              <w:t>Protection et appui pour les utilisateurs/consommateurs de services issus des télécommunications/technologies de l'information et de la communication</w:t>
            </w:r>
          </w:p>
        </w:tc>
      </w:tr>
      <w:tr w:rsidR="00CD509F" w:rsidRPr="00FB1BFA" w14:paraId="6903715B" w14:textId="77777777" w:rsidTr="00375A6F">
        <w:tc>
          <w:tcPr>
            <w:tcW w:w="4526" w:type="dxa"/>
            <w:shd w:val="clear" w:color="auto" w:fill="31849B"/>
          </w:tcPr>
          <w:p w14:paraId="03AB1E43"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lastRenderedPageBreak/>
              <w:t>MOD: Résolution 78 (Rév. Buenos Aires, 2017)</w:t>
            </w:r>
          </w:p>
        </w:tc>
        <w:tc>
          <w:tcPr>
            <w:tcW w:w="5387" w:type="dxa"/>
            <w:shd w:val="clear" w:color="auto" w:fill="D9D9D9"/>
          </w:tcPr>
          <w:p w14:paraId="56B496A1" w14:textId="77777777" w:rsidR="00CD509F" w:rsidRPr="00FB1BFA" w:rsidRDefault="00CD509F" w:rsidP="00375A6F">
            <w:pPr>
              <w:pStyle w:val="Tabletext"/>
              <w:rPr>
                <w:lang w:val="fr-FR"/>
              </w:rPr>
            </w:pPr>
            <w:r w:rsidRPr="00FB1BFA">
              <w:rPr>
                <w:lang w:val="fr-FR"/>
              </w:rPr>
              <w:t>Renforcement des capacités pour lutter contre le détournement et l'utilisation abusive des ressources de numérotage du Secteur de la normalisation des télécommunications de l'UIT</w:t>
            </w:r>
          </w:p>
        </w:tc>
      </w:tr>
      <w:tr w:rsidR="00CD509F" w:rsidRPr="00FB1BFA" w14:paraId="03C31263" w14:textId="77777777" w:rsidTr="00375A6F">
        <w:tc>
          <w:tcPr>
            <w:tcW w:w="4526" w:type="dxa"/>
            <w:shd w:val="clear" w:color="auto" w:fill="31849B"/>
          </w:tcPr>
          <w:p w14:paraId="4420AC37"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SUP: Résolution 81 (Rév. Buenos Aires, 2017)</w:t>
            </w:r>
          </w:p>
        </w:tc>
        <w:tc>
          <w:tcPr>
            <w:tcW w:w="5387" w:type="dxa"/>
            <w:shd w:val="clear" w:color="auto" w:fill="D9D9D9"/>
          </w:tcPr>
          <w:p w14:paraId="347B92FF" w14:textId="77777777" w:rsidR="00CD509F" w:rsidRPr="00FB1BFA" w:rsidRDefault="00CD509F" w:rsidP="00375A6F">
            <w:pPr>
              <w:pStyle w:val="Tabletext"/>
              <w:rPr>
                <w:lang w:val="fr-FR"/>
              </w:rPr>
            </w:pPr>
            <w:r w:rsidRPr="00FB1BFA">
              <w:rPr>
                <w:lang w:val="fr-FR"/>
              </w:rPr>
              <w:t>Perfectionnement des méthodes de travail électroniques pour les travaux du Secteur du développement des télécommunications de l'UIT</w:t>
            </w:r>
          </w:p>
        </w:tc>
      </w:tr>
      <w:tr w:rsidR="00CD509F" w:rsidRPr="00FB1BFA" w14:paraId="7C083A28" w14:textId="77777777" w:rsidTr="00375A6F">
        <w:tc>
          <w:tcPr>
            <w:tcW w:w="4526" w:type="dxa"/>
            <w:shd w:val="clear" w:color="auto" w:fill="31849B"/>
          </w:tcPr>
          <w:p w14:paraId="6DA519F5"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86 (Rév. Buenos Aires, 2017)</w:t>
            </w:r>
          </w:p>
        </w:tc>
        <w:tc>
          <w:tcPr>
            <w:tcW w:w="5387" w:type="dxa"/>
            <w:shd w:val="clear" w:color="auto" w:fill="D9D9D9"/>
          </w:tcPr>
          <w:p w14:paraId="71E1BC78" w14:textId="77777777" w:rsidR="00CD509F" w:rsidRPr="00FB1BFA" w:rsidRDefault="00CD509F" w:rsidP="00375A6F">
            <w:pPr>
              <w:pStyle w:val="Tabletext"/>
              <w:rPr>
                <w:lang w:val="fr-FR"/>
              </w:rPr>
            </w:pPr>
            <w:r w:rsidRPr="00FB1BFA">
              <w:rPr>
                <w:lang w:val="fr-FR"/>
              </w:rPr>
              <w:t>Utilisation au sein du Secteur du développement des télécommunications de l'UIT des langues de l'Union sur un pied d'égalité</w:t>
            </w:r>
          </w:p>
        </w:tc>
      </w:tr>
    </w:tbl>
    <w:p w14:paraId="62AC0664"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adapté de la présentation de la CITEL lors de la réunion IRM-3, 10 mars 2022.</w:t>
      </w:r>
    </w:p>
    <w:p w14:paraId="7C7E1FE3" w14:textId="77777777" w:rsidR="00CD509F" w:rsidRPr="00FB1BFA" w:rsidRDefault="00CD509F" w:rsidP="00CD509F">
      <w:pPr>
        <w:pStyle w:val="Tabletitle"/>
        <w:spacing w:before="240"/>
        <w:rPr>
          <w:lang w:val="fr-FR"/>
        </w:rPr>
      </w:pPr>
      <w:r w:rsidRPr="00FB1BFA">
        <w:rPr>
          <w:lang w:val="fr-FR"/>
        </w:rPr>
        <w:t>Tableau 3.5: Projets de propositions interaméricaines de la CITEL en cours de négociation</w:t>
      </w:r>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387"/>
      </w:tblGrid>
      <w:tr w:rsidR="00CD509F" w:rsidRPr="00FB1BFA" w14:paraId="6FA1D376" w14:textId="77777777" w:rsidTr="00375A6F">
        <w:tc>
          <w:tcPr>
            <w:tcW w:w="4526" w:type="dxa"/>
            <w:shd w:val="clear" w:color="auto" w:fill="31849B"/>
          </w:tcPr>
          <w:p w14:paraId="0D9A4772"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1 (Rév. Buenos Aires, 2017)</w:t>
            </w:r>
          </w:p>
        </w:tc>
        <w:tc>
          <w:tcPr>
            <w:tcW w:w="5387" w:type="dxa"/>
            <w:shd w:val="clear" w:color="auto" w:fill="D9D9D9"/>
          </w:tcPr>
          <w:p w14:paraId="72B39D2E" w14:textId="77777777" w:rsidR="00CD509F" w:rsidRPr="00FB1BFA" w:rsidRDefault="00CD509F" w:rsidP="00375A6F">
            <w:pPr>
              <w:pStyle w:val="Tabletext"/>
              <w:rPr>
                <w:lang w:val="fr-FR"/>
              </w:rPr>
            </w:pPr>
            <w:r w:rsidRPr="00FB1BFA">
              <w:rPr>
                <w:lang w:val="fr-FR"/>
              </w:rPr>
              <w:t>Règlement intérieur du Secteur du développement des télécommunications de l'UIT</w:t>
            </w:r>
          </w:p>
        </w:tc>
      </w:tr>
      <w:tr w:rsidR="00CD509F" w:rsidRPr="00FB1BFA" w14:paraId="6668CD3E" w14:textId="77777777" w:rsidTr="00375A6F">
        <w:tc>
          <w:tcPr>
            <w:tcW w:w="4526" w:type="dxa"/>
            <w:shd w:val="clear" w:color="auto" w:fill="31849B"/>
          </w:tcPr>
          <w:p w14:paraId="2E3A497C"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8 (Rév. Buenos Aires, 2017)</w:t>
            </w:r>
          </w:p>
        </w:tc>
        <w:tc>
          <w:tcPr>
            <w:tcW w:w="5387" w:type="dxa"/>
            <w:shd w:val="clear" w:color="auto" w:fill="D9D9D9"/>
          </w:tcPr>
          <w:p w14:paraId="0D21D804" w14:textId="77777777" w:rsidR="00CD509F" w:rsidRPr="00FB1BFA" w:rsidRDefault="00CD509F" w:rsidP="00375A6F">
            <w:pPr>
              <w:pStyle w:val="Tabletext"/>
              <w:rPr>
                <w:lang w:val="fr-FR"/>
              </w:rPr>
            </w:pPr>
            <w:r w:rsidRPr="00FB1BFA">
              <w:rPr>
                <w:lang w:val="fr-FR"/>
              </w:rPr>
              <w:t>Collecte et diffusion d'informations et de statistiques</w:t>
            </w:r>
          </w:p>
        </w:tc>
      </w:tr>
      <w:tr w:rsidR="00CD509F" w:rsidRPr="00FB1BFA" w14:paraId="1653CAC2" w14:textId="77777777" w:rsidTr="00375A6F">
        <w:tc>
          <w:tcPr>
            <w:tcW w:w="4526" w:type="dxa"/>
            <w:shd w:val="clear" w:color="auto" w:fill="31849B"/>
          </w:tcPr>
          <w:p w14:paraId="5D96C1C7"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22 (Rév. Buenos Aires, 2017)</w:t>
            </w:r>
          </w:p>
        </w:tc>
        <w:tc>
          <w:tcPr>
            <w:tcW w:w="5387" w:type="dxa"/>
            <w:shd w:val="clear" w:color="auto" w:fill="D9D9D9"/>
          </w:tcPr>
          <w:p w14:paraId="7B94CB9A" w14:textId="77777777" w:rsidR="00CD509F" w:rsidRPr="00FB1BFA" w:rsidRDefault="00CD509F" w:rsidP="00375A6F">
            <w:pPr>
              <w:pStyle w:val="Tabletext"/>
              <w:rPr>
                <w:lang w:val="fr-FR"/>
              </w:rPr>
            </w:pPr>
            <w:r w:rsidRPr="00FB1BFA">
              <w:rPr>
                <w:lang w:val="fr-FR"/>
              </w:rPr>
              <w:t>Procédures d'appel alternatives sur les réseaux de télécommunication internationaux et identification de leur origine dans le cadre de la fourniture de services internationaux de télécommunication</w:t>
            </w:r>
          </w:p>
        </w:tc>
      </w:tr>
      <w:tr w:rsidR="00CD509F" w:rsidRPr="00FB1BFA" w14:paraId="0FFB5E87" w14:textId="77777777" w:rsidTr="00375A6F">
        <w:tc>
          <w:tcPr>
            <w:tcW w:w="4526" w:type="dxa"/>
            <w:shd w:val="clear" w:color="auto" w:fill="31849B"/>
          </w:tcPr>
          <w:p w14:paraId="2796390A"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37 (Rév. Buenos Aires, 2017)</w:t>
            </w:r>
          </w:p>
        </w:tc>
        <w:tc>
          <w:tcPr>
            <w:tcW w:w="5387" w:type="dxa"/>
            <w:shd w:val="clear" w:color="auto" w:fill="D9D9D9"/>
          </w:tcPr>
          <w:p w14:paraId="4916EFD3" w14:textId="77777777" w:rsidR="00CD509F" w:rsidRPr="00FB1BFA" w:rsidRDefault="00CD509F" w:rsidP="00375A6F">
            <w:pPr>
              <w:pStyle w:val="Tabletext"/>
              <w:rPr>
                <w:lang w:val="fr-FR"/>
              </w:rPr>
            </w:pPr>
            <w:r w:rsidRPr="00FB1BFA">
              <w:rPr>
                <w:lang w:val="fr-FR"/>
              </w:rPr>
              <w:t>Réduction de la fracture numérique</w:t>
            </w:r>
          </w:p>
        </w:tc>
      </w:tr>
      <w:tr w:rsidR="00CD509F" w:rsidRPr="00FB1BFA" w14:paraId="5FA1B890" w14:textId="77777777" w:rsidTr="00375A6F">
        <w:tc>
          <w:tcPr>
            <w:tcW w:w="4526" w:type="dxa"/>
            <w:shd w:val="clear" w:color="auto" w:fill="31849B"/>
          </w:tcPr>
          <w:p w14:paraId="39661199"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47 (Rév. Buenos Aires, 2017)</w:t>
            </w:r>
          </w:p>
        </w:tc>
        <w:tc>
          <w:tcPr>
            <w:tcW w:w="5387" w:type="dxa"/>
            <w:shd w:val="clear" w:color="auto" w:fill="D9D9D9"/>
          </w:tcPr>
          <w:p w14:paraId="1BBDE909" w14:textId="77777777" w:rsidR="00CD509F" w:rsidRPr="00FB1BFA" w:rsidRDefault="00CD509F" w:rsidP="00375A6F">
            <w:pPr>
              <w:pStyle w:val="Tabletext"/>
              <w:rPr>
                <w:lang w:val="fr-FR"/>
              </w:rPr>
            </w:pPr>
            <w:r w:rsidRPr="00FB1BFA">
              <w:rPr>
                <w:lang w:val="fr-FR"/>
              </w:rPr>
              <w:t>Mieux faire connaître et appliquer les Recommandations de l'UIT dans les pays en développement, y compris les essais de conformité et d'interopérabilité des systèmes produits sur la base de Recommandations de l'UIT</w:t>
            </w:r>
          </w:p>
        </w:tc>
      </w:tr>
      <w:tr w:rsidR="00CD509F" w:rsidRPr="00FB1BFA" w14:paraId="27C06EC9" w14:textId="77777777" w:rsidTr="00375A6F">
        <w:trPr>
          <w:trHeight w:val="195"/>
        </w:trPr>
        <w:tc>
          <w:tcPr>
            <w:tcW w:w="4526" w:type="dxa"/>
            <w:shd w:val="clear" w:color="auto" w:fill="31849B"/>
          </w:tcPr>
          <w:p w14:paraId="5A32524A"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59 (Rév. Buenos Aires, 2017)</w:t>
            </w:r>
          </w:p>
        </w:tc>
        <w:tc>
          <w:tcPr>
            <w:tcW w:w="5387" w:type="dxa"/>
            <w:shd w:val="clear" w:color="auto" w:fill="D9D9D9"/>
          </w:tcPr>
          <w:p w14:paraId="578BC2E3" w14:textId="77777777" w:rsidR="00CD509F" w:rsidRPr="00FB1BFA" w:rsidRDefault="00CD509F" w:rsidP="00375A6F">
            <w:pPr>
              <w:pStyle w:val="Tabletext"/>
              <w:rPr>
                <w:lang w:val="fr-FR"/>
              </w:rPr>
            </w:pPr>
            <w:r w:rsidRPr="00FB1BFA">
              <w:rPr>
                <w:lang w:val="fr-FR"/>
              </w:rPr>
              <w:t>Renforcer la coordination et la coopération entre les trois Secteurs sur des questions d'intérêt mutuel</w:t>
            </w:r>
          </w:p>
        </w:tc>
      </w:tr>
      <w:tr w:rsidR="00CD509F" w:rsidRPr="00FB1BFA" w14:paraId="2FA3E1F4" w14:textId="77777777" w:rsidTr="00375A6F">
        <w:tc>
          <w:tcPr>
            <w:tcW w:w="4526" w:type="dxa"/>
            <w:shd w:val="clear" w:color="auto" w:fill="31849B"/>
          </w:tcPr>
          <w:p w14:paraId="1C66D336"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62 (Rév. Buenos Aires, 2017)</w:t>
            </w:r>
          </w:p>
        </w:tc>
        <w:tc>
          <w:tcPr>
            <w:tcW w:w="5387" w:type="dxa"/>
            <w:shd w:val="clear" w:color="auto" w:fill="D9D9D9"/>
          </w:tcPr>
          <w:p w14:paraId="2FC18F51" w14:textId="77777777" w:rsidR="00CD509F" w:rsidRPr="00FB1BFA" w:rsidRDefault="00CD509F" w:rsidP="00375A6F">
            <w:pPr>
              <w:pStyle w:val="Tabletext"/>
              <w:rPr>
                <w:lang w:val="fr-FR"/>
              </w:rPr>
            </w:pPr>
            <w:r w:rsidRPr="00FB1BFA">
              <w:rPr>
                <w:lang w:val="fr-FR"/>
              </w:rPr>
              <w:t>Évaluation et mesure de l'exposition des personnes aux champs électromagnétiques</w:t>
            </w:r>
          </w:p>
        </w:tc>
      </w:tr>
      <w:tr w:rsidR="00CD509F" w:rsidRPr="00FB1BFA" w14:paraId="1A323634" w14:textId="77777777" w:rsidTr="00375A6F">
        <w:tc>
          <w:tcPr>
            <w:tcW w:w="4526" w:type="dxa"/>
            <w:shd w:val="clear" w:color="auto" w:fill="31849B"/>
          </w:tcPr>
          <w:p w14:paraId="3D202B14"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66 (Rév. Buenos Aires, 2017)</w:t>
            </w:r>
          </w:p>
        </w:tc>
        <w:tc>
          <w:tcPr>
            <w:tcW w:w="5387" w:type="dxa"/>
            <w:shd w:val="clear" w:color="auto" w:fill="D9D9D9"/>
          </w:tcPr>
          <w:p w14:paraId="16216527" w14:textId="77777777" w:rsidR="00CD509F" w:rsidRPr="00FB1BFA" w:rsidRDefault="00CD509F" w:rsidP="00375A6F">
            <w:pPr>
              <w:pStyle w:val="Tabletext"/>
              <w:rPr>
                <w:lang w:val="fr-FR"/>
              </w:rPr>
            </w:pPr>
            <w:r w:rsidRPr="00FB1BFA">
              <w:rPr>
                <w:lang w:val="fr-FR"/>
              </w:rPr>
              <w:t>Les technologies de l'information et de la communication et les changements climatiques</w:t>
            </w:r>
          </w:p>
        </w:tc>
      </w:tr>
      <w:tr w:rsidR="00CD509F" w:rsidRPr="00FB1BFA" w14:paraId="34E56163" w14:textId="77777777" w:rsidTr="00375A6F">
        <w:trPr>
          <w:trHeight w:val="195"/>
        </w:trPr>
        <w:tc>
          <w:tcPr>
            <w:tcW w:w="4526" w:type="dxa"/>
            <w:shd w:val="clear" w:color="auto" w:fill="31849B"/>
          </w:tcPr>
          <w:p w14:paraId="135622BD"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73 (Rév. Buenos Aires, 2017)</w:t>
            </w:r>
          </w:p>
        </w:tc>
        <w:tc>
          <w:tcPr>
            <w:tcW w:w="5387" w:type="dxa"/>
            <w:shd w:val="clear" w:color="auto" w:fill="D9D9D9"/>
          </w:tcPr>
          <w:p w14:paraId="6A7F68D3" w14:textId="77777777" w:rsidR="00CD509F" w:rsidRPr="00FB1BFA" w:rsidRDefault="00CD509F" w:rsidP="00375A6F">
            <w:pPr>
              <w:pStyle w:val="Tabletext"/>
              <w:rPr>
                <w:lang w:val="fr-FR"/>
              </w:rPr>
            </w:pPr>
            <w:r w:rsidRPr="00FB1BFA">
              <w:rPr>
                <w:lang w:val="fr-FR"/>
              </w:rPr>
              <w:t>Centres d'Excellence de l'UIT</w:t>
            </w:r>
          </w:p>
        </w:tc>
      </w:tr>
      <w:tr w:rsidR="00CD509F" w:rsidRPr="00FB1BFA" w14:paraId="30C17714" w14:textId="77777777" w:rsidTr="00375A6F">
        <w:tc>
          <w:tcPr>
            <w:tcW w:w="4526" w:type="dxa"/>
            <w:shd w:val="clear" w:color="auto" w:fill="31849B"/>
          </w:tcPr>
          <w:p w14:paraId="5ED5DAAB"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79 (Rév. Buenos Aires, 2017)</w:t>
            </w:r>
          </w:p>
        </w:tc>
        <w:tc>
          <w:tcPr>
            <w:tcW w:w="5387" w:type="dxa"/>
            <w:shd w:val="clear" w:color="auto" w:fill="D9D9D9"/>
          </w:tcPr>
          <w:p w14:paraId="4D32CBCE" w14:textId="77777777" w:rsidR="00CD509F" w:rsidRPr="00FB1BFA" w:rsidRDefault="00CD509F" w:rsidP="00375A6F">
            <w:pPr>
              <w:pStyle w:val="Tabletext"/>
              <w:rPr>
                <w:lang w:val="fr-FR"/>
              </w:rPr>
            </w:pPr>
            <w:r w:rsidRPr="00FB1BFA">
              <w:rPr>
                <w:lang w:val="fr-FR"/>
              </w:rPr>
              <w:t>Rôle des télécommunications/technologies de l'information et de la communication dans la lutte contre la contrefaçon de dispositifs de télécommunication/d'information et de communication et le traitement de ce problème</w:t>
            </w:r>
          </w:p>
        </w:tc>
      </w:tr>
      <w:tr w:rsidR="00CD509F" w:rsidRPr="00FB1BFA" w14:paraId="14A8385C" w14:textId="77777777" w:rsidTr="00375A6F">
        <w:tc>
          <w:tcPr>
            <w:tcW w:w="4526" w:type="dxa"/>
            <w:shd w:val="clear" w:color="auto" w:fill="31849B"/>
          </w:tcPr>
          <w:p w14:paraId="0901FA8F"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82 (Rév. Dubaï, 2014)</w:t>
            </w:r>
          </w:p>
        </w:tc>
        <w:tc>
          <w:tcPr>
            <w:tcW w:w="5387" w:type="dxa"/>
            <w:shd w:val="clear" w:color="auto" w:fill="D9D9D9"/>
          </w:tcPr>
          <w:p w14:paraId="2BF5ED95" w14:textId="77777777" w:rsidR="00CD509F" w:rsidRPr="00FB1BFA" w:rsidRDefault="00CD509F" w:rsidP="00375A6F">
            <w:pPr>
              <w:pStyle w:val="Tabletext"/>
              <w:rPr>
                <w:lang w:val="fr-FR"/>
              </w:rPr>
            </w:pPr>
            <w:r w:rsidRPr="00FB1BFA">
              <w:rPr>
                <w:lang w:val="fr-FR"/>
              </w:rPr>
              <w:t>Préserver et promouvoir le multilinguisme sur l'Internet en faveur d'une société de l'information inclusive</w:t>
            </w:r>
          </w:p>
        </w:tc>
      </w:tr>
      <w:tr w:rsidR="00CD509F" w:rsidRPr="00FB1BFA" w14:paraId="502F46E7" w14:textId="77777777" w:rsidTr="00375A6F">
        <w:trPr>
          <w:trHeight w:val="195"/>
        </w:trPr>
        <w:tc>
          <w:tcPr>
            <w:tcW w:w="4526" w:type="dxa"/>
            <w:shd w:val="clear" w:color="auto" w:fill="31849B"/>
          </w:tcPr>
          <w:p w14:paraId="1486E2FD" w14:textId="77777777" w:rsidR="00CD509F" w:rsidRPr="00FB1BFA" w:rsidRDefault="00CD509F" w:rsidP="00ED1ECF">
            <w:pPr>
              <w:pStyle w:val="Tabletext"/>
              <w:keepNext/>
              <w:keepLines/>
              <w:rPr>
                <w:b/>
                <w:bCs/>
                <w:color w:val="FFFFFF" w:themeColor="background1"/>
                <w:lang w:val="fr-FR"/>
              </w:rPr>
            </w:pPr>
            <w:r w:rsidRPr="00FB1BFA">
              <w:rPr>
                <w:b/>
                <w:bCs/>
                <w:color w:val="FFFFFF" w:themeColor="background1"/>
                <w:lang w:val="fr-FR"/>
              </w:rPr>
              <w:lastRenderedPageBreak/>
              <w:t>MOD: Résolution 84 (Rév. Buenos Aires, 2017)</w:t>
            </w:r>
          </w:p>
        </w:tc>
        <w:tc>
          <w:tcPr>
            <w:tcW w:w="5387" w:type="dxa"/>
            <w:shd w:val="clear" w:color="auto" w:fill="D9D9D9"/>
          </w:tcPr>
          <w:p w14:paraId="15BEB4EB" w14:textId="77777777" w:rsidR="00CD509F" w:rsidRPr="00FB1BFA" w:rsidRDefault="00CD509F" w:rsidP="00ED1ECF">
            <w:pPr>
              <w:pStyle w:val="Tabletext"/>
              <w:keepNext/>
              <w:keepLines/>
              <w:rPr>
                <w:lang w:val="fr-FR"/>
              </w:rPr>
            </w:pPr>
            <w:r w:rsidRPr="00FB1BFA">
              <w:rPr>
                <w:lang w:val="fr-FR"/>
              </w:rPr>
              <w:t>Lutter contre le vol de dispositifs de télécommunication mobiles</w:t>
            </w:r>
          </w:p>
        </w:tc>
      </w:tr>
      <w:tr w:rsidR="00CD509F" w:rsidRPr="00FB1BFA" w14:paraId="27F51859" w14:textId="77777777" w:rsidTr="00375A6F">
        <w:trPr>
          <w:trHeight w:val="195"/>
        </w:trPr>
        <w:tc>
          <w:tcPr>
            <w:tcW w:w="4526" w:type="dxa"/>
            <w:shd w:val="clear" w:color="auto" w:fill="31849B"/>
          </w:tcPr>
          <w:p w14:paraId="40BFFA36" w14:textId="77777777" w:rsidR="00CD509F" w:rsidRPr="00FB1BFA" w:rsidRDefault="00CD509F" w:rsidP="00ED1ECF">
            <w:pPr>
              <w:pStyle w:val="Tabletext"/>
              <w:keepNext/>
              <w:keepLines/>
              <w:rPr>
                <w:b/>
                <w:bCs/>
                <w:color w:val="FFFFFF" w:themeColor="background1"/>
                <w:lang w:val="fr-FR"/>
              </w:rPr>
            </w:pPr>
            <w:r w:rsidRPr="00FB1BFA">
              <w:rPr>
                <w:b/>
                <w:bCs/>
                <w:color w:val="FFFFFF" w:themeColor="background1"/>
                <w:lang w:val="fr-FR"/>
              </w:rPr>
              <w:t>MOD: Résolution 85 (Rév. Buenos Aires, 2017)</w:t>
            </w:r>
          </w:p>
        </w:tc>
        <w:tc>
          <w:tcPr>
            <w:tcW w:w="5387" w:type="dxa"/>
            <w:shd w:val="clear" w:color="auto" w:fill="D9D9D9"/>
          </w:tcPr>
          <w:p w14:paraId="1FEED1D8" w14:textId="77777777" w:rsidR="00CD509F" w:rsidRPr="00FB1BFA" w:rsidRDefault="00CD509F" w:rsidP="00ED1ECF">
            <w:pPr>
              <w:pStyle w:val="Tabletext"/>
              <w:keepNext/>
              <w:keepLines/>
              <w:rPr>
                <w:lang w:val="fr-FR"/>
              </w:rPr>
            </w:pPr>
            <w:r w:rsidRPr="00FB1BFA">
              <w:rPr>
                <w:lang w:val="fr-FR"/>
              </w:rPr>
              <w:t>Faciliter l'avènement de l'Internet des objets ainsi que des villes et communautés intelligentes pour le développement à l'échelle mondiale</w:t>
            </w:r>
          </w:p>
        </w:tc>
      </w:tr>
      <w:tr w:rsidR="00CD509F" w:rsidRPr="00FB1BFA" w14:paraId="5CA77B10" w14:textId="77777777" w:rsidTr="00375A6F">
        <w:trPr>
          <w:trHeight w:val="195"/>
        </w:trPr>
        <w:tc>
          <w:tcPr>
            <w:tcW w:w="4526" w:type="dxa"/>
            <w:shd w:val="clear" w:color="auto" w:fill="31849B"/>
          </w:tcPr>
          <w:p w14:paraId="00B3CFC0" w14:textId="77777777" w:rsidR="00CD509F" w:rsidRPr="00FB1BFA" w:rsidRDefault="00CD509F" w:rsidP="00ED1ECF">
            <w:pPr>
              <w:pStyle w:val="Tabletext"/>
              <w:keepNext/>
              <w:keepLines/>
              <w:rPr>
                <w:b/>
                <w:bCs/>
                <w:color w:val="FFFFFF" w:themeColor="background1"/>
                <w:lang w:val="fr-FR"/>
              </w:rPr>
            </w:pPr>
            <w:r w:rsidRPr="00FB1BFA">
              <w:rPr>
                <w:b/>
                <w:bCs/>
                <w:color w:val="FFFFFF" w:themeColor="background1"/>
                <w:lang w:val="fr-FR"/>
              </w:rPr>
              <w:t>ADD: Projet de nouvelle Résolution</w:t>
            </w:r>
          </w:p>
        </w:tc>
        <w:tc>
          <w:tcPr>
            <w:tcW w:w="5387" w:type="dxa"/>
            <w:shd w:val="clear" w:color="auto" w:fill="D9D9D9"/>
          </w:tcPr>
          <w:p w14:paraId="0D359BD2" w14:textId="77777777" w:rsidR="00CD509F" w:rsidRPr="00FB1BFA" w:rsidRDefault="00CD509F" w:rsidP="00ED1ECF">
            <w:pPr>
              <w:pStyle w:val="Tabletext"/>
              <w:keepNext/>
              <w:keepLines/>
              <w:rPr>
                <w:lang w:val="fr-FR"/>
              </w:rPr>
            </w:pPr>
            <w:r w:rsidRPr="00FB1BFA">
              <w:rPr>
                <w:lang w:val="fr-FR"/>
              </w:rPr>
              <w:t>Questions confiées aux commissions d'études de l'UIT-D – Large bande</w:t>
            </w:r>
          </w:p>
        </w:tc>
      </w:tr>
    </w:tbl>
    <w:p w14:paraId="20290DDD"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adapté de la présentation de la CITEL lors de la réunion IRM-3, 10 mars 2022.</w:t>
      </w:r>
    </w:p>
    <w:p w14:paraId="62058870" w14:textId="77777777" w:rsidR="00CD509F" w:rsidRPr="00FB1BFA" w:rsidRDefault="00CD509F" w:rsidP="00ED1ECF">
      <w:pPr>
        <w:pStyle w:val="Tabletitle"/>
        <w:spacing w:before="240"/>
        <w:rPr>
          <w:lang w:val="fr-FR"/>
        </w:rPr>
      </w:pPr>
      <w:r w:rsidRPr="00FB1BFA">
        <w:rPr>
          <w:lang w:val="fr-FR"/>
        </w:rPr>
        <w:t>Tableau 3.6: Candidats de la CITEL à des postes de direction au sein du GCDT</w:t>
      </w:r>
      <w:r w:rsidRPr="00FB1BFA">
        <w:rPr>
          <w:lang w:val="fr-FR"/>
        </w:rPr>
        <w:br/>
        <w:t xml:space="preserve"> et des commissions d'études de l'UIT-D</w:t>
      </w:r>
    </w:p>
    <w:tbl>
      <w:tblPr>
        <w:tblW w:w="5000" w:type="pct"/>
        <w:tblBorders>
          <w:top w:val="single" w:sz="8" w:space="0" w:color="FFFFFF"/>
          <w:left w:val="single" w:sz="8" w:space="0" w:color="FFFFFF"/>
          <w:bottom w:val="single" w:sz="8" w:space="0" w:color="FFFFFF"/>
          <w:right w:val="single" w:sz="8" w:space="0" w:color="FFFFFF"/>
          <w:insideH w:val="single" w:sz="12" w:space="0" w:color="FFFFFF"/>
          <w:insideV w:val="single" w:sz="12" w:space="0" w:color="FFFFFF"/>
        </w:tblBorders>
        <w:tblCellMar>
          <w:left w:w="0" w:type="dxa"/>
          <w:right w:w="0" w:type="dxa"/>
        </w:tblCellMar>
        <w:tblLook w:val="04A0" w:firstRow="1" w:lastRow="0" w:firstColumn="1" w:lastColumn="0" w:noHBand="0" w:noVBand="1"/>
      </w:tblPr>
      <w:tblGrid>
        <w:gridCol w:w="3877"/>
        <w:gridCol w:w="3484"/>
        <w:gridCol w:w="2260"/>
      </w:tblGrid>
      <w:tr w:rsidR="00CD509F" w:rsidRPr="00FB1BFA" w14:paraId="312C9320" w14:textId="77777777" w:rsidTr="00375A6F">
        <w:trPr>
          <w:trHeight w:val="278"/>
        </w:trPr>
        <w:tc>
          <w:tcPr>
            <w:tcW w:w="3877" w:type="dxa"/>
            <w:shd w:val="clear" w:color="auto" w:fill="31849B"/>
            <w:tcMar>
              <w:top w:w="0" w:type="dxa"/>
              <w:left w:w="108" w:type="dxa"/>
              <w:bottom w:w="0" w:type="dxa"/>
              <w:right w:w="108" w:type="dxa"/>
            </w:tcMar>
            <w:hideMark/>
          </w:tcPr>
          <w:p w14:paraId="09501086" w14:textId="77777777" w:rsidR="00CD509F" w:rsidRPr="00FB1BFA" w:rsidRDefault="00CD509F" w:rsidP="00375A6F">
            <w:pPr>
              <w:pStyle w:val="Tablehead"/>
              <w:rPr>
                <w:color w:val="FFFFFF" w:themeColor="background1"/>
                <w:lang w:val="fr-FR"/>
              </w:rPr>
            </w:pPr>
          </w:p>
        </w:tc>
        <w:tc>
          <w:tcPr>
            <w:tcW w:w="5744" w:type="dxa"/>
            <w:gridSpan w:val="2"/>
            <w:shd w:val="clear" w:color="auto" w:fill="31849B"/>
            <w:tcMar>
              <w:top w:w="0" w:type="dxa"/>
              <w:left w:w="108" w:type="dxa"/>
              <w:bottom w:w="0" w:type="dxa"/>
              <w:right w:w="108" w:type="dxa"/>
            </w:tcMar>
          </w:tcPr>
          <w:p w14:paraId="5F96A45E" w14:textId="77777777" w:rsidR="00CD509F" w:rsidRPr="00FB1BFA" w:rsidRDefault="00CD509F" w:rsidP="00375A6F">
            <w:pPr>
              <w:pStyle w:val="Tablehead"/>
              <w:rPr>
                <w:color w:val="FFFFFF" w:themeColor="background1"/>
                <w:lang w:val="fr-FR"/>
              </w:rPr>
            </w:pPr>
            <w:r w:rsidRPr="00FB1BFA">
              <w:rPr>
                <w:rFonts w:cs="Calibri"/>
                <w:bCs/>
                <w:color w:val="FFFFFF"/>
                <w:szCs w:val="22"/>
                <w:lang w:val="fr-FR"/>
              </w:rPr>
              <w:t>Candidatures de la CITEL</w:t>
            </w:r>
          </w:p>
        </w:tc>
      </w:tr>
      <w:tr w:rsidR="00CD509F" w:rsidRPr="00FB1BFA" w14:paraId="1FD0CBCA" w14:textId="77777777" w:rsidTr="00375A6F">
        <w:tc>
          <w:tcPr>
            <w:tcW w:w="3877" w:type="dxa"/>
            <w:shd w:val="clear" w:color="auto" w:fill="31849B"/>
            <w:tcMar>
              <w:top w:w="0" w:type="dxa"/>
              <w:left w:w="108" w:type="dxa"/>
              <w:bottom w:w="0" w:type="dxa"/>
              <w:right w:w="108" w:type="dxa"/>
            </w:tcMar>
          </w:tcPr>
          <w:p w14:paraId="1614F876" w14:textId="77777777" w:rsidR="00CD509F" w:rsidRPr="00FB1BFA" w:rsidRDefault="00CD509F" w:rsidP="00375A6F">
            <w:pPr>
              <w:pStyle w:val="Tabletext"/>
              <w:rPr>
                <w:b/>
                <w:bCs/>
                <w:color w:val="FFFFFF" w:themeColor="background1"/>
                <w:lang w:val="fr-FR"/>
              </w:rPr>
            </w:pPr>
            <w:r w:rsidRPr="00FB1BFA">
              <w:rPr>
                <w:rFonts w:cs="Calibri"/>
                <w:b/>
                <w:bCs/>
                <w:color w:val="FFFFFF"/>
                <w:szCs w:val="22"/>
                <w:lang w:val="fr-FR"/>
              </w:rPr>
              <w:t>Commission/groupe et fonction</w:t>
            </w:r>
          </w:p>
        </w:tc>
        <w:tc>
          <w:tcPr>
            <w:tcW w:w="3484" w:type="dxa"/>
            <w:shd w:val="clear" w:color="auto" w:fill="A6A6A6"/>
            <w:tcMar>
              <w:top w:w="0" w:type="dxa"/>
              <w:left w:w="108" w:type="dxa"/>
              <w:bottom w:w="0" w:type="dxa"/>
              <w:right w:w="108" w:type="dxa"/>
            </w:tcMar>
          </w:tcPr>
          <w:p w14:paraId="3D8C856F"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 xml:space="preserve">Candidature </w:t>
            </w:r>
          </w:p>
        </w:tc>
        <w:tc>
          <w:tcPr>
            <w:tcW w:w="2260" w:type="dxa"/>
            <w:shd w:val="clear" w:color="auto" w:fill="A6A6A6"/>
            <w:tcMar>
              <w:top w:w="0" w:type="dxa"/>
              <w:left w:w="108" w:type="dxa"/>
              <w:bottom w:w="0" w:type="dxa"/>
              <w:right w:w="108" w:type="dxa"/>
            </w:tcMar>
          </w:tcPr>
          <w:p w14:paraId="52E7C080"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Pays</w:t>
            </w:r>
          </w:p>
        </w:tc>
      </w:tr>
      <w:tr w:rsidR="00CD509F" w:rsidRPr="00FB1BFA" w14:paraId="29A991DA" w14:textId="77777777" w:rsidTr="00375A6F">
        <w:tc>
          <w:tcPr>
            <w:tcW w:w="3877" w:type="dxa"/>
            <w:shd w:val="clear" w:color="auto" w:fill="31849B"/>
            <w:tcMar>
              <w:top w:w="0" w:type="dxa"/>
              <w:left w:w="108" w:type="dxa"/>
              <w:bottom w:w="0" w:type="dxa"/>
              <w:right w:w="108" w:type="dxa"/>
            </w:tcMar>
          </w:tcPr>
          <w:p w14:paraId="2826BD55" w14:textId="77777777" w:rsidR="00CD509F" w:rsidRPr="00FB1BFA" w:rsidRDefault="00CD509F" w:rsidP="00375A6F">
            <w:pPr>
              <w:pStyle w:val="Tabletext"/>
              <w:rPr>
                <w:b/>
                <w:bCs/>
                <w:color w:val="FFFFFF" w:themeColor="background1"/>
                <w:lang w:val="fr-FR"/>
              </w:rPr>
            </w:pPr>
            <w:r w:rsidRPr="00FB1BFA">
              <w:rPr>
                <w:rFonts w:cs="Calibri"/>
                <w:b/>
                <w:color w:val="FFFFFF"/>
                <w:szCs w:val="22"/>
                <w:lang w:val="fr-FR"/>
              </w:rPr>
              <w:t>Présidente du GCDT</w:t>
            </w:r>
            <w:r w:rsidRPr="00FB1BFA">
              <w:rPr>
                <w:rFonts w:cs="Calibri"/>
                <w:b/>
                <w:bCs/>
                <w:color w:val="FFFFFF"/>
                <w:szCs w:val="22"/>
                <w:lang w:val="fr-FR"/>
              </w:rPr>
              <w:t xml:space="preserve"> </w:t>
            </w:r>
          </w:p>
        </w:tc>
        <w:tc>
          <w:tcPr>
            <w:tcW w:w="3484" w:type="dxa"/>
            <w:shd w:val="clear" w:color="auto" w:fill="D9D9D9"/>
            <w:tcMar>
              <w:top w:w="0" w:type="dxa"/>
              <w:left w:w="108" w:type="dxa"/>
              <w:bottom w:w="0" w:type="dxa"/>
              <w:right w:w="108" w:type="dxa"/>
            </w:tcMar>
          </w:tcPr>
          <w:p w14:paraId="713A1B26" w14:textId="77777777" w:rsidR="00CD509F" w:rsidRPr="00FB1BFA" w:rsidRDefault="00CD509F" w:rsidP="00375A6F">
            <w:pPr>
              <w:pStyle w:val="Tabletext"/>
              <w:rPr>
                <w:lang w:val="fr-FR"/>
              </w:rPr>
            </w:pPr>
            <w:r w:rsidRPr="00FB1BFA">
              <w:rPr>
                <w:lang w:val="fr-FR"/>
              </w:rPr>
              <w:t>Mme Roxanne McElvane Webber</w:t>
            </w:r>
          </w:p>
        </w:tc>
        <w:tc>
          <w:tcPr>
            <w:tcW w:w="2260" w:type="dxa"/>
            <w:shd w:val="clear" w:color="auto" w:fill="D9D9D9"/>
            <w:tcMar>
              <w:top w:w="0" w:type="dxa"/>
              <w:left w:w="108" w:type="dxa"/>
              <w:bottom w:w="0" w:type="dxa"/>
              <w:right w:w="108" w:type="dxa"/>
            </w:tcMar>
          </w:tcPr>
          <w:p w14:paraId="5D3086A0" w14:textId="77777777" w:rsidR="00CD509F" w:rsidRPr="00FB1BFA" w:rsidRDefault="00CD509F" w:rsidP="00375A6F">
            <w:pPr>
              <w:pStyle w:val="Tabletext"/>
              <w:rPr>
                <w:lang w:val="fr-FR"/>
              </w:rPr>
            </w:pPr>
            <w:r w:rsidRPr="00FB1BFA">
              <w:rPr>
                <w:rFonts w:cs="Calibri"/>
                <w:bCs/>
                <w:szCs w:val="22"/>
                <w:lang w:val="fr-FR"/>
              </w:rPr>
              <w:t>États-Unis</w:t>
            </w:r>
          </w:p>
        </w:tc>
      </w:tr>
      <w:tr w:rsidR="00CD509F" w:rsidRPr="00FB1BFA" w14:paraId="36942494" w14:textId="77777777" w:rsidTr="00375A6F">
        <w:tc>
          <w:tcPr>
            <w:tcW w:w="3877" w:type="dxa"/>
            <w:shd w:val="clear" w:color="auto" w:fill="31849B"/>
            <w:tcMar>
              <w:top w:w="0" w:type="dxa"/>
              <w:left w:w="108" w:type="dxa"/>
              <w:bottom w:w="0" w:type="dxa"/>
              <w:right w:w="108" w:type="dxa"/>
            </w:tcMar>
          </w:tcPr>
          <w:p w14:paraId="694D16FC" w14:textId="77777777" w:rsidR="00CD509F" w:rsidRPr="00FB1BFA" w:rsidRDefault="00CD509F" w:rsidP="00375A6F">
            <w:pPr>
              <w:pStyle w:val="Tabletext"/>
              <w:rPr>
                <w:b/>
                <w:bCs/>
                <w:color w:val="FFFFFF" w:themeColor="background1"/>
                <w:lang w:val="fr-FR"/>
              </w:rPr>
            </w:pPr>
            <w:r w:rsidRPr="00FB1BFA">
              <w:rPr>
                <w:rFonts w:cs="Calibri"/>
                <w:b/>
                <w:color w:val="FFFFFF"/>
                <w:szCs w:val="22"/>
                <w:lang w:val="fr-FR"/>
              </w:rPr>
              <w:t>Vice-Présidente du GCDT</w:t>
            </w:r>
          </w:p>
        </w:tc>
        <w:tc>
          <w:tcPr>
            <w:tcW w:w="3484" w:type="dxa"/>
            <w:shd w:val="clear" w:color="auto" w:fill="D9D9D9"/>
            <w:tcMar>
              <w:top w:w="0" w:type="dxa"/>
              <w:left w:w="108" w:type="dxa"/>
              <w:bottom w:w="0" w:type="dxa"/>
              <w:right w:w="108" w:type="dxa"/>
            </w:tcMar>
          </w:tcPr>
          <w:p w14:paraId="4D77A3A1" w14:textId="77777777" w:rsidR="00CD509F" w:rsidRPr="00FB1BFA" w:rsidRDefault="00CD509F" w:rsidP="00375A6F">
            <w:pPr>
              <w:pStyle w:val="Tabletext"/>
              <w:rPr>
                <w:lang w:val="fr-FR"/>
              </w:rPr>
            </w:pPr>
            <w:r w:rsidRPr="00FB1BFA">
              <w:rPr>
                <w:lang w:val="fr-FR"/>
              </w:rPr>
              <w:t>Mme Agustina Brizzio</w:t>
            </w:r>
          </w:p>
        </w:tc>
        <w:tc>
          <w:tcPr>
            <w:tcW w:w="2260" w:type="dxa"/>
            <w:shd w:val="clear" w:color="auto" w:fill="D9D9D9"/>
            <w:tcMar>
              <w:top w:w="0" w:type="dxa"/>
              <w:left w:w="108" w:type="dxa"/>
              <w:bottom w:w="0" w:type="dxa"/>
              <w:right w:w="108" w:type="dxa"/>
            </w:tcMar>
          </w:tcPr>
          <w:p w14:paraId="01CD286A" w14:textId="77777777" w:rsidR="00CD509F" w:rsidRPr="00FB1BFA" w:rsidRDefault="00CD509F" w:rsidP="00375A6F">
            <w:pPr>
              <w:pStyle w:val="Tabletext"/>
              <w:rPr>
                <w:lang w:val="fr-FR"/>
              </w:rPr>
            </w:pPr>
            <w:r w:rsidRPr="00FB1BFA">
              <w:rPr>
                <w:rFonts w:cs="Calibri"/>
                <w:bCs/>
                <w:szCs w:val="22"/>
                <w:lang w:val="fr-FR"/>
              </w:rPr>
              <w:t>Argentine</w:t>
            </w:r>
          </w:p>
        </w:tc>
      </w:tr>
      <w:tr w:rsidR="00CD509F" w:rsidRPr="00FB1BFA" w14:paraId="2A8C3257" w14:textId="77777777" w:rsidTr="00375A6F">
        <w:tc>
          <w:tcPr>
            <w:tcW w:w="3877" w:type="dxa"/>
            <w:shd w:val="clear" w:color="auto" w:fill="31849B"/>
            <w:tcMar>
              <w:top w:w="0" w:type="dxa"/>
              <w:left w:w="108" w:type="dxa"/>
              <w:bottom w:w="0" w:type="dxa"/>
              <w:right w:w="108" w:type="dxa"/>
            </w:tcMar>
          </w:tcPr>
          <w:p w14:paraId="6C4C12D7" w14:textId="77777777" w:rsidR="00CD509F" w:rsidRPr="00FB1BFA" w:rsidRDefault="00CD509F" w:rsidP="00375A6F">
            <w:pPr>
              <w:pStyle w:val="Tabletext"/>
              <w:rPr>
                <w:b/>
                <w:bCs/>
                <w:color w:val="FFFFFF" w:themeColor="background1"/>
                <w:lang w:val="fr-FR"/>
              </w:rPr>
            </w:pPr>
            <w:r w:rsidRPr="00FB1BFA">
              <w:rPr>
                <w:rFonts w:cs="Calibri"/>
                <w:b/>
                <w:color w:val="FFFFFF"/>
                <w:szCs w:val="22"/>
                <w:lang w:val="fr-FR"/>
              </w:rPr>
              <w:t>Vice-Présidente du GCDT</w:t>
            </w:r>
          </w:p>
        </w:tc>
        <w:tc>
          <w:tcPr>
            <w:tcW w:w="3484" w:type="dxa"/>
            <w:shd w:val="clear" w:color="auto" w:fill="D9D9D9"/>
            <w:tcMar>
              <w:top w:w="0" w:type="dxa"/>
              <w:left w:w="108" w:type="dxa"/>
              <w:bottom w:w="0" w:type="dxa"/>
              <w:right w:w="108" w:type="dxa"/>
            </w:tcMar>
          </w:tcPr>
          <w:p w14:paraId="3D7BA11D" w14:textId="77777777" w:rsidR="00CD509F" w:rsidRPr="00FB1BFA" w:rsidRDefault="00CD509F" w:rsidP="00375A6F">
            <w:pPr>
              <w:pStyle w:val="Tabletext"/>
              <w:rPr>
                <w:lang w:val="fr-FR"/>
              </w:rPr>
            </w:pPr>
            <w:r w:rsidRPr="00FB1BFA">
              <w:rPr>
                <w:lang w:val="fr-FR"/>
              </w:rPr>
              <w:t>Mme Andrea Grippa</w:t>
            </w:r>
          </w:p>
        </w:tc>
        <w:tc>
          <w:tcPr>
            <w:tcW w:w="2260" w:type="dxa"/>
            <w:shd w:val="clear" w:color="auto" w:fill="D9D9D9"/>
            <w:tcMar>
              <w:top w:w="0" w:type="dxa"/>
              <w:left w:w="108" w:type="dxa"/>
              <w:bottom w:w="0" w:type="dxa"/>
              <w:right w:w="108" w:type="dxa"/>
            </w:tcMar>
          </w:tcPr>
          <w:p w14:paraId="4AE0BBA9" w14:textId="77777777" w:rsidR="00CD509F" w:rsidRPr="00FB1BFA" w:rsidRDefault="00CD509F" w:rsidP="00375A6F">
            <w:pPr>
              <w:pStyle w:val="Tabletext"/>
              <w:rPr>
                <w:lang w:val="fr-FR"/>
              </w:rPr>
            </w:pPr>
            <w:r w:rsidRPr="00FB1BFA">
              <w:rPr>
                <w:rFonts w:cs="Calibri"/>
                <w:bCs/>
                <w:szCs w:val="22"/>
                <w:lang w:val="fr-FR"/>
              </w:rPr>
              <w:t xml:space="preserve">Brésil </w:t>
            </w:r>
          </w:p>
        </w:tc>
      </w:tr>
      <w:tr w:rsidR="00CD509F" w:rsidRPr="00FB1BFA" w14:paraId="24EBAD9D" w14:textId="77777777" w:rsidTr="00375A6F">
        <w:trPr>
          <w:trHeight w:val="1031"/>
        </w:trPr>
        <w:tc>
          <w:tcPr>
            <w:tcW w:w="3877" w:type="dxa"/>
            <w:shd w:val="clear" w:color="auto" w:fill="31849B"/>
            <w:tcMar>
              <w:top w:w="0" w:type="dxa"/>
              <w:left w:w="108" w:type="dxa"/>
              <w:bottom w:w="0" w:type="dxa"/>
              <w:right w:w="108" w:type="dxa"/>
            </w:tcMar>
          </w:tcPr>
          <w:p w14:paraId="5F73F551" w14:textId="77777777" w:rsidR="00CD509F" w:rsidRPr="00FB1BFA" w:rsidRDefault="00CD509F" w:rsidP="00375A6F">
            <w:pPr>
              <w:pStyle w:val="Tabletext"/>
              <w:rPr>
                <w:b/>
                <w:bCs/>
                <w:color w:val="FFFFFF" w:themeColor="background1"/>
                <w:lang w:val="fr-FR"/>
              </w:rPr>
            </w:pPr>
            <w:r w:rsidRPr="00FB1BFA">
              <w:rPr>
                <w:rFonts w:cs="Calibri"/>
                <w:b/>
                <w:color w:val="FFFFFF"/>
                <w:szCs w:val="22"/>
                <w:lang w:val="fr-FR"/>
              </w:rPr>
              <w:t>Vice-Président de la Commission d'études 1</w:t>
            </w:r>
            <w:r w:rsidRPr="00FB1BFA">
              <w:rPr>
                <w:rFonts w:cs="Calibri"/>
                <w:b/>
                <w:color w:val="FFFFFF"/>
                <w:szCs w:val="22"/>
                <w:lang w:val="fr-FR"/>
              </w:rPr>
              <w:br/>
              <w:t>Vice-Président de la Commission d'études 2</w:t>
            </w:r>
          </w:p>
        </w:tc>
        <w:tc>
          <w:tcPr>
            <w:tcW w:w="3484" w:type="dxa"/>
            <w:shd w:val="clear" w:color="auto" w:fill="D9D9D9"/>
            <w:tcMar>
              <w:top w:w="0" w:type="dxa"/>
              <w:left w:w="108" w:type="dxa"/>
              <w:bottom w:w="0" w:type="dxa"/>
              <w:right w:w="108" w:type="dxa"/>
            </w:tcMar>
          </w:tcPr>
          <w:p w14:paraId="7E9709BA" w14:textId="77777777" w:rsidR="00CD509F" w:rsidRPr="00FB1BFA" w:rsidRDefault="00CD509F" w:rsidP="00375A6F">
            <w:pPr>
              <w:pStyle w:val="Tabletext"/>
              <w:rPr>
                <w:lang w:val="fr-FR"/>
              </w:rPr>
            </w:pPr>
            <w:r w:rsidRPr="00FB1BFA">
              <w:rPr>
                <w:lang w:val="fr-FR"/>
              </w:rPr>
              <w:t>M. Roberto Mitsuake Hirayama</w:t>
            </w:r>
            <w:r w:rsidRPr="00FB1BFA">
              <w:rPr>
                <w:lang w:val="fr-FR"/>
              </w:rPr>
              <w:br/>
            </w:r>
            <w:r w:rsidRPr="00FB1BFA">
              <w:rPr>
                <w:lang w:val="fr-FR"/>
              </w:rPr>
              <w:br/>
              <w:t>M. Victor Antonio Martinez Sanchez</w:t>
            </w:r>
          </w:p>
        </w:tc>
        <w:tc>
          <w:tcPr>
            <w:tcW w:w="2260" w:type="dxa"/>
            <w:shd w:val="clear" w:color="auto" w:fill="D9D9D9"/>
            <w:tcMar>
              <w:top w:w="0" w:type="dxa"/>
              <w:left w:w="108" w:type="dxa"/>
              <w:bottom w:w="0" w:type="dxa"/>
              <w:right w:w="108" w:type="dxa"/>
            </w:tcMar>
          </w:tcPr>
          <w:p w14:paraId="035D1498" w14:textId="77777777" w:rsidR="00CD509F" w:rsidRPr="00FB1BFA" w:rsidRDefault="00CD509F" w:rsidP="00375A6F">
            <w:pPr>
              <w:pStyle w:val="Tabletext"/>
              <w:rPr>
                <w:rFonts w:cs="Calibri"/>
                <w:bCs/>
                <w:szCs w:val="22"/>
                <w:lang w:val="fr-FR"/>
              </w:rPr>
            </w:pPr>
            <w:r w:rsidRPr="00FB1BFA">
              <w:rPr>
                <w:rFonts w:cs="Calibri"/>
                <w:bCs/>
                <w:szCs w:val="22"/>
                <w:lang w:val="fr-FR"/>
              </w:rPr>
              <w:t>Brésil</w:t>
            </w:r>
            <w:r w:rsidRPr="00FB1BFA">
              <w:rPr>
                <w:rFonts w:cs="Calibri"/>
                <w:bCs/>
                <w:szCs w:val="22"/>
                <w:lang w:val="fr-FR"/>
              </w:rPr>
              <w:br/>
            </w:r>
            <w:r w:rsidRPr="00FB1BFA">
              <w:rPr>
                <w:rFonts w:cstheme="minorHAnsi"/>
                <w:bCs/>
                <w:szCs w:val="22"/>
                <w:lang w:val="fr-FR"/>
              </w:rPr>
              <w:br/>
              <w:t>Paraguay</w:t>
            </w:r>
          </w:p>
        </w:tc>
      </w:tr>
    </w:tbl>
    <w:p w14:paraId="007021D4"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adapté de la présentation de la CITEL lors de la réunion IRM-3, 10 mars 2022.</w:t>
      </w:r>
    </w:p>
    <w:p w14:paraId="68CE618F" w14:textId="77777777" w:rsidR="00CD509F" w:rsidRPr="00FB1BFA" w:rsidRDefault="00CD509F" w:rsidP="00CD509F">
      <w:pPr>
        <w:pStyle w:val="Heading2"/>
        <w:rPr>
          <w:lang w:val="fr-FR"/>
        </w:rPr>
      </w:pPr>
      <w:r w:rsidRPr="00FB1BFA">
        <w:rPr>
          <w:lang w:val="fr-FR"/>
        </w:rPr>
        <w:t>3.3</w:t>
      </w:r>
      <w:r w:rsidRPr="00FB1BFA">
        <w:rPr>
          <w:lang w:val="fr-FR"/>
        </w:rPr>
        <w:tab/>
        <w:t>Télécommunauté Asie-Pacifique (APT)</w:t>
      </w:r>
    </w:p>
    <w:p w14:paraId="508196D9" w14:textId="77777777" w:rsidR="00CD509F" w:rsidRPr="00FB1BFA" w:rsidRDefault="00CD509F" w:rsidP="00CD509F">
      <w:pPr>
        <w:rPr>
          <w:lang w:val="fr-FR"/>
        </w:rPr>
      </w:pPr>
      <w:r w:rsidRPr="00FB1BFA">
        <w:rPr>
          <w:lang w:val="fr-FR"/>
        </w:rPr>
        <w:t>Le représentant de la République islamique d'Iran, au nom de l'APT, a présenté l'état d'avancement des travaux préparatoires dans la région Asie-Pacifique, mais a tout d'abord félicité la Ministre pour son élection à la présidence de la réunion IRM-3 et l'a remercié d'avoir accepté d'assumer les fonctions de Présidente désignée pour la CMDT. "Pour l'Afrique dans son ensemble, la possibilité de jouer un rôle dans le contexte mondial du développement des télécommunications et des TIC représente une occasion exceptionnelle. Nous sommes convaincus que</w:t>
      </w:r>
      <w:r w:rsidRPr="00FB1BFA">
        <w:rPr>
          <w:color w:val="000000"/>
          <w:lang w:val="fr-FR"/>
        </w:rPr>
        <w:t xml:space="preserve"> sous votre direction éclairée</w:t>
      </w:r>
      <w:r w:rsidRPr="00FB1BFA">
        <w:rPr>
          <w:lang w:val="fr-FR"/>
        </w:rPr>
        <w:t xml:space="preserve"> et grâce à la compétence dont vous ferez preuve en tant que Présidente, la CMDT qui se tiendra dans votre pays sera un succès qui restera dans les mémoires."</w:t>
      </w:r>
    </w:p>
    <w:p w14:paraId="1684D75B" w14:textId="410EBF58" w:rsidR="00CD509F" w:rsidRPr="00FB1BFA" w:rsidRDefault="00CD509F" w:rsidP="00CD509F">
      <w:pPr>
        <w:rPr>
          <w:lang w:val="fr-FR"/>
        </w:rPr>
      </w:pPr>
      <w:r w:rsidRPr="00FB1BFA">
        <w:rPr>
          <w:lang w:val="fr-FR"/>
        </w:rPr>
        <w:t>L</w:t>
      </w:r>
      <w:bookmarkStart w:id="8" w:name="_Hlk102229704"/>
      <w:r w:rsidRPr="00FB1BFA">
        <w:rPr>
          <w:lang w:val="fr-FR"/>
        </w:rPr>
        <w:t>'APT</w:t>
      </w:r>
      <w:bookmarkEnd w:id="8"/>
      <w:r w:rsidRPr="00FB1BFA">
        <w:rPr>
          <w:lang w:val="fr-FR"/>
        </w:rPr>
        <w:t xml:space="preserve"> a tenu cinq réunions préparatoires, la dernière étant prévue le 21 avril 2022 (voir la Figure 3.3) pour établir la version définitive de ses propositions communes et les soumettre à la conférence.</w:t>
      </w:r>
    </w:p>
    <w:p w14:paraId="6DCF6443" w14:textId="4846619D" w:rsidR="00ED1ECF" w:rsidRPr="00FB1BFA" w:rsidRDefault="00ED1ECF">
      <w:pPr>
        <w:tabs>
          <w:tab w:val="clear" w:pos="794"/>
          <w:tab w:val="clear" w:pos="1191"/>
          <w:tab w:val="clear" w:pos="1588"/>
          <w:tab w:val="clear" w:pos="1985"/>
        </w:tabs>
        <w:overflowPunct/>
        <w:autoSpaceDE/>
        <w:autoSpaceDN/>
        <w:adjustRightInd/>
        <w:spacing w:before="0"/>
        <w:textAlignment w:val="auto"/>
        <w:rPr>
          <w:lang w:val="fr-FR"/>
        </w:rPr>
      </w:pPr>
      <w:r w:rsidRPr="00FB1BFA">
        <w:rPr>
          <w:lang w:val="fr-FR"/>
        </w:rPr>
        <w:br w:type="page"/>
      </w:r>
    </w:p>
    <w:p w14:paraId="01466D58" w14:textId="77777777" w:rsidR="00CD509F" w:rsidRPr="00FB1BFA" w:rsidRDefault="00CD509F" w:rsidP="00CD509F">
      <w:pPr>
        <w:pStyle w:val="Figuretitle"/>
        <w:spacing w:before="360" w:after="240"/>
        <w:rPr>
          <w:lang w:val="fr-FR"/>
        </w:rPr>
      </w:pPr>
      <w:r w:rsidRPr="00FB1BFA">
        <w:rPr>
          <w:lang w:val="fr-FR"/>
        </w:rPr>
        <w:lastRenderedPageBreak/>
        <w:t>Figure 3.3: Réunions du Groupe de préparation de l'APT</w:t>
      </w:r>
    </w:p>
    <w:p w14:paraId="05DD6DB0" w14:textId="77777777" w:rsidR="00CD509F" w:rsidRPr="00FB1BFA" w:rsidRDefault="00CD509F" w:rsidP="00CD509F">
      <w:pPr>
        <w:pStyle w:val="Figure"/>
        <w:tabs>
          <w:tab w:val="clear" w:pos="1191"/>
        </w:tabs>
        <w:rPr>
          <w:noProof w:val="0"/>
          <w:lang w:val="fr-FR"/>
        </w:rPr>
      </w:pPr>
      <w:r w:rsidRPr="00FB1BFA">
        <w:rPr>
          <w:noProof w:val="0"/>
          <w:lang w:val="fr-FR"/>
        </w:rPr>
        <w:drawing>
          <wp:inline distT="0" distB="0" distL="0" distR="0" wp14:anchorId="2AF87B96" wp14:editId="19A9ECC8">
            <wp:extent cx="3967701" cy="3252848"/>
            <wp:effectExtent l="0" t="0" r="0" b="5080"/>
            <wp:docPr id="10" name="Picture 1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24"/>
                    <a:stretch>
                      <a:fillRect/>
                    </a:stretch>
                  </pic:blipFill>
                  <pic:spPr>
                    <a:xfrm>
                      <a:off x="0" y="0"/>
                      <a:ext cx="3976057" cy="3259699"/>
                    </a:xfrm>
                    <a:prstGeom prst="rect">
                      <a:avLst/>
                    </a:prstGeom>
                  </pic:spPr>
                </pic:pic>
              </a:graphicData>
            </a:graphic>
          </wp:inline>
        </w:drawing>
      </w:r>
    </w:p>
    <w:p w14:paraId="1AC5AC91" w14:textId="77777777" w:rsidR="00CD509F" w:rsidRPr="00FB1BFA" w:rsidRDefault="00CD509F" w:rsidP="00CD509F">
      <w:pPr>
        <w:pStyle w:val="Figurelegend"/>
        <w:rPr>
          <w:lang w:val="fr-FR"/>
        </w:rPr>
      </w:pPr>
      <w:r w:rsidRPr="00FB1BFA">
        <w:rPr>
          <w:i/>
          <w:iCs/>
          <w:lang w:val="fr-FR"/>
        </w:rPr>
        <w:t xml:space="preserve">Source: </w:t>
      </w:r>
      <w:r w:rsidRPr="00FB1BFA">
        <w:rPr>
          <w:lang w:val="fr-FR"/>
        </w:rPr>
        <w:t>adaptée de la présentation de l'APT lors de la réunion IRM-3, 10 mars 2022</w:t>
      </w:r>
    </w:p>
    <w:p w14:paraId="2C79FB6B" w14:textId="77777777" w:rsidR="00CD509F" w:rsidRPr="00FB1BFA" w:rsidRDefault="00CD509F" w:rsidP="00CD509F">
      <w:pPr>
        <w:spacing w:after="120"/>
        <w:rPr>
          <w:lang w:val="fr-FR"/>
        </w:rPr>
      </w:pPr>
      <w:r w:rsidRPr="00FB1BFA">
        <w:rPr>
          <w:lang w:val="fr-FR"/>
        </w:rPr>
        <w:t xml:space="preserve">Le Groupe de préparation de l'APT en vue de la CMDT est composé de trois groupes de travail (voir le Tableau 3.7) et s'est fixé trois objectifs: aider les Membres de l'APT à se préparer à la CMDT; rédiger des propositions formulées par les Membres de l'APT qui tiennent compte des intérêts de la région Asie-Pacifique en tant que contributions à la CMDT; et aider les Membres de l'APT lors de la CMDT. </w:t>
      </w:r>
    </w:p>
    <w:p w14:paraId="7D0697B2" w14:textId="77777777" w:rsidR="00CD509F" w:rsidRPr="00FB1BFA" w:rsidRDefault="00CD509F" w:rsidP="00CD509F">
      <w:pPr>
        <w:pStyle w:val="Tabletitle"/>
        <w:spacing w:before="240"/>
        <w:rPr>
          <w:lang w:val="fr-FR"/>
        </w:rPr>
      </w:pPr>
      <w:r w:rsidRPr="00FB1BFA">
        <w:rPr>
          <w:lang w:val="fr-FR"/>
        </w:rPr>
        <w:t>Tableau 3.7: Responsables du Groupe de préparation de l'APT en vue de la CMDT</w:t>
      </w:r>
    </w:p>
    <w:tbl>
      <w:tblPr>
        <w:tblW w:w="5000" w:type="pct"/>
        <w:tblCellMar>
          <w:left w:w="0" w:type="dxa"/>
          <w:right w:w="0" w:type="dxa"/>
        </w:tblCellMar>
        <w:tblLook w:val="04A0" w:firstRow="1" w:lastRow="0" w:firstColumn="1" w:lastColumn="0" w:noHBand="0" w:noVBand="1"/>
      </w:tblPr>
      <w:tblGrid>
        <w:gridCol w:w="9621"/>
      </w:tblGrid>
      <w:tr w:rsidR="00CD509F" w:rsidRPr="00FB1BFA" w14:paraId="0C3A47D0" w14:textId="77777777" w:rsidTr="00375A6F">
        <w:tc>
          <w:tcPr>
            <w:tcW w:w="9621" w:type="dxa"/>
            <w:tcBorders>
              <w:top w:val="single" w:sz="8" w:space="0" w:color="FFFFFF"/>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00F68433" w14:textId="77777777" w:rsidR="00CD509F" w:rsidRPr="00FB1BFA" w:rsidRDefault="00CD509F" w:rsidP="00375A6F">
            <w:pPr>
              <w:keepNext/>
              <w:spacing w:before="40" w:after="40"/>
              <w:rPr>
                <w:rFonts w:cstheme="minorHAnsi"/>
                <w:b/>
                <w:color w:val="FFFFFF" w:themeColor="background1"/>
                <w:sz w:val="20"/>
                <w:lang w:val="fr-FR"/>
              </w:rPr>
            </w:pPr>
            <w:r w:rsidRPr="00FB1BFA">
              <w:rPr>
                <w:rFonts w:cstheme="minorHAnsi"/>
                <w:b/>
                <w:color w:val="FFFFFF" w:themeColor="background1"/>
                <w:sz w:val="20"/>
                <w:lang w:val="fr-FR"/>
              </w:rPr>
              <w:t>Plénière – Président: M. Ahmad Reza Sharafat (République islamique d'Iran)</w:t>
            </w:r>
          </w:p>
        </w:tc>
      </w:tr>
      <w:tr w:rsidR="00CD509F" w:rsidRPr="00FB1BFA" w14:paraId="140ED849" w14:textId="77777777" w:rsidTr="00375A6F">
        <w:tc>
          <w:tcPr>
            <w:tcW w:w="9621"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32E19B48" w14:textId="77777777" w:rsidR="00CD509F" w:rsidRPr="00FB1BFA" w:rsidRDefault="00CD509F" w:rsidP="00375A6F">
            <w:pPr>
              <w:keepNext/>
              <w:spacing w:before="40" w:after="40"/>
              <w:rPr>
                <w:rFonts w:cstheme="minorHAnsi"/>
                <w:sz w:val="20"/>
                <w:lang w:val="fr-FR"/>
              </w:rPr>
            </w:pPr>
            <w:r w:rsidRPr="00FB1BFA">
              <w:rPr>
                <w:rFonts w:cstheme="minorHAnsi"/>
                <w:sz w:val="20"/>
                <w:lang w:val="fr-FR"/>
              </w:rPr>
              <w:t xml:space="preserve">Vice-Présidents: M. Norifumi Yamaguchi (Japon), </w:t>
            </w:r>
            <w:r w:rsidRPr="00FB1BFA">
              <w:rPr>
                <w:rFonts w:cstheme="minorHAnsi"/>
                <w:bCs/>
                <w:sz w:val="20"/>
                <w:lang w:val="fr-FR"/>
              </w:rPr>
              <w:t xml:space="preserve">M. Sung Joon Choi </w:t>
            </w:r>
            <w:r w:rsidRPr="00FB1BFA">
              <w:rPr>
                <w:rFonts w:cstheme="minorHAnsi"/>
                <w:sz w:val="20"/>
                <w:lang w:val="fr-FR"/>
              </w:rPr>
              <w:t>(République de Corée)</w:t>
            </w:r>
          </w:p>
        </w:tc>
      </w:tr>
      <w:tr w:rsidR="00CD509F" w:rsidRPr="00FB1BFA" w14:paraId="552A2411" w14:textId="77777777" w:rsidTr="00375A6F">
        <w:tc>
          <w:tcPr>
            <w:tcW w:w="9621"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188C306A" w14:textId="77777777" w:rsidR="00CD509F" w:rsidRPr="00FB1BFA" w:rsidRDefault="00CD509F" w:rsidP="00375A6F">
            <w:pPr>
              <w:tabs>
                <w:tab w:val="left" w:pos="7920"/>
              </w:tabs>
              <w:spacing w:before="40" w:after="40"/>
              <w:ind w:right="-40"/>
              <w:rPr>
                <w:rFonts w:cstheme="minorHAnsi"/>
                <w:b/>
                <w:color w:val="FFFFFF" w:themeColor="background1"/>
                <w:sz w:val="20"/>
                <w:lang w:val="fr-FR"/>
              </w:rPr>
            </w:pPr>
            <w:r w:rsidRPr="00FB1BFA">
              <w:rPr>
                <w:rFonts w:cstheme="minorHAnsi"/>
                <w:b/>
                <w:color w:val="FFFFFF" w:themeColor="background1"/>
                <w:sz w:val="20"/>
                <w:lang w:val="fr-FR"/>
              </w:rPr>
              <w:t>Groupe de travail 1 (GT 1): Programme, commissions d'études et Questions associées</w:t>
            </w:r>
          </w:p>
        </w:tc>
      </w:tr>
      <w:tr w:rsidR="00CD509F" w:rsidRPr="00FB1BFA" w14:paraId="7F8E92FE" w14:textId="77777777" w:rsidTr="00375A6F">
        <w:tc>
          <w:tcPr>
            <w:tcW w:w="9621"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4CB6824B" w14:textId="77777777" w:rsidR="00CD509F" w:rsidRPr="00FB1BFA" w:rsidRDefault="00CD509F" w:rsidP="00375A6F">
            <w:pPr>
              <w:spacing w:before="40" w:after="40"/>
              <w:rPr>
                <w:rFonts w:cstheme="minorHAnsi"/>
                <w:sz w:val="20"/>
                <w:lang w:val="fr-FR"/>
              </w:rPr>
            </w:pPr>
            <w:r w:rsidRPr="00FB1BFA">
              <w:rPr>
                <w:rFonts w:cstheme="minorHAnsi"/>
                <w:sz w:val="20"/>
                <w:lang w:val="fr-FR"/>
              </w:rPr>
              <w:t xml:space="preserve">Présidente: </w:t>
            </w:r>
            <w:r w:rsidRPr="00FB1BFA">
              <w:rPr>
                <w:rFonts w:cstheme="minorHAnsi"/>
                <w:bCs/>
                <w:sz w:val="20"/>
                <w:lang w:val="fr-FR"/>
              </w:rPr>
              <w:t>Mme Mina SeonminJun</w:t>
            </w:r>
            <w:r w:rsidRPr="00FB1BFA">
              <w:rPr>
                <w:rFonts w:cstheme="minorHAnsi"/>
                <w:sz w:val="20"/>
                <w:lang w:val="fr-FR"/>
              </w:rPr>
              <w:t xml:space="preserve"> (République de Corée)</w:t>
            </w:r>
          </w:p>
          <w:p w14:paraId="10B15ECD" w14:textId="77777777" w:rsidR="00CD509F" w:rsidRPr="00FB1BFA" w:rsidRDefault="00CD509F" w:rsidP="00375A6F">
            <w:pPr>
              <w:spacing w:before="40" w:after="40"/>
              <w:rPr>
                <w:rFonts w:cstheme="minorHAnsi"/>
                <w:sz w:val="20"/>
                <w:lang w:val="fr-FR"/>
              </w:rPr>
            </w:pPr>
            <w:r w:rsidRPr="00FB1BFA">
              <w:rPr>
                <w:rFonts w:cstheme="minorHAnsi"/>
                <w:sz w:val="20"/>
                <w:lang w:val="fr-FR"/>
              </w:rPr>
              <w:t xml:space="preserve">Vice-Présidentes: </w:t>
            </w:r>
            <w:r w:rsidRPr="00FB1BFA">
              <w:rPr>
                <w:rFonts w:cstheme="minorHAnsi"/>
                <w:bCs/>
                <w:sz w:val="20"/>
                <w:lang w:val="fr-FR"/>
              </w:rPr>
              <w:t>Mme Yapeng Wang</w:t>
            </w:r>
            <w:r w:rsidRPr="00FB1BFA">
              <w:rPr>
                <w:rFonts w:cstheme="minorHAnsi"/>
                <w:sz w:val="20"/>
                <w:lang w:val="fr-FR"/>
              </w:rPr>
              <w:t xml:space="preserve"> (Chine), </w:t>
            </w:r>
            <w:r w:rsidRPr="00FB1BFA">
              <w:rPr>
                <w:rFonts w:cstheme="minorHAnsi"/>
                <w:bCs/>
                <w:sz w:val="20"/>
                <w:lang w:val="fr-FR"/>
              </w:rPr>
              <w:t>Mme Maryam Espandar</w:t>
            </w:r>
            <w:r w:rsidRPr="00FB1BFA">
              <w:rPr>
                <w:rFonts w:cstheme="minorHAnsi"/>
                <w:sz w:val="20"/>
                <w:lang w:val="fr-FR"/>
              </w:rPr>
              <w:t xml:space="preserve"> (République islamique d'Iran)</w:t>
            </w:r>
          </w:p>
        </w:tc>
      </w:tr>
      <w:tr w:rsidR="00CD509F" w:rsidRPr="00FB1BFA" w14:paraId="69AC5622" w14:textId="77777777" w:rsidTr="00375A6F">
        <w:tc>
          <w:tcPr>
            <w:tcW w:w="9621"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1BAA2724" w14:textId="77777777" w:rsidR="00CD509F" w:rsidRPr="00FB1BFA" w:rsidRDefault="00CD509F" w:rsidP="00375A6F">
            <w:pPr>
              <w:tabs>
                <w:tab w:val="left" w:pos="7920"/>
              </w:tabs>
              <w:spacing w:before="40" w:after="40"/>
              <w:ind w:right="-40"/>
              <w:rPr>
                <w:rFonts w:cstheme="minorHAnsi"/>
                <w:b/>
                <w:bCs/>
                <w:color w:val="FFFFFF"/>
                <w:sz w:val="20"/>
                <w:lang w:val="fr-FR"/>
              </w:rPr>
            </w:pPr>
            <w:r w:rsidRPr="00FB1BFA">
              <w:rPr>
                <w:rFonts w:cstheme="minorHAnsi"/>
                <w:b/>
                <w:color w:val="FFFFFF" w:themeColor="background1"/>
                <w:sz w:val="20"/>
                <w:lang w:val="fr-FR"/>
              </w:rPr>
              <w:t>Groupe de travail 2 (GT 2): Méthodes de travail, Déclaration et Plan d'action</w:t>
            </w:r>
          </w:p>
        </w:tc>
      </w:tr>
      <w:tr w:rsidR="00CD509F" w:rsidRPr="00FB1BFA" w14:paraId="03492FAA" w14:textId="77777777" w:rsidTr="00375A6F">
        <w:tc>
          <w:tcPr>
            <w:tcW w:w="9621"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13715030" w14:textId="77777777" w:rsidR="00CD509F" w:rsidRPr="00FB1BFA" w:rsidRDefault="00CD509F" w:rsidP="00375A6F">
            <w:pPr>
              <w:spacing w:before="40" w:after="40"/>
              <w:rPr>
                <w:rFonts w:cstheme="minorHAnsi"/>
                <w:iCs/>
                <w:sz w:val="20"/>
                <w:lang w:val="fr-FR"/>
              </w:rPr>
            </w:pPr>
            <w:r w:rsidRPr="00FB1BFA">
              <w:rPr>
                <w:rFonts w:cstheme="minorHAnsi"/>
                <w:sz w:val="20"/>
                <w:lang w:val="fr-FR"/>
              </w:rPr>
              <w:t xml:space="preserve">Présidente: </w:t>
            </w:r>
            <w:r w:rsidRPr="00FB1BFA">
              <w:rPr>
                <w:rFonts w:cstheme="minorHAnsi"/>
                <w:bCs/>
                <w:iCs/>
                <w:sz w:val="20"/>
                <w:lang w:val="fr-FR"/>
              </w:rPr>
              <w:t xml:space="preserve">Mme Alexandra Borthwick </w:t>
            </w:r>
            <w:r w:rsidRPr="00FB1BFA">
              <w:rPr>
                <w:rFonts w:cstheme="minorHAnsi"/>
                <w:iCs/>
                <w:sz w:val="20"/>
                <w:lang w:val="fr-FR"/>
              </w:rPr>
              <w:t>(Australie)</w:t>
            </w:r>
          </w:p>
          <w:p w14:paraId="7D1E023F" w14:textId="77777777" w:rsidR="00CD509F" w:rsidRPr="00FB1BFA" w:rsidRDefault="00CD509F" w:rsidP="00375A6F">
            <w:pPr>
              <w:spacing w:before="40" w:after="40"/>
              <w:rPr>
                <w:rFonts w:cstheme="minorHAnsi"/>
                <w:sz w:val="20"/>
                <w:lang w:val="fr-FR"/>
              </w:rPr>
            </w:pPr>
            <w:r w:rsidRPr="00FB1BFA">
              <w:rPr>
                <w:rFonts w:cstheme="minorHAnsi"/>
                <w:sz w:val="20"/>
                <w:lang w:val="fr-FR"/>
              </w:rPr>
              <w:t>Vice-Présidente:</w:t>
            </w:r>
            <w:r w:rsidRPr="00FB1BFA">
              <w:rPr>
                <w:rFonts w:cstheme="minorHAnsi"/>
                <w:bCs/>
                <w:sz w:val="20"/>
                <w:lang w:val="fr-FR"/>
              </w:rPr>
              <w:t xml:space="preserve"> Mme Thasawan Samorwong</w:t>
            </w:r>
            <w:r w:rsidRPr="00FB1BFA">
              <w:rPr>
                <w:rFonts w:cstheme="minorHAnsi"/>
                <w:sz w:val="20"/>
                <w:lang w:val="fr-FR"/>
              </w:rPr>
              <w:t xml:space="preserve"> (Thaïlande)</w:t>
            </w:r>
          </w:p>
        </w:tc>
      </w:tr>
      <w:tr w:rsidR="00CD509F" w:rsidRPr="00FB1BFA" w14:paraId="4F079844" w14:textId="77777777" w:rsidTr="00375A6F">
        <w:tc>
          <w:tcPr>
            <w:tcW w:w="9621"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29B63B24" w14:textId="77777777" w:rsidR="00CD509F" w:rsidRPr="00FB1BFA" w:rsidRDefault="00CD509F" w:rsidP="00375A6F">
            <w:pPr>
              <w:tabs>
                <w:tab w:val="left" w:pos="7920"/>
              </w:tabs>
              <w:spacing w:before="40" w:after="40"/>
              <w:ind w:right="-40"/>
              <w:rPr>
                <w:rFonts w:cstheme="minorHAnsi"/>
                <w:b/>
                <w:bCs/>
                <w:color w:val="FFFFFF"/>
                <w:sz w:val="20"/>
                <w:lang w:val="fr-FR"/>
              </w:rPr>
            </w:pPr>
            <w:r w:rsidRPr="00FB1BFA">
              <w:rPr>
                <w:rFonts w:cstheme="minorHAnsi"/>
                <w:b/>
                <w:color w:val="FFFFFF" w:themeColor="background1"/>
                <w:sz w:val="20"/>
                <w:lang w:val="fr-FR"/>
              </w:rPr>
              <w:t>Groupe de travail 3 (GT 3): Questions générales relatives au développement des TIC, y compris les initiatives régionales</w:t>
            </w:r>
          </w:p>
        </w:tc>
      </w:tr>
      <w:tr w:rsidR="00CD509F" w:rsidRPr="00FB1BFA" w14:paraId="432EAB19" w14:textId="77777777" w:rsidTr="00375A6F">
        <w:tc>
          <w:tcPr>
            <w:tcW w:w="9621"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71693E6B" w14:textId="77777777" w:rsidR="00CD509F" w:rsidRPr="00FB1BFA" w:rsidRDefault="00CD509F" w:rsidP="00375A6F">
            <w:pPr>
              <w:spacing w:before="40" w:after="40"/>
              <w:rPr>
                <w:rFonts w:cstheme="minorHAnsi"/>
                <w:sz w:val="20"/>
                <w:lang w:val="fr-FR"/>
              </w:rPr>
            </w:pPr>
            <w:r w:rsidRPr="00FB1BFA">
              <w:rPr>
                <w:rFonts w:cstheme="minorHAnsi"/>
                <w:sz w:val="20"/>
                <w:lang w:val="fr-FR"/>
              </w:rPr>
              <w:t xml:space="preserve">Présidente: </w:t>
            </w:r>
            <w:r w:rsidRPr="00FB1BFA">
              <w:rPr>
                <w:rFonts w:cstheme="minorHAnsi"/>
                <w:bCs/>
                <w:sz w:val="20"/>
                <w:lang w:val="fr-FR"/>
              </w:rPr>
              <w:t>Mme Memiko Otsuki</w:t>
            </w:r>
            <w:r w:rsidRPr="00FB1BFA">
              <w:rPr>
                <w:rFonts w:cstheme="minorHAnsi"/>
                <w:sz w:val="20"/>
                <w:lang w:val="fr-FR"/>
              </w:rPr>
              <w:t xml:space="preserve"> (Japon)</w:t>
            </w:r>
          </w:p>
          <w:p w14:paraId="6D8C8747" w14:textId="77777777" w:rsidR="00CD509F" w:rsidRPr="00FB1BFA" w:rsidRDefault="00CD509F" w:rsidP="00375A6F">
            <w:pPr>
              <w:spacing w:before="40" w:after="40"/>
              <w:rPr>
                <w:rFonts w:cstheme="minorHAnsi"/>
                <w:sz w:val="20"/>
                <w:lang w:val="fr-FR"/>
              </w:rPr>
            </w:pPr>
            <w:r w:rsidRPr="00FB1BFA">
              <w:rPr>
                <w:rFonts w:cstheme="minorHAnsi"/>
                <w:sz w:val="20"/>
                <w:lang w:val="fr-FR"/>
              </w:rPr>
              <w:t xml:space="preserve">Vice-Présidente: </w:t>
            </w:r>
            <w:r w:rsidRPr="00FB1BFA">
              <w:rPr>
                <w:rFonts w:cstheme="minorHAnsi"/>
                <w:bCs/>
                <w:sz w:val="20"/>
                <w:lang w:val="fr-FR"/>
              </w:rPr>
              <w:t>Mme Anna AmalinaImam Baweh</w:t>
            </w:r>
            <w:r w:rsidRPr="00FB1BFA">
              <w:rPr>
                <w:rFonts w:cstheme="minorHAnsi"/>
                <w:sz w:val="20"/>
                <w:lang w:val="fr-FR"/>
              </w:rPr>
              <w:t xml:space="preserve"> (Malaisie)</w:t>
            </w:r>
          </w:p>
        </w:tc>
      </w:tr>
    </w:tbl>
    <w:p w14:paraId="7066C51B" w14:textId="77777777" w:rsidR="00CD509F" w:rsidRPr="00FB1BFA" w:rsidRDefault="00CD509F" w:rsidP="00CD509F">
      <w:pPr>
        <w:pStyle w:val="Tablelegend"/>
        <w:rPr>
          <w:sz w:val="18"/>
          <w:szCs w:val="18"/>
          <w:lang w:val="fr-FR"/>
        </w:rPr>
      </w:pPr>
      <w:r w:rsidRPr="00FB1BFA">
        <w:rPr>
          <w:i/>
          <w:iCs/>
          <w:sz w:val="18"/>
          <w:szCs w:val="18"/>
          <w:lang w:val="fr-FR"/>
        </w:rPr>
        <w:t xml:space="preserve">Source: </w:t>
      </w:r>
      <w:r w:rsidRPr="00FB1BFA">
        <w:rPr>
          <w:sz w:val="18"/>
          <w:szCs w:val="18"/>
          <w:lang w:val="fr-FR"/>
        </w:rPr>
        <w:t>adapté de la présentation de la CITEL lors de la réunion IRM-3, 10 mars 2022.</w:t>
      </w:r>
    </w:p>
    <w:p w14:paraId="31A493A5" w14:textId="77777777" w:rsidR="00CD509F" w:rsidRPr="00FB1BFA" w:rsidRDefault="00CD509F" w:rsidP="00CD509F">
      <w:pPr>
        <w:spacing w:after="120"/>
        <w:rPr>
          <w:lang w:val="fr-FR"/>
        </w:rPr>
      </w:pPr>
      <w:r w:rsidRPr="00FB1BFA">
        <w:rPr>
          <w:lang w:val="fr-FR"/>
        </w:rPr>
        <w:t>À ce jour, 15 propositions communes préliminaires de l'APT (PACP) ont été adoptées. Ces propositions communes préliminaires de l'APT comprennent: un projet de Déclaration de la CMDT</w:t>
      </w:r>
      <w:bookmarkStart w:id="9" w:name="_Hlk102234355"/>
      <w:r w:rsidRPr="00FB1BFA">
        <w:rPr>
          <w:lang w:val="fr-FR"/>
        </w:rPr>
        <w:t>;</w:t>
      </w:r>
      <w:bookmarkEnd w:id="9"/>
      <w:r w:rsidRPr="00FB1BFA">
        <w:rPr>
          <w:lang w:val="fr-FR"/>
        </w:rPr>
        <w:t xml:space="preserve"> une proposition visant à ajouter de nouvelles initiatives régionales pour la région Asie</w:t>
      </w:r>
      <w:r w:rsidRPr="00FB1BFA">
        <w:rPr>
          <w:lang w:val="fr-FR"/>
        </w:rPr>
        <w:noBreakHyphen/>
        <w:t xml:space="preserve">Pacifique et à supprimer les initiatives existantes; une proposition relative aux priorités thématiques de l'UIT-D; des modifications apportées aux Résolutions 1, 8, 37, 45, 48, 64, 67 et 69 </w:t>
      </w:r>
      <w:r w:rsidRPr="00FB1BFA">
        <w:rPr>
          <w:lang w:val="fr-FR"/>
        </w:rPr>
        <w:lastRenderedPageBreak/>
        <w:t>de la CMDT; une nouvelle Résolution de la CMDT sur l'utilisation des TIC pour lutter contre les pandémies; et une proposition de modification des Questions 1, 6 et 7 de la Commission d'études 1 (voir le Tableau 3.8).</w:t>
      </w:r>
    </w:p>
    <w:p w14:paraId="11C0FE15" w14:textId="77777777" w:rsidR="00CD509F" w:rsidRPr="00FB1BFA" w:rsidRDefault="00CD509F" w:rsidP="00CD509F">
      <w:pPr>
        <w:pStyle w:val="Tabletitle"/>
        <w:spacing w:before="240"/>
        <w:rPr>
          <w:lang w:val="fr-FR"/>
        </w:rPr>
      </w:pPr>
      <w:r w:rsidRPr="00FB1BFA">
        <w:rPr>
          <w:lang w:val="fr-FR"/>
        </w:rPr>
        <w:t>Tableau 3.8: Liste de propositions communes préliminaires de l'APT (PACP)</w:t>
      </w:r>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387"/>
      </w:tblGrid>
      <w:tr w:rsidR="00CD509F" w:rsidRPr="00FB1BFA" w14:paraId="16D42A6E" w14:textId="77777777" w:rsidTr="00375A6F">
        <w:tc>
          <w:tcPr>
            <w:tcW w:w="4526" w:type="dxa"/>
            <w:shd w:val="clear" w:color="auto" w:fill="31849B"/>
          </w:tcPr>
          <w:p w14:paraId="33E016A4"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 xml:space="preserve">MOD: Question 1/1, Commission d'études 1 de l'UIT-D </w:t>
            </w:r>
          </w:p>
        </w:tc>
        <w:tc>
          <w:tcPr>
            <w:tcW w:w="5387" w:type="dxa"/>
            <w:shd w:val="clear" w:color="auto" w:fill="D9D9D9"/>
          </w:tcPr>
          <w:p w14:paraId="36D14F18" w14:textId="77777777" w:rsidR="00CD509F" w:rsidRPr="00FB1BFA" w:rsidRDefault="00CD509F" w:rsidP="00375A6F">
            <w:pPr>
              <w:pStyle w:val="Tabletext"/>
              <w:rPr>
                <w:lang w:val="fr-FR"/>
              </w:rPr>
            </w:pPr>
            <w:r w:rsidRPr="00FB1BFA">
              <w:rPr>
                <w:lang w:val="fr-FR"/>
              </w:rPr>
              <w:t>Stratégies et politiques pour le déploiement du large bande dans les pays en développement</w:t>
            </w:r>
          </w:p>
        </w:tc>
      </w:tr>
      <w:tr w:rsidR="00CD509F" w:rsidRPr="00FB1BFA" w14:paraId="04E70C94" w14:textId="77777777" w:rsidTr="00375A6F">
        <w:tc>
          <w:tcPr>
            <w:tcW w:w="4526" w:type="dxa"/>
            <w:shd w:val="clear" w:color="auto" w:fill="31849B"/>
          </w:tcPr>
          <w:p w14:paraId="646C8837"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 xml:space="preserve">MOD: Question 6/1, Commission d'études 1 de l'UIT-D </w:t>
            </w:r>
          </w:p>
        </w:tc>
        <w:tc>
          <w:tcPr>
            <w:tcW w:w="5387" w:type="dxa"/>
            <w:shd w:val="clear" w:color="auto" w:fill="D9D9D9"/>
          </w:tcPr>
          <w:p w14:paraId="32B2800C" w14:textId="77777777" w:rsidR="00CD509F" w:rsidRPr="00FB1BFA" w:rsidRDefault="00CD509F" w:rsidP="00375A6F">
            <w:pPr>
              <w:pStyle w:val="Tabletext"/>
              <w:rPr>
                <w:lang w:val="fr-FR"/>
              </w:rPr>
            </w:pPr>
            <w:r w:rsidRPr="00FB1BFA">
              <w:rPr>
                <w:lang w:val="fr-FR"/>
              </w:rPr>
              <w:t xml:space="preserve">Information, protection et droits du consommateur: lois, réglementation, </w:t>
            </w:r>
            <w:r w:rsidRPr="00FB1BFA">
              <w:rPr>
                <w:rFonts w:eastAsia="Batang"/>
                <w:lang w:val="fr-FR"/>
              </w:rPr>
              <w:t>fondements</w:t>
            </w:r>
            <w:r w:rsidRPr="00FB1BFA">
              <w:rPr>
                <w:lang w:val="fr-FR"/>
              </w:rPr>
              <w:t xml:space="preserve"> économiques, réseaux de consommateurs</w:t>
            </w:r>
          </w:p>
        </w:tc>
      </w:tr>
      <w:tr w:rsidR="00CD509F" w:rsidRPr="00FB1BFA" w14:paraId="7C9EAD3F" w14:textId="77777777" w:rsidTr="00375A6F">
        <w:tc>
          <w:tcPr>
            <w:tcW w:w="4526" w:type="dxa"/>
            <w:shd w:val="clear" w:color="auto" w:fill="31849B"/>
          </w:tcPr>
          <w:p w14:paraId="2EDA306E"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 xml:space="preserve">MOD: Question 7/1, Commission d'études 1 de l'UIT-D </w:t>
            </w:r>
          </w:p>
        </w:tc>
        <w:tc>
          <w:tcPr>
            <w:tcW w:w="5387" w:type="dxa"/>
            <w:shd w:val="clear" w:color="auto" w:fill="D9D9D9"/>
          </w:tcPr>
          <w:p w14:paraId="0380BB50" w14:textId="77777777" w:rsidR="00CD509F" w:rsidRPr="00FB1BFA" w:rsidRDefault="00CD509F" w:rsidP="00375A6F">
            <w:pPr>
              <w:pStyle w:val="Tabletext"/>
              <w:rPr>
                <w:lang w:val="fr-FR"/>
              </w:rPr>
            </w:pPr>
            <w:r w:rsidRPr="00FB1BFA">
              <w:rPr>
                <w:lang w:val="fr-FR"/>
              </w:rPr>
              <w:t>Accès des personnes handicapées et des autres personnes ayant des besoins particuliers aux services de télécommunication/</w:t>
            </w:r>
            <w:r w:rsidRPr="00FB1BFA">
              <w:rPr>
                <w:rFonts w:eastAsia="Batang"/>
                <w:lang w:val="fr-FR"/>
              </w:rPr>
              <w:t>technologies de l'information et de la communication</w:t>
            </w:r>
          </w:p>
        </w:tc>
      </w:tr>
      <w:tr w:rsidR="00CD509F" w:rsidRPr="00FB1BFA" w14:paraId="04385E5A" w14:textId="77777777" w:rsidTr="00375A6F">
        <w:tc>
          <w:tcPr>
            <w:tcW w:w="4526" w:type="dxa"/>
            <w:shd w:val="clear" w:color="auto" w:fill="31849B"/>
          </w:tcPr>
          <w:p w14:paraId="6E694B23"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1 (Rév. Buenos Aires, 2017)</w:t>
            </w:r>
          </w:p>
        </w:tc>
        <w:tc>
          <w:tcPr>
            <w:tcW w:w="5387" w:type="dxa"/>
            <w:shd w:val="clear" w:color="auto" w:fill="D9D9D9"/>
          </w:tcPr>
          <w:p w14:paraId="5874644A" w14:textId="77777777" w:rsidR="00CD509F" w:rsidRPr="00FB1BFA" w:rsidRDefault="00CD509F" w:rsidP="00375A6F">
            <w:pPr>
              <w:pStyle w:val="Tabletext"/>
              <w:rPr>
                <w:lang w:val="fr-FR"/>
              </w:rPr>
            </w:pPr>
            <w:r w:rsidRPr="00FB1BFA">
              <w:rPr>
                <w:lang w:val="fr-FR"/>
              </w:rPr>
              <w:t>Règlement intérieur du Secteur du développement des télécommunications de l'UIT</w:t>
            </w:r>
          </w:p>
        </w:tc>
      </w:tr>
      <w:tr w:rsidR="00CD509F" w:rsidRPr="00FB1BFA" w14:paraId="19654090" w14:textId="77777777" w:rsidTr="00375A6F">
        <w:tc>
          <w:tcPr>
            <w:tcW w:w="4526" w:type="dxa"/>
            <w:shd w:val="clear" w:color="auto" w:fill="31849B"/>
          </w:tcPr>
          <w:p w14:paraId="018852A7"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8 (Rév. Buenos Aires, 2017)</w:t>
            </w:r>
          </w:p>
        </w:tc>
        <w:tc>
          <w:tcPr>
            <w:tcW w:w="5387" w:type="dxa"/>
            <w:shd w:val="clear" w:color="auto" w:fill="D9D9D9"/>
          </w:tcPr>
          <w:p w14:paraId="65D78DBC" w14:textId="77777777" w:rsidR="00CD509F" w:rsidRPr="00FB1BFA" w:rsidRDefault="00CD509F" w:rsidP="00375A6F">
            <w:pPr>
              <w:pStyle w:val="Tabletext"/>
              <w:rPr>
                <w:lang w:val="fr-FR"/>
              </w:rPr>
            </w:pPr>
            <w:r w:rsidRPr="00FB1BFA">
              <w:rPr>
                <w:lang w:val="fr-FR"/>
              </w:rPr>
              <w:t>Collecte et diffusion d'informations et de statistiques</w:t>
            </w:r>
          </w:p>
        </w:tc>
      </w:tr>
      <w:tr w:rsidR="00CD509F" w:rsidRPr="00FB1BFA" w14:paraId="43130C68" w14:textId="77777777" w:rsidTr="00375A6F">
        <w:tc>
          <w:tcPr>
            <w:tcW w:w="4526" w:type="dxa"/>
            <w:shd w:val="clear" w:color="auto" w:fill="31849B"/>
          </w:tcPr>
          <w:p w14:paraId="5C6A9C64"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37 (Rév. Buenos Aires, 2017)</w:t>
            </w:r>
          </w:p>
        </w:tc>
        <w:tc>
          <w:tcPr>
            <w:tcW w:w="5387" w:type="dxa"/>
            <w:shd w:val="clear" w:color="auto" w:fill="D9D9D9"/>
          </w:tcPr>
          <w:p w14:paraId="00FE9E7F" w14:textId="77777777" w:rsidR="00CD509F" w:rsidRPr="00FB1BFA" w:rsidRDefault="00CD509F" w:rsidP="00375A6F">
            <w:pPr>
              <w:pStyle w:val="Tabletext"/>
              <w:rPr>
                <w:lang w:val="fr-FR"/>
              </w:rPr>
            </w:pPr>
            <w:r w:rsidRPr="00FB1BFA">
              <w:rPr>
                <w:lang w:val="fr-FR"/>
              </w:rPr>
              <w:t>Réduction de la fracture numérique</w:t>
            </w:r>
          </w:p>
        </w:tc>
      </w:tr>
      <w:tr w:rsidR="00CD509F" w:rsidRPr="00FB1BFA" w14:paraId="0491AE80" w14:textId="77777777" w:rsidTr="00375A6F">
        <w:tc>
          <w:tcPr>
            <w:tcW w:w="4526" w:type="dxa"/>
            <w:shd w:val="clear" w:color="auto" w:fill="31849B"/>
          </w:tcPr>
          <w:p w14:paraId="4CCFDA4F"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45 (Rév. Dubaï, 2014)</w:t>
            </w:r>
          </w:p>
        </w:tc>
        <w:tc>
          <w:tcPr>
            <w:tcW w:w="5387" w:type="dxa"/>
            <w:shd w:val="clear" w:color="auto" w:fill="D9D9D9"/>
          </w:tcPr>
          <w:p w14:paraId="5CF6D68C" w14:textId="77777777" w:rsidR="00CD509F" w:rsidRPr="00FB1BFA" w:rsidRDefault="00CD509F" w:rsidP="00375A6F">
            <w:pPr>
              <w:pStyle w:val="Tabletext"/>
              <w:rPr>
                <w:lang w:val="fr-FR"/>
              </w:rPr>
            </w:pPr>
            <w:r w:rsidRPr="00FB1BFA">
              <w:rPr>
                <w:lang w:val="fr-FR"/>
              </w:rPr>
              <w:t>Mécanismes propres à améliorer la coopération en matière de cybersécurité, y compris la lutte contre le spam</w:t>
            </w:r>
          </w:p>
        </w:tc>
      </w:tr>
      <w:tr w:rsidR="00CD509F" w:rsidRPr="00FB1BFA" w14:paraId="3CC22C53" w14:textId="77777777" w:rsidTr="00375A6F">
        <w:tc>
          <w:tcPr>
            <w:tcW w:w="4526" w:type="dxa"/>
            <w:shd w:val="clear" w:color="auto" w:fill="31849B"/>
          </w:tcPr>
          <w:p w14:paraId="63E01EB8"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48 (Rév. Buenos Aires, 2017)</w:t>
            </w:r>
          </w:p>
        </w:tc>
        <w:tc>
          <w:tcPr>
            <w:tcW w:w="5387" w:type="dxa"/>
            <w:shd w:val="clear" w:color="auto" w:fill="D9D9D9"/>
          </w:tcPr>
          <w:p w14:paraId="280757DB" w14:textId="77777777" w:rsidR="00CD509F" w:rsidRPr="00FB1BFA" w:rsidRDefault="00CD509F" w:rsidP="00375A6F">
            <w:pPr>
              <w:pStyle w:val="Tabletext"/>
              <w:rPr>
                <w:lang w:val="fr-FR"/>
              </w:rPr>
            </w:pPr>
            <w:r w:rsidRPr="00FB1BFA">
              <w:rPr>
                <w:lang w:val="fr-FR"/>
              </w:rPr>
              <w:t>Renforcement de la coopération entre régulateurs de télécommunications</w:t>
            </w:r>
          </w:p>
        </w:tc>
      </w:tr>
      <w:tr w:rsidR="00CD509F" w:rsidRPr="00FB1BFA" w14:paraId="1F4D4509" w14:textId="77777777" w:rsidTr="00375A6F">
        <w:tc>
          <w:tcPr>
            <w:tcW w:w="4526" w:type="dxa"/>
            <w:shd w:val="clear" w:color="auto" w:fill="31849B"/>
          </w:tcPr>
          <w:p w14:paraId="002B35BC"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64 (Rév. Buenos Aires, 2017)</w:t>
            </w:r>
          </w:p>
        </w:tc>
        <w:tc>
          <w:tcPr>
            <w:tcW w:w="5387" w:type="dxa"/>
            <w:shd w:val="clear" w:color="auto" w:fill="D9D9D9"/>
          </w:tcPr>
          <w:p w14:paraId="14B92F03" w14:textId="77777777" w:rsidR="00CD509F" w:rsidRPr="00FB1BFA" w:rsidRDefault="00CD509F" w:rsidP="00375A6F">
            <w:pPr>
              <w:pStyle w:val="Tabletext"/>
              <w:rPr>
                <w:lang w:val="fr-FR"/>
              </w:rPr>
            </w:pPr>
            <w:r w:rsidRPr="00FB1BFA">
              <w:rPr>
                <w:lang w:val="fr-FR"/>
              </w:rPr>
              <w:t>Protection et appui pour les utilisateurs/consommateurs de services issus des télécommunications/technologies de l'information et de la communication</w:t>
            </w:r>
          </w:p>
        </w:tc>
      </w:tr>
      <w:tr w:rsidR="00CD509F" w:rsidRPr="00FB1BFA" w14:paraId="18061B09" w14:textId="77777777" w:rsidTr="00375A6F">
        <w:tc>
          <w:tcPr>
            <w:tcW w:w="4526" w:type="dxa"/>
            <w:shd w:val="clear" w:color="auto" w:fill="31849B"/>
          </w:tcPr>
          <w:p w14:paraId="725E1BED"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67 (Rév. Buenos Aires, 2017)</w:t>
            </w:r>
          </w:p>
        </w:tc>
        <w:tc>
          <w:tcPr>
            <w:tcW w:w="5387" w:type="dxa"/>
            <w:shd w:val="clear" w:color="auto" w:fill="D9D9D9"/>
          </w:tcPr>
          <w:p w14:paraId="1F624537" w14:textId="77777777" w:rsidR="00CD509F" w:rsidRPr="00FB1BFA" w:rsidRDefault="00CD509F" w:rsidP="00375A6F">
            <w:pPr>
              <w:pStyle w:val="Tabletext"/>
              <w:rPr>
                <w:lang w:val="fr-FR"/>
              </w:rPr>
            </w:pPr>
            <w:r w:rsidRPr="00FB1BFA">
              <w:rPr>
                <w:lang w:val="fr-FR"/>
              </w:rPr>
              <w:t>Rôle du Secteur du développement des télécommunications de l'UIT dans la protection en ligne des enfants</w:t>
            </w:r>
          </w:p>
        </w:tc>
      </w:tr>
      <w:tr w:rsidR="00CD509F" w:rsidRPr="00FB1BFA" w14:paraId="3C6C7265" w14:textId="77777777" w:rsidTr="00375A6F">
        <w:tc>
          <w:tcPr>
            <w:tcW w:w="4526" w:type="dxa"/>
            <w:shd w:val="clear" w:color="auto" w:fill="31849B"/>
          </w:tcPr>
          <w:p w14:paraId="3D47E9C2"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69 (Rév. Buenos Aires, 2017)</w:t>
            </w:r>
          </w:p>
        </w:tc>
        <w:tc>
          <w:tcPr>
            <w:tcW w:w="5387" w:type="dxa"/>
            <w:shd w:val="clear" w:color="auto" w:fill="D9D9D9"/>
          </w:tcPr>
          <w:p w14:paraId="0ADF87E1" w14:textId="77777777" w:rsidR="00CD509F" w:rsidRPr="00FB1BFA" w:rsidRDefault="00CD509F" w:rsidP="00375A6F">
            <w:pPr>
              <w:pStyle w:val="Tabletext"/>
              <w:rPr>
                <w:lang w:val="fr-FR"/>
              </w:rPr>
            </w:pPr>
            <w:r w:rsidRPr="00FB1BFA">
              <w:rPr>
                <w:lang w:val="fr-FR"/>
              </w:rPr>
              <w:t>Faciliter la création d'équipes nationales d'intervention en cas d'incident informatique, en particulier pour les pays en développement, et coopération entre ces équipes</w:t>
            </w:r>
          </w:p>
        </w:tc>
      </w:tr>
      <w:tr w:rsidR="00CD509F" w:rsidRPr="00FB1BFA" w14:paraId="1BC78856" w14:textId="77777777" w:rsidTr="00375A6F">
        <w:tc>
          <w:tcPr>
            <w:tcW w:w="4526" w:type="dxa"/>
            <w:shd w:val="clear" w:color="auto" w:fill="31849B"/>
          </w:tcPr>
          <w:p w14:paraId="276D5440"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Projet de nouvelle Résolution</w:t>
            </w:r>
          </w:p>
        </w:tc>
        <w:tc>
          <w:tcPr>
            <w:tcW w:w="5387" w:type="dxa"/>
            <w:shd w:val="clear" w:color="auto" w:fill="D9D9D9"/>
          </w:tcPr>
          <w:p w14:paraId="2845E0A3" w14:textId="77777777" w:rsidR="00CD509F" w:rsidRPr="00FB1BFA" w:rsidRDefault="00CD509F" w:rsidP="00375A6F">
            <w:pPr>
              <w:pStyle w:val="Tabletext"/>
              <w:rPr>
                <w:lang w:val="fr-FR"/>
              </w:rPr>
            </w:pPr>
            <w:r w:rsidRPr="00FB1BFA">
              <w:rPr>
                <w:lang w:val="fr-FR"/>
              </w:rPr>
              <w:t>Utilisation des technologies de l'information de la communication pour lutter contre les pandémies</w:t>
            </w:r>
          </w:p>
        </w:tc>
      </w:tr>
    </w:tbl>
    <w:p w14:paraId="50C60AC8" w14:textId="77777777" w:rsidR="00CD509F" w:rsidRPr="00FB1BFA" w:rsidRDefault="00CD509F" w:rsidP="00CD509F">
      <w:pPr>
        <w:pStyle w:val="Tablelegend"/>
        <w:rPr>
          <w:lang w:val="fr-FR"/>
        </w:rPr>
      </w:pPr>
      <w:r w:rsidRPr="00FB1BFA">
        <w:rPr>
          <w:i/>
          <w:iCs/>
          <w:sz w:val="18"/>
          <w:szCs w:val="18"/>
          <w:lang w:val="fr-FR"/>
        </w:rPr>
        <w:t xml:space="preserve">Source: </w:t>
      </w:r>
      <w:r w:rsidRPr="00FB1BFA">
        <w:rPr>
          <w:sz w:val="18"/>
          <w:szCs w:val="18"/>
          <w:lang w:val="fr-FR"/>
        </w:rPr>
        <w:t>adapté de la présentation de l'APT lors de la réunion IRM-3, 10 mars 2022.</w:t>
      </w:r>
    </w:p>
    <w:p w14:paraId="589875B1" w14:textId="77777777" w:rsidR="00CD509F" w:rsidRPr="00FB1BFA" w:rsidRDefault="00CD509F" w:rsidP="00CD509F">
      <w:pPr>
        <w:rPr>
          <w:lang w:val="fr-FR"/>
        </w:rPr>
      </w:pPr>
      <w:r w:rsidRPr="00FB1BFA">
        <w:rPr>
          <w:lang w:val="fr-FR"/>
        </w:rPr>
        <w:t>L'APT a approuvé les six points de vue ci-après. Un "point de vue" de l'APT est une position approuvée par une plénière du Groupe de préparation de l'APT en vue de la CMDT sur certaines questions, qui peut être soumise à une organisation internationale par le Secrétaire général de l'APT au nom des membres participant à la plénière.</w:t>
      </w:r>
    </w:p>
    <w:p w14:paraId="6BE7FBBD" w14:textId="77777777" w:rsidR="00CD509F" w:rsidRPr="00FB1BFA" w:rsidRDefault="00CD509F" w:rsidP="007319CC">
      <w:pPr>
        <w:pStyle w:val="enumlev1"/>
        <w:keepNext/>
        <w:keepLines/>
        <w:rPr>
          <w:lang w:val="fr-FR"/>
        </w:rPr>
      </w:pPr>
      <w:r w:rsidRPr="00FB1BFA">
        <w:rPr>
          <w:lang w:val="fr-FR"/>
        </w:rPr>
        <w:lastRenderedPageBreak/>
        <w:t>1)</w:t>
      </w:r>
      <w:r w:rsidRPr="00FB1BFA">
        <w:rPr>
          <w:lang w:val="fr-FR"/>
        </w:rPr>
        <w:tab/>
        <w:t>Point de vue de l'APT sur le projet d'initiatives régionales pour la région Asie-Pacifique. Les initiatives en question sont les suivantes:</w:t>
      </w:r>
    </w:p>
    <w:p w14:paraId="3DB165D7" w14:textId="77777777" w:rsidR="00CD509F" w:rsidRPr="00FB1BFA" w:rsidRDefault="00CD509F" w:rsidP="007319CC">
      <w:pPr>
        <w:pStyle w:val="enumlev2"/>
        <w:keepNext/>
        <w:keepLines/>
        <w:rPr>
          <w:lang w:val="fr-FR"/>
        </w:rPr>
      </w:pPr>
      <w:r w:rsidRPr="00FB1BFA">
        <w:rPr>
          <w:rFonts w:cstheme="minorHAnsi"/>
          <w:color w:val="000000" w:themeColor="text1"/>
          <w:lang w:val="fr-FR" w:eastAsia="ja-JP"/>
        </w:rPr>
        <w:t>–</w:t>
      </w:r>
      <w:r w:rsidRPr="00FB1BFA">
        <w:rPr>
          <w:rFonts w:cstheme="minorHAnsi"/>
          <w:color w:val="000000" w:themeColor="text1"/>
          <w:lang w:val="fr-FR" w:eastAsia="ja-JP"/>
        </w:rPr>
        <w:tab/>
        <w:t xml:space="preserve">ASP1: </w:t>
      </w:r>
      <w:r w:rsidRPr="00FB1BFA">
        <w:rPr>
          <w:lang w:val="fr-FR"/>
        </w:rPr>
        <w:t xml:space="preserve">Répondre aux besoins particuliers des pays les moins avancés, des petits </w:t>
      </w:r>
      <w:r w:rsidRPr="00FB1BFA">
        <w:rPr>
          <w:caps/>
          <w:lang w:val="fr-FR"/>
        </w:rPr>
        <w:t>É</w:t>
      </w:r>
      <w:r w:rsidRPr="00FB1BFA">
        <w:rPr>
          <w:lang w:val="fr-FR"/>
        </w:rPr>
        <w:t>tats insulaires en développement, y compris des pays insulaires du Pacifique, et des pays en développement sans littoral.</w:t>
      </w:r>
    </w:p>
    <w:p w14:paraId="599CBD66" w14:textId="77777777" w:rsidR="00CD509F" w:rsidRPr="00FB1BFA" w:rsidRDefault="00CD509F" w:rsidP="00CD509F">
      <w:pPr>
        <w:pStyle w:val="enumlev2"/>
        <w:rPr>
          <w:lang w:val="fr-FR"/>
        </w:rPr>
      </w:pPr>
      <w:r w:rsidRPr="00FB1BFA">
        <w:rPr>
          <w:rFonts w:cstheme="minorHAnsi"/>
          <w:color w:val="000000" w:themeColor="text1"/>
          <w:lang w:val="fr-FR" w:eastAsia="ja-JP"/>
        </w:rPr>
        <w:t>–</w:t>
      </w:r>
      <w:r w:rsidRPr="00FB1BFA">
        <w:rPr>
          <w:rFonts w:cstheme="minorHAnsi"/>
          <w:color w:val="000000" w:themeColor="text1"/>
          <w:lang w:val="fr-FR" w:eastAsia="ja-JP"/>
        </w:rPr>
        <w:tab/>
        <w:t xml:space="preserve">ASP2: </w:t>
      </w:r>
      <w:r w:rsidRPr="00FB1BFA">
        <w:rPr>
          <w:lang w:val="fr-FR"/>
        </w:rPr>
        <w:t>Tirer parti des technologies de l'information et de la communication pour favoriser l'économie numérique et des sociétés numériques inclusives.</w:t>
      </w:r>
    </w:p>
    <w:p w14:paraId="6D1AD927" w14:textId="77777777" w:rsidR="00CD509F" w:rsidRPr="00FB1BFA" w:rsidRDefault="00CD509F" w:rsidP="00CD509F">
      <w:pPr>
        <w:pStyle w:val="enumlev2"/>
        <w:rPr>
          <w:lang w:val="fr-FR"/>
        </w:rPr>
      </w:pPr>
      <w:r w:rsidRPr="00FB1BFA">
        <w:rPr>
          <w:rFonts w:cstheme="minorHAnsi"/>
          <w:color w:val="000000" w:themeColor="text1"/>
          <w:lang w:val="fr-FR" w:eastAsia="ja-JP"/>
        </w:rPr>
        <w:t>–</w:t>
      </w:r>
      <w:r w:rsidRPr="00FB1BFA">
        <w:rPr>
          <w:rFonts w:cstheme="minorHAnsi"/>
          <w:color w:val="000000" w:themeColor="text1"/>
          <w:lang w:val="fr-FR" w:eastAsia="ja-JP"/>
        </w:rPr>
        <w:tab/>
        <w:t xml:space="preserve">ASP3: </w:t>
      </w:r>
      <w:r w:rsidRPr="00FB1BFA">
        <w:rPr>
          <w:lang w:val="fr-FR"/>
        </w:rPr>
        <w:t>Promouvoir le développement des infrastructures pour améliorer la connectivité numérique et connecter ceux qui ne le sont pas encore.</w:t>
      </w:r>
    </w:p>
    <w:p w14:paraId="3A09AAF9" w14:textId="77777777" w:rsidR="00CD509F" w:rsidRPr="00FB1BFA" w:rsidRDefault="00CD509F" w:rsidP="00CD509F">
      <w:pPr>
        <w:pStyle w:val="enumlev2"/>
        <w:rPr>
          <w:lang w:val="fr-FR"/>
        </w:rPr>
      </w:pPr>
      <w:r w:rsidRPr="00FB1BFA">
        <w:rPr>
          <w:rFonts w:cstheme="minorHAnsi"/>
          <w:color w:val="000000" w:themeColor="text1"/>
          <w:lang w:val="fr-FR" w:eastAsia="ja-JP"/>
        </w:rPr>
        <w:t>–</w:t>
      </w:r>
      <w:r w:rsidRPr="00FB1BFA">
        <w:rPr>
          <w:rFonts w:cstheme="minorHAnsi"/>
          <w:color w:val="000000" w:themeColor="text1"/>
          <w:lang w:val="fr-FR" w:eastAsia="ja-JP"/>
        </w:rPr>
        <w:tab/>
        <w:t xml:space="preserve">ASP4: </w:t>
      </w:r>
      <w:r w:rsidRPr="00FB1BFA">
        <w:rPr>
          <w:lang w:val="fr-FR"/>
        </w:rPr>
        <w:t>Créer un environnement politique et réglementaire favorable pour accélérer la transformation numérique.</w:t>
      </w:r>
    </w:p>
    <w:p w14:paraId="1FF0EB66" w14:textId="77777777" w:rsidR="00CD509F" w:rsidRPr="00FB1BFA" w:rsidRDefault="00CD509F" w:rsidP="00CD509F">
      <w:pPr>
        <w:pStyle w:val="enumlev2"/>
        <w:rPr>
          <w:lang w:val="fr-FR"/>
        </w:rPr>
      </w:pPr>
      <w:r w:rsidRPr="00FB1BFA">
        <w:rPr>
          <w:rFonts w:cstheme="minorHAnsi"/>
          <w:color w:val="000000" w:themeColor="text1"/>
          <w:lang w:val="fr-FR" w:eastAsia="ja-JP"/>
        </w:rPr>
        <w:t>–</w:t>
      </w:r>
      <w:r w:rsidRPr="00FB1BFA">
        <w:rPr>
          <w:lang w:val="fr-FR"/>
        </w:rPr>
        <w:tab/>
        <w:t>ASP5: Contribuer à la mise en place d'un environnement des TIC fiable et solide.</w:t>
      </w:r>
    </w:p>
    <w:p w14:paraId="788372D4" w14:textId="77777777" w:rsidR="00CD509F" w:rsidRPr="00FB1BFA" w:rsidRDefault="00CD509F" w:rsidP="00CD509F">
      <w:pPr>
        <w:pStyle w:val="enumlev1"/>
        <w:rPr>
          <w:rFonts w:cstheme="minorHAnsi"/>
          <w:b/>
          <w:color w:val="000000" w:themeColor="text1"/>
          <w:lang w:val="fr-FR" w:eastAsia="ja-JP"/>
        </w:rPr>
      </w:pPr>
      <w:r w:rsidRPr="00FB1BFA">
        <w:rPr>
          <w:lang w:val="fr-FR"/>
        </w:rPr>
        <w:t>2)</w:t>
      </w:r>
      <w:r w:rsidRPr="00FB1BFA">
        <w:rPr>
          <w:lang w:val="fr-FR"/>
        </w:rPr>
        <w:tab/>
        <w:t>Point de vue de l'APT sur les priorités thématiques (déjà présenté lors de la réunion IRM</w:t>
      </w:r>
      <w:r w:rsidRPr="00FB1BFA">
        <w:rPr>
          <w:lang w:val="fr-FR"/>
        </w:rPr>
        <w:noBreakHyphen/>
        <w:t>2).</w:t>
      </w:r>
    </w:p>
    <w:p w14:paraId="65D939DB" w14:textId="77777777" w:rsidR="00CD509F" w:rsidRPr="00FB1BFA" w:rsidRDefault="00CD509F" w:rsidP="00CD509F">
      <w:pPr>
        <w:pStyle w:val="enumlev1"/>
        <w:rPr>
          <w:lang w:val="fr-FR"/>
        </w:rPr>
      </w:pPr>
      <w:r w:rsidRPr="00FB1BFA">
        <w:rPr>
          <w:lang w:val="fr-FR"/>
        </w:rPr>
        <w:t>3)</w:t>
      </w:r>
      <w:r w:rsidRPr="00FB1BFA">
        <w:rPr>
          <w:lang w:val="fr-FR"/>
        </w:rPr>
        <w:tab/>
        <w:t xml:space="preserve">Point de vue de l'APT sur la vision de l'Asie-Pacifique concernant l'UIT-D (déjà présenté lors de la réunion IRM-2). </w:t>
      </w:r>
    </w:p>
    <w:p w14:paraId="598D76BA" w14:textId="43A8991D" w:rsidR="00CD509F" w:rsidRPr="00FB1BFA" w:rsidRDefault="00CD509F" w:rsidP="00CD509F">
      <w:pPr>
        <w:pStyle w:val="enumlev1"/>
        <w:rPr>
          <w:highlight w:val="yellow"/>
          <w:lang w:val="fr-FR"/>
        </w:rPr>
      </w:pPr>
      <w:bookmarkStart w:id="10" w:name="_Hlk102557094"/>
      <w:r w:rsidRPr="00FB1BFA">
        <w:rPr>
          <w:highlight w:val="yellow"/>
          <w:lang w:val="fr-FR"/>
        </w:rPr>
        <w:t>4)</w:t>
      </w:r>
      <w:r w:rsidRPr="00FB1BFA">
        <w:rPr>
          <w:highlight w:val="yellow"/>
          <w:lang w:val="fr-FR"/>
        </w:rPr>
        <w:tab/>
        <w:t xml:space="preserve">Point de vue de l'APT sur la Déclaration de la CMDT (voir le </w:t>
      </w:r>
      <w:hyperlink r:id="rId25" w:history="1">
        <w:r w:rsidRPr="00FB1BFA">
          <w:rPr>
            <w:rStyle w:val="Hyperlink"/>
            <w:highlight w:val="yellow"/>
            <w:lang w:val="fr-FR"/>
          </w:rPr>
          <w:t>Document 65</w:t>
        </w:r>
      </w:hyperlink>
      <w:r w:rsidRPr="00FB1BFA">
        <w:rPr>
          <w:highlight w:val="yellow"/>
          <w:lang w:val="fr-FR"/>
        </w:rPr>
        <w:t xml:space="preserve"> et la page 2</w:t>
      </w:r>
      <w:r w:rsidR="00FB1BFA" w:rsidRPr="00FB1BFA">
        <w:rPr>
          <w:highlight w:val="yellow"/>
          <w:lang w:val="fr-FR"/>
        </w:rPr>
        <w:t>6</w:t>
      </w:r>
      <w:r w:rsidRPr="00FB1BFA">
        <w:rPr>
          <w:highlight w:val="yellow"/>
          <w:lang w:val="fr-FR"/>
        </w:rPr>
        <w:t xml:space="preserve"> du présent rapport).</w:t>
      </w:r>
    </w:p>
    <w:p w14:paraId="23109431" w14:textId="3E51F194" w:rsidR="00CD509F" w:rsidRPr="00FB1BFA" w:rsidRDefault="00CD509F" w:rsidP="00CD509F">
      <w:pPr>
        <w:pStyle w:val="enumlev1"/>
        <w:rPr>
          <w:highlight w:val="yellow"/>
          <w:lang w:val="fr-FR"/>
        </w:rPr>
      </w:pPr>
      <w:r w:rsidRPr="00FB1BFA">
        <w:rPr>
          <w:highlight w:val="yellow"/>
          <w:lang w:val="fr-FR"/>
        </w:rPr>
        <w:t>5)</w:t>
      </w:r>
      <w:r w:rsidRPr="00FB1BFA">
        <w:rPr>
          <w:highlight w:val="yellow"/>
          <w:lang w:val="fr-FR"/>
        </w:rPr>
        <w:tab/>
        <w:t xml:space="preserve">Point de vue de l'APT sur les résultats et les produits du Plan d'action (voir le </w:t>
      </w:r>
      <w:hyperlink r:id="rId26" w:history="1">
        <w:r w:rsidRPr="00FB1BFA">
          <w:rPr>
            <w:rStyle w:val="Hyperlink"/>
            <w:highlight w:val="yellow"/>
            <w:lang w:val="fr-FR"/>
          </w:rPr>
          <w:t>Document 66</w:t>
        </w:r>
      </w:hyperlink>
      <w:r w:rsidRPr="00FB1BFA">
        <w:rPr>
          <w:highlight w:val="yellow"/>
          <w:lang w:val="fr-FR"/>
        </w:rPr>
        <w:t xml:space="preserve"> et la page 2</w:t>
      </w:r>
      <w:r w:rsidR="00FB1BFA" w:rsidRPr="00FB1BFA">
        <w:rPr>
          <w:highlight w:val="yellow"/>
          <w:lang w:val="fr-FR"/>
        </w:rPr>
        <w:t>7</w:t>
      </w:r>
      <w:r w:rsidRPr="00FB1BFA">
        <w:rPr>
          <w:highlight w:val="yellow"/>
          <w:lang w:val="fr-FR"/>
        </w:rPr>
        <w:t xml:space="preserve"> du présent rapport).</w:t>
      </w:r>
    </w:p>
    <w:p w14:paraId="4E11CE60" w14:textId="6863F65F" w:rsidR="00CD509F" w:rsidRPr="00FB1BFA" w:rsidRDefault="00CD509F" w:rsidP="00CD509F">
      <w:pPr>
        <w:pStyle w:val="enumlev1"/>
        <w:rPr>
          <w:lang w:val="fr-FR"/>
        </w:rPr>
      </w:pPr>
      <w:r w:rsidRPr="00FB1BFA">
        <w:rPr>
          <w:highlight w:val="yellow"/>
          <w:lang w:val="fr-FR"/>
        </w:rPr>
        <w:t>6)</w:t>
      </w:r>
      <w:r w:rsidRPr="00FB1BFA">
        <w:rPr>
          <w:highlight w:val="yellow"/>
          <w:lang w:val="fr-FR"/>
        </w:rPr>
        <w:tab/>
        <w:t xml:space="preserve">Point de vue de l'APT sur la Résolution 1 (voir le </w:t>
      </w:r>
      <w:hyperlink r:id="rId27" w:history="1">
        <w:r w:rsidRPr="00FB1BFA">
          <w:rPr>
            <w:rStyle w:val="Hyperlink"/>
            <w:highlight w:val="yellow"/>
            <w:lang w:val="fr-FR"/>
          </w:rPr>
          <w:t>Document 67</w:t>
        </w:r>
      </w:hyperlink>
      <w:r w:rsidRPr="00FB1BFA">
        <w:rPr>
          <w:highlight w:val="yellow"/>
          <w:lang w:val="fr-FR"/>
        </w:rPr>
        <w:t xml:space="preserve"> et la page 2</w:t>
      </w:r>
      <w:r w:rsidR="00FB1BFA" w:rsidRPr="00FB1BFA">
        <w:rPr>
          <w:highlight w:val="yellow"/>
          <w:lang w:val="fr-FR"/>
        </w:rPr>
        <w:t>7</w:t>
      </w:r>
      <w:r w:rsidRPr="00FB1BFA">
        <w:rPr>
          <w:highlight w:val="yellow"/>
          <w:lang w:val="fr-FR"/>
        </w:rPr>
        <w:t xml:space="preserve"> du présent rapport).</w:t>
      </w:r>
      <w:bookmarkEnd w:id="10"/>
    </w:p>
    <w:p w14:paraId="1C272A05" w14:textId="77777777" w:rsidR="00CD509F" w:rsidRPr="00FB1BFA" w:rsidRDefault="00CD509F" w:rsidP="00CD509F">
      <w:pPr>
        <w:pStyle w:val="Heading2"/>
        <w:rPr>
          <w:lang w:val="fr-FR"/>
        </w:rPr>
      </w:pPr>
      <w:r w:rsidRPr="00FB1BFA">
        <w:rPr>
          <w:lang w:val="fr-FR"/>
        </w:rPr>
        <w:t>3.4</w:t>
      </w:r>
      <w:r w:rsidRPr="00FB1BFA">
        <w:rPr>
          <w:lang w:val="fr-FR"/>
        </w:rPr>
        <w:tab/>
        <w:t>Communauté régionale des communications (RCC)</w:t>
      </w:r>
    </w:p>
    <w:p w14:paraId="2583BFEF" w14:textId="669EB7F6" w:rsidR="00CD509F" w:rsidRPr="00FB1BFA" w:rsidRDefault="00CD509F" w:rsidP="00CD509F">
      <w:pPr>
        <w:keepNext/>
        <w:keepLines/>
        <w:spacing w:after="120"/>
        <w:rPr>
          <w:lang w:val="fr-FR"/>
        </w:rPr>
      </w:pPr>
      <w:r w:rsidRPr="00FB1BFA">
        <w:rPr>
          <w:lang w:val="fr-FR"/>
        </w:rPr>
        <w:t xml:space="preserve">Le représentant de la Fédération de Russie, qui a fait le point de la situation au nom de la RCC, a rappelé qu'une série importante de projets de propositions communes de la RCC avait été soumise à la deuxième réunion interrégionale tenue en décembre 2021. La présentation a donc porté principalement sur d'autres améliorations à apporter à ces propositions et sur une nouvelle proposition relative à la Résolution 2 (Établissement de commissions d'études). La série de propositions de la RCC s'articule autour des thèmes suivants: règlement intérieur, commissions d'études de l'UIT-D, statistiques sur les TIC et SMSI, questions régionales, membres, fracture numérique, communications d'urgence, protection des consommateurs et accessibilité, Internet des objets et projet de nouvelle Résolution sur l'utilisation des TIC et des télécommunications pour lutter contre la pandémie de COVID-19. Le Tableau 3.9 donne la liste des 20 résolutions qu'il convient de modifier ou de supprimer. La RCC s'est mise d'accord sur les candidats à des postes de direction au sein du GCDT et des commissions d'études de l'UIT-D (voir le Tableau 3.10) et les candidats à des postes de direction lors de la CMDT (voir le Tableau 3.11). </w:t>
      </w:r>
    </w:p>
    <w:p w14:paraId="720433C7" w14:textId="26434A36" w:rsidR="007319CC" w:rsidRPr="00FB1BFA" w:rsidRDefault="007319CC">
      <w:pPr>
        <w:tabs>
          <w:tab w:val="clear" w:pos="794"/>
          <w:tab w:val="clear" w:pos="1191"/>
          <w:tab w:val="clear" w:pos="1588"/>
          <w:tab w:val="clear" w:pos="1985"/>
        </w:tabs>
        <w:overflowPunct/>
        <w:autoSpaceDE/>
        <w:autoSpaceDN/>
        <w:adjustRightInd/>
        <w:spacing w:before="0"/>
        <w:textAlignment w:val="auto"/>
        <w:rPr>
          <w:lang w:val="fr-FR"/>
        </w:rPr>
      </w:pPr>
      <w:r w:rsidRPr="00FB1BFA">
        <w:rPr>
          <w:lang w:val="fr-FR"/>
        </w:rPr>
        <w:br w:type="page"/>
      </w:r>
    </w:p>
    <w:p w14:paraId="4A66FD8E" w14:textId="77777777" w:rsidR="00CD509F" w:rsidRPr="00FB1BFA" w:rsidRDefault="00CD509F" w:rsidP="00CD509F">
      <w:pPr>
        <w:pStyle w:val="Tabletitle"/>
        <w:spacing w:before="240"/>
        <w:rPr>
          <w:lang w:val="fr-FR"/>
        </w:rPr>
      </w:pPr>
      <w:r w:rsidRPr="00FB1BFA">
        <w:rPr>
          <w:lang w:val="fr-FR"/>
        </w:rPr>
        <w:lastRenderedPageBreak/>
        <w:t xml:space="preserve">Tableau 3.9: Liste des projets de propositions de la RCC </w:t>
      </w:r>
    </w:p>
    <w:p w14:paraId="6C1A003B" w14:textId="77777777" w:rsidR="00CD509F" w:rsidRPr="00FB1BFA" w:rsidRDefault="00CD509F" w:rsidP="00CD509F">
      <w:pPr>
        <w:pStyle w:val="Headingb"/>
        <w:spacing w:after="120"/>
        <w:rPr>
          <w:lang w:val="fr-FR"/>
        </w:rPr>
      </w:pPr>
      <w:r w:rsidRPr="00FB1BFA">
        <w:rPr>
          <w:lang w:val="fr-FR"/>
        </w:rPr>
        <w:t>Règlement intérieur</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CD509F" w:rsidRPr="00FB1BFA" w14:paraId="3E26BBE5" w14:textId="77777777" w:rsidTr="00375A6F">
        <w:tc>
          <w:tcPr>
            <w:tcW w:w="4526" w:type="dxa"/>
            <w:shd w:val="clear" w:color="auto" w:fill="31849B"/>
          </w:tcPr>
          <w:p w14:paraId="3C87DADC"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1 (Rév. Buenos Aires, 2017)</w:t>
            </w:r>
          </w:p>
        </w:tc>
        <w:tc>
          <w:tcPr>
            <w:tcW w:w="5245" w:type="dxa"/>
            <w:shd w:val="clear" w:color="auto" w:fill="D9D9D9"/>
          </w:tcPr>
          <w:p w14:paraId="42E3F47A" w14:textId="77777777" w:rsidR="00CD509F" w:rsidRPr="00FB1BFA" w:rsidRDefault="00CD509F" w:rsidP="00375A6F">
            <w:pPr>
              <w:pStyle w:val="Tabletext"/>
              <w:rPr>
                <w:lang w:val="fr-FR"/>
              </w:rPr>
            </w:pPr>
            <w:r w:rsidRPr="00FB1BFA">
              <w:rPr>
                <w:lang w:val="fr-FR"/>
              </w:rPr>
              <w:t>Règlement intérieur du Secteur du développement des télécommunications de l'UIT</w:t>
            </w:r>
          </w:p>
        </w:tc>
      </w:tr>
      <w:tr w:rsidR="00CD509F" w:rsidRPr="00FB1BFA" w14:paraId="53B3369F" w14:textId="77777777" w:rsidTr="00375A6F">
        <w:tc>
          <w:tcPr>
            <w:tcW w:w="4526" w:type="dxa"/>
            <w:shd w:val="clear" w:color="auto" w:fill="31849B"/>
          </w:tcPr>
          <w:p w14:paraId="6F031648"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SUP: Résolution 61 (Rév. Dubaï, 2014)</w:t>
            </w:r>
          </w:p>
        </w:tc>
        <w:tc>
          <w:tcPr>
            <w:tcW w:w="5245" w:type="dxa"/>
            <w:shd w:val="clear" w:color="auto" w:fill="D9D9D9"/>
          </w:tcPr>
          <w:p w14:paraId="647ABD0B" w14:textId="77777777" w:rsidR="00CD509F" w:rsidRPr="00FB1BFA" w:rsidRDefault="00CD509F" w:rsidP="00375A6F">
            <w:pPr>
              <w:pStyle w:val="Tabletext"/>
              <w:rPr>
                <w:lang w:val="fr-FR"/>
              </w:rPr>
            </w:pPr>
            <w:r w:rsidRPr="00FB1BFA">
              <w:rPr>
                <w:lang w:val="fr-FR"/>
              </w:rPr>
              <w:t>Nomination et durée maximale du mandat des présidents et vice-présidents des commissions d'études du Secteur du développement des télécommunications de l'UIT et du Groupe consultatif pour le développement des télécommunications</w:t>
            </w:r>
          </w:p>
        </w:tc>
      </w:tr>
      <w:tr w:rsidR="00CD509F" w:rsidRPr="00FB1BFA" w14:paraId="7FCFDD16" w14:textId="77777777" w:rsidTr="00375A6F">
        <w:tc>
          <w:tcPr>
            <w:tcW w:w="4526" w:type="dxa"/>
            <w:shd w:val="clear" w:color="auto" w:fill="31849B"/>
          </w:tcPr>
          <w:p w14:paraId="1D43539F"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SUP: Résolution 81 (Rév. Buenos Aires, 2017)</w:t>
            </w:r>
          </w:p>
        </w:tc>
        <w:tc>
          <w:tcPr>
            <w:tcW w:w="5245" w:type="dxa"/>
            <w:shd w:val="clear" w:color="auto" w:fill="D9D9D9"/>
          </w:tcPr>
          <w:p w14:paraId="3AEBB6C8" w14:textId="77777777" w:rsidR="00CD509F" w:rsidRPr="00FB1BFA" w:rsidRDefault="00CD509F" w:rsidP="00375A6F">
            <w:pPr>
              <w:pStyle w:val="Tabletext"/>
              <w:rPr>
                <w:lang w:val="fr-FR"/>
              </w:rPr>
            </w:pPr>
            <w:r w:rsidRPr="00FB1BFA">
              <w:rPr>
                <w:lang w:val="fr-FR"/>
              </w:rPr>
              <w:t>Perfectionnement des méthodes de travail électroniques pour les travaux du Secteur du développement des télécommunications de l'UIT</w:t>
            </w:r>
          </w:p>
        </w:tc>
      </w:tr>
      <w:tr w:rsidR="00CD509F" w:rsidRPr="00FB1BFA" w14:paraId="1F9AE170" w14:textId="77777777" w:rsidTr="00375A6F">
        <w:tc>
          <w:tcPr>
            <w:tcW w:w="4526" w:type="dxa"/>
            <w:shd w:val="clear" w:color="auto" w:fill="31849B"/>
          </w:tcPr>
          <w:p w14:paraId="64618B4D"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SUP: Résolution 86 (Rév. Buenos Aires, 2017)</w:t>
            </w:r>
          </w:p>
        </w:tc>
        <w:tc>
          <w:tcPr>
            <w:tcW w:w="5245" w:type="dxa"/>
            <w:shd w:val="clear" w:color="auto" w:fill="D9D9D9"/>
          </w:tcPr>
          <w:p w14:paraId="0D2A01FC" w14:textId="77777777" w:rsidR="00CD509F" w:rsidRPr="00FB1BFA" w:rsidRDefault="00CD509F" w:rsidP="00375A6F">
            <w:pPr>
              <w:pStyle w:val="Tabletext"/>
              <w:rPr>
                <w:lang w:val="fr-FR"/>
              </w:rPr>
            </w:pPr>
            <w:r w:rsidRPr="00FB1BFA">
              <w:rPr>
                <w:lang w:val="fr-FR"/>
              </w:rPr>
              <w:t>Utilisation au sein du Secteur du développement des télécommunications de l'UIT des langues de l'Union sur un pied d'égalité</w:t>
            </w:r>
          </w:p>
        </w:tc>
      </w:tr>
    </w:tbl>
    <w:p w14:paraId="13C744B5" w14:textId="77777777" w:rsidR="00CD509F" w:rsidRPr="00FB1BFA" w:rsidRDefault="00CD509F" w:rsidP="00CD509F">
      <w:pPr>
        <w:pStyle w:val="Headingb"/>
        <w:spacing w:after="120"/>
        <w:rPr>
          <w:lang w:val="fr-FR"/>
        </w:rPr>
      </w:pPr>
      <w:r w:rsidRPr="00FB1BFA">
        <w:rPr>
          <w:lang w:val="fr-FR"/>
        </w:rPr>
        <w:t>Commissions d'études de l'UIT-D</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CD509F" w:rsidRPr="00FB1BFA" w14:paraId="6F4068A5" w14:textId="77777777" w:rsidTr="00375A6F">
        <w:tc>
          <w:tcPr>
            <w:tcW w:w="4526" w:type="dxa"/>
            <w:shd w:val="clear" w:color="auto" w:fill="31849B"/>
          </w:tcPr>
          <w:p w14:paraId="5EA37E03" w14:textId="77777777" w:rsidR="00CD509F" w:rsidRPr="00FB1BFA" w:rsidRDefault="00CD509F" w:rsidP="00375A6F">
            <w:pPr>
              <w:pStyle w:val="Tabletext"/>
              <w:rPr>
                <w:b/>
                <w:bCs/>
                <w:lang w:val="fr-FR"/>
              </w:rPr>
            </w:pPr>
            <w:r w:rsidRPr="00FB1BFA">
              <w:rPr>
                <w:b/>
                <w:bCs/>
                <w:color w:val="FFFFFF" w:themeColor="background1"/>
                <w:lang w:val="fr-FR"/>
              </w:rPr>
              <w:t>MOD: Résolution 2 (Rév. Buenos Aires, 2017)</w:t>
            </w:r>
          </w:p>
        </w:tc>
        <w:tc>
          <w:tcPr>
            <w:tcW w:w="5245" w:type="dxa"/>
            <w:shd w:val="clear" w:color="auto" w:fill="D9D9D9"/>
          </w:tcPr>
          <w:p w14:paraId="41262403" w14:textId="77777777" w:rsidR="00CD509F" w:rsidRPr="00FB1BFA" w:rsidRDefault="00CD509F" w:rsidP="00375A6F">
            <w:pPr>
              <w:pStyle w:val="Tabletext"/>
              <w:rPr>
                <w:lang w:val="fr-FR"/>
              </w:rPr>
            </w:pPr>
            <w:r w:rsidRPr="00FB1BFA">
              <w:rPr>
                <w:lang w:val="fr-FR"/>
              </w:rPr>
              <w:t>Établissement de commissions d'études</w:t>
            </w:r>
          </w:p>
        </w:tc>
      </w:tr>
    </w:tbl>
    <w:p w14:paraId="14FB6ED1" w14:textId="77777777" w:rsidR="00CD509F" w:rsidRPr="00FB1BFA" w:rsidRDefault="00CD509F" w:rsidP="00CD509F">
      <w:pPr>
        <w:pStyle w:val="Headingb"/>
        <w:spacing w:after="120"/>
        <w:rPr>
          <w:lang w:val="fr-FR"/>
        </w:rPr>
      </w:pPr>
      <w:r w:rsidRPr="00FB1BFA">
        <w:rPr>
          <w:lang w:val="fr-FR"/>
        </w:rPr>
        <w:t xml:space="preserve">Statistiques sur les TIC et Sommet mondial sur la société de l'information (SMSI) </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CD509F" w:rsidRPr="00FB1BFA" w14:paraId="58A043E6" w14:textId="77777777" w:rsidTr="00375A6F">
        <w:tc>
          <w:tcPr>
            <w:tcW w:w="4526" w:type="dxa"/>
            <w:shd w:val="clear" w:color="auto" w:fill="31849B"/>
          </w:tcPr>
          <w:p w14:paraId="0CD6F88F"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8 (Rév. Buenos Aires, 2017)</w:t>
            </w:r>
          </w:p>
        </w:tc>
        <w:tc>
          <w:tcPr>
            <w:tcW w:w="5245" w:type="dxa"/>
            <w:shd w:val="clear" w:color="auto" w:fill="D9D9D9"/>
          </w:tcPr>
          <w:p w14:paraId="2E0A3501" w14:textId="77777777" w:rsidR="00CD509F" w:rsidRPr="00FB1BFA" w:rsidRDefault="00CD509F" w:rsidP="00375A6F">
            <w:pPr>
              <w:pStyle w:val="Tabletext"/>
              <w:rPr>
                <w:lang w:val="fr-FR"/>
              </w:rPr>
            </w:pPr>
            <w:r w:rsidRPr="00FB1BFA">
              <w:rPr>
                <w:lang w:val="fr-FR"/>
              </w:rPr>
              <w:t>Collecte et diffusion d'informations et de statistiques</w:t>
            </w:r>
          </w:p>
        </w:tc>
      </w:tr>
      <w:tr w:rsidR="00CD509F" w:rsidRPr="00FB1BFA" w14:paraId="68D668EA" w14:textId="77777777" w:rsidTr="00375A6F">
        <w:tc>
          <w:tcPr>
            <w:tcW w:w="4526" w:type="dxa"/>
            <w:shd w:val="clear" w:color="auto" w:fill="31849B"/>
          </w:tcPr>
          <w:p w14:paraId="1759B4E9"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30 (Rév. Buenos Aires, 2017)</w:t>
            </w:r>
          </w:p>
        </w:tc>
        <w:tc>
          <w:tcPr>
            <w:tcW w:w="5245" w:type="dxa"/>
            <w:shd w:val="clear" w:color="auto" w:fill="D9D9D9"/>
          </w:tcPr>
          <w:p w14:paraId="677E06C4" w14:textId="77777777" w:rsidR="00CD509F" w:rsidRPr="00FB1BFA" w:rsidRDefault="00CD509F" w:rsidP="00375A6F">
            <w:pPr>
              <w:pStyle w:val="Tabletext"/>
              <w:rPr>
                <w:lang w:val="fr-FR"/>
              </w:rPr>
            </w:pPr>
            <w:r w:rsidRPr="00FB1BFA">
              <w:rPr>
                <w:lang w:val="fr-FR"/>
              </w:rPr>
              <w:t>Rôle du Secteur du développement des télécommunications de l'UIT dans la mise en œuvre des résultats du Sommet mondial sur la société de l'information, compte tenu du Programme de développement durable à l'horizon 2030</w:t>
            </w:r>
          </w:p>
        </w:tc>
      </w:tr>
    </w:tbl>
    <w:p w14:paraId="0483BF70" w14:textId="77777777" w:rsidR="00CD509F" w:rsidRPr="00FB1BFA" w:rsidRDefault="00CD509F" w:rsidP="00CD509F">
      <w:pPr>
        <w:pStyle w:val="Headingb"/>
        <w:spacing w:after="120"/>
        <w:rPr>
          <w:lang w:val="fr-FR"/>
        </w:rPr>
      </w:pPr>
      <w:r w:rsidRPr="00FB1BFA">
        <w:rPr>
          <w:lang w:val="fr-FR"/>
        </w:rPr>
        <w:t>Questions régionales</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CD509F" w:rsidRPr="00FB1BFA" w14:paraId="0F68E3E8" w14:textId="77777777" w:rsidTr="00375A6F">
        <w:tc>
          <w:tcPr>
            <w:tcW w:w="4526" w:type="dxa"/>
            <w:shd w:val="clear" w:color="auto" w:fill="31849B"/>
          </w:tcPr>
          <w:p w14:paraId="4D53EAC7"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17 (Rév. Buenos Aires, 2017)</w:t>
            </w:r>
          </w:p>
        </w:tc>
        <w:tc>
          <w:tcPr>
            <w:tcW w:w="5245" w:type="dxa"/>
            <w:shd w:val="clear" w:color="auto" w:fill="D9D9D9"/>
          </w:tcPr>
          <w:p w14:paraId="2762ABE3" w14:textId="77777777" w:rsidR="00CD509F" w:rsidRPr="00FB1BFA" w:rsidRDefault="00CD509F" w:rsidP="00375A6F">
            <w:pPr>
              <w:pStyle w:val="Tabletext"/>
              <w:rPr>
                <w:lang w:val="fr-FR"/>
              </w:rPr>
            </w:pPr>
            <w:r w:rsidRPr="00FB1BFA">
              <w:rPr>
                <w:lang w:val="fr-FR"/>
              </w:rPr>
              <w:t>Mise en œuvre aux niveaux national, régional, interrégional et mondial des initiatives régionales approuvées par les régions</w:t>
            </w:r>
          </w:p>
        </w:tc>
      </w:tr>
      <w:tr w:rsidR="00CD509F" w:rsidRPr="00FB1BFA" w14:paraId="3A5AE963" w14:textId="77777777" w:rsidTr="00375A6F">
        <w:tc>
          <w:tcPr>
            <w:tcW w:w="4526" w:type="dxa"/>
            <w:shd w:val="clear" w:color="auto" w:fill="31849B"/>
          </w:tcPr>
          <w:p w14:paraId="45FBF6D9"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21 (Rév. Buenos Aires, 2017)</w:t>
            </w:r>
          </w:p>
        </w:tc>
        <w:tc>
          <w:tcPr>
            <w:tcW w:w="5245" w:type="dxa"/>
            <w:shd w:val="clear" w:color="auto" w:fill="D9D9D9"/>
          </w:tcPr>
          <w:p w14:paraId="6E39CC2E" w14:textId="77777777" w:rsidR="00CD509F" w:rsidRPr="00FB1BFA" w:rsidRDefault="00CD509F" w:rsidP="00375A6F">
            <w:pPr>
              <w:pStyle w:val="Tabletext"/>
              <w:rPr>
                <w:lang w:val="fr-FR"/>
              </w:rPr>
            </w:pPr>
            <w:r w:rsidRPr="00FB1BFA">
              <w:rPr>
                <w:lang w:val="fr-FR"/>
              </w:rPr>
              <w:t>Coordination et collaboration avec les organisations régionales et sous-régionales</w:t>
            </w:r>
          </w:p>
        </w:tc>
      </w:tr>
      <w:tr w:rsidR="00CD509F" w:rsidRPr="00FB1BFA" w14:paraId="2E351A65" w14:textId="77777777" w:rsidTr="00375A6F">
        <w:tc>
          <w:tcPr>
            <w:tcW w:w="4526" w:type="dxa"/>
            <w:shd w:val="clear" w:color="auto" w:fill="31849B"/>
          </w:tcPr>
          <w:p w14:paraId="4CB84B5D"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31 (Rév. Buenos Aires, 2017)</w:t>
            </w:r>
          </w:p>
        </w:tc>
        <w:tc>
          <w:tcPr>
            <w:tcW w:w="5245" w:type="dxa"/>
            <w:shd w:val="clear" w:color="auto" w:fill="D9D9D9"/>
          </w:tcPr>
          <w:p w14:paraId="553004CD" w14:textId="77777777" w:rsidR="00CD509F" w:rsidRPr="00FB1BFA" w:rsidRDefault="00CD509F" w:rsidP="00375A6F">
            <w:pPr>
              <w:pStyle w:val="Tabletext"/>
              <w:rPr>
                <w:lang w:val="fr-FR"/>
              </w:rPr>
            </w:pPr>
            <w:r w:rsidRPr="00FB1BFA">
              <w:rPr>
                <w:lang w:val="fr-FR"/>
              </w:rPr>
              <w:t>Travaux préparatoires régionaux pour les conférences mondiales de développement des télécommunications</w:t>
            </w:r>
          </w:p>
        </w:tc>
      </w:tr>
    </w:tbl>
    <w:p w14:paraId="04744DB1" w14:textId="77777777" w:rsidR="007319CC" w:rsidRPr="00FB1BFA" w:rsidRDefault="007319CC">
      <w:pPr>
        <w:tabs>
          <w:tab w:val="clear" w:pos="794"/>
          <w:tab w:val="clear" w:pos="1191"/>
          <w:tab w:val="clear" w:pos="1588"/>
          <w:tab w:val="clear" w:pos="1985"/>
        </w:tabs>
        <w:overflowPunct/>
        <w:autoSpaceDE/>
        <w:autoSpaceDN/>
        <w:adjustRightInd/>
        <w:spacing w:before="0"/>
        <w:textAlignment w:val="auto"/>
        <w:rPr>
          <w:b/>
          <w:lang w:val="fr-FR"/>
        </w:rPr>
      </w:pPr>
      <w:r w:rsidRPr="00FB1BFA">
        <w:rPr>
          <w:lang w:val="fr-FR"/>
        </w:rPr>
        <w:br w:type="page"/>
      </w:r>
    </w:p>
    <w:p w14:paraId="46425A13" w14:textId="08D8E921" w:rsidR="00CD509F" w:rsidRPr="00FB1BFA" w:rsidRDefault="00CD509F" w:rsidP="00CD509F">
      <w:pPr>
        <w:pStyle w:val="Headingb"/>
        <w:spacing w:after="120"/>
        <w:rPr>
          <w:lang w:val="fr-FR"/>
        </w:rPr>
      </w:pPr>
      <w:r w:rsidRPr="00FB1BFA">
        <w:rPr>
          <w:lang w:val="fr-FR"/>
        </w:rPr>
        <w:lastRenderedPageBreak/>
        <w:t>Membres</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CD509F" w:rsidRPr="00FB1BFA" w14:paraId="118A1CE8" w14:textId="77777777" w:rsidTr="00375A6F">
        <w:tc>
          <w:tcPr>
            <w:tcW w:w="4526" w:type="dxa"/>
            <w:shd w:val="clear" w:color="auto" w:fill="31849B"/>
          </w:tcPr>
          <w:p w14:paraId="7A866C61"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SUP: Résolution 27 (Rév. Hyderabad, 2010)</w:t>
            </w:r>
          </w:p>
        </w:tc>
        <w:tc>
          <w:tcPr>
            <w:tcW w:w="5245" w:type="dxa"/>
            <w:shd w:val="clear" w:color="auto" w:fill="D9D9D9"/>
          </w:tcPr>
          <w:p w14:paraId="11F8D182" w14:textId="77777777" w:rsidR="00CD509F" w:rsidRPr="00FB1BFA" w:rsidRDefault="00CD509F" w:rsidP="00375A6F">
            <w:pPr>
              <w:pStyle w:val="Tabletext"/>
              <w:rPr>
                <w:b/>
                <w:bCs/>
                <w:color w:val="FFFFFF" w:themeColor="background1"/>
                <w:lang w:val="fr-FR"/>
              </w:rPr>
            </w:pPr>
            <w:r w:rsidRPr="00FB1BFA">
              <w:rPr>
                <w:lang w:val="fr-FR"/>
              </w:rPr>
              <w:t>Admission d'entités ou d'organisations à participer comme Associés aux travaux du Secteur du développement des télécommunications de l'UIT</w:t>
            </w:r>
          </w:p>
        </w:tc>
      </w:tr>
      <w:tr w:rsidR="00CD509F" w:rsidRPr="00FB1BFA" w14:paraId="0DA56970" w14:textId="77777777" w:rsidTr="00375A6F">
        <w:tc>
          <w:tcPr>
            <w:tcW w:w="4526" w:type="dxa"/>
            <w:shd w:val="clear" w:color="auto" w:fill="31849B"/>
          </w:tcPr>
          <w:p w14:paraId="7A8397FD"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 xml:space="preserve">MOD: Résolution 71 (Rév. Buenos Aires, 2017) </w:t>
            </w:r>
          </w:p>
        </w:tc>
        <w:tc>
          <w:tcPr>
            <w:tcW w:w="5245" w:type="dxa"/>
            <w:shd w:val="clear" w:color="auto" w:fill="D9D9D9"/>
          </w:tcPr>
          <w:p w14:paraId="256ACF74" w14:textId="77777777" w:rsidR="00CD509F" w:rsidRPr="00FB1BFA" w:rsidRDefault="00CD509F" w:rsidP="00375A6F">
            <w:pPr>
              <w:pStyle w:val="Tabletext"/>
              <w:rPr>
                <w:b/>
                <w:bCs/>
                <w:color w:val="FFFFFF" w:themeColor="background1"/>
                <w:lang w:val="fr-FR"/>
              </w:rPr>
            </w:pPr>
            <w:r w:rsidRPr="00FB1BFA">
              <w:rPr>
                <w:lang w:val="fr-FR"/>
              </w:rPr>
              <w:t>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p>
        </w:tc>
      </w:tr>
    </w:tbl>
    <w:p w14:paraId="1DCAAE6E" w14:textId="77777777" w:rsidR="00CD509F" w:rsidRPr="00FB1BFA" w:rsidRDefault="00CD509F" w:rsidP="00CD509F">
      <w:pPr>
        <w:pStyle w:val="Headingb"/>
        <w:spacing w:after="120"/>
        <w:rPr>
          <w:lang w:val="fr-FR"/>
        </w:rPr>
      </w:pPr>
      <w:r w:rsidRPr="00FB1BFA">
        <w:rPr>
          <w:lang w:val="fr-FR"/>
        </w:rPr>
        <w:t xml:space="preserve">Fracture numérique </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CD509F" w:rsidRPr="00FB1BFA" w14:paraId="4E6CA54F" w14:textId="77777777" w:rsidTr="00375A6F">
        <w:tc>
          <w:tcPr>
            <w:tcW w:w="4526" w:type="dxa"/>
            <w:shd w:val="clear" w:color="auto" w:fill="31849B"/>
          </w:tcPr>
          <w:p w14:paraId="0392630B"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15 (Rév. Buenos Aires, 2017)</w:t>
            </w:r>
          </w:p>
        </w:tc>
        <w:tc>
          <w:tcPr>
            <w:tcW w:w="5245" w:type="dxa"/>
            <w:shd w:val="clear" w:color="auto" w:fill="D9D9D9"/>
          </w:tcPr>
          <w:p w14:paraId="21EE4F80" w14:textId="77777777" w:rsidR="00CD509F" w:rsidRPr="00FB1BFA" w:rsidRDefault="00CD509F" w:rsidP="00375A6F">
            <w:pPr>
              <w:pStyle w:val="Tabletext"/>
              <w:rPr>
                <w:b/>
                <w:bCs/>
                <w:color w:val="FFFFFF" w:themeColor="background1"/>
                <w:lang w:val="fr-FR"/>
              </w:rPr>
            </w:pPr>
            <w:r w:rsidRPr="00FB1BFA">
              <w:rPr>
                <w:lang w:val="fr-FR"/>
              </w:rPr>
              <w:t>Recherche appliquée et transfert de technologie</w:t>
            </w:r>
          </w:p>
        </w:tc>
      </w:tr>
      <w:tr w:rsidR="00CD509F" w:rsidRPr="00FB1BFA" w14:paraId="03B9C0B1" w14:textId="77777777" w:rsidTr="00375A6F">
        <w:tc>
          <w:tcPr>
            <w:tcW w:w="4526" w:type="dxa"/>
            <w:shd w:val="clear" w:color="auto" w:fill="31849B"/>
          </w:tcPr>
          <w:p w14:paraId="390EB04D"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37 (Rév. Buenos Aires, 2017)</w:t>
            </w:r>
          </w:p>
        </w:tc>
        <w:tc>
          <w:tcPr>
            <w:tcW w:w="5245" w:type="dxa"/>
            <w:shd w:val="clear" w:color="auto" w:fill="D9D9D9"/>
          </w:tcPr>
          <w:p w14:paraId="038E4355" w14:textId="77777777" w:rsidR="00CD509F" w:rsidRPr="00FB1BFA" w:rsidRDefault="00CD509F" w:rsidP="00375A6F">
            <w:pPr>
              <w:pStyle w:val="Tabletext"/>
              <w:rPr>
                <w:b/>
                <w:bCs/>
                <w:color w:val="FFFFFF" w:themeColor="background1"/>
                <w:lang w:val="fr-FR"/>
              </w:rPr>
            </w:pPr>
            <w:r w:rsidRPr="00FB1BFA">
              <w:rPr>
                <w:lang w:val="fr-FR"/>
              </w:rPr>
              <w:t>Réduction de la fracture numérique</w:t>
            </w:r>
          </w:p>
        </w:tc>
      </w:tr>
    </w:tbl>
    <w:p w14:paraId="0821EB3F" w14:textId="77777777" w:rsidR="00CD509F" w:rsidRPr="00FB1BFA" w:rsidRDefault="00CD509F" w:rsidP="00CD509F">
      <w:pPr>
        <w:pStyle w:val="Headingb"/>
        <w:spacing w:after="120"/>
        <w:rPr>
          <w:lang w:val="fr-FR"/>
        </w:rPr>
      </w:pPr>
      <w:r w:rsidRPr="00FB1BFA">
        <w:rPr>
          <w:lang w:val="fr-FR"/>
        </w:rPr>
        <w:t>Communications d'urgence</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CD509F" w:rsidRPr="00FB1BFA" w14:paraId="3D2ACD27" w14:textId="77777777" w:rsidTr="00375A6F">
        <w:tc>
          <w:tcPr>
            <w:tcW w:w="4526" w:type="dxa"/>
            <w:shd w:val="clear" w:color="auto" w:fill="31849B"/>
          </w:tcPr>
          <w:p w14:paraId="184A720F" w14:textId="77777777" w:rsidR="00CD509F" w:rsidRPr="00FB1BFA" w:rsidRDefault="00CD509F" w:rsidP="00375A6F">
            <w:pPr>
              <w:pStyle w:val="Tabletext"/>
              <w:rPr>
                <w:b/>
                <w:bCs/>
                <w:lang w:val="fr-FR"/>
              </w:rPr>
            </w:pPr>
            <w:r w:rsidRPr="00FB1BFA">
              <w:rPr>
                <w:b/>
                <w:bCs/>
                <w:color w:val="FFFFFF" w:themeColor="background1"/>
                <w:lang w:val="fr-FR"/>
              </w:rPr>
              <w:t>MOD: Résolution 34 (Rév. Buenos Aires, 2017)</w:t>
            </w:r>
          </w:p>
        </w:tc>
        <w:tc>
          <w:tcPr>
            <w:tcW w:w="5245" w:type="dxa"/>
            <w:shd w:val="clear" w:color="auto" w:fill="D9D9D9"/>
          </w:tcPr>
          <w:p w14:paraId="7B065654" w14:textId="77777777" w:rsidR="00CD509F" w:rsidRPr="00FB1BFA" w:rsidRDefault="00CD509F" w:rsidP="00375A6F">
            <w:pPr>
              <w:pStyle w:val="Tabletext"/>
              <w:rPr>
                <w:b/>
                <w:bCs/>
                <w:lang w:val="fr-FR"/>
              </w:rPr>
            </w:pPr>
            <w:r w:rsidRPr="00FB1BFA">
              <w:rPr>
                <w:lang w:val="fr-FR"/>
              </w:rPr>
              <w:t>Rôle des télécommunications et des technologies de l'information et de la communication dans la préparation en prévision des catastrophes, l'alerte avancée, l'atténuation des effets des catastrophes, les interventions et les opérations de secours</w:t>
            </w:r>
          </w:p>
        </w:tc>
      </w:tr>
    </w:tbl>
    <w:p w14:paraId="2E0D15BB" w14:textId="77777777" w:rsidR="00CD509F" w:rsidRPr="00FB1BFA" w:rsidRDefault="00CD509F" w:rsidP="00CD509F">
      <w:pPr>
        <w:pStyle w:val="Headingb"/>
        <w:spacing w:after="120"/>
        <w:rPr>
          <w:lang w:val="fr-FR"/>
        </w:rPr>
      </w:pPr>
      <w:r w:rsidRPr="00FB1BFA">
        <w:rPr>
          <w:lang w:val="fr-FR"/>
        </w:rPr>
        <w:t>Protection pour les consommateurs et accessibilité</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CD509F" w:rsidRPr="00FB1BFA" w14:paraId="6805A90D" w14:textId="77777777" w:rsidTr="00375A6F">
        <w:tc>
          <w:tcPr>
            <w:tcW w:w="4526" w:type="dxa"/>
            <w:shd w:val="clear" w:color="auto" w:fill="31849B"/>
          </w:tcPr>
          <w:p w14:paraId="47076220" w14:textId="77777777" w:rsidR="00CD509F" w:rsidRPr="00FB1BFA" w:rsidRDefault="00CD509F" w:rsidP="00375A6F">
            <w:pPr>
              <w:pStyle w:val="Tabletext"/>
              <w:rPr>
                <w:b/>
                <w:bCs/>
                <w:lang w:val="fr-FR"/>
              </w:rPr>
            </w:pPr>
            <w:r w:rsidRPr="00FB1BFA">
              <w:rPr>
                <w:b/>
                <w:bCs/>
                <w:color w:val="FFFFFF" w:themeColor="background1"/>
                <w:lang w:val="fr-FR"/>
              </w:rPr>
              <w:t>MOD: Résolution 58 (Rév. Buenos Aires, 2017)</w:t>
            </w:r>
          </w:p>
        </w:tc>
        <w:tc>
          <w:tcPr>
            <w:tcW w:w="5245" w:type="dxa"/>
            <w:shd w:val="clear" w:color="auto" w:fill="D9D9D9"/>
          </w:tcPr>
          <w:p w14:paraId="014C5280" w14:textId="77777777" w:rsidR="00CD509F" w:rsidRPr="00FB1BFA" w:rsidRDefault="00CD509F" w:rsidP="00375A6F">
            <w:pPr>
              <w:pStyle w:val="Tabletext"/>
              <w:rPr>
                <w:b/>
                <w:bCs/>
                <w:lang w:val="fr-FR"/>
              </w:rPr>
            </w:pPr>
            <w:r w:rsidRPr="00FB1BFA">
              <w:rPr>
                <w:lang w:val="fr-FR"/>
              </w:rPr>
              <w:t>Accessibilité des télécommunications/technologies de l'information et de la communication pour les personnes handicapées et les personnes ayant des besoins particuliers</w:t>
            </w:r>
          </w:p>
        </w:tc>
      </w:tr>
      <w:tr w:rsidR="00CD509F" w:rsidRPr="00FB1BFA" w14:paraId="44CA7BCA" w14:textId="77777777" w:rsidTr="00375A6F">
        <w:tc>
          <w:tcPr>
            <w:tcW w:w="4526" w:type="dxa"/>
            <w:shd w:val="clear" w:color="auto" w:fill="31849B"/>
          </w:tcPr>
          <w:p w14:paraId="3C334C8A" w14:textId="77777777" w:rsidR="00CD509F" w:rsidRPr="00FB1BFA" w:rsidRDefault="00CD509F" w:rsidP="00375A6F">
            <w:pPr>
              <w:pStyle w:val="Tabletext"/>
              <w:rPr>
                <w:b/>
                <w:bCs/>
                <w:color w:val="FFFFFF" w:themeColor="background1"/>
                <w:szCs w:val="22"/>
                <w:lang w:val="fr-FR"/>
              </w:rPr>
            </w:pPr>
            <w:r w:rsidRPr="00FB1BFA">
              <w:rPr>
                <w:b/>
                <w:bCs/>
                <w:color w:val="FFFFFF" w:themeColor="background1"/>
                <w:szCs w:val="22"/>
                <w:lang w:val="fr-FR"/>
              </w:rPr>
              <w:t>MOD: Résolution 64 (Rév. Buenos Aires, 2017)</w:t>
            </w:r>
          </w:p>
        </w:tc>
        <w:tc>
          <w:tcPr>
            <w:tcW w:w="5245" w:type="dxa"/>
            <w:shd w:val="clear" w:color="auto" w:fill="D9D9D9"/>
          </w:tcPr>
          <w:p w14:paraId="170C0FE5" w14:textId="77777777" w:rsidR="00CD509F" w:rsidRPr="00FB1BFA" w:rsidRDefault="00CD509F" w:rsidP="00375A6F">
            <w:pPr>
              <w:pStyle w:val="Tabletext"/>
              <w:rPr>
                <w:b/>
                <w:bCs/>
                <w:lang w:val="fr-FR"/>
              </w:rPr>
            </w:pPr>
            <w:r w:rsidRPr="00FB1BFA">
              <w:rPr>
                <w:lang w:val="fr-FR"/>
              </w:rPr>
              <w:t>Protection et appui pour les utilisateurs/consommateurs de services issus des télécommunications/technologies de l'information et de la communication</w:t>
            </w:r>
          </w:p>
        </w:tc>
      </w:tr>
      <w:tr w:rsidR="00CD509F" w:rsidRPr="00FB1BFA" w14:paraId="36F56518" w14:textId="77777777" w:rsidTr="00375A6F">
        <w:tc>
          <w:tcPr>
            <w:tcW w:w="4526" w:type="dxa"/>
            <w:shd w:val="clear" w:color="auto" w:fill="31849B"/>
          </w:tcPr>
          <w:p w14:paraId="26FBC5AF" w14:textId="77777777" w:rsidR="00CD509F" w:rsidRPr="00FB1BFA" w:rsidRDefault="00CD509F" w:rsidP="00375A6F">
            <w:pPr>
              <w:pStyle w:val="Tabletext"/>
              <w:rPr>
                <w:rFonts w:asciiTheme="minorHAnsi" w:hAnsiTheme="minorHAnsi" w:cstheme="minorHAnsi"/>
                <w:b/>
                <w:bCs/>
                <w:color w:val="FFFFFF" w:themeColor="background1"/>
                <w:szCs w:val="22"/>
                <w:lang w:val="fr-FR"/>
              </w:rPr>
            </w:pPr>
            <w:r w:rsidRPr="00FB1BFA">
              <w:rPr>
                <w:rFonts w:asciiTheme="minorHAnsi" w:hAnsiTheme="minorHAnsi" w:cstheme="minorHAnsi"/>
                <w:b/>
                <w:bCs/>
                <w:color w:val="FFFFFF" w:themeColor="background1"/>
                <w:szCs w:val="22"/>
                <w:lang w:val="fr-FR"/>
              </w:rPr>
              <w:t>MOD: Résolution 67 (Rév. Buenos Aires, 2017)</w:t>
            </w:r>
          </w:p>
        </w:tc>
        <w:tc>
          <w:tcPr>
            <w:tcW w:w="5245" w:type="dxa"/>
            <w:shd w:val="clear" w:color="auto" w:fill="D9D9D9"/>
          </w:tcPr>
          <w:p w14:paraId="23DB8120" w14:textId="77777777" w:rsidR="00CD509F" w:rsidRPr="00FB1BFA" w:rsidRDefault="00CD509F" w:rsidP="00375A6F">
            <w:pPr>
              <w:pStyle w:val="Tabletext"/>
              <w:rPr>
                <w:rFonts w:asciiTheme="minorHAnsi" w:hAnsiTheme="minorHAnsi" w:cstheme="minorHAnsi"/>
                <w:b/>
                <w:bCs/>
                <w:color w:val="FFFFFF" w:themeColor="background1"/>
                <w:szCs w:val="22"/>
                <w:lang w:val="fr-FR"/>
              </w:rPr>
            </w:pPr>
            <w:r w:rsidRPr="00FB1BFA">
              <w:rPr>
                <w:rFonts w:asciiTheme="minorHAnsi" w:hAnsiTheme="minorHAnsi" w:cstheme="minorHAnsi"/>
                <w:szCs w:val="22"/>
                <w:lang w:val="fr-FR"/>
              </w:rPr>
              <w:t>Rôle du Secteur du développement des télécommunications de l'UIT dans la protection en ligne des enfants</w:t>
            </w:r>
          </w:p>
        </w:tc>
      </w:tr>
    </w:tbl>
    <w:p w14:paraId="7F341398" w14:textId="77777777" w:rsidR="00CD509F" w:rsidRPr="00FB1BFA" w:rsidRDefault="00CD509F" w:rsidP="00CD509F">
      <w:pPr>
        <w:pStyle w:val="Headingb"/>
        <w:spacing w:after="120"/>
        <w:rPr>
          <w:lang w:val="fr-FR"/>
        </w:rPr>
      </w:pPr>
      <w:r w:rsidRPr="00FB1BFA">
        <w:rPr>
          <w:lang w:val="fr-FR"/>
        </w:rPr>
        <w:t>Internet des objets</w:t>
      </w:r>
    </w:p>
    <w:tbl>
      <w:tblPr>
        <w:tblStyle w:val="TableGrid1"/>
        <w:tblW w:w="9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526"/>
        <w:gridCol w:w="5245"/>
      </w:tblGrid>
      <w:tr w:rsidR="00CD509F" w:rsidRPr="00FB1BFA" w14:paraId="525ACA13" w14:textId="77777777" w:rsidTr="00375A6F">
        <w:tc>
          <w:tcPr>
            <w:tcW w:w="4526" w:type="dxa"/>
            <w:shd w:val="clear" w:color="auto" w:fill="31849B"/>
          </w:tcPr>
          <w:p w14:paraId="0BE0B22C" w14:textId="77777777" w:rsidR="00CD509F" w:rsidRPr="00FB1BFA" w:rsidRDefault="00CD509F" w:rsidP="00375A6F">
            <w:pPr>
              <w:pStyle w:val="Tabletext"/>
              <w:rPr>
                <w:rFonts w:eastAsia="Calibri"/>
                <w:b/>
                <w:bCs/>
                <w:color w:val="FFFFFF" w:themeColor="background1"/>
                <w:lang w:val="fr-FR"/>
              </w:rPr>
            </w:pPr>
            <w:r w:rsidRPr="00FB1BFA">
              <w:rPr>
                <w:rFonts w:eastAsia="Calibri"/>
                <w:b/>
                <w:bCs/>
                <w:color w:val="FFFFFF" w:themeColor="background1"/>
                <w:lang w:val="fr-FR"/>
              </w:rPr>
              <w:t>MOD: Résolution 85 (Rév. Buenos Aires, 2017)</w:t>
            </w:r>
          </w:p>
        </w:tc>
        <w:tc>
          <w:tcPr>
            <w:tcW w:w="5245" w:type="dxa"/>
            <w:shd w:val="clear" w:color="auto" w:fill="D9D9D9"/>
          </w:tcPr>
          <w:p w14:paraId="461FF084" w14:textId="77777777" w:rsidR="00CD509F" w:rsidRPr="00FB1BFA" w:rsidRDefault="00CD509F" w:rsidP="00375A6F">
            <w:pPr>
              <w:pStyle w:val="Tabletext"/>
              <w:rPr>
                <w:rFonts w:eastAsia="Calibri"/>
                <w:lang w:val="fr-FR"/>
              </w:rPr>
            </w:pPr>
            <w:r w:rsidRPr="00FB1BFA">
              <w:rPr>
                <w:rFonts w:eastAsia="Calibri"/>
                <w:color w:val="000000"/>
                <w:lang w:val="fr-FR"/>
              </w:rPr>
              <w:t>Faciliter l'avènement de l'Internet des objets ainsi que des villes et communautés intelligentes pour le développement à l'échelle mondiale</w:t>
            </w:r>
          </w:p>
        </w:tc>
      </w:tr>
    </w:tbl>
    <w:p w14:paraId="5C9F27B7" w14:textId="77777777" w:rsidR="007319CC" w:rsidRPr="00FB1BFA" w:rsidRDefault="007319CC">
      <w:pPr>
        <w:tabs>
          <w:tab w:val="clear" w:pos="794"/>
          <w:tab w:val="clear" w:pos="1191"/>
          <w:tab w:val="clear" w:pos="1588"/>
          <w:tab w:val="clear" w:pos="1985"/>
        </w:tabs>
        <w:overflowPunct/>
        <w:autoSpaceDE/>
        <w:autoSpaceDN/>
        <w:adjustRightInd/>
        <w:spacing w:before="0"/>
        <w:textAlignment w:val="auto"/>
        <w:rPr>
          <w:b/>
          <w:lang w:val="fr-FR"/>
        </w:rPr>
      </w:pPr>
      <w:r w:rsidRPr="00FB1BFA">
        <w:rPr>
          <w:lang w:val="fr-FR"/>
        </w:rPr>
        <w:br w:type="page"/>
      </w:r>
    </w:p>
    <w:p w14:paraId="000717BE" w14:textId="488620A5" w:rsidR="00CD509F" w:rsidRPr="00FB1BFA" w:rsidRDefault="00CD509F" w:rsidP="00CD509F">
      <w:pPr>
        <w:pStyle w:val="Headingb"/>
        <w:spacing w:after="120"/>
        <w:rPr>
          <w:lang w:val="fr-FR"/>
        </w:rPr>
      </w:pPr>
      <w:r w:rsidRPr="00FB1BFA">
        <w:rPr>
          <w:lang w:val="fr-FR"/>
        </w:rPr>
        <w:lastRenderedPageBreak/>
        <w:t>Télécommunications/TIC au service de la lutte contre la pandémie de COVID-19</w:t>
      </w:r>
    </w:p>
    <w:tbl>
      <w:tblPr>
        <w:tblStyle w:val="TableGrid1"/>
        <w:tblW w:w="9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526"/>
        <w:gridCol w:w="5245"/>
      </w:tblGrid>
      <w:tr w:rsidR="00CD509F" w:rsidRPr="00FB1BFA" w14:paraId="630BA90F" w14:textId="77777777" w:rsidTr="00375A6F">
        <w:tc>
          <w:tcPr>
            <w:tcW w:w="4526" w:type="dxa"/>
            <w:shd w:val="clear" w:color="auto" w:fill="31849B"/>
          </w:tcPr>
          <w:p w14:paraId="2B268986" w14:textId="77777777" w:rsidR="00CD509F" w:rsidRPr="00FB1BFA" w:rsidRDefault="00CD509F" w:rsidP="00375A6F">
            <w:pPr>
              <w:pStyle w:val="Tabletext"/>
              <w:rPr>
                <w:rFonts w:eastAsia="Calibri"/>
                <w:b/>
                <w:bCs/>
                <w:color w:val="FFFFFF" w:themeColor="background1"/>
                <w:lang w:val="fr-FR"/>
              </w:rPr>
            </w:pPr>
            <w:r w:rsidRPr="00FB1BFA">
              <w:rPr>
                <w:b/>
                <w:bCs/>
                <w:color w:val="FFFFFF" w:themeColor="background1"/>
                <w:lang w:val="fr-FR"/>
              </w:rPr>
              <w:t>Projet de nouvelle Résolution</w:t>
            </w:r>
          </w:p>
        </w:tc>
        <w:tc>
          <w:tcPr>
            <w:tcW w:w="5245" w:type="dxa"/>
            <w:shd w:val="clear" w:color="auto" w:fill="D9D9D9"/>
          </w:tcPr>
          <w:p w14:paraId="0076A7B0" w14:textId="77777777" w:rsidR="00CD509F" w:rsidRPr="00FB1BFA" w:rsidRDefault="00CD509F" w:rsidP="00375A6F">
            <w:pPr>
              <w:pStyle w:val="Tabletext"/>
              <w:rPr>
                <w:rFonts w:eastAsia="Calibri"/>
                <w:lang w:val="fr-FR"/>
              </w:rPr>
            </w:pPr>
            <w:r w:rsidRPr="00FB1BFA">
              <w:rPr>
                <w:lang w:val="fr-FR"/>
              </w:rPr>
              <w:t>Utilisation des télécommunications/technologies de l'information et de la communication pour lutter contre la pandémie de COVID-19 et pour atténuer ses conséquences et y remédier</w:t>
            </w:r>
          </w:p>
        </w:tc>
      </w:tr>
    </w:tbl>
    <w:p w14:paraId="51617F0A"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adapté de la présentation de la RCC lors de la réunion IRM-3, 10 mars 2022.</w:t>
      </w:r>
    </w:p>
    <w:p w14:paraId="245378BA" w14:textId="77777777" w:rsidR="00CD509F" w:rsidRPr="00FB1BFA" w:rsidRDefault="00CD509F" w:rsidP="00CD509F">
      <w:pPr>
        <w:pStyle w:val="Tabletitle"/>
        <w:spacing w:before="240"/>
        <w:rPr>
          <w:bCs/>
          <w:lang w:val="fr-FR"/>
        </w:rPr>
      </w:pPr>
      <w:r w:rsidRPr="00FB1BFA">
        <w:rPr>
          <w:bCs/>
          <w:lang w:val="fr-FR"/>
        </w:rPr>
        <w:t>Tableau 3.10: Candidats de la RCC</w:t>
      </w:r>
      <w:r w:rsidRPr="00FB1BFA">
        <w:rPr>
          <w:lang w:val="fr-FR"/>
        </w:rPr>
        <w:t xml:space="preserve"> à des postes de direction au sein du GCDT </w:t>
      </w:r>
      <w:r w:rsidRPr="00FB1BFA">
        <w:rPr>
          <w:lang w:val="fr-FR"/>
        </w:rPr>
        <w:br/>
        <w:t>et des commissions d</w:t>
      </w:r>
      <w:r w:rsidRPr="00FB1BFA">
        <w:rPr>
          <w:rFonts w:eastAsia="Calibri"/>
          <w:color w:val="000000"/>
          <w:lang w:val="fr-FR"/>
        </w:rPr>
        <w:t>'études de l'UIT-D</w:t>
      </w:r>
      <w:r w:rsidRPr="00FB1BFA">
        <w:rPr>
          <w:bCs/>
          <w:lang w:val="fr-FR"/>
        </w:rPr>
        <w:t xml:space="preserve"> (second mandat)</w:t>
      </w:r>
    </w:p>
    <w:tbl>
      <w:tblPr>
        <w:tblW w:w="5074" w:type="pct"/>
        <w:tblCellMar>
          <w:left w:w="0" w:type="dxa"/>
          <w:right w:w="0" w:type="dxa"/>
        </w:tblCellMar>
        <w:tblLook w:val="04A0" w:firstRow="1" w:lastRow="0" w:firstColumn="1" w:lastColumn="0" w:noHBand="0" w:noVBand="1"/>
      </w:tblPr>
      <w:tblGrid>
        <w:gridCol w:w="4385"/>
        <w:gridCol w:w="2792"/>
        <w:gridCol w:w="2586"/>
      </w:tblGrid>
      <w:tr w:rsidR="00CD509F" w:rsidRPr="00FB1BFA" w14:paraId="63E087D3" w14:textId="77777777" w:rsidTr="00375A6F">
        <w:trPr>
          <w:trHeight w:val="502"/>
        </w:trPr>
        <w:tc>
          <w:tcPr>
            <w:tcW w:w="4385" w:type="dxa"/>
            <w:tcBorders>
              <w:top w:val="single" w:sz="8" w:space="0" w:color="FFFFFF"/>
              <w:left w:val="single" w:sz="8" w:space="0" w:color="FFFFFF"/>
              <w:bottom w:val="single" w:sz="8" w:space="0" w:color="FFFFFF"/>
              <w:right w:val="nil"/>
            </w:tcBorders>
            <w:shd w:val="clear" w:color="auto" w:fill="31849B"/>
            <w:tcMar>
              <w:top w:w="0" w:type="dxa"/>
              <w:left w:w="108" w:type="dxa"/>
              <w:bottom w:w="0" w:type="dxa"/>
              <w:right w:w="108" w:type="dxa"/>
            </w:tcMar>
            <w:hideMark/>
          </w:tcPr>
          <w:p w14:paraId="314B4619" w14:textId="77777777" w:rsidR="00CD509F" w:rsidRPr="00FB1BFA" w:rsidRDefault="00CD509F" w:rsidP="00375A6F">
            <w:pPr>
              <w:pStyle w:val="Tabletext"/>
              <w:rPr>
                <w:lang w:val="fr-FR"/>
              </w:rPr>
            </w:pPr>
          </w:p>
        </w:tc>
        <w:tc>
          <w:tcPr>
            <w:tcW w:w="5378" w:type="dxa"/>
            <w:gridSpan w:val="2"/>
            <w:tcBorders>
              <w:top w:val="single" w:sz="8" w:space="0" w:color="FFFFFF"/>
              <w:left w:val="nil"/>
              <w:bottom w:val="single" w:sz="8" w:space="0" w:color="FFFFFF"/>
              <w:right w:val="single" w:sz="8" w:space="0" w:color="FFFFFF"/>
            </w:tcBorders>
            <w:shd w:val="clear" w:color="auto" w:fill="31849B"/>
            <w:tcMar>
              <w:top w:w="0" w:type="dxa"/>
              <w:left w:w="108" w:type="dxa"/>
              <w:bottom w:w="0" w:type="dxa"/>
              <w:right w:w="108" w:type="dxa"/>
            </w:tcMar>
          </w:tcPr>
          <w:p w14:paraId="2FCCEE59" w14:textId="77777777" w:rsidR="00CD509F" w:rsidRPr="00FB1BFA" w:rsidRDefault="00CD509F" w:rsidP="00375A6F">
            <w:pPr>
              <w:pStyle w:val="Tablehead"/>
              <w:rPr>
                <w:color w:val="FFFFFF" w:themeColor="background1"/>
                <w:lang w:val="fr-FR"/>
              </w:rPr>
            </w:pPr>
            <w:r w:rsidRPr="00FB1BFA">
              <w:rPr>
                <w:rFonts w:cs="Calibri"/>
                <w:bCs/>
                <w:color w:val="FFFFFF"/>
                <w:szCs w:val="22"/>
                <w:lang w:val="fr-FR"/>
              </w:rPr>
              <w:t xml:space="preserve">Candidatures de la RCC </w:t>
            </w:r>
          </w:p>
        </w:tc>
      </w:tr>
      <w:tr w:rsidR="00CD509F" w:rsidRPr="00FB1BFA" w14:paraId="0CA2F441" w14:textId="77777777" w:rsidTr="00375A6F">
        <w:tc>
          <w:tcPr>
            <w:tcW w:w="4385"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37C78C09" w14:textId="77777777" w:rsidR="00CD509F" w:rsidRPr="00FB1BFA" w:rsidRDefault="00CD509F" w:rsidP="00375A6F">
            <w:pPr>
              <w:pStyle w:val="Tabletext"/>
              <w:rPr>
                <w:b/>
                <w:bCs/>
                <w:color w:val="FFFFFF" w:themeColor="background1"/>
                <w:lang w:val="fr-FR"/>
              </w:rPr>
            </w:pPr>
            <w:r w:rsidRPr="00FB1BFA">
              <w:rPr>
                <w:rFonts w:cs="Calibri"/>
                <w:b/>
                <w:bCs/>
                <w:color w:val="FFFFFF"/>
                <w:szCs w:val="22"/>
                <w:lang w:val="fr-FR"/>
              </w:rPr>
              <w:t>Commission/groupe et fonction</w:t>
            </w:r>
          </w:p>
        </w:tc>
        <w:tc>
          <w:tcPr>
            <w:tcW w:w="2792"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7D53FBB3" w14:textId="77777777" w:rsidR="00CD509F" w:rsidRPr="00FB1BFA" w:rsidRDefault="00CD509F" w:rsidP="00375A6F">
            <w:pPr>
              <w:pStyle w:val="Tabletext"/>
              <w:rPr>
                <w:b/>
                <w:bCs/>
                <w:color w:val="FFFFFF" w:themeColor="background1"/>
                <w:lang w:val="fr-FR"/>
              </w:rPr>
            </w:pPr>
            <w:r w:rsidRPr="00FB1BFA">
              <w:rPr>
                <w:rFonts w:cs="Calibri"/>
                <w:b/>
                <w:bCs/>
                <w:color w:val="FFFFFF"/>
                <w:szCs w:val="22"/>
                <w:lang w:val="fr-FR"/>
              </w:rPr>
              <w:t>Candidature</w:t>
            </w:r>
          </w:p>
        </w:tc>
        <w:tc>
          <w:tcPr>
            <w:tcW w:w="2586"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19EBF857" w14:textId="77777777" w:rsidR="00CD509F" w:rsidRPr="00FB1BFA" w:rsidRDefault="00CD509F" w:rsidP="00375A6F">
            <w:pPr>
              <w:pStyle w:val="Tabletext"/>
              <w:rPr>
                <w:b/>
                <w:bCs/>
                <w:color w:val="FFFFFF" w:themeColor="background1"/>
                <w:lang w:val="fr-FR"/>
              </w:rPr>
            </w:pPr>
            <w:r w:rsidRPr="00FB1BFA">
              <w:rPr>
                <w:rFonts w:cs="Calibri"/>
                <w:b/>
                <w:bCs/>
                <w:color w:val="FFFFFF"/>
                <w:szCs w:val="22"/>
                <w:lang w:val="fr-FR"/>
              </w:rPr>
              <w:t>Pays</w:t>
            </w:r>
          </w:p>
        </w:tc>
      </w:tr>
      <w:tr w:rsidR="00CD509F" w:rsidRPr="00FB1BFA" w14:paraId="5F7DB158" w14:textId="77777777" w:rsidTr="00375A6F">
        <w:tc>
          <w:tcPr>
            <w:tcW w:w="4385"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62812280" w14:textId="77777777" w:rsidR="00CD509F" w:rsidRPr="00FB1BFA" w:rsidRDefault="00CD509F" w:rsidP="00375A6F">
            <w:pPr>
              <w:pStyle w:val="Tabletext"/>
              <w:rPr>
                <w:b/>
                <w:bCs/>
                <w:color w:val="FFFFFF" w:themeColor="background1"/>
                <w:lang w:val="fr-FR"/>
              </w:rPr>
            </w:pPr>
            <w:r w:rsidRPr="00FB1BFA">
              <w:rPr>
                <w:rFonts w:cs="Calibri"/>
                <w:b/>
                <w:bCs/>
                <w:color w:val="FFFFFF"/>
                <w:szCs w:val="22"/>
                <w:lang w:val="fr-FR"/>
              </w:rPr>
              <w:t xml:space="preserve">Vice-Président du GCDT </w:t>
            </w:r>
          </w:p>
        </w:tc>
        <w:tc>
          <w:tcPr>
            <w:tcW w:w="2792" w:type="dxa"/>
            <w:tcBorders>
              <w:top w:val="single" w:sz="8" w:space="0" w:color="FFFFFF"/>
              <w:left w:val="nil"/>
              <w:bottom w:val="nil"/>
              <w:right w:val="single" w:sz="8" w:space="0" w:color="FFFFFF"/>
            </w:tcBorders>
            <w:shd w:val="clear" w:color="auto" w:fill="D9D9D9"/>
            <w:tcMar>
              <w:top w:w="0" w:type="dxa"/>
              <w:left w:w="108" w:type="dxa"/>
              <w:bottom w:w="0" w:type="dxa"/>
              <w:right w:w="108" w:type="dxa"/>
            </w:tcMar>
          </w:tcPr>
          <w:p w14:paraId="0F156DE2" w14:textId="77777777" w:rsidR="00CD509F" w:rsidRPr="00FB1BFA" w:rsidRDefault="00CD509F" w:rsidP="00375A6F">
            <w:pPr>
              <w:pStyle w:val="Tabletext"/>
              <w:rPr>
                <w:lang w:val="fr-FR"/>
              </w:rPr>
            </w:pPr>
            <w:r w:rsidRPr="00FB1BFA">
              <w:rPr>
                <w:lang w:val="fr-FR"/>
              </w:rPr>
              <w:t xml:space="preserve">M. Arseny Plossky </w:t>
            </w:r>
          </w:p>
        </w:tc>
        <w:tc>
          <w:tcPr>
            <w:tcW w:w="2586" w:type="dxa"/>
            <w:tcBorders>
              <w:top w:val="single" w:sz="8" w:space="0" w:color="FFFFFF"/>
              <w:left w:val="nil"/>
              <w:bottom w:val="nil"/>
              <w:right w:val="single" w:sz="8" w:space="0" w:color="FFFFFF"/>
            </w:tcBorders>
            <w:shd w:val="clear" w:color="auto" w:fill="D9D9D9"/>
            <w:tcMar>
              <w:top w:w="0" w:type="dxa"/>
              <w:left w:w="108" w:type="dxa"/>
              <w:bottom w:w="0" w:type="dxa"/>
              <w:right w:w="108" w:type="dxa"/>
            </w:tcMar>
          </w:tcPr>
          <w:p w14:paraId="4425215C" w14:textId="77777777" w:rsidR="00CD509F" w:rsidRPr="00FB1BFA" w:rsidRDefault="00CD509F" w:rsidP="00375A6F">
            <w:pPr>
              <w:pStyle w:val="Tabletext"/>
              <w:rPr>
                <w:lang w:val="fr-FR"/>
              </w:rPr>
            </w:pPr>
            <w:r w:rsidRPr="00FB1BFA">
              <w:rPr>
                <w:rFonts w:cs="Calibri"/>
                <w:bCs/>
                <w:szCs w:val="22"/>
                <w:lang w:val="fr-FR"/>
              </w:rPr>
              <w:t xml:space="preserve">Fédération de Russie </w:t>
            </w:r>
          </w:p>
        </w:tc>
      </w:tr>
      <w:tr w:rsidR="00CD509F" w:rsidRPr="00FB1BFA" w14:paraId="7A81CA65" w14:textId="77777777" w:rsidTr="00375A6F">
        <w:tc>
          <w:tcPr>
            <w:tcW w:w="4385"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74095E86" w14:textId="77777777" w:rsidR="00CD509F" w:rsidRPr="00FB1BFA" w:rsidRDefault="00CD509F" w:rsidP="00375A6F">
            <w:pPr>
              <w:pStyle w:val="Tabletext"/>
              <w:rPr>
                <w:b/>
                <w:bCs/>
                <w:color w:val="FFFFFF" w:themeColor="background1"/>
                <w:lang w:val="fr-FR"/>
              </w:rPr>
            </w:pPr>
            <w:r w:rsidRPr="00FB1BFA">
              <w:rPr>
                <w:rFonts w:cs="Calibri"/>
                <w:b/>
                <w:color w:val="FFFFFF"/>
                <w:szCs w:val="22"/>
                <w:lang w:val="fr-FR"/>
              </w:rPr>
              <w:t xml:space="preserve">Vice-Présidente de la Commission d'études 1 </w:t>
            </w:r>
          </w:p>
        </w:tc>
        <w:tc>
          <w:tcPr>
            <w:tcW w:w="2792" w:type="dxa"/>
            <w:tcBorders>
              <w:top w:val="nil"/>
              <w:left w:val="nil"/>
              <w:bottom w:val="nil"/>
              <w:right w:val="single" w:sz="8" w:space="0" w:color="FFFFFF"/>
            </w:tcBorders>
            <w:shd w:val="clear" w:color="auto" w:fill="D9D9D9"/>
            <w:tcMar>
              <w:top w:w="0" w:type="dxa"/>
              <w:left w:w="108" w:type="dxa"/>
              <w:bottom w:w="0" w:type="dxa"/>
              <w:right w:w="108" w:type="dxa"/>
            </w:tcMar>
          </w:tcPr>
          <w:p w14:paraId="267C278D" w14:textId="77777777" w:rsidR="00CD509F" w:rsidRPr="00FB1BFA" w:rsidRDefault="00CD509F" w:rsidP="00375A6F">
            <w:pPr>
              <w:pStyle w:val="Tabletext"/>
              <w:rPr>
                <w:lang w:val="fr-FR"/>
              </w:rPr>
            </w:pPr>
            <w:r w:rsidRPr="00FB1BFA">
              <w:rPr>
                <w:lang w:val="fr-FR"/>
              </w:rPr>
              <w:t xml:space="preserve">Mme Anastasia Konukhova </w:t>
            </w:r>
          </w:p>
        </w:tc>
        <w:tc>
          <w:tcPr>
            <w:tcW w:w="2586" w:type="dxa"/>
            <w:tcBorders>
              <w:top w:val="nil"/>
              <w:left w:val="nil"/>
              <w:bottom w:val="nil"/>
              <w:right w:val="single" w:sz="8" w:space="0" w:color="FFFFFF"/>
            </w:tcBorders>
            <w:shd w:val="clear" w:color="auto" w:fill="D9D9D9"/>
            <w:tcMar>
              <w:top w:w="0" w:type="dxa"/>
              <w:left w:w="108" w:type="dxa"/>
              <w:bottom w:w="0" w:type="dxa"/>
              <w:right w:w="108" w:type="dxa"/>
            </w:tcMar>
          </w:tcPr>
          <w:p w14:paraId="04062338" w14:textId="77777777" w:rsidR="00CD509F" w:rsidRPr="00FB1BFA" w:rsidRDefault="00CD509F" w:rsidP="00375A6F">
            <w:pPr>
              <w:pStyle w:val="Tabletext"/>
              <w:rPr>
                <w:lang w:val="fr-FR"/>
              </w:rPr>
            </w:pPr>
            <w:r w:rsidRPr="00FB1BFA">
              <w:rPr>
                <w:szCs w:val="22"/>
                <w:lang w:val="fr-FR"/>
              </w:rPr>
              <w:t xml:space="preserve">Fédération de Russie </w:t>
            </w:r>
          </w:p>
        </w:tc>
      </w:tr>
      <w:tr w:rsidR="00CD509F" w:rsidRPr="00FB1BFA" w14:paraId="38F96D44" w14:textId="77777777" w:rsidTr="00375A6F">
        <w:tc>
          <w:tcPr>
            <w:tcW w:w="4385"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603E8797" w14:textId="77777777" w:rsidR="00CD509F" w:rsidRPr="00FB1BFA" w:rsidRDefault="00CD509F" w:rsidP="00375A6F">
            <w:pPr>
              <w:pStyle w:val="Tabletext"/>
              <w:rPr>
                <w:b/>
                <w:bCs/>
                <w:color w:val="FFFFFF" w:themeColor="background1"/>
                <w:lang w:val="fr-FR"/>
              </w:rPr>
            </w:pPr>
            <w:r w:rsidRPr="00FB1BFA">
              <w:rPr>
                <w:rFonts w:cs="Calibri"/>
                <w:b/>
                <w:color w:val="FFFFFF"/>
                <w:szCs w:val="22"/>
                <w:lang w:val="fr-FR"/>
              </w:rPr>
              <w:t xml:space="preserve">Vice-Présidente de la Commission d'études 2 </w:t>
            </w:r>
          </w:p>
        </w:tc>
        <w:tc>
          <w:tcPr>
            <w:tcW w:w="2792"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59E49248" w14:textId="77777777" w:rsidR="00CD509F" w:rsidRPr="00FB1BFA" w:rsidRDefault="00CD509F" w:rsidP="00375A6F">
            <w:pPr>
              <w:pStyle w:val="Tabletext"/>
              <w:rPr>
                <w:lang w:val="fr-FR"/>
              </w:rPr>
            </w:pPr>
            <w:r w:rsidRPr="00FB1BFA">
              <w:rPr>
                <w:lang w:val="fr-FR"/>
              </w:rPr>
              <w:t xml:space="preserve">Mme Maria Bolshakova </w:t>
            </w:r>
          </w:p>
        </w:tc>
        <w:tc>
          <w:tcPr>
            <w:tcW w:w="2586"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30CCB99C" w14:textId="77777777" w:rsidR="00CD509F" w:rsidRPr="00FB1BFA" w:rsidRDefault="00CD509F" w:rsidP="00375A6F">
            <w:pPr>
              <w:pStyle w:val="Tabletext"/>
              <w:rPr>
                <w:lang w:val="fr-FR"/>
              </w:rPr>
            </w:pPr>
            <w:r w:rsidRPr="00FB1BFA">
              <w:rPr>
                <w:rFonts w:cs="Calibri"/>
                <w:bCs/>
                <w:szCs w:val="22"/>
                <w:lang w:val="fr-FR"/>
              </w:rPr>
              <w:t xml:space="preserve">Fédération de Russie </w:t>
            </w:r>
          </w:p>
        </w:tc>
      </w:tr>
    </w:tbl>
    <w:p w14:paraId="53E18A24"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xml:space="preserve">: </w:t>
      </w:r>
      <w:r w:rsidRPr="00FB1BFA">
        <w:rPr>
          <w:i/>
          <w:iCs/>
          <w:sz w:val="18"/>
          <w:szCs w:val="18"/>
          <w:lang w:val="fr-FR"/>
        </w:rPr>
        <w:t>a</w:t>
      </w:r>
      <w:r w:rsidRPr="00FB1BFA">
        <w:rPr>
          <w:sz w:val="18"/>
          <w:szCs w:val="18"/>
          <w:lang w:val="fr-FR"/>
        </w:rPr>
        <w:t>dapté de la présentation de la RCC lors de la réunion IRM-3, 10 mars 2022.</w:t>
      </w:r>
    </w:p>
    <w:p w14:paraId="0E7D6903" w14:textId="77777777" w:rsidR="00CD509F" w:rsidRPr="00FB1BFA" w:rsidRDefault="00CD509F" w:rsidP="00CD509F">
      <w:pPr>
        <w:pStyle w:val="Tabletitle"/>
        <w:spacing w:before="240"/>
        <w:rPr>
          <w:lang w:val="fr-FR"/>
        </w:rPr>
      </w:pPr>
      <w:r w:rsidRPr="00FB1BFA">
        <w:rPr>
          <w:lang w:val="fr-FR"/>
        </w:rPr>
        <w:t>Tableau 3.11: Candidats de la RCC à des postes de direction lors de la CMDT</w:t>
      </w:r>
    </w:p>
    <w:tbl>
      <w:tblPr>
        <w:tblW w:w="5000" w:type="pct"/>
        <w:tblBorders>
          <w:top w:val="single" w:sz="18" w:space="0" w:color="FFFFFF"/>
          <w:left w:val="single" w:sz="18" w:space="0" w:color="FFFFFF"/>
          <w:bottom w:val="single" w:sz="18" w:space="0" w:color="FFFFFF"/>
          <w:right w:val="single" w:sz="18" w:space="0" w:color="FFFFFF"/>
          <w:insideH w:val="single" w:sz="12" w:space="0" w:color="FFFFFF"/>
          <w:insideV w:val="single" w:sz="12" w:space="0" w:color="FFFFFF"/>
        </w:tblBorders>
        <w:tblCellMar>
          <w:left w:w="0" w:type="dxa"/>
          <w:right w:w="0" w:type="dxa"/>
        </w:tblCellMar>
        <w:tblLook w:val="0600" w:firstRow="0" w:lastRow="0" w:firstColumn="0" w:lastColumn="0" w:noHBand="1" w:noVBand="1"/>
      </w:tblPr>
      <w:tblGrid>
        <w:gridCol w:w="463"/>
        <w:gridCol w:w="3281"/>
        <w:gridCol w:w="4294"/>
        <w:gridCol w:w="1557"/>
      </w:tblGrid>
      <w:tr w:rsidR="00CD509F" w:rsidRPr="00FB1BFA" w14:paraId="5EBFE659" w14:textId="77777777" w:rsidTr="00375A6F">
        <w:tc>
          <w:tcPr>
            <w:tcW w:w="433" w:type="dxa"/>
            <w:shd w:val="clear" w:color="auto" w:fill="31849B"/>
            <w:tcMar>
              <w:top w:w="72" w:type="dxa"/>
              <w:left w:w="108" w:type="dxa"/>
              <w:bottom w:w="72" w:type="dxa"/>
              <w:right w:w="108" w:type="dxa"/>
            </w:tcMar>
            <w:hideMark/>
          </w:tcPr>
          <w:p w14:paraId="7C325B13" w14:textId="77777777" w:rsidR="00CD509F" w:rsidRPr="00FB1BFA" w:rsidRDefault="00CD509F" w:rsidP="00375A6F">
            <w:pPr>
              <w:pStyle w:val="Tablehead"/>
              <w:jc w:val="left"/>
              <w:rPr>
                <w:color w:val="FFFFFF" w:themeColor="background1"/>
                <w:lang w:val="fr-FR"/>
              </w:rPr>
            </w:pPr>
            <w:r w:rsidRPr="00FB1BFA">
              <w:rPr>
                <w:color w:val="FFFFFF" w:themeColor="background1"/>
                <w:lang w:val="fr-FR"/>
              </w:rPr>
              <w:t> </w:t>
            </w:r>
          </w:p>
        </w:tc>
        <w:tc>
          <w:tcPr>
            <w:tcW w:w="3071" w:type="dxa"/>
            <w:shd w:val="clear" w:color="auto" w:fill="31849B"/>
            <w:tcMar>
              <w:top w:w="72" w:type="dxa"/>
              <w:left w:w="108" w:type="dxa"/>
              <w:bottom w:w="72" w:type="dxa"/>
              <w:right w:w="108" w:type="dxa"/>
            </w:tcMar>
            <w:hideMark/>
          </w:tcPr>
          <w:p w14:paraId="32DCD094" w14:textId="77777777" w:rsidR="00CD509F" w:rsidRPr="00FB1BFA" w:rsidRDefault="00CD509F" w:rsidP="00375A6F">
            <w:pPr>
              <w:pStyle w:val="Tablehead"/>
              <w:jc w:val="left"/>
              <w:rPr>
                <w:color w:val="FFFFFF" w:themeColor="background1"/>
                <w:lang w:val="fr-FR"/>
              </w:rPr>
            </w:pPr>
            <w:r w:rsidRPr="00FB1BFA">
              <w:rPr>
                <w:color w:val="FFFFFF" w:themeColor="background1"/>
                <w:lang w:val="fr-FR"/>
              </w:rPr>
              <w:t>Groupe/commission et fonction</w:t>
            </w:r>
          </w:p>
        </w:tc>
        <w:tc>
          <w:tcPr>
            <w:tcW w:w="4019" w:type="dxa"/>
            <w:shd w:val="clear" w:color="auto" w:fill="31849B"/>
            <w:tcMar>
              <w:top w:w="72" w:type="dxa"/>
              <w:left w:w="108" w:type="dxa"/>
              <w:bottom w:w="72" w:type="dxa"/>
              <w:right w:w="108" w:type="dxa"/>
            </w:tcMar>
            <w:hideMark/>
          </w:tcPr>
          <w:p w14:paraId="5C3A8E2A" w14:textId="77777777" w:rsidR="00CD509F" w:rsidRPr="00FB1BFA" w:rsidRDefault="00CD509F" w:rsidP="00375A6F">
            <w:pPr>
              <w:pStyle w:val="Tablehead"/>
              <w:jc w:val="left"/>
              <w:rPr>
                <w:color w:val="FFFFFF" w:themeColor="background1"/>
                <w:lang w:val="fr-FR"/>
              </w:rPr>
            </w:pPr>
            <w:r w:rsidRPr="00FB1BFA">
              <w:rPr>
                <w:color w:val="FFFFFF" w:themeColor="background1"/>
                <w:lang w:val="fr-FR"/>
              </w:rPr>
              <w:t xml:space="preserve">Candidature </w:t>
            </w:r>
          </w:p>
        </w:tc>
        <w:tc>
          <w:tcPr>
            <w:tcW w:w="1457" w:type="dxa"/>
            <w:shd w:val="clear" w:color="auto" w:fill="31849B"/>
            <w:tcMar>
              <w:top w:w="72" w:type="dxa"/>
              <w:left w:w="108" w:type="dxa"/>
              <w:bottom w:w="72" w:type="dxa"/>
              <w:right w:w="108" w:type="dxa"/>
            </w:tcMar>
            <w:hideMark/>
          </w:tcPr>
          <w:p w14:paraId="4D6CB746" w14:textId="77777777" w:rsidR="00CD509F" w:rsidRPr="00FB1BFA" w:rsidRDefault="00CD509F" w:rsidP="00375A6F">
            <w:pPr>
              <w:pStyle w:val="Tablehead"/>
              <w:jc w:val="left"/>
              <w:rPr>
                <w:color w:val="FFFFFF" w:themeColor="background1"/>
                <w:lang w:val="fr-FR"/>
              </w:rPr>
            </w:pPr>
            <w:r w:rsidRPr="00FB1BFA">
              <w:rPr>
                <w:color w:val="FFFFFF" w:themeColor="background1"/>
                <w:lang w:val="fr-FR"/>
              </w:rPr>
              <w:t>Pays</w:t>
            </w:r>
          </w:p>
        </w:tc>
      </w:tr>
      <w:tr w:rsidR="00CD509F" w:rsidRPr="00FB1BFA" w14:paraId="31C27220" w14:textId="77777777" w:rsidTr="00375A6F">
        <w:tc>
          <w:tcPr>
            <w:tcW w:w="433" w:type="dxa"/>
            <w:shd w:val="clear" w:color="auto" w:fill="D9D9D9"/>
            <w:tcMar>
              <w:top w:w="72" w:type="dxa"/>
              <w:left w:w="108" w:type="dxa"/>
              <w:bottom w:w="72" w:type="dxa"/>
              <w:right w:w="108" w:type="dxa"/>
            </w:tcMar>
            <w:hideMark/>
          </w:tcPr>
          <w:p w14:paraId="02F4D015" w14:textId="77777777" w:rsidR="00CD509F" w:rsidRPr="00FB1BFA" w:rsidRDefault="00CD509F" w:rsidP="00375A6F">
            <w:pPr>
              <w:pStyle w:val="Tabletext"/>
              <w:rPr>
                <w:lang w:val="fr-FR"/>
              </w:rPr>
            </w:pPr>
            <w:r w:rsidRPr="00FB1BFA">
              <w:rPr>
                <w:lang w:val="fr-FR"/>
              </w:rPr>
              <w:t>1</w:t>
            </w:r>
          </w:p>
        </w:tc>
        <w:tc>
          <w:tcPr>
            <w:tcW w:w="3071" w:type="dxa"/>
            <w:shd w:val="clear" w:color="auto" w:fill="D9D9D9"/>
            <w:tcMar>
              <w:top w:w="72" w:type="dxa"/>
              <w:left w:w="108" w:type="dxa"/>
              <w:bottom w:w="72" w:type="dxa"/>
              <w:right w:w="108" w:type="dxa"/>
            </w:tcMar>
            <w:hideMark/>
          </w:tcPr>
          <w:p w14:paraId="04DF70C0" w14:textId="77777777" w:rsidR="00CD509F" w:rsidRPr="00FB1BFA" w:rsidRDefault="00CD509F" w:rsidP="00375A6F">
            <w:pPr>
              <w:pStyle w:val="Tabletext"/>
              <w:rPr>
                <w:b/>
                <w:bCs/>
                <w:lang w:val="fr-FR"/>
              </w:rPr>
            </w:pPr>
            <w:r w:rsidRPr="00FB1BFA">
              <w:rPr>
                <w:b/>
                <w:bCs/>
                <w:lang w:val="fr-FR"/>
              </w:rPr>
              <w:t>Commission 1 – Commission de direction: Vice-Président</w:t>
            </w:r>
          </w:p>
        </w:tc>
        <w:tc>
          <w:tcPr>
            <w:tcW w:w="4019" w:type="dxa"/>
            <w:shd w:val="clear" w:color="auto" w:fill="D9D9D9"/>
            <w:tcMar>
              <w:top w:w="72" w:type="dxa"/>
              <w:left w:w="108" w:type="dxa"/>
              <w:bottom w:w="72" w:type="dxa"/>
              <w:right w:w="108" w:type="dxa"/>
            </w:tcMar>
            <w:hideMark/>
          </w:tcPr>
          <w:p w14:paraId="0AF5354C" w14:textId="77777777" w:rsidR="00CD509F" w:rsidRPr="00FB1BFA" w:rsidRDefault="00CD509F" w:rsidP="00375A6F">
            <w:pPr>
              <w:pStyle w:val="Tabletext"/>
              <w:rPr>
                <w:lang w:val="fr-FR"/>
              </w:rPr>
            </w:pPr>
            <w:r w:rsidRPr="00FB1BFA">
              <w:rPr>
                <w:lang w:val="fr-FR"/>
              </w:rPr>
              <w:t>M. Andrey Zhivov</w:t>
            </w:r>
          </w:p>
        </w:tc>
        <w:tc>
          <w:tcPr>
            <w:tcW w:w="1457" w:type="dxa"/>
            <w:shd w:val="clear" w:color="auto" w:fill="D9D9D9"/>
            <w:tcMar>
              <w:top w:w="72" w:type="dxa"/>
              <w:left w:w="108" w:type="dxa"/>
              <w:bottom w:w="72" w:type="dxa"/>
              <w:right w:w="108" w:type="dxa"/>
            </w:tcMar>
            <w:hideMark/>
          </w:tcPr>
          <w:p w14:paraId="7C0A49E9" w14:textId="77777777" w:rsidR="00CD509F" w:rsidRPr="00FB1BFA" w:rsidRDefault="00CD509F" w:rsidP="00375A6F">
            <w:pPr>
              <w:pStyle w:val="Tabletext"/>
              <w:rPr>
                <w:lang w:val="fr-FR"/>
              </w:rPr>
            </w:pPr>
            <w:r w:rsidRPr="00FB1BFA">
              <w:rPr>
                <w:lang w:val="fr-FR"/>
              </w:rPr>
              <w:t>Fédération de Russie</w:t>
            </w:r>
          </w:p>
        </w:tc>
      </w:tr>
      <w:tr w:rsidR="00CD509F" w:rsidRPr="00FB1BFA" w14:paraId="2EF5281B" w14:textId="77777777" w:rsidTr="00375A6F">
        <w:tc>
          <w:tcPr>
            <w:tcW w:w="433" w:type="dxa"/>
            <w:shd w:val="clear" w:color="auto" w:fill="D9D9D9"/>
            <w:tcMar>
              <w:top w:w="72" w:type="dxa"/>
              <w:left w:w="108" w:type="dxa"/>
              <w:bottom w:w="72" w:type="dxa"/>
              <w:right w:w="108" w:type="dxa"/>
            </w:tcMar>
            <w:hideMark/>
          </w:tcPr>
          <w:p w14:paraId="0BA0F997" w14:textId="77777777" w:rsidR="00CD509F" w:rsidRPr="00FB1BFA" w:rsidRDefault="00CD509F" w:rsidP="00375A6F">
            <w:pPr>
              <w:pStyle w:val="Tabletext"/>
              <w:rPr>
                <w:lang w:val="fr-FR"/>
              </w:rPr>
            </w:pPr>
            <w:r w:rsidRPr="00FB1BFA">
              <w:rPr>
                <w:lang w:val="fr-FR"/>
              </w:rPr>
              <w:t>2</w:t>
            </w:r>
          </w:p>
        </w:tc>
        <w:tc>
          <w:tcPr>
            <w:tcW w:w="3071" w:type="dxa"/>
            <w:shd w:val="clear" w:color="auto" w:fill="D9D9D9"/>
            <w:tcMar>
              <w:top w:w="72" w:type="dxa"/>
              <w:left w:w="108" w:type="dxa"/>
              <w:bottom w:w="72" w:type="dxa"/>
              <w:right w:w="108" w:type="dxa"/>
            </w:tcMar>
            <w:hideMark/>
          </w:tcPr>
          <w:p w14:paraId="3993BFAB" w14:textId="77777777" w:rsidR="00CD509F" w:rsidRPr="00FB1BFA" w:rsidRDefault="00CD509F" w:rsidP="00375A6F">
            <w:pPr>
              <w:pStyle w:val="Tabletext"/>
              <w:rPr>
                <w:b/>
                <w:bCs/>
                <w:lang w:val="fr-FR"/>
              </w:rPr>
            </w:pPr>
            <w:r w:rsidRPr="00FB1BFA">
              <w:rPr>
                <w:b/>
                <w:bCs/>
                <w:lang w:val="fr-FR"/>
              </w:rPr>
              <w:t xml:space="preserve">Commission 2 – Commission de contrôle budgétaire: </w:t>
            </w:r>
            <w:r w:rsidRPr="00FB1BFA">
              <w:rPr>
                <w:b/>
                <w:bCs/>
                <w:lang w:val="fr-FR"/>
              </w:rPr>
              <w:br/>
              <w:t>Vice-Président</w:t>
            </w:r>
          </w:p>
        </w:tc>
        <w:tc>
          <w:tcPr>
            <w:tcW w:w="4019" w:type="dxa"/>
            <w:shd w:val="clear" w:color="auto" w:fill="D9D9D9"/>
            <w:tcMar>
              <w:top w:w="72" w:type="dxa"/>
              <w:left w:w="108" w:type="dxa"/>
              <w:bottom w:w="72" w:type="dxa"/>
              <w:right w:w="108" w:type="dxa"/>
            </w:tcMar>
            <w:hideMark/>
          </w:tcPr>
          <w:p w14:paraId="742CC43B" w14:textId="77777777" w:rsidR="00CD509F" w:rsidRPr="00FB1BFA" w:rsidRDefault="00CD509F" w:rsidP="00375A6F">
            <w:pPr>
              <w:pStyle w:val="Tabletext"/>
              <w:rPr>
                <w:u w:val="single"/>
                <w:lang w:val="fr-FR"/>
              </w:rPr>
            </w:pPr>
            <w:r w:rsidRPr="00FB1BFA">
              <w:rPr>
                <w:lang w:val="fr-FR"/>
              </w:rPr>
              <w:t>M. Masud Azimov</w:t>
            </w:r>
            <w:hyperlink r:id="rId28" w:history="1"/>
          </w:p>
        </w:tc>
        <w:tc>
          <w:tcPr>
            <w:tcW w:w="1457" w:type="dxa"/>
            <w:shd w:val="clear" w:color="auto" w:fill="D9D9D9"/>
            <w:tcMar>
              <w:top w:w="72" w:type="dxa"/>
              <w:left w:w="108" w:type="dxa"/>
              <w:bottom w:w="72" w:type="dxa"/>
              <w:right w:w="108" w:type="dxa"/>
            </w:tcMar>
            <w:hideMark/>
          </w:tcPr>
          <w:p w14:paraId="747105B7" w14:textId="77777777" w:rsidR="00CD509F" w:rsidRPr="00FB1BFA" w:rsidRDefault="00CD509F" w:rsidP="00375A6F">
            <w:pPr>
              <w:pStyle w:val="Tabletext"/>
              <w:rPr>
                <w:lang w:val="fr-FR"/>
              </w:rPr>
            </w:pPr>
            <w:r w:rsidRPr="00FB1BFA">
              <w:rPr>
                <w:lang w:val="fr-FR"/>
              </w:rPr>
              <w:t>Ouzbékistan</w:t>
            </w:r>
          </w:p>
        </w:tc>
      </w:tr>
      <w:tr w:rsidR="00CD509F" w:rsidRPr="00FB1BFA" w14:paraId="5F3A2654" w14:textId="77777777" w:rsidTr="00375A6F">
        <w:tc>
          <w:tcPr>
            <w:tcW w:w="433" w:type="dxa"/>
            <w:shd w:val="clear" w:color="auto" w:fill="D9D9D9"/>
            <w:tcMar>
              <w:top w:w="72" w:type="dxa"/>
              <w:left w:w="108" w:type="dxa"/>
              <w:bottom w:w="72" w:type="dxa"/>
              <w:right w:w="108" w:type="dxa"/>
            </w:tcMar>
            <w:hideMark/>
          </w:tcPr>
          <w:p w14:paraId="0E105992" w14:textId="77777777" w:rsidR="00CD509F" w:rsidRPr="00FB1BFA" w:rsidRDefault="00CD509F" w:rsidP="00375A6F">
            <w:pPr>
              <w:pStyle w:val="Tabletext"/>
              <w:rPr>
                <w:lang w:val="fr-FR"/>
              </w:rPr>
            </w:pPr>
            <w:r w:rsidRPr="00FB1BFA">
              <w:rPr>
                <w:lang w:val="fr-FR"/>
              </w:rPr>
              <w:t>3</w:t>
            </w:r>
          </w:p>
        </w:tc>
        <w:tc>
          <w:tcPr>
            <w:tcW w:w="3071" w:type="dxa"/>
            <w:shd w:val="clear" w:color="auto" w:fill="D9D9D9"/>
            <w:tcMar>
              <w:top w:w="72" w:type="dxa"/>
              <w:left w:w="108" w:type="dxa"/>
              <w:bottom w:w="72" w:type="dxa"/>
              <w:right w:w="108" w:type="dxa"/>
            </w:tcMar>
            <w:hideMark/>
          </w:tcPr>
          <w:p w14:paraId="2448EDA3" w14:textId="77777777" w:rsidR="00CD509F" w:rsidRPr="00FB1BFA" w:rsidRDefault="00CD509F" w:rsidP="00375A6F">
            <w:pPr>
              <w:pStyle w:val="Tabletext"/>
              <w:rPr>
                <w:b/>
                <w:bCs/>
                <w:lang w:val="fr-FR"/>
              </w:rPr>
            </w:pPr>
            <w:r w:rsidRPr="00FB1BFA">
              <w:rPr>
                <w:b/>
                <w:bCs/>
                <w:lang w:val="fr-FR"/>
              </w:rPr>
              <w:t>Commission 3 – Objectifs:</w:t>
            </w:r>
            <w:r w:rsidRPr="00FB1BFA">
              <w:rPr>
                <w:b/>
                <w:bCs/>
                <w:lang w:val="fr-FR"/>
              </w:rPr>
              <w:br/>
              <w:t>Vice-Présidente</w:t>
            </w:r>
          </w:p>
        </w:tc>
        <w:tc>
          <w:tcPr>
            <w:tcW w:w="4019" w:type="dxa"/>
            <w:shd w:val="clear" w:color="auto" w:fill="D9D9D9"/>
            <w:tcMar>
              <w:top w:w="72" w:type="dxa"/>
              <w:left w:w="108" w:type="dxa"/>
              <w:bottom w:w="72" w:type="dxa"/>
              <w:right w:w="108" w:type="dxa"/>
            </w:tcMar>
            <w:hideMark/>
          </w:tcPr>
          <w:p w14:paraId="1CD15784" w14:textId="77777777" w:rsidR="00CD509F" w:rsidRPr="00FB1BFA" w:rsidRDefault="00CD509F" w:rsidP="00375A6F">
            <w:pPr>
              <w:pStyle w:val="Tabletext"/>
              <w:rPr>
                <w:lang w:val="fr-FR"/>
              </w:rPr>
            </w:pPr>
            <w:r w:rsidRPr="00FB1BFA">
              <w:rPr>
                <w:lang w:val="fr-FR"/>
              </w:rPr>
              <w:t xml:space="preserve">Mme Umida Musaeva </w:t>
            </w:r>
          </w:p>
        </w:tc>
        <w:tc>
          <w:tcPr>
            <w:tcW w:w="1457" w:type="dxa"/>
            <w:shd w:val="clear" w:color="auto" w:fill="D9D9D9"/>
            <w:tcMar>
              <w:top w:w="72" w:type="dxa"/>
              <w:left w:w="108" w:type="dxa"/>
              <w:bottom w:w="72" w:type="dxa"/>
              <w:right w:w="108" w:type="dxa"/>
            </w:tcMar>
            <w:hideMark/>
          </w:tcPr>
          <w:p w14:paraId="26171981" w14:textId="77777777" w:rsidR="00CD509F" w:rsidRPr="00FB1BFA" w:rsidRDefault="00CD509F" w:rsidP="00375A6F">
            <w:pPr>
              <w:pStyle w:val="Tabletext"/>
              <w:rPr>
                <w:lang w:val="fr-FR"/>
              </w:rPr>
            </w:pPr>
            <w:r w:rsidRPr="00FB1BFA">
              <w:rPr>
                <w:lang w:val="fr-FR"/>
              </w:rPr>
              <w:t>Ouzbékistan</w:t>
            </w:r>
          </w:p>
        </w:tc>
      </w:tr>
      <w:tr w:rsidR="00CD509F" w:rsidRPr="00FB1BFA" w14:paraId="2BC65F52" w14:textId="77777777" w:rsidTr="00375A6F">
        <w:tc>
          <w:tcPr>
            <w:tcW w:w="433" w:type="dxa"/>
            <w:shd w:val="clear" w:color="auto" w:fill="D9D9D9"/>
            <w:tcMar>
              <w:top w:w="72" w:type="dxa"/>
              <w:left w:w="108" w:type="dxa"/>
              <w:bottom w:w="72" w:type="dxa"/>
              <w:right w:w="108" w:type="dxa"/>
            </w:tcMar>
            <w:hideMark/>
          </w:tcPr>
          <w:p w14:paraId="54DD54C2" w14:textId="77777777" w:rsidR="00CD509F" w:rsidRPr="00FB1BFA" w:rsidRDefault="00CD509F" w:rsidP="00375A6F">
            <w:pPr>
              <w:pStyle w:val="Tabletext"/>
              <w:rPr>
                <w:lang w:val="fr-FR"/>
              </w:rPr>
            </w:pPr>
            <w:r w:rsidRPr="00FB1BFA">
              <w:rPr>
                <w:lang w:val="fr-FR"/>
              </w:rPr>
              <w:t>4</w:t>
            </w:r>
          </w:p>
        </w:tc>
        <w:tc>
          <w:tcPr>
            <w:tcW w:w="3071" w:type="dxa"/>
            <w:shd w:val="clear" w:color="auto" w:fill="D9D9D9"/>
            <w:tcMar>
              <w:top w:w="72" w:type="dxa"/>
              <w:left w:w="108" w:type="dxa"/>
              <w:bottom w:w="72" w:type="dxa"/>
              <w:right w:w="108" w:type="dxa"/>
            </w:tcMar>
            <w:hideMark/>
          </w:tcPr>
          <w:p w14:paraId="4A097410" w14:textId="77777777" w:rsidR="00CD509F" w:rsidRPr="00FB1BFA" w:rsidRDefault="00CD509F" w:rsidP="00375A6F">
            <w:pPr>
              <w:pStyle w:val="Tabletext"/>
              <w:rPr>
                <w:b/>
                <w:bCs/>
                <w:lang w:val="fr-FR"/>
              </w:rPr>
            </w:pPr>
            <w:r w:rsidRPr="00FB1BFA">
              <w:rPr>
                <w:b/>
                <w:bCs/>
                <w:lang w:val="fr-FR"/>
              </w:rPr>
              <w:t>Commission 4 – Méthodes de travail de l</w:t>
            </w:r>
            <w:r w:rsidRPr="00FB1BFA">
              <w:rPr>
                <w:rFonts w:eastAsia="Calibri"/>
                <w:b/>
                <w:bCs/>
                <w:color w:val="000000"/>
                <w:lang w:val="fr-FR"/>
              </w:rPr>
              <w:t>'UIT-D</w:t>
            </w:r>
            <w:r w:rsidRPr="00FB1BFA">
              <w:rPr>
                <w:b/>
                <w:bCs/>
                <w:lang w:val="fr-FR"/>
              </w:rPr>
              <w:t>: Vice-Président</w:t>
            </w:r>
          </w:p>
        </w:tc>
        <w:tc>
          <w:tcPr>
            <w:tcW w:w="4019" w:type="dxa"/>
            <w:shd w:val="clear" w:color="auto" w:fill="D9D9D9"/>
            <w:tcMar>
              <w:top w:w="72" w:type="dxa"/>
              <w:left w:w="108" w:type="dxa"/>
              <w:bottom w:w="72" w:type="dxa"/>
              <w:right w:w="108" w:type="dxa"/>
            </w:tcMar>
            <w:hideMark/>
          </w:tcPr>
          <w:p w14:paraId="67B65EA1" w14:textId="77777777" w:rsidR="00CD509F" w:rsidRPr="00FB1BFA" w:rsidRDefault="00CD509F" w:rsidP="00375A6F">
            <w:pPr>
              <w:pStyle w:val="Tabletext"/>
              <w:rPr>
                <w:lang w:val="fr-FR"/>
              </w:rPr>
            </w:pPr>
            <w:r w:rsidRPr="00FB1BFA">
              <w:rPr>
                <w:lang w:val="fr-FR"/>
              </w:rPr>
              <w:t>-</w:t>
            </w:r>
          </w:p>
        </w:tc>
        <w:tc>
          <w:tcPr>
            <w:tcW w:w="1457" w:type="dxa"/>
            <w:shd w:val="clear" w:color="auto" w:fill="D9D9D9"/>
            <w:tcMar>
              <w:top w:w="72" w:type="dxa"/>
              <w:left w:w="108" w:type="dxa"/>
              <w:bottom w:w="72" w:type="dxa"/>
              <w:right w:w="108" w:type="dxa"/>
            </w:tcMar>
            <w:hideMark/>
          </w:tcPr>
          <w:p w14:paraId="5A593801" w14:textId="77777777" w:rsidR="00CD509F" w:rsidRPr="00FB1BFA" w:rsidRDefault="00CD509F" w:rsidP="00375A6F">
            <w:pPr>
              <w:pStyle w:val="Tabletext"/>
              <w:rPr>
                <w:lang w:val="fr-FR"/>
              </w:rPr>
            </w:pPr>
          </w:p>
        </w:tc>
      </w:tr>
      <w:tr w:rsidR="00CD509F" w:rsidRPr="00FB1BFA" w14:paraId="120CA143" w14:textId="77777777" w:rsidTr="00375A6F">
        <w:tc>
          <w:tcPr>
            <w:tcW w:w="433" w:type="dxa"/>
            <w:shd w:val="clear" w:color="auto" w:fill="D9D9D9"/>
            <w:tcMar>
              <w:top w:w="72" w:type="dxa"/>
              <w:left w:w="108" w:type="dxa"/>
              <w:bottom w:w="72" w:type="dxa"/>
              <w:right w:w="108" w:type="dxa"/>
            </w:tcMar>
            <w:hideMark/>
          </w:tcPr>
          <w:p w14:paraId="7443A846" w14:textId="77777777" w:rsidR="00CD509F" w:rsidRPr="00FB1BFA" w:rsidRDefault="00CD509F" w:rsidP="00375A6F">
            <w:pPr>
              <w:pStyle w:val="Tabletext"/>
              <w:rPr>
                <w:lang w:val="fr-FR"/>
              </w:rPr>
            </w:pPr>
            <w:r w:rsidRPr="00FB1BFA">
              <w:rPr>
                <w:lang w:val="fr-FR"/>
              </w:rPr>
              <w:t>5</w:t>
            </w:r>
          </w:p>
        </w:tc>
        <w:tc>
          <w:tcPr>
            <w:tcW w:w="3071" w:type="dxa"/>
            <w:shd w:val="clear" w:color="auto" w:fill="D9D9D9"/>
            <w:tcMar>
              <w:top w:w="72" w:type="dxa"/>
              <w:left w:w="108" w:type="dxa"/>
              <w:bottom w:w="72" w:type="dxa"/>
              <w:right w:w="108" w:type="dxa"/>
            </w:tcMar>
            <w:hideMark/>
          </w:tcPr>
          <w:p w14:paraId="629B7D50" w14:textId="77777777" w:rsidR="00CD509F" w:rsidRPr="00FB1BFA" w:rsidRDefault="00CD509F" w:rsidP="00375A6F">
            <w:pPr>
              <w:pStyle w:val="Tabletext"/>
              <w:rPr>
                <w:b/>
                <w:bCs/>
                <w:lang w:val="fr-FR"/>
              </w:rPr>
            </w:pPr>
            <w:r w:rsidRPr="00FB1BFA">
              <w:rPr>
                <w:b/>
                <w:bCs/>
                <w:lang w:val="fr-FR"/>
              </w:rPr>
              <w:t>Commission 5 – Commission de rédaction: Vice-Président</w:t>
            </w:r>
          </w:p>
        </w:tc>
        <w:tc>
          <w:tcPr>
            <w:tcW w:w="4019" w:type="dxa"/>
            <w:shd w:val="clear" w:color="auto" w:fill="D9D9D9"/>
            <w:tcMar>
              <w:top w:w="72" w:type="dxa"/>
              <w:left w:w="108" w:type="dxa"/>
              <w:bottom w:w="72" w:type="dxa"/>
              <w:right w:w="108" w:type="dxa"/>
            </w:tcMar>
            <w:hideMark/>
          </w:tcPr>
          <w:p w14:paraId="022357E2" w14:textId="77777777" w:rsidR="00CD509F" w:rsidRPr="00FB1BFA" w:rsidRDefault="00CD509F" w:rsidP="00375A6F">
            <w:pPr>
              <w:pStyle w:val="Tabletext"/>
              <w:rPr>
                <w:lang w:val="fr-FR"/>
              </w:rPr>
            </w:pPr>
            <w:r w:rsidRPr="00FB1BFA">
              <w:rPr>
                <w:lang w:val="fr-FR"/>
              </w:rPr>
              <w:t>M. Dmitry Cherkesov</w:t>
            </w:r>
          </w:p>
        </w:tc>
        <w:tc>
          <w:tcPr>
            <w:tcW w:w="1457" w:type="dxa"/>
            <w:shd w:val="clear" w:color="auto" w:fill="D9D9D9"/>
            <w:tcMar>
              <w:top w:w="72" w:type="dxa"/>
              <w:left w:w="108" w:type="dxa"/>
              <w:bottom w:w="72" w:type="dxa"/>
              <w:right w:w="108" w:type="dxa"/>
            </w:tcMar>
            <w:hideMark/>
          </w:tcPr>
          <w:p w14:paraId="20EF2935" w14:textId="77777777" w:rsidR="00CD509F" w:rsidRPr="00FB1BFA" w:rsidRDefault="00CD509F" w:rsidP="00375A6F">
            <w:pPr>
              <w:pStyle w:val="Tabletext"/>
              <w:rPr>
                <w:lang w:val="fr-FR"/>
              </w:rPr>
            </w:pPr>
            <w:r w:rsidRPr="00FB1BFA">
              <w:rPr>
                <w:lang w:val="fr-FR"/>
              </w:rPr>
              <w:t>Fédération de Russie</w:t>
            </w:r>
          </w:p>
        </w:tc>
      </w:tr>
      <w:tr w:rsidR="00CD509F" w:rsidRPr="00FB1BFA" w14:paraId="208A01E7" w14:textId="77777777" w:rsidTr="00375A6F">
        <w:tc>
          <w:tcPr>
            <w:tcW w:w="433" w:type="dxa"/>
            <w:shd w:val="clear" w:color="auto" w:fill="D9D9D9"/>
            <w:tcMar>
              <w:top w:w="72" w:type="dxa"/>
              <w:left w:w="108" w:type="dxa"/>
              <w:bottom w:w="72" w:type="dxa"/>
              <w:right w:w="108" w:type="dxa"/>
            </w:tcMar>
            <w:hideMark/>
          </w:tcPr>
          <w:p w14:paraId="09934B01" w14:textId="77777777" w:rsidR="00CD509F" w:rsidRPr="00FB1BFA" w:rsidRDefault="00CD509F" w:rsidP="00375A6F">
            <w:pPr>
              <w:pStyle w:val="Tabletext"/>
              <w:rPr>
                <w:lang w:val="fr-FR"/>
              </w:rPr>
            </w:pPr>
            <w:r w:rsidRPr="00FB1BFA">
              <w:rPr>
                <w:lang w:val="fr-FR"/>
              </w:rPr>
              <w:t>6</w:t>
            </w:r>
          </w:p>
        </w:tc>
        <w:tc>
          <w:tcPr>
            <w:tcW w:w="3071" w:type="dxa"/>
            <w:shd w:val="clear" w:color="auto" w:fill="D9D9D9"/>
            <w:tcMar>
              <w:top w:w="72" w:type="dxa"/>
              <w:left w:w="108" w:type="dxa"/>
              <w:bottom w:w="72" w:type="dxa"/>
              <w:right w:w="108" w:type="dxa"/>
            </w:tcMar>
            <w:hideMark/>
          </w:tcPr>
          <w:p w14:paraId="72B119A9" w14:textId="77777777" w:rsidR="00CD509F" w:rsidRPr="00FB1BFA" w:rsidRDefault="00CD509F" w:rsidP="00375A6F">
            <w:pPr>
              <w:pStyle w:val="Tabletext"/>
              <w:rPr>
                <w:b/>
                <w:bCs/>
                <w:lang w:val="fr-FR"/>
              </w:rPr>
            </w:pPr>
            <w:r w:rsidRPr="00FB1BFA">
              <w:rPr>
                <w:b/>
                <w:bCs/>
                <w:lang w:val="fr-FR"/>
              </w:rPr>
              <w:t>Groupe de travail de la plénière: Plan stratégique de l'UIT-D et Déclaration de la CMDT: Vice</w:t>
            </w:r>
            <w:r w:rsidRPr="00FB1BFA">
              <w:rPr>
                <w:b/>
                <w:bCs/>
                <w:lang w:val="fr-FR"/>
              </w:rPr>
              <w:noBreakHyphen/>
              <w:t>Présidente</w:t>
            </w:r>
          </w:p>
        </w:tc>
        <w:tc>
          <w:tcPr>
            <w:tcW w:w="4019" w:type="dxa"/>
            <w:shd w:val="clear" w:color="auto" w:fill="D9D9D9"/>
            <w:tcMar>
              <w:top w:w="72" w:type="dxa"/>
              <w:left w:w="108" w:type="dxa"/>
              <w:bottom w:w="72" w:type="dxa"/>
              <w:right w:w="108" w:type="dxa"/>
            </w:tcMar>
          </w:tcPr>
          <w:p w14:paraId="0F32605C" w14:textId="77777777" w:rsidR="00CD509F" w:rsidRPr="00FB1BFA" w:rsidRDefault="00CD509F" w:rsidP="00375A6F">
            <w:pPr>
              <w:pStyle w:val="Tabletext"/>
              <w:rPr>
                <w:lang w:val="fr-FR"/>
              </w:rPr>
            </w:pPr>
            <w:r w:rsidRPr="00FB1BFA">
              <w:rPr>
                <w:lang w:val="fr-FR"/>
              </w:rPr>
              <w:t>Mme Sahiba Hasanova</w:t>
            </w:r>
          </w:p>
        </w:tc>
        <w:tc>
          <w:tcPr>
            <w:tcW w:w="1457" w:type="dxa"/>
            <w:shd w:val="clear" w:color="auto" w:fill="D9D9D9"/>
            <w:tcMar>
              <w:top w:w="72" w:type="dxa"/>
              <w:left w:w="108" w:type="dxa"/>
              <w:bottom w:w="72" w:type="dxa"/>
              <w:right w:w="108" w:type="dxa"/>
            </w:tcMar>
          </w:tcPr>
          <w:p w14:paraId="1AA7558F" w14:textId="77777777" w:rsidR="00CD509F" w:rsidRPr="00FB1BFA" w:rsidRDefault="00CD509F" w:rsidP="00375A6F">
            <w:pPr>
              <w:pStyle w:val="Tabletext"/>
              <w:rPr>
                <w:lang w:val="fr-FR"/>
              </w:rPr>
            </w:pPr>
            <w:r w:rsidRPr="00FB1BFA">
              <w:rPr>
                <w:lang w:val="fr-FR"/>
              </w:rPr>
              <w:t>Azerbaïdjan</w:t>
            </w:r>
          </w:p>
        </w:tc>
      </w:tr>
    </w:tbl>
    <w:p w14:paraId="6977C22C" w14:textId="60C38626"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adapté de la présentation de la RCC lors de la réunion IRM-3, 10 mars 2022.</w:t>
      </w:r>
    </w:p>
    <w:p w14:paraId="47FE4482" w14:textId="00970DDD" w:rsidR="007319CC" w:rsidRPr="00FB1BFA" w:rsidRDefault="007319CC">
      <w:pPr>
        <w:tabs>
          <w:tab w:val="clear" w:pos="794"/>
          <w:tab w:val="clear" w:pos="1191"/>
          <w:tab w:val="clear" w:pos="1588"/>
          <w:tab w:val="clear" w:pos="1985"/>
        </w:tabs>
        <w:overflowPunct/>
        <w:autoSpaceDE/>
        <w:autoSpaceDN/>
        <w:adjustRightInd/>
        <w:spacing w:before="0"/>
        <w:textAlignment w:val="auto"/>
        <w:rPr>
          <w:sz w:val="18"/>
          <w:szCs w:val="18"/>
          <w:lang w:val="fr-FR"/>
        </w:rPr>
      </w:pPr>
      <w:r w:rsidRPr="00FB1BFA">
        <w:rPr>
          <w:sz w:val="18"/>
          <w:szCs w:val="18"/>
          <w:lang w:val="fr-FR"/>
        </w:rPr>
        <w:br w:type="page"/>
      </w:r>
    </w:p>
    <w:p w14:paraId="32610839" w14:textId="77777777" w:rsidR="00CD509F" w:rsidRPr="00FB1BFA" w:rsidRDefault="00CD509F" w:rsidP="00CD509F">
      <w:pPr>
        <w:pStyle w:val="Heading2"/>
        <w:rPr>
          <w:lang w:val="fr-FR"/>
        </w:rPr>
      </w:pPr>
      <w:r w:rsidRPr="00FB1BFA">
        <w:rPr>
          <w:lang w:val="fr-FR"/>
        </w:rPr>
        <w:lastRenderedPageBreak/>
        <w:t>3.5</w:t>
      </w:r>
      <w:r w:rsidRPr="00FB1BFA">
        <w:rPr>
          <w:lang w:val="fr-FR"/>
        </w:rPr>
        <w:tab/>
        <w:t>Conférence européenne des administrations des postes et télécommunications (CEPT)</w:t>
      </w:r>
    </w:p>
    <w:p w14:paraId="4F853E4F" w14:textId="77777777" w:rsidR="00CD509F" w:rsidRPr="00FB1BFA" w:rsidRDefault="00CD509F" w:rsidP="00CD509F">
      <w:pPr>
        <w:rPr>
          <w:lang w:val="fr-FR"/>
        </w:rPr>
      </w:pPr>
      <w:r w:rsidRPr="00FB1BFA">
        <w:rPr>
          <w:lang w:val="fr-FR"/>
        </w:rPr>
        <w:t>Le représentant de la Lituanie, au nom de la CEPT, a présenté l'état d'avancement des travaux préparatoires dans la région Europe, mais a tout d'abord félicité le Rwanda, qui a bien voulu accueillir la CMDT, et la Ministre pour sa nomination en tant que Présidente désignée de la Conférence.</w:t>
      </w:r>
    </w:p>
    <w:p w14:paraId="45B4411A" w14:textId="77777777" w:rsidR="00CD509F" w:rsidRPr="00FB1BFA" w:rsidRDefault="00CD509F" w:rsidP="00CD509F">
      <w:pPr>
        <w:rPr>
          <w:lang w:val="fr-FR"/>
        </w:rPr>
      </w:pPr>
      <w:r w:rsidRPr="00FB1BFA">
        <w:rPr>
          <w:lang w:val="fr-FR"/>
        </w:rPr>
        <w:t xml:space="preserve">Créée en mai 2020, l'équipe de projet </w:t>
      </w:r>
      <w:r w:rsidRPr="00FB1BFA">
        <w:rPr>
          <w:color w:val="000000"/>
          <w:lang w:val="fr-FR"/>
        </w:rPr>
        <w:t xml:space="preserve">du Comité </w:t>
      </w:r>
      <w:r w:rsidRPr="00FB1BFA">
        <w:rPr>
          <w:lang w:val="fr-FR"/>
        </w:rPr>
        <w:t>Com-UIT de la CEPT pour la CMDT prépare et coordonne les positions et les contributions de la CEPT et élabore des projets de propositions européennes communes (ECP) par l'intermédiaire de coordonnateurs désignés pour chaque question. L'équipe de projet s'est attachée principalement à coordonner les travaux avec le GCDT et ses groupes de travail. À cette fin, elle a désigné des coordonnateurs pour participer à toutes les réunions de ces groupes. Les positions ou les points de vue de la CEPT concernant le projet de Déclaration et les priorités thématiques sont ceux exprimés lors des réunions du GCDT.</w:t>
      </w:r>
    </w:p>
    <w:p w14:paraId="2F326B92" w14:textId="77777777" w:rsidR="00CD509F" w:rsidRPr="00FB1BFA" w:rsidRDefault="00CD509F" w:rsidP="00CD509F">
      <w:pPr>
        <w:rPr>
          <w:lang w:val="fr-FR"/>
        </w:rPr>
      </w:pPr>
      <w:r w:rsidRPr="00FB1BFA">
        <w:rPr>
          <w:lang w:val="fr-FR"/>
        </w:rPr>
        <w:t>Au moment de la rédaction du présent document, huit propositions européennes communes avaient fait l'objet d'un accord. La première concerne la vision de l'Europe pour l'UIT-D; la deuxième porte sur les priorités régionales pour l'Europe; les autres ont trait aux modifications apportées aux Résolutions 15, 21, 30, 31 et 45, à une suppression connexe de la Résolution 69, à la modification de la Résolution 23 et à la suppression de la Résolution 63, comme indiqué dans le Tableau 3.12. Ces propositions seront publiées prochainement sur le site web de la CMDT pour que toutes les parties concernées puissent en comprendre le fond.</w:t>
      </w:r>
    </w:p>
    <w:p w14:paraId="3C5593CF" w14:textId="77777777" w:rsidR="00CD509F" w:rsidRPr="00FB1BFA" w:rsidRDefault="00CD509F" w:rsidP="00CD509F">
      <w:pPr>
        <w:rPr>
          <w:lang w:val="fr-FR"/>
        </w:rPr>
      </w:pPr>
      <w:r w:rsidRPr="00FB1BFA">
        <w:rPr>
          <w:lang w:val="fr-FR"/>
        </w:rPr>
        <w:t>Il existe également une série de nouvelles propositions européennes communes sur les modifications apportées à huit résolutions et sur la suppression de trois résolutions, comme indiqué dans le Tableau 3.13.</w:t>
      </w:r>
    </w:p>
    <w:p w14:paraId="3A1448E3" w14:textId="77777777" w:rsidR="00CD509F" w:rsidRPr="00FB1BFA" w:rsidRDefault="00CD509F" w:rsidP="00CD509F">
      <w:pPr>
        <w:pStyle w:val="Tabletitle"/>
        <w:spacing w:before="240"/>
        <w:rPr>
          <w:lang w:val="fr-FR"/>
        </w:rPr>
      </w:pPr>
      <w:r w:rsidRPr="00FB1BFA">
        <w:rPr>
          <w:lang w:val="fr-FR"/>
        </w:rPr>
        <w:t>Tableau 3.12: Propositions européennes communes établies sous leur forme définitive</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235"/>
        <w:gridCol w:w="4536"/>
      </w:tblGrid>
      <w:tr w:rsidR="00CD509F" w:rsidRPr="00FB1BFA" w14:paraId="7EDC517F" w14:textId="77777777" w:rsidTr="00375A6F">
        <w:tc>
          <w:tcPr>
            <w:tcW w:w="5235" w:type="dxa"/>
            <w:shd w:val="clear" w:color="auto" w:fill="31849B"/>
          </w:tcPr>
          <w:p w14:paraId="373CFA64"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01: Vision concernant l'UIT-D</w:t>
            </w:r>
          </w:p>
        </w:tc>
        <w:tc>
          <w:tcPr>
            <w:tcW w:w="4536" w:type="dxa"/>
            <w:shd w:val="clear" w:color="auto" w:fill="D9D9D9"/>
          </w:tcPr>
          <w:p w14:paraId="395EA492" w14:textId="77777777" w:rsidR="00CD509F" w:rsidRPr="00FB1BFA" w:rsidRDefault="00CD509F" w:rsidP="00375A6F">
            <w:pPr>
              <w:pStyle w:val="Tabletext"/>
              <w:rPr>
                <w:lang w:val="fr-FR"/>
              </w:rPr>
            </w:pPr>
          </w:p>
        </w:tc>
      </w:tr>
      <w:tr w:rsidR="00CD509F" w:rsidRPr="00FB1BFA" w14:paraId="31AB65F8" w14:textId="77777777" w:rsidTr="00375A6F">
        <w:tc>
          <w:tcPr>
            <w:tcW w:w="5235" w:type="dxa"/>
            <w:shd w:val="clear" w:color="auto" w:fill="31849B"/>
          </w:tcPr>
          <w:p w14:paraId="652F7AE2"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02: Priorités régionales pour l'Europe (2022</w:t>
            </w:r>
            <w:r w:rsidRPr="00FB1BFA">
              <w:rPr>
                <w:b/>
                <w:bCs/>
                <w:color w:val="FFFFFF" w:themeColor="background1"/>
                <w:lang w:val="fr-FR"/>
              </w:rPr>
              <w:noBreakHyphen/>
              <w:t>2025):</w:t>
            </w:r>
          </w:p>
        </w:tc>
        <w:tc>
          <w:tcPr>
            <w:tcW w:w="4536" w:type="dxa"/>
            <w:shd w:val="clear" w:color="auto" w:fill="D9D9D9"/>
          </w:tcPr>
          <w:p w14:paraId="698A12C8" w14:textId="77777777" w:rsidR="00CD509F" w:rsidRPr="00FB1BFA" w:rsidRDefault="00CD509F" w:rsidP="00375A6F">
            <w:pPr>
              <w:pStyle w:val="Tabletext"/>
              <w:rPr>
                <w:lang w:val="fr-FR"/>
              </w:rPr>
            </w:pPr>
            <w:r w:rsidRPr="00FB1BFA">
              <w:rPr>
                <w:lang w:val="fr-FR"/>
              </w:rPr>
              <w:t>RP-EUR-1: Développement de l'infrastructure numérique</w:t>
            </w:r>
          </w:p>
          <w:p w14:paraId="70FF64F6" w14:textId="77777777" w:rsidR="00CD509F" w:rsidRPr="00FB1BFA" w:rsidRDefault="00CD509F" w:rsidP="00375A6F">
            <w:pPr>
              <w:pStyle w:val="Tabletext"/>
              <w:rPr>
                <w:lang w:val="fr-FR"/>
              </w:rPr>
            </w:pPr>
            <w:r w:rsidRPr="00FB1BFA">
              <w:rPr>
                <w:lang w:val="fr-FR"/>
              </w:rPr>
              <w:t>RP-EUR-2: La transformation numérique au service de la résilience</w:t>
            </w:r>
          </w:p>
          <w:p w14:paraId="10D11733" w14:textId="77777777" w:rsidR="00CD509F" w:rsidRPr="00FB1BFA" w:rsidRDefault="00CD509F" w:rsidP="00375A6F">
            <w:pPr>
              <w:pStyle w:val="Tabletext"/>
              <w:rPr>
                <w:lang w:val="fr-FR"/>
              </w:rPr>
            </w:pPr>
            <w:r w:rsidRPr="00FB1BFA">
              <w:rPr>
                <w:lang w:val="fr-FR"/>
              </w:rPr>
              <w:t>RP-EUR-3: Inclusion numérique et renforcement des compétences</w:t>
            </w:r>
          </w:p>
          <w:p w14:paraId="4073AD4F" w14:textId="77777777" w:rsidR="00CD509F" w:rsidRPr="00FB1BFA" w:rsidRDefault="00CD509F" w:rsidP="00375A6F">
            <w:pPr>
              <w:pStyle w:val="Tabletext"/>
              <w:rPr>
                <w:lang w:val="fr-FR"/>
              </w:rPr>
            </w:pPr>
            <w:r w:rsidRPr="00FB1BFA">
              <w:rPr>
                <w:lang w:val="fr-FR"/>
              </w:rPr>
              <w:t>RP-EUR-4: Confiance dans l'utilisation des technologies numériques</w:t>
            </w:r>
          </w:p>
          <w:p w14:paraId="30CC88DD" w14:textId="77777777" w:rsidR="00CD509F" w:rsidRPr="00FB1BFA" w:rsidRDefault="00CD509F" w:rsidP="00375A6F">
            <w:pPr>
              <w:pStyle w:val="Tabletext"/>
              <w:rPr>
                <w:lang w:val="fr-FR"/>
              </w:rPr>
            </w:pPr>
            <w:r w:rsidRPr="00FB1BFA">
              <w:rPr>
                <w:lang w:val="fr-FR"/>
              </w:rPr>
              <w:t>RP-EUR-5: Écosystèmes de l'innovation numérique</w:t>
            </w:r>
          </w:p>
        </w:tc>
      </w:tr>
      <w:tr w:rsidR="00CD509F" w:rsidRPr="00FB1BFA" w14:paraId="6D3F8C0A" w14:textId="77777777" w:rsidTr="00375A6F">
        <w:tc>
          <w:tcPr>
            <w:tcW w:w="5235" w:type="dxa"/>
            <w:shd w:val="clear" w:color="auto" w:fill="31849B"/>
          </w:tcPr>
          <w:p w14:paraId="1773B336"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03: MOD Résolution 15 (Rév. Buenos Aires, 2017)</w:t>
            </w:r>
          </w:p>
        </w:tc>
        <w:tc>
          <w:tcPr>
            <w:tcW w:w="4536" w:type="dxa"/>
            <w:shd w:val="clear" w:color="auto" w:fill="D9D9D9"/>
          </w:tcPr>
          <w:p w14:paraId="4CAEE978" w14:textId="77777777" w:rsidR="00CD509F" w:rsidRPr="00FB1BFA" w:rsidRDefault="00CD509F" w:rsidP="00375A6F">
            <w:pPr>
              <w:pStyle w:val="Tabletext"/>
              <w:rPr>
                <w:lang w:val="fr-FR"/>
              </w:rPr>
            </w:pPr>
            <w:r w:rsidRPr="00FB1BFA">
              <w:rPr>
                <w:lang w:val="fr-FR"/>
              </w:rPr>
              <w:t>Recherche appliquée et transfert de technologie</w:t>
            </w:r>
          </w:p>
        </w:tc>
      </w:tr>
      <w:tr w:rsidR="00CD509F" w:rsidRPr="00FB1BFA" w14:paraId="349ED74A" w14:textId="77777777" w:rsidTr="00375A6F">
        <w:tc>
          <w:tcPr>
            <w:tcW w:w="5235" w:type="dxa"/>
            <w:shd w:val="clear" w:color="auto" w:fill="31849B"/>
          </w:tcPr>
          <w:p w14:paraId="39EC479B"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04: MOD Résolution 21 (Rév. Buenos Aires, 2017</w:t>
            </w:r>
          </w:p>
        </w:tc>
        <w:tc>
          <w:tcPr>
            <w:tcW w:w="4536" w:type="dxa"/>
            <w:shd w:val="clear" w:color="auto" w:fill="D9D9D9"/>
          </w:tcPr>
          <w:p w14:paraId="3883D568" w14:textId="77777777" w:rsidR="00CD509F" w:rsidRPr="00FB1BFA" w:rsidRDefault="00CD509F" w:rsidP="00375A6F">
            <w:pPr>
              <w:pStyle w:val="Tabletext"/>
              <w:rPr>
                <w:lang w:val="fr-FR"/>
              </w:rPr>
            </w:pPr>
            <w:r w:rsidRPr="00FB1BFA">
              <w:rPr>
                <w:lang w:val="fr-FR"/>
              </w:rPr>
              <w:t>Coordination et collaboration avec les organisations régionales et sous-régionales</w:t>
            </w:r>
          </w:p>
        </w:tc>
      </w:tr>
      <w:tr w:rsidR="00CD509F" w:rsidRPr="00FB1BFA" w14:paraId="7CD868C0" w14:textId="77777777" w:rsidTr="00375A6F">
        <w:tc>
          <w:tcPr>
            <w:tcW w:w="5235" w:type="dxa"/>
            <w:shd w:val="clear" w:color="auto" w:fill="31849B"/>
          </w:tcPr>
          <w:p w14:paraId="4CB609EC"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05: MOD Résolution 30 (Rév. Buenos Aires, 2017)</w:t>
            </w:r>
          </w:p>
        </w:tc>
        <w:tc>
          <w:tcPr>
            <w:tcW w:w="4536" w:type="dxa"/>
            <w:shd w:val="clear" w:color="auto" w:fill="D9D9D9"/>
          </w:tcPr>
          <w:p w14:paraId="7EA78CFB" w14:textId="77777777" w:rsidR="00CD509F" w:rsidRPr="00FB1BFA" w:rsidRDefault="00CD509F" w:rsidP="00375A6F">
            <w:pPr>
              <w:pStyle w:val="Tabletext"/>
              <w:rPr>
                <w:lang w:val="fr-FR"/>
              </w:rPr>
            </w:pPr>
            <w:r w:rsidRPr="00FB1BFA">
              <w:rPr>
                <w:lang w:val="fr-FR"/>
              </w:rPr>
              <w:t>Rôle du Secteur du développement des télécommunications de l'UIT dans la mise en œuvre des résultats du Sommet mondial sur la société de l'information, compte tenu du Programme de développement durable à l'horizon 2030</w:t>
            </w:r>
          </w:p>
        </w:tc>
      </w:tr>
      <w:tr w:rsidR="00CD509F" w:rsidRPr="00FB1BFA" w14:paraId="27F1AF48" w14:textId="77777777" w:rsidTr="00375A6F">
        <w:tc>
          <w:tcPr>
            <w:tcW w:w="5235" w:type="dxa"/>
            <w:shd w:val="clear" w:color="auto" w:fill="31849B"/>
          </w:tcPr>
          <w:p w14:paraId="1537796D"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lastRenderedPageBreak/>
              <w:t>ECP 06: MOD Résolution 31 (Rév. Buenos Aires, 2017)</w:t>
            </w:r>
          </w:p>
        </w:tc>
        <w:tc>
          <w:tcPr>
            <w:tcW w:w="4536" w:type="dxa"/>
            <w:shd w:val="clear" w:color="auto" w:fill="D9D9D9"/>
          </w:tcPr>
          <w:p w14:paraId="0C39FED3" w14:textId="77777777" w:rsidR="00CD509F" w:rsidRPr="00FB1BFA" w:rsidRDefault="00CD509F" w:rsidP="00375A6F">
            <w:pPr>
              <w:pStyle w:val="Tabletext"/>
              <w:rPr>
                <w:lang w:val="fr-FR"/>
              </w:rPr>
            </w:pPr>
            <w:r w:rsidRPr="00FB1BFA">
              <w:rPr>
                <w:lang w:val="fr-FR"/>
              </w:rPr>
              <w:t>Travaux préparatoires régionaux pour les conférences mondiales de développement des télécommunications</w:t>
            </w:r>
          </w:p>
        </w:tc>
      </w:tr>
      <w:tr w:rsidR="00CD509F" w:rsidRPr="00FB1BFA" w14:paraId="4B279D6D" w14:textId="77777777" w:rsidTr="00375A6F">
        <w:tc>
          <w:tcPr>
            <w:tcW w:w="5235" w:type="dxa"/>
            <w:shd w:val="clear" w:color="auto" w:fill="31849B"/>
          </w:tcPr>
          <w:p w14:paraId="7DDE33B2"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09: MOD Résolution 45 (Rév. Duba</w:t>
            </w:r>
            <w:r w:rsidRPr="00FB1BFA">
              <w:rPr>
                <w:rFonts w:cs="Calibri"/>
                <w:b/>
                <w:bCs/>
                <w:color w:val="FFFFFF" w:themeColor="background1"/>
                <w:lang w:val="fr-FR"/>
              </w:rPr>
              <w:t>ï</w:t>
            </w:r>
            <w:r w:rsidRPr="00FB1BFA">
              <w:rPr>
                <w:b/>
                <w:bCs/>
                <w:color w:val="FFFFFF" w:themeColor="background1"/>
                <w:lang w:val="fr-FR"/>
              </w:rPr>
              <w:t>, 2014)</w:t>
            </w:r>
          </w:p>
        </w:tc>
        <w:tc>
          <w:tcPr>
            <w:tcW w:w="4536" w:type="dxa"/>
            <w:shd w:val="clear" w:color="auto" w:fill="D9D9D9"/>
          </w:tcPr>
          <w:p w14:paraId="50722C00" w14:textId="77777777" w:rsidR="00CD509F" w:rsidRPr="00FB1BFA" w:rsidRDefault="00CD509F" w:rsidP="00375A6F">
            <w:pPr>
              <w:pStyle w:val="Tabletext"/>
              <w:rPr>
                <w:lang w:val="fr-FR"/>
              </w:rPr>
            </w:pPr>
            <w:r w:rsidRPr="00FB1BFA">
              <w:rPr>
                <w:lang w:val="fr-FR"/>
              </w:rPr>
              <w:t>Mécanismes propres à améliorer la coopération en matière de cybersécurité, y compris la lutte contre le spam</w:t>
            </w:r>
          </w:p>
          <w:p w14:paraId="470ECB0D" w14:textId="77777777" w:rsidR="00CD509F" w:rsidRPr="00FB1BFA" w:rsidRDefault="00CD509F" w:rsidP="00375A6F">
            <w:pPr>
              <w:pStyle w:val="Tabletext"/>
              <w:rPr>
                <w:b/>
                <w:bCs/>
                <w:lang w:val="fr-FR"/>
              </w:rPr>
            </w:pPr>
            <w:r w:rsidRPr="00FB1BFA">
              <w:rPr>
                <w:b/>
                <w:bCs/>
                <w:lang w:val="fr-FR"/>
              </w:rPr>
              <w:t>SUP Résolution 69 (Rév. Buenos Aires, 2017)</w:t>
            </w:r>
          </w:p>
          <w:p w14:paraId="1D907D67" w14:textId="77777777" w:rsidR="00CD509F" w:rsidRPr="00FB1BFA" w:rsidRDefault="00CD509F" w:rsidP="00375A6F">
            <w:pPr>
              <w:pStyle w:val="Tabletext"/>
              <w:rPr>
                <w:lang w:val="fr-FR"/>
              </w:rPr>
            </w:pPr>
            <w:r w:rsidRPr="00FB1BFA">
              <w:rPr>
                <w:lang w:val="fr-FR"/>
              </w:rPr>
              <w:t>Mécanismes propres à améliorer la coopération en matière de cybersécurité, y compris la lutte contre le spam, et à faciliter la création d'équipes nationales d'intervention en cas d'incident informatique</w:t>
            </w:r>
          </w:p>
        </w:tc>
      </w:tr>
      <w:tr w:rsidR="00CD509F" w:rsidRPr="00FB1BFA" w14:paraId="63D3CC1D" w14:textId="77777777" w:rsidTr="00375A6F">
        <w:trPr>
          <w:trHeight w:val="195"/>
        </w:trPr>
        <w:tc>
          <w:tcPr>
            <w:tcW w:w="5235" w:type="dxa"/>
            <w:shd w:val="clear" w:color="auto" w:fill="31849B"/>
          </w:tcPr>
          <w:p w14:paraId="49CF439A"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10: MOD Résolution 23 (Rév. Buenos Aires, 2017)</w:t>
            </w:r>
          </w:p>
        </w:tc>
        <w:tc>
          <w:tcPr>
            <w:tcW w:w="4536" w:type="dxa"/>
            <w:shd w:val="clear" w:color="auto" w:fill="D9D9D9"/>
          </w:tcPr>
          <w:p w14:paraId="2F613F17" w14:textId="77777777" w:rsidR="00CD509F" w:rsidRPr="00FB1BFA" w:rsidRDefault="00CD509F" w:rsidP="00375A6F">
            <w:pPr>
              <w:pStyle w:val="Tabletext"/>
              <w:rPr>
                <w:lang w:val="fr-FR"/>
              </w:rPr>
            </w:pPr>
            <w:r w:rsidRPr="00FB1BFA">
              <w:rPr>
                <w:lang w:val="fr-FR"/>
              </w:rPr>
              <w:t>Accès à l'Internet et disponibilité de l'Internet pour les pays en développement et principes de taxation applicables aux connexions Internet internationales</w:t>
            </w:r>
          </w:p>
          <w:p w14:paraId="40BE2E85" w14:textId="77777777" w:rsidR="00CD509F" w:rsidRPr="00FB1BFA" w:rsidRDefault="00CD509F" w:rsidP="00375A6F">
            <w:pPr>
              <w:pStyle w:val="Tabletext"/>
              <w:rPr>
                <w:b/>
                <w:bCs/>
                <w:lang w:val="fr-FR"/>
              </w:rPr>
            </w:pPr>
            <w:r w:rsidRPr="00FB1BFA">
              <w:rPr>
                <w:b/>
                <w:bCs/>
                <w:lang w:val="fr-FR"/>
              </w:rPr>
              <w:t>SUP Résolution 63 (Rév. Buenos Aires, 2017)</w:t>
            </w:r>
          </w:p>
          <w:p w14:paraId="5B0B8400" w14:textId="77777777" w:rsidR="00CD509F" w:rsidRPr="00FB1BFA" w:rsidRDefault="00CD509F" w:rsidP="00375A6F">
            <w:pPr>
              <w:pStyle w:val="Tabletext"/>
              <w:rPr>
                <w:lang w:val="fr-FR"/>
              </w:rPr>
            </w:pPr>
            <w:r w:rsidRPr="00FB1BFA">
              <w:rPr>
                <w:lang w:val="fr-FR"/>
              </w:rPr>
              <w:t>Attribution des adresses IP et mesures propres à faciliter le déploiement du protocole IPv6 dans les pays en développement</w:t>
            </w:r>
          </w:p>
        </w:tc>
      </w:tr>
    </w:tbl>
    <w:p w14:paraId="4F4A65C0"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adapté de la présentation de la CEPT lors de la réunion IRM-3, 10 mars 2022.</w:t>
      </w:r>
    </w:p>
    <w:p w14:paraId="742E6232" w14:textId="77777777" w:rsidR="00CD509F" w:rsidRPr="00FB1BFA" w:rsidRDefault="00CD509F" w:rsidP="00CD509F">
      <w:pPr>
        <w:pStyle w:val="Tabletitle"/>
        <w:spacing w:before="240"/>
        <w:rPr>
          <w:lang w:val="fr-FR"/>
        </w:rPr>
      </w:pPr>
      <w:r w:rsidRPr="00FB1BFA">
        <w:rPr>
          <w:lang w:val="fr-FR"/>
        </w:rPr>
        <w:t>Tableau 3.13: Nouvelles propositions européennes communes</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235"/>
        <w:gridCol w:w="4536"/>
      </w:tblGrid>
      <w:tr w:rsidR="00CD509F" w:rsidRPr="00FB1BFA" w14:paraId="51904612" w14:textId="77777777" w:rsidTr="00375A6F">
        <w:tc>
          <w:tcPr>
            <w:tcW w:w="5235" w:type="dxa"/>
            <w:shd w:val="clear" w:color="auto" w:fill="31849B"/>
          </w:tcPr>
          <w:p w14:paraId="327A0423"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07: MOD Résolution 34 (Rév. Buenos Aires, 2017)</w:t>
            </w:r>
          </w:p>
        </w:tc>
        <w:tc>
          <w:tcPr>
            <w:tcW w:w="4536" w:type="dxa"/>
            <w:shd w:val="clear" w:color="auto" w:fill="D9D9D9"/>
          </w:tcPr>
          <w:p w14:paraId="0DFD82D1" w14:textId="77777777" w:rsidR="00CD509F" w:rsidRPr="00FB1BFA" w:rsidRDefault="00CD509F" w:rsidP="00375A6F">
            <w:pPr>
              <w:pStyle w:val="Tabletext"/>
              <w:rPr>
                <w:lang w:val="fr-FR"/>
              </w:rPr>
            </w:pPr>
            <w:r w:rsidRPr="00FB1BFA">
              <w:rPr>
                <w:lang w:val="fr-FR"/>
              </w:rPr>
              <w:t>Rôle des télécommunications et des technologies de l'information et de la communication dans la préparation en prévision des catastrophes, l'alerte avancée, l'atténuation des effets des catastrophes, les interventions et les opérations de secours</w:t>
            </w:r>
          </w:p>
        </w:tc>
      </w:tr>
      <w:tr w:rsidR="00CD509F" w:rsidRPr="00FB1BFA" w14:paraId="5AF3D2A8" w14:textId="77777777" w:rsidTr="00375A6F">
        <w:tc>
          <w:tcPr>
            <w:tcW w:w="5235" w:type="dxa"/>
            <w:shd w:val="clear" w:color="auto" w:fill="31849B"/>
          </w:tcPr>
          <w:p w14:paraId="26DCF895"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08: MOD Résolution 37 (Rév. Buenos Aires, 2017)</w:t>
            </w:r>
          </w:p>
        </w:tc>
        <w:tc>
          <w:tcPr>
            <w:tcW w:w="4536" w:type="dxa"/>
            <w:shd w:val="clear" w:color="auto" w:fill="D9D9D9"/>
          </w:tcPr>
          <w:p w14:paraId="06393005" w14:textId="77777777" w:rsidR="00CD509F" w:rsidRPr="00FB1BFA" w:rsidRDefault="00CD509F" w:rsidP="00375A6F">
            <w:pPr>
              <w:pStyle w:val="Tabletext"/>
              <w:rPr>
                <w:lang w:val="fr-FR"/>
              </w:rPr>
            </w:pPr>
            <w:r w:rsidRPr="00FB1BFA">
              <w:rPr>
                <w:lang w:val="fr-FR"/>
              </w:rPr>
              <w:t>Réduction de la fracture numérique</w:t>
            </w:r>
          </w:p>
        </w:tc>
      </w:tr>
      <w:tr w:rsidR="00CD509F" w:rsidRPr="00FB1BFA" w14:paraId="2526B70E" w14:textId="77777777" w:rsidTr="00375A6F">
        <w:tc>
          <w:tcPr>
            <w:tcW w:w="5235" w:type="dxa"/>
            <w:shd w:val="clear" w:color="auto" w:fill="31849B"/>
          </w:tcPr>
          <w:p w14:paraId="56E562A1"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11: SUP Résolution 61 (Rév. Duba</w:t>
            </w:r>
            <w:r w:rsidRPr="00FB1BFA">
              <w:rPr>
                <w:rFonts w:cs="Calibri"/>
                <w:b/>
                <w:bCs/>
                <w:color w:val="FFFFFF" w:themeColor="background1"/>
                <w:lang w:val="fr-FR"/>
              </w:rPr>
              <w:t>ï</w:t>
            </w:r>
            <w:r w:rsidRPr="00FB1BFA">
              <w:rPr>
                <w:b/>
                <w:bCs/>
                <w:color w:val="FFFFFF" w:themeColor="background1"/>
                <w:lang w:val="fr-FR"/>
              </w:rPr>
              <w:t>, 2014)</w:t>
            </w:r>
          </w:p>
        </w:tc>
        <w:tc>
          <w:tcPr>
            <w:tcW w:w="4536" w:type="dxa"/>
            <w:shd w:val="clear" w:color="auto" w:fill="D9D9D9"/>
          </w:tcPr>
          <w:p w14:paraId="39058E09" w14:textId="77777777" w:rsidR="00CD509F" w:rsidRPr="00FB1BFA" w:rsidRDefault="00CD509F" w:rsidP="00375A6F">
            <w:pPr>
              <w:pStyle w:val="Tabletext"/>
              <w:rPr>
                <w:lang w:val="fr-FR"/>
              </w:rPr>
            </w:pPr>
            <w:r w:rsidRPr="00FB1BFA">
              <w:rPr>
                <w:rFonts w:cstheme="minorHAnsi"/>
                <w:lang w:val="fr-FR"/>
              </w:rPr>
              <w:t>Nomination et durée maximale du mandat des présidents et vice-présidents des commissions d'études du Secteur du développement des télécommunications de l'UIT et du Groupe consultatif pour le développement des télécommunications</w:t>
            </w:r>
          </w:p>
        </w:tc>
      </w:tr>
      <w:tr w:rsidR="00CD509F" w:rsidRPr="00FB1BFA" w14:paraId="54498848" w14:textId="77777777" w:rsidTr="00375A6F">
        <w:tc>
          <w:tcPr>
            <w:tcW w:w="5235" w:type="dxa"/>
            <w:shd w:val="clear" w:color="auto" w:fill="31849B"/>
          </w:tcPr>
          <w:p w14:paraId="59494803"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12: SUP Résolution 81 (Rév. Buenos Aires, 2017)</w:t>
            </w:r>
          </w:p>
        </w:tc>
        <w:tc>
          <w:tcPr>
            <w:tcW w:w="4536" w:type="dxa"/>
            <w:shd w:val="clear" w:color="auto" w:fill="D9D9D9"/>
          </w:tcPr>
          <w:p w14:paraId="6B5C7035" w14:textId="77777777" w:rsidR="00CD509F" w:rsidRPr="00FB1BFA" w:rsidRDefault="00CD509F" w:rsidP="00375A6F">
            <w:pPr>
              <w:pStyle w:val="Tabletext"/>
              <w:rPr>
                <w:lang w:val="fr-FR"/>
              </w:rPr>
            </w:pPr>
            <w:r w:rsidRPr="00FB1BFA">
              <w:rPr>
                <w:lang w:val="fr-FR"/>
              </w:rPr>
              <w:t>Perfectionnement des méthodes de travail électroniques pour les travaux du Secteur du développement des télécommunications de l'UIT</w:t>
            </w:r>
          </w:p>
        </w:tc>
      </w:tr>
      <w:tr w:rsidR="00CD509F" w:rsidRPr="00FB1BFA" w14:paraId="6B076120" w14:textId="77777777" w:rsidTr="00375A6F">
        <w:tc>
          <w:tcPr>
            <w:tcW w:w="5235" w:type="dxa"/>
            <w:shd w:val="clear" w:color="auto" w:fill="31849B"/>
          </w:tcPr>
          <w:p w14:paraId="23FE02B5" w14:textId="77777777" w:rsidR="00CD509F" w:rsidRPr="00FB1BFA" w:rsidRDefault="00CD509F" w:rsidP="00375A6F">
            <w:pPr>
              <w:pStyle w:val="Tabletext"/>
              <w:keepLines/>
              <w:rPr>
                <w:b/>
                <w:bCs/>
                <w:color w:val="FFFFFF" w:themeColor="background1"/>
                <w:lang w:val="fr-FR"/>
              </w:rPr>
            </w:pPr>
            <w:r w:rsidRPr="00FB1BFA">
              <w:rPr>
                <w:b/>
                <w:bCs/>
                <w:color w:val="FFFFFF" w:themeColor="background1"/>
                <w:lang w:val="fr-FR"/>
              </w:rPr>
              <w:lastRenderedPageBreak/>
              <w:t>ECP 13: MOD Résolution 71 (Rév. Buenos Aires, 2017)</w:t>
            </w:r>
          </w:p>
        </w:tc>
        <w:tc>
          <w:tcPr>
            <w:tcW w:w="4536" w:type="dxa"/>
            <w:shd w:val="clear" w:color="auto" w:fill="D9D9D9"/>
          </w:tcPr>
          <w:p w14:paraId="62BA9758" w14:textId="77777777" w:rsidR="00CD509F" w:rsidRPr="00FB1BFA" w:rsidRDefault="00CD509F" w:rsidP="00375A6F">
            <w:pPr>
              <w:pStyle w:val="Tabletext"/>
              <w:keepLines/>
              <w:rPr>
                <w:lang w:val="fr-FR"/>
              </w:rPr>
            </w:pPr>
            <w:r w:rsidRPr="00FB1BFA">
              <w:rPr>
                <w:lang w:val="fr-FR"/>
              </w:rPr>
              <w:t>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p>
          <w:p w14:paraId="2B4CF0A6" w14:textId="77777777" w:rsidR="00CD509F" w:rsidRPr="00FB1BFA" w:rsidRDefault="00CD509F" w:rsidP="00375A6F">
            <w:pPr>
              <w:pStyle w:val="Tabletext"/>
              <w:keepLines/>
              <w:rPr>
                <w:b/>
                <w:bCs/>
                <w:lang w:val="fr-FR"/>
              </w:rPr>
            </w:pPr>
            <w:r w:rsidRPr="00FB1BFA">
              <w:rPr>
                <w:b/>
                <w:bCs/>
                <w:lang w:val="fr-FR"/>
              </w:rPr>
              <w:t>SUP Résolution 27 (Rév. Hyderabad, 2010)</w:t>
            </w:r>
          </w:p>
          <w:p w14:paraId="41B8D670" w14:textId="77777777" w:rsidR="00CD509F" w:rsidRPr="00FB1BFA" w:rsidRDefault="00CD509F" w:rsidP="00375A6F">
            <w:pPr>
              <w:pStyle w:val="Tabletext"/>
              <w:keepLines/>
              <w:rPr>
                <w:lang w:val="fr-FR"/>
              </w:rPr>
            </w:pPr>
            <w:r w:rsidRPr="00FB1BFA">
              <w:rPr>
                <w:lang w:val="fr-FR"/>
              </w:rPr>
              <w:t>Admission d'entités ou d'organisations à participer comme Associés aux travaux du Secteur du développement des télécommunications de l'UIT</w:t>
            </w:r>
          </w:p>
        </w:tc>
      </w:tr>
      <w:tr w:rsidR="00CD509F" w:rsidRPr="00FB1BFA" w14:paraId="2E68D79A" w14:textId="77777777" w:rsidTr="00375A6F">
        <w:tc>
          <w:tcPr>
            <w:tcW w:w="5235" w:type="dxa"/>
            <w:shd w:val="clear" w:color="auto" w:fill="31849B"/>
          </w:tcPr>
          <w:p w14:paraId="1525EBAF"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14: MOD Résolution 66</w:t>
            </w:r>
          </w:p>
        </w:tc>
        <w:tc>
          <w:tcPr>
            <w:tcW w:w="4536" w:type="dxa"/>
            <w:shd w:val="clear" w:color="auto" w:fill="D9D9D9"/>
          </w:tcPr>
          <w:p w14:paraId="6ACF5125" w14:textId="77777777" w:rsidR="00CD509F" w:rsidRPr="00FB1BFA" w:rsidRDefault="00CD509F" w:rsidP="00375A6F">
            <w:pPr>
              <w:pStyle w:val="Tabletext"/>
              <w:rPr>
                <w:lang w:val="fr-FR"/>
              </w:rPr>
            </w:pPr>
            <w:r w:rsidRPr="00FB1BFA">
              <w:rPr>
                <w:lang w:val="fr-FR"/>
              </w:rPr>
              <w:t>Les technologies de l'information et de la communication et les changements climatiques</w:t>
            </w:r>
          </w:p>
        </w:tc>
      </w:tr>
      <w:tr w:rsidR="00CD509F" w:rsidRPr="00FB1BFA" w14:paraId="1A90A930" w14:textId="77777777" w:rsidTr="00375A6F">
        <w:tc>
          <w:tcPr>
            <w:tcW w:w="5235" w:type="dxa"/>
            <w:shd w:val="clear" w:color="auto" w:fill="31849B"/>
          </w:tcPr>
          <w:p w14:paraId="0723FCCD"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15: MOD Résolution 85</w:t>
            </w:r>
          </w:p>
        </w:tc>
        <w:tc>
          <w:tcPr>
            <w:tcW w:w="4536" w:type="dxa"/>
            <w:shd w:val="clear" w:color="auto" w:fill="D9D9D9"/>
          </w:tcPr>
          <w:p w14:paraId="0AA5ED63" w14:textId="77777777" w:rsidR="00CD509F" w:rsidRPr="00FB1BFA" w:rsidRDefault="00CD509F" w:rsidP="00375A6F">
            <w:pPr>
              <w:pStyle w:val="Tabletext"/>
              <w:rPr>
                <w:lang w:val="fr-FR"/>
              </w:rPr>
            </w:pPr>
            <w:r w:rsidRPr="00FB1BFA">
              <w:rPr>
                <w:lang w:val="fr-FR"/>
              </w:rPr>
              <w:t>Faciliter l'avènement de l'Internet des objets ainsi que des villes et communautés intelligentes pour le développement à l'échelle mondiale</w:t>
            </w:r>
          </w:p>
        </w:tc>
      </w:tr>
      <w:tr w:rsidR="00CD509F" w:rsidRPr="00FB1BFA" w14:paraId="31DFE20F" w14:textId="77777777" w:rsidTr="00375A6F">
        <w:trPr>
          <w:trHeight w:val="195"/>
        </w:trPr>
        <w:tc>
          <w:tcPr>
            <w:tcW w:w="5235" w:type="dxa"/>
            <w:shd w:val="clear" w:color="auto" w:fill="31849B"/>
          </w:tcPr>
          <w:p w14:paraId="3AB74F15"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ECP 16: MOD Résolution 67</w:t>
            </w:r>
          </w:p>
        </w:tc>
        <w:tc>
          <w:tcPr>
            <w:tcW w:w="4536" w:type="dxa"/>
            <w:shd w:val="clear" w:color="auto" w:fill="D9D9D9"/>
          </w:tcPr>
          <w:p w14:paraId="2561BEC2" w14:textId="77777777" w:rsidR="00CD509F" w:rsidRPr="00FB1BFA" w:rsidRDefault="00CD509F" w:rsidP="00375A6F">
            <w:pPr>
              <w:pStyle w:val="Tabletext"/>
              <w:rPr>
                <w:lang w:val="fr-FR"/>
              </w:rPr>
            </w:pPr>
            <w:r w:rsidRPr="00FB1BFA">
              <w:rPr>
                <w:lang w:val="fr-FR"/>
              </w:rPr>
              <w:t>Rôle du Secteur du développement des télécommunications de l'UIT dans la protection en ligne des enfants</w:t>
            </w:r>
          </w:p>
        </w:tc>
      </w:tr>
    </w:tbl>
    <w:p w14:paraId="74F01B29"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xml:space="preserve"> adapté de la présentation de la CEPT lors de la réunion IRM-3, 10 mars 2022.</w:t>
      </w:r>
    </w:p>
    <w:p w14:paraId="3A4ED933" w14:textId="77777777" w:rsidR="00CD509F" w:rsidRPr="00FB1BFA" w:rsidRDefault="00CD509F" w:rsidP="00CD509F">
      <w:pPr>
        <w:spacing w:after="120"/>
        <w:rPr>
          <w:lang w:val="fr-FR"/>
        </w:rPr>
      </w:pPr>
      <w:r w:rsidRPr="00FB1BFA">
        <w:rPr>
          <w:lang w:val="fr-FR"/>
        </w:rPr>
        <w:t>La CEPT s'est mise d'accord sur des candidats à des postes de direction au sein du GCDT et des commissions d'études de l'UIT-D (Tableau 3.14). La CEPT a entamé des discussions sur les présidents et vice-présidents des commissions de la CMDT et commencé à désigner des candidats pour occuper ces fonctions. Les candidats désignés à ce jour figurent dans le Tableau 3.15. La CEPT est consciente que l'Afrique a également proposé un président pour la Commission 3 et engagera des discussions et une coordination pour définir une marche à suivre.</w:t>
      </w:r>
    </w:p>
    <w:p w14:paraId="7DEF432E" w14:textId="77777777" w:rsidR="00CD509F" w:rsidRPr="00FB1BFA" w:rsidRDefault="00CD509F" w:rsidP="00CD509F">
      <w:pPr>
        <w:spacing w:after="120"/>
        <w:rPr>
          <w:lang w:val="fr-FR"/>
        </w:rPr>
      </w:pPr>
      <w:r w:rsidRPr="00FB1BFA">
        <w:rPr>
          <w:lang w:val="fr-FR"/>
        </w:rPr>
        <w:t xml:space="preserve">La CEPT n'a pas encore achevé ses discussions sur la proposition européenne commune concernant la Résolution 1 de la CMDT, la note d'information à l'intention de la Conférence et la liste de coordonnateurs </w:t>
      </w:r>
      <w:r w:rsidRPr="00FB1BFA">
        <w:rPr>
          <w:color w:val="000000"/>
          <w:lang w:val="fr-FR"/>
        </w:rPr>
        <w:t>pour les thèmes</w:t>
      </w:r>
      <w:r w:rsidRPr="00FB1BFA">
        <w:rPr>
          <w:lang w:val="fr-FR"/>
        </w:rPr>
        <w:t xml:space="preserve">. De nombreux changements se sont produits au cours des deux dernières années: un certain nombre de personnes ont été affectées à d'autres fonctions, tandis que de nouvelles personnes ont rejoint la CEPT. La CEPT doit donc revoir sa liste et désigner au besoin de nouveaux candidats </w:t>
      </w:r>
    </w:p>
    <w:p w14:paraId="5EF12AC1" w14:textId="7865B139" w:rsidR="00CD509F" w:rsidRPr="00FB1BFA" w:rsidRDefault="00CD509F" w:rsidP="00CD509F">
      <w:pPr>
        <w:spacing w:after="120"/>
        <w:rPr>
          <w:lang w:val="fr-FR"/>
        </w:rPr>
      </w:pPr>
      <w:r w:rsidRPr="00FB1BFA">
        <w:rPr>
          <w:lang w:val="fr-FR"/>
        </w:rPr>
        <w:t>La CEPT prévoit de tenir trois réunions avant la CMDT: une réunion le 7 avril 2022, pour élaborer la note d'information et étudier la Résolution 1 de la CMDT; une réunion hybride (physique/virtuelle) du 17 au 20 mai 2022 à Londres, à laquelle toutes les régions ont été invitées; et, au besoin, une réunion le 30 mai 2022 pour régler les éventuelles questions en suspens.</w:t>
      </w:r>
    </w:p>
    <w:p w14:paraId="704CC95F" w14:textId="4CD6307B" w:rsidR="007319CC" w:rsidRPr="00FB1BFA" w:rsidRDefault="007319CC">
      <w:pPr>
        <w:tabs>
          <w:tab w:val="clear" w:pos="794"/>
          <w:tab w:val="clear" w:pos="1191"/>
          <w:tab w:val="clear" w:pos="1588"/>
          <w:tab w:val="clear" w:pos="1985"/>
        </w:tabs>
        <w:overflowPunct/>
        <w:autoSpaceDE/>
        <w:autoSpaceDN/>
        <w:adjustRightInd/>
        <w:spacing w:before="0"/>
        <w:textAlignment w:val="auto"/>
        <w:rPr>
          <w:lang w:val="fr-FR"/>
        </w:rPr>
      </w:pPr>
      <w:r w:rsidRPr="00FB1BFA">
        <w:rPr>
          <w:lang w:val="fr-FR"/>
        </w:rPr>
        <w:br w:type="page"/>
      </w:r>
    </w:p>
    <w:p w14:paraId="65020F71" w14:textId="77777777" w:rsidR="00CD509F" w:rsidRPr="00FB1BFA" w:rsidRDefault="00CD509F" w:rsidP="00CD509F">
      <w:pPr>
        <w:pStyle w:val="Tabletitle"/>
        <w:spacing w:before="240"/>
        <w:rPr>
          <w:lang w:val="fr-FR"/>
        </w:rPr>
      </w:pPr>
      <w:r w:rsidRPr="00FB1BFA">
        <w:rPr>
          <w:lang w:val="fr-FR"/>
        </w:rPr>
        <w:lastRenderedPageBreak/>
        <w:t xml:space="preserve">Tableau 3.14: Candidats de la CEPT à des postes de direction au sein du GCDT </w:t>
      </w:r>
      <w:r w:rsidRPr="00FB1BFA">
        <w:rPr>
          <w:lang w:val="fr-FR"/>
        </w:rPr>
        <w:br/>
        <w:t xml:space="preserve">et des commissions d'études de l'UIT-D </w:t>
      </w:r>
    </w:p>
    <w:tbl>
      <w:tblPr>
        <w:tblW w:w="5000" w:type="pct"/>
        <w:tblCellMar>
          <w:left w:w="0" w:type="dxa"/>
          <w:right w:w="0" w:type="dxa"/>
        </w:tblCellMar>
        <w:tblLook w:val="04A0" w:firstRow="1" w:lastRow="0" w:firstColumn="1" w:lastColumn="0" w:noHBand="0" w:noVBand="1"/>
      </w:tblPr>
      <w:tblGrid>
        <w:gridCol w:w="3862"/>
        <w:gridCol w:w="3164"/>
        <w:gridCol w:w="2595"/>
      </w:tblGrid>
      <w:tr w:rsidR="00CD509F" w:rsidRPr="00FB1BFA" w14:paraId="2D5957A5" w14:textId="77777777" w:rsidTr="00375A6F">
        <w:trPr>
          <w:trHeight w:val="502"/>
        </w:trPr>
        <w:tc>
          <w:tcPr>
            <w:tcW w:w="3862" w:type="dxa"/>
            <w:tcBorders>
              <w:top w:val="single" w:sz="8" w:space="0" w:color="FFFFFF"/>
              <w:left w:val="single" w:sz="8" w:space="0" w:color="FFFFFF"/>
              <w:bottom w:val="single" w:sz="8" w:space="0" w:color="FFFFFF"/>
              <w:right w:val="nil"/>
            </w:tcBorders>
            <w:shd w:val="clear" w:color="auto" w:fill="31849B"/>
            <w:tcMar>
              <w:top w:w="0" w:type="dxa"/>
              <w:left w:w="108" w:type="dxa"/>
              <w:bottom w:w="0" w:type="dxa"/>
              <w:right w:w="108" w:type="dxa"/>
            </w:tcMar>
            <w:hideMark/>
          </w:tcPr>
          <w:p w14:paraId="1B176062" w14:textId="77777777" w:rsidR="00CD509F" w:rsidRPr="00FB1BFA" w:rsidRDefault="00CD509F" w:rsidP="00375A6F">
            <w:pPr>
              <w:pStyle w:val="Tablehead"/>
              <w:jc w:val="left"/>
              <w:rPr>
                <w:color w:val="FFFFFF" w:themeColor="background1"/>
                <w:lang w:val="fr-FR"/>
              </w:rPr>
            </w:pPr>
            <w:r w:rsidRPr="00FB1BFA">
              <w:rPr>
                <w:color w:val="FFFFFF" w:themeColor="background1"/>
                <w:lang w:val="fr-FR"/>
              </w:rPr>
              <w:t xml:space="preserve">Postes de direction au sein du GCDT et des commissions d'études </w:t>
            </w:r>
          </w:p>
        </w:tc>
        <w:tc>
          <w:tcPr>
            <w:tcW w:w="5759" w:type="dxa"/>
            <w:gridSpan w:val="2"/>
            <w:tcBorders>
              <w:top w:val="single" w:sz="8" w:space="0" w:color="FFFFFF"/>
              <w:left w:val="nil"/>
              <w:bottom w:val="single" w:sz="8" w:space="0" w:color="FFFFFF"/>
              <w:right w:val="single" w:sz="8" w:space="0" w:color="FFFFFF"/>
            </w:tcBorders>
            <w:shd w:val="clear" w:color="auto" w:fill="31849B"/>
            <w:tcMar>
              <w:top w:w="0" w:type="dxa"/>
              <w:left w:w="108" w:type="dxa"/>
              <w:bottom w:w="0" w:type="dxa"/>
              <w:right w:w="108" w:type="dxa"/>
            </w:tcMar>
          </w:tcPr>
          <w:p w14:paraId="6AD94C84" w14:textId="77777777" w:rsidR="00CD509F" w:rsidRPr="00FB1BFA" w:rsidRDefault="00CD509F" w:rsidP="00375A6F">
            <w:pPr>
              <w:pStyle w:val="Tablehead"/>
              <w:jc w:val="left"/>
              <w:rPr>
                <w:color w:val="FFFFFF" w:themeColor="background1"/>
                <w:lang w:val="fr-FR"/>
              </w:rPr>
            </w:pPr>
            <w:r w:rsidRPr="00FB1BFA">
              <w:rPr>
                <w:color w:val="FFFFFF" w:themeColor="background1"/>
                <w:lang w:val="fr-FR"/>
              </w:rPr>
              <w:t>Candidatures de la CEPT</w:t>
            </w:r>
          </w:p>
        </w:tc>
      </w:tr>
      <w:tr w:rsidR="00CD509F" w:rsidRPr="00FB1BFA" w14:paraId="23AEACBC" w14:textId="77777777" w:rsidTr="00375A6F">
        <w:tc>
          <w:tcPr>
            <w:tcW w:w="3862"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578419CD" w14:textId="77777777" w:rsidR="00CD509F" w:rsidRPr="00FB1BFA" w:rsidRDefault="00CD509F" w:rsidP="00375A6F">
            <w:pPr>
              <w:pStyle w:val="Tabletext"/>
              <w:rPr>
                <w:b/>
                <w:color w:val="FFFFFF" w:themeColor="background1"/>
                <w:lang w:val="fr-FR"/>
              </w:rPr>
            </w:pPr>
            <w:r w:rsidRPr="00FB1BFA">
              <w:rPr>
                <w:b/>
                <w:color w:val="FFFFFF" w:themeColor="background1"/>
                <w:lang w:val="fr-FR"/>
              </w:rPr>
              <w:t>Commission/groupe et fonction</w:t>
            </w:r>
          </w:p>
        </w:tc>
        <w:tc>
          <w:tcPr>
            <w:tcW w:w="3164"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01DEA48B"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 xml:space="preserve">Candidature </w:t>
            </w:r>
          </w:p>
        </w:tc>
        <w:tc>
          <w:tcPr>
            <w:tcW w:w="2595"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555B1E85"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Pays</w:t>
            </w:r>
          </w:p>
        </w:tc>
      </w:tr>
      <w:tr w:rsidR="00CD509F" w:rsidRPr="00FB1BFA" w14:paraId="1999A777" w14:textId="77777777" w:rsidTr="00375A6F">
        <w:tc>
          <w:tcPr>
            <w:tcW w:w="3862"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7F257FA9" w14:textId="77777777" w:rsidR="00CD509F" w:rsidRPr="00FB1BFA" w:rsidRDefault="00CD509F" w:rsidP="00375A6F">
            <w:pPr>
              <w:pStyle w:val="Tabletext"/>
              <w:rPr>
                <w:b/>
                <w:color w:val="FFFFFF" w:themeColor="background1"/>
                <w:lang w:val="fr-FR"/>
              </w:rPr>
            </w:pPr>
            <w:r w:rsidRPr="00FB1BFA">
              <w:rPr>
                <w:b/>
                <w:color w:val="FFFFFF" w:themeColor="background1"/>
                <w:lang w:val="fr-FR"/>
              </w:rPr>
              <w:t>Vice-Présidente du GCDT</w:t>
            </w:r>
          </w:p>
        </w:tc>
        <w:tc>
          <w:tcPr>
            <w:tcW w:w="3164" w:type="dxa"/>
            <w:tcBorders>
              <w:top w:val="single" w:sz="8" w:space="0" w:color="FFFFFF"/>
              <w:left w:val="nil"/>
              <w:bottom w:val="nil"/>
              <w:right w:val="single" w:sz="8" w:space="0" w:color="FFFFFF"/>
            </w:tcBorders>
            <w:shd w:val="clear" w:color="auto" w:fill="D9D9D9"/>
            <w:tcMar>
              <w:top w:w="0" w:type="dxa"/>
              <w:left w:w="108" w:type="dxa"/>
              <w:bottom w:w="0" w:type="dxa"/>
              <w:right w:w="108" w:type="dxa"/>
            </w:tcMar>
          </w:tcPr>
          <w:p w14:paraId="5C9F6EA7" w14:textId="77777777" w:rsidR="00CD509F" w:rsidRPr="00FB1BFA" w:rsidRDefault="00CD509F" w:rsidP="00375A6F">
            <w:pPr>
              <w:pStyle w:val="Tabletext"/>
              <w:rPr>
                <w:lang w:val="fr-FR"/>
              </w:rPr>
            </w:pPr>
            <w:r w:rsidRPr="00FB1BFA">
              <w:rPr>
                <w:lang w:val="fr-FR"/>
              </w:rPr>
              <w:t>Mme Blanca Gonzalez</w:t>
            </w:r>
          </w:p>
        </w:tc>
        <w:tc>
          <w:tcPr>
            <w:tcW w:w="2595" w:type="dxa"/>
            <w:tcBorders>
              <w:top w:val="single" w:sz="8" w:space="0" w:color="FFFFFF"/>
              <w:left w:val="nil"/>
              <w:bottom w:val="nil"/>
              <w:right w:val="single" w:sz="8" w:space="0" w:color="FFFFFF"/>
            </w:tcBorders>
            <w:shd w:val="clear" w:color="auto" w:fill="D9D9D9"/>
            <w:tcMar>
              <w:top w:w="0" w:type="dxa"/>
              <w:left w:w="108" w:type="dxa"/>
              <w:bottom w:w="0" w:type="dxa"/>
              <w:right w:w="108" w:type="dxa"/>
            </w:tcMar>
          </w:tcPr>
          <w:p w14:paraId="6B64EB09" w14:textId="77777777" w:rsidR="00CD509F" w:rsidRPr="00FB1BFA" w:rsidRDefault="00CD509F" w:rsidP="00375A6F">
            <w:pPr>
              <w:pStyle w:val="Tabletext"/>
              <w:rPr>
                <w:lang w:val="fr-FR"/>
              </w:rPr>
            </w:pPr>
            <w:r w:rsidRPr="00FB1BFA">
              <w:rPr>
                <w:lang w:val="fr-FR"/>
              </w:rPr>
              <w:t>Espagne</w:t>
            </w:r>
          </w:p>
        </w:tc>
      </w:tr>
      <w:tr w:rsidR="00CD509F" w:rsidRPr="00FB1BFA" w14:paraId="312EF900" w14:textId="77777777" w:rsidTr="00375A6F">
        <w:tc>
          <w:tcPr>
            <w:tcW w:w="3862"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36BA48FD" w14:textId="77777777" w:rsidR="00CD509F" w:rsidRPr="00FB1BFA" w:rsidRDefault="00CD509F" w:rsidP="00375A6F">
            <w:pPr>
              <w:pStyle w:val="Tabletext"/>
              <w:rPr>
                <w:b/>
                <w:color w:val="FFFFFF" w:themeColor="background1"/>
                <w:lang w:val="fr-FR"/>
              </w:rPr>
            </w:pPr>
            <w:r w:rsidRPr="00FB1BFA">
              <w:rPr>
                <w:b/>
                <w:color w:val="FFFFFF" w:themeColor="background1"/>
                <w:lang w:val="fr-FR"/>
              </w:rPr>
              <w:t xml:space="preserve">Vice-Présidente du GCDT </w:t>
            </w:r>
            <w:r w:rsidRPr="00FB1BFA">
              <w:rPr>
                <w:b/>
                <w:color w:val="FFFFFF" w:themeColor="background1"/>
                <w:lang w:val="fr-FR"/>
              </w:rPr>
              <w:br/>
            </w:r>
            <w:r w:rsidRPr="00FB1BFA">
              <w:rPr>
                <w:b/>
                <w:color w:val="FFFFFF" w:themeColor="background1"/>
                <w:lang w:val="fr-FR"/>
              </w:rPr>
              <w:br/>
              <w:t>Vice-Président de la Commission d'études 1</w:t>
            </w:r>
          </w:p>
        </w:tc>
        <w:tc>
          <w:tcPr>
            <w:tcW w:w="3164" w:type="dxa"/>
            <w:tcBorders>
              <w:top w:val="nil"/>
              <w:left w:val="nil"/>
              <w:bottom w:val="nil"/>
              <w:right w:val="single" w:sz="8" w:space="0" w:color="FFFFFF"/>
            </w:tcBorders>
            <w:shd w:val="clear" w:color="auto" w:fill="D9D9D9"/>
            <w:tcMar>
              <w:top w:w="0" w:type="dxa"/>
              <w:left w:w="108" w:type="dxa"/>
              <w:bottom w:w="0" w:type="dxa"/>
              <w:right w:w="108" w:type="dxa"/>
            </w:tcMar>
          </w:tcPr>
          <w:p w14:paraId="238ED3B3" w14:textId="77777777" w:rsidR="00CD509F" w:rsidRPr="00FB1BFA" w:rsidRDefault="00CD509F" w:rsidP="00375A6F">
            <w:pPr>
              <w:pStyle w:val="Tabletext"/>
              <w:rPr>
                <w:lang w:val="fr-FR"/>
              </w:rPr>
            </w:pPr>
            <w:r w:rsidRPr="00FB1BFA">
              <w:rPr>
                <w:lang w:val="fr-FR"/>
              </w:rPr>
              <w:t>Mme Inga Rimkeviciene</w:t>
            </w:r>
            <w:r w:rsidRPr="00FB1BFA">
              <w:rPr>
                <w:lang w:val="fr-FR"/>
              </w:rPr>
              <w:br/>
            </w:r>
            <w:r w:rsidRPr="00FB1BFA">
              <w:rPr>
                <w:lang w:val="fr-FR"/>
              </w:rPr>
              <w:br/>
              <w:t>M. Mehmet AlperTekin</w:t>
            </w:r>
          </w:p>
          <w:p w14:paraId="395C3FF0" w14:textId="77777777" w:rsidR="00CD509F" w:rsidRPr="00FB1BFA" w:rsidRDefault="00CD509F" w:rsidP="00375A6F">
            <w:pPr>
              <w:pStyle w:val="Tabletext"/>
              <w:spacing w:before="0"/>
              <w:rPr>
                <w:lang w:val="fr-FR"/>
              </w:rPr>
            </w:pPr>
            <w:r w:rsidRPr="00FB1BFA">
              <w:rPr>
                <w:lang w:val="fr-FR"/>
              </w:rPr>
              <w:t>M. Anthony Giannoumis</w:t>
            </w:r>
          </w:p>
        </w:tc>
        <w:tc>
          <w:tcPr>
            <w:tcW w:w="2595" w:type="dxa"/>
            <w:tcBorders>
              <w:top w:val="nil"/>
              <w:left w:val="nil"/>
              <w:bottom w:val="nil"/>
              <w:right w:val="single" w:sz="8" w:space="0" w:color="FFFFFF"/>
            </w:tcBorders>
            <w:shd w:val="clear" w:color="auto" w:fill="D9D9D9"/>
            <w:tcMar>
              <w:top w:w="0" w:type="dxa"/>
              <w:left w:w="108" w:type="dxa"/>
              <w:bottom w:w="0" w:type="dxa"/>
              <w:right w:w="108" w:type="dxa"/>
            </w:tcMar>
          </w:tcPr>
          <w:p w14:paraId="230D9FB9" w14:textId="77777777" w:rsidR="00CD509F" w:rsidRPr="00FB1BFA" w:rsidRDefault="00CD509F" w:rsidP="00375A6F">
            <w:pPr>
              <w:pStyle w:val="Tabletext"/>
              <w:rPr>
                <w:lang w:val="fr-FR"/>
              </w:rPr>
            </w:pPr>
            <w:r w:rsidRPr="00FB1BFA">
              <w:rPr>
                <w:lang w:val="fr-FR"/>
              </w:rPr>
              <w:t>Lituanie</w:t>
            </w:r>
            <w:r w:rsidRPr="00FB1BFA">
              <w:rPr>
                <w:lang w:val="fr-FR"/>
              </w:rPr>
              <w:br/>
            </w:r>
            <w:r w:rsidRPr="00FB1BFA">
              <w:rPr>
                <w:lang w:val="fr-FR"/>
              </w:rPr>
              <w:br/>
              <w:t>Turquie</w:t>
            </w:r>
          </w:p>
          <w:p w14:paraId="5CB54543" w14:textId="77777777" w:rsidR="00CD509F" w:rsidRPr="00FB1BFA" w:rsidRDefault="00CD509F" w:rsidP="00375A6F">
            <w:pPr>
              <w:pStyle w:val="Tabletext"/>
              <w:rPr>
                <w:lang w:val="fr-FR"/>
              </w:rPr>
            </w:pPr>
            <w:r w:rsidRPr="00FB1BFA">
              <w:rPr>
                <w:lang w:val="fr-FR"/>
              </w:rPr>
              <w:t>Norvège</w:t>
            </w:r>
          </w:p>
        </w:tc>
      </w:tr>
      <w:tr w:rsidR="00CD509F" w:rsidRPr="00FB1BFA" w14:paraId="24F18E0C" w14:textId="77777777" w:rsidTr="00375A6F">
        <w:tc>
          <w:tcPr>
            <w:tcW w:w="3862"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721350C9" w14:textId="77777777" w:rsidR="00CD509F" w:rsidRPr="00FB1BFA" w:rsidRDefault="00CD509F" w:rsidP="00375A6F">
            <w:pPr>
              <w:pStyle w:val="Tabletext"/>
              <w:rPr>
                <w:b/>
                <w:color w:val="FFFFFF" w:themeColor="background1"/>
                <w:lang w:val="fr-FR"/>
              </w:rPr>
            </w:pPr>
            <w:r w:rsidRPr="00FB1BFA">
              <w:rPr>
                <w:b/>
                <w:color w:val="FFFFFF" w:themeColor="background1"/>
                <w:lang w:val="fr-FR"/>
              </w:rPr>
              <w:t>Président de la Commission d'études 2</w:t>
            </w:r>
            <w:r w:rsidRPr="00FB1BFA">
              <w:rPr>
                <w:b/>
                <w:color w:val="FFFFFF" w:themeColor="background1"/>
                <w:lang w:val="fr-FR"/>
              </w:rPr>
              <w:br/>
              <w:t>Vice-Président de la Commission d'études 2</w:t>
            </w:r>
            <w:r w:rsidRPr="00FB1BFA">
              <w:rPr>
                <w:b/>
                <w:color w:val="FFFFFF" w:themeColor="background1"/>
                <w:lang w:val="fr-FR"/>
              </w:rPr>
              <w:br/>
              <w:t>Vice-Présidente de la Commission d'études 2</w:t>
            </w:r>
          </w:p>
        </w:tc>
        <w:tc>
          <w:tcPr>
            <w:tcW w:w="3164"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6A0F1C6A" w14:textId="77777777" w:rsidR="00CD509F" w:rsidRPr="00FB1BFA" w:rsidRDefault="00CD509F" w:rsidP="00375A6F">
            <w:pPr>
              <w:pStyle w:val="Tabletext"/>
              <w:rPr>
                <w:lang w:val="fr-FR"/>
              </w:rPr>
            </w:pPr>
            <w:r w:rsidRPr="00FB1BFA">
              <w:rPr>
                <w:lang w:val="fr-FR"/>
              </w:rPr>
              <w:t>M. Istvan Bozsoki</w:t>
            </w:r>
          </w:p>
          <w:p w14:paraId="60C1EFD7" w14:textId="77777777" w:rsidR="00CD509F" w:rsidRPr="00FB1BFA" w:rsidRDefault="00CD509F" w:rsidP="00375A6F">
            <w:pPr>
              <w:pStyle w:val="Tabletext"/>
              <w:spacing w:before="0"/>
              <w:rPr>
                <w:lang w:val="fr-FR"/>
              </w:rPr>
            </w:pPr>
            <w:r w:rsidRPr="00FB1BFA">
              <w:rPr>
                <w:lang w:val="fr-FR"/>
              </w:rPr>
              <w:t>M. Dominique Wurges</w:t>
            </w:r>
          </w:p>
          <w:p w14:paraId="0B1AE313" w14:textId="77777777" w:rsidR="00CD509F" w:rsidRPr="00FB1BFA" w:rsidRDefault="00CD509F" w:rsidP="00375A6F">
            <w:pPr>
              <w:pStyle w:val="Tabletext"/>
              <w:spacing w:before="240"/>
              <w:rPr>
                <w:lang w:val="fr-FR"/>
              </w:rPr>
            </w:pPr>
            <w:r w:rsidRPr="00FB1BFA">
              <w:rPr>
                <w:lang w:val="fr-FR"/>
              </w:rPr>
              <w:t>Mme Alina Modan</w:t>
            </w:r>
          </w:p>
        </w:tc>
        <w:tc>
          <w:tcPr>
            <w:tcW w:w="2595"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21860CD2" w14:textId="77777777" w:rsidR="00CD509F" w:rsidRPr="00FB1BFA" w:rsidRDefault="00CD509F" w:rsidP="00375A6F">
            <w:pPr>
              <w:pStyle w:val="Tabletext"/>
              <w:rPr>
                <w:lang w:val="fr-FR"/>
              </w:rPr>
            </w:pPr>
            <w:r w:rsidRPr="00FB1BFA">
              <w:rPr>
                <w:lang w:val="fr-FR"/>
              </w:rPr>
              <w:t>Hongrie</w:t>
            </w:r>
          </w:p>
          <w:p w14:paraId="2EA6A19E" w14:textId="77777777" w:rsidR="00CD509F" w:rsidRPr="00FB1BFA" w:rsidRDefault="00CD509F" w:rsidP="00375A6F">
            <w:pPr>
              <w:pStyle w:val="Tabletext"/>
              <w:rPr>
                <w:lang w:val="fr-FR"/>
              </w:rPr>
            </w:pPr>
            <w:r w:rsidRPr="00FB1BFA">
              <w:rPr>
                <w:lang w:val="fr-FR"/>
              </w:rPr>
              <w:t>France</w:t>
            </w:r>
          </w:p>
          <w:p w14:paraId="4992EF42" w14:textId="77777777" w:rsidR="00CD509F" w:rsidRPr="00FB1BFA" w:rsidRDefault="00CD509F" w:rsidP="00375A6F">
            <w:pPr>
              <w:pStyle w:val="Tabletext"/>
              <w:spacing w:before="240"/>
              <w:rPr>
                <w:lang w:val="fr-FR"/>
              </w:rPr>
            </w:pPr>
            <w:r w:rsidRPr="00FB1BFA">
              <w:rPr>
                <w:lang w:val="fr-FR"/>
              </w:rPr>
              <w:t>Roumanie</w:t>
            </w:r>
          </w:p>
        </w:tc>
      </w:tr>
    </w:tbl>
    <w:p w14:paraId="61E31862"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xml:space="preserve"> adapté de la présentation de la CEPT lors de la réunion IRM-3, 10 mars 2022.</w:t>
      </w:r>
    </w:p>
    <w:p w14:paraId="602B4004" w14:textId="77777777" w:rsidR="00CD509F" w:rsidRPr="00FB1BFA" w:rsidRDefault="00CD509F" w:rsidP="00CD509F">
      <w:pPr>
        <w:pStyle w:val="Tabletitle"/>
        <w:spacing w:before="240"/>
        <w:rPr>
          <w:lang w:val="fr-FR"/>
        </w:rPr>
      </w:pPr>
      <w:r w:rsidRPr="00FB1BFA">
        <w:rPr>
          <w:lang w:val="fr-FR"/>
        </w:rPr>
        <w:t>Tableau 3.15: Candidats de la CEPT à des postes de directions au sein du GCDT</w:t>
      </w:r>
    </w:p>
    <w:tbl>
      <w:tblPr>
        <w:tblW w:w="5000" w:type="pct"/>
        <w:tblCellMar>
          <w:left w:w="0" w:type="dxa"/>
          <w:right w:w="0" w:type="dxa"/>
        </w:tblCellMar>
        <w:tblLook w:val="04A0" w:firstRow="1" w:lastRow="0" w:firstColumn="1" w:lastColumn="0" w:noHBand="0" w:noVBand="1"/>
      </w:tblPr>
      <w:tblGrid>
        <w:gridCol w:w="3877"/>
        <w:gridCol w:w="3158"/>
        <w:gridCol w:w="2586"/>
      </w:tblGrid>
      <w:tr w:rsidR="00CD509F" w:rsidRPr="00FB1BFA" w14:paraId="7F9ED71A" w14:textId="77777777" w:rsidTr="00375A6F">
        <w:trPr>
          <w:trHeight w:val="502"/>
        </w:trPr>
        <w:tc>
          <w:tcPr>
            <w:tcW w:w="3877" w:type="dxa"/>
            <w:tcBorders>
              <w:top w:val="single" w:sz="8" w:space="0" w:color="FFFFFF"/>
              <w:left w:val="single" w:sz="8" w:space="0" w:color="FFFFFF"/>
              <w:bottom w:val="single" w:sz="8" w:space="0" w:color="FFFFFF"/>
              <w:right w:val="nil"/>
            </w:tcBorders>
            <w:shd w:val="clear" w:color="auto" w:fill="31849B"/>
            <w:tcMar>
              <w:top w:w="0" w:type="dxa"/>
              <w:left w:w="108" w:type="dxa"/>
              <w:bottom w:w="0" w:type="dxa"/>
              <w:right w:w="108" w:type="dxa"/>
            </w:tcMar>
            <w:hideMark/>
          </w:tcPr>
          <w:p w14:paraId="7643C02D" w14:textId="77777777" w:rsidR="00CD509F" w:rsidRPr="00FB1BFA" w:rsidRDefault="00CD509F" w:rsidP="00375A6F">
            <w:pPr>
              <w:pStyle w:val="Tablehead"/>
              <w:jc w:val="left"/>
              <w:rPr>
                <w:color w:val="FFFFFF" w:themeColor="background1"/>
                <w:lang w:val="fr-FR"/>
              </w:rPr>
            </w:pPr>
            <w:r w:rsidRPr="00FB1BFA">
              <w:rPr>
                <w:color w:val="FFFFFF" w:themeColor="background1"/>
                <w:lang w:val="fr-FR"/>
              </w:rPr>
              <w:t>Potes de direction au sein du GCDT</w:t>
            </w:r>
          </w:p>
        </w:tc>
        <w:tc>
          <w:tcPr>
            <w:tcW w:w="5742" w:type="dxa"/>
            <w:gridSpan w:val="2"/>
            <w:tcBorders>
              <w:top w:val="single" w:sz="8" w:space="0" w:color="FFFFFF"/>
              <w:left w:val="nil"/>
              <w:bottom w:val="single" w:sz="8" w:space="0" w:color="FFFFFF"/>
              <w:right w:val="single" w:sz="8" w:space="0" w:color="FFFFFF"/>
            </w:tcBorders>
            <w:shd w:val="clear" w:color="auto" w:fill="31849B"/>
            <w:tcMar>
              <w:top w:w="0" w:type="dxa"/>
              <w:left w:w="108" w:type="dxa"/>
              <w:bottom w:w="0" w:type="dxa"/>
              <w:right w:w="108" w:type="dxa"/>
            </w:tcMar>
          </w:tcPr>
          <w:p w14:paraId="20307FAD" w14:textId="77777777" w:rsidR="00CD509F" w:rsidRPr="00FB1BFA" w:rsidRDefault="00CD509F" w:rsidP="00375A6F">
            <w:pPr>
              <w:pStyle w:val="Tablehead"/>
              <w:jc w:val="left"/>
              <w:rPr>
                <w:color w:val="FFFFFF" w:themeColor="background1"/>
                <w:lang w:val="fr-FR"/>
              </w:rPr>
            </w:pPr>
            <w:r w:rsidRPr="00FB1BFA">
              <w:rPr>
                <w:color w:val="FFFFFF" w:themeColor="background1"/>
                <w:lang w:val="fr-FR"/>
              </w:rPr>
              <w:t>Candidatures de la CEPT</w:t>
            </w:r>
          </w:p>
        </w:tc>
      </w:tr>
      <w:tr w:rsidR="00CD509F" w:rsidRPr="00FB1BFA" w14:paraId="3FD317A8" w14:textId="77777777" w:rsidTr="00375A6F">
        <w:tc>
          <w:tcPr>
            <w:tcW w:w="3877"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0BAEF6B0" w14:textId="77777777" w:rsidR="00CD509F" w:rsidRPr="00FB1BFA" w:rsidRDefault="00CD509F" w:rsidP="00375A6F">
            <w:pPr>
              <w:pStyle w:val="Tabletext"/>
              <w:rPr>
                <w:b/>
                <w:color w:val="FFFFFF" w:themeColor="background1"/>
                <w:lang w:val="fr-FR"/>
              </w:rPr>
            </w:pPr>
            <w:r w:rsidRPr="00FB1BFA">
              <w:rPr>
                <w:b/>
                <w:color w:val="FFFFFF" w:themeColor="background1"/>
                <w:lang w:val="fr-FR"/>
              </w:rPr>
              <w:t>Commission/groupe et fonction</w:t>
            </w:r>
          </w:p>
        </w:tc>
        <w:tc>
          <w:tcPr>
            <w:tcW w:w="3157"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523A6353"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 xml:space="preserve">Candidature </w:t>
            </w:r>
          </w:p>
        </w:tc>
        <w:tc>
          <w:tcPr>
            <w:tcW w:w="2585"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2501597F"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Pays</w:t>
            </w:r>
          </w:p>
        </w:tc>
      </w:tr>
      <w:tr w:rsidR="00CD509F" w:rsidRPr="00FB1BFA" w14:paraId="30831E8F" w14:textId="77777777" w:rsidTr="00375A6F">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203F5C8D" w14:textId="77777777" w:rsidR="00CD509F" w:rsidRPr="00FB1BFA" w:rsidRDefault="00CD509F" w:rsidP="00375A6F">
            <w:pPr>
              <w:pStyle w:val="Tabletext"/>
              <w:rPr>
                <w:b/>
                <w:color w:val="FFFFFF" w:themeColor="background1"/>
                <w:lang w:val="fr-FR"/>
              </w:rPr>
            </w:pPr>
            <w:r w:rsidRPr="00FB1BFA">
              <w:rPr>
                <w:b/>
                <w:color w:val="FFFFFF" w:themeColor="background1"/>
                <w:lang w:val="fr-FR"/>
              </w:rPr>
              <w:t>Commission 3 (Objectifs): Président ou Vice-Président</w:t>
            </w:r>
          </w:p>
        </w:tc>
        <w:tc>
          <w:tcPr>
            <w:tcW w:w="3157" w:type="dxa"/>
            <w:tcBorders>
              <w:top w:val="nil"/>
              <w:left w:val="nil"/>
              <w:bottom w:val="nil"/>
              <w:right w:val="single" w:sz="8" w:space="0" w:color="FFFFFF"/>
            </w:tcBorders>
            <w:shd w:val="clear" w:color="auto" w:fill="D9D9D9"/>
            <w:tcMar>
              <w:top w:w="0" w:type="dxa"/>
              <w:left w:w="108" w:type="dxa"/>
              <w:bottom w:w="0" w:type="dxa"/>
              <w:right w:w="108" w:type="dxa"/>
            </w:tcMar>
          </w:tcPr>
          <w:p w14:paraId="39CE62DE" w14:textId="77777777" w:rsidR="00CD509F" w:rsidRPr="00FB1BFA" w:rsidRDefault="00CD509F" w:rsidP="00375A6F">
            <w:pPr>
              <w:pStyle w:val="Tabletext"/>
              <w:rPr>
                <w:lang w:val="fr-FR"/>
              </w:rPr>
            </w:pPr>
            <w:r w:rsidRPr="00FB1BFA">
              <w:rPr>
                <w:lang w:val="fr-FR"/>
              </w:rPr>
              <w:t>M. Istvan Bozsoki</w:t>
            </w:r>
          </w:p>
        </w:tc>
        <w:tc>
          <w:tcPr>
            <w:tcW w:w="2585" w:type="dxa"/>
            <w:tcBorders>
              <w:top w:val="nil"/>
              <w:left w:val="nil"/>
              <w:bottom w:val="nil"/>
              <w:right w:val="single" w:sz="8" w:space="0" w:color="FFFFFF"/>
            </w:tcBorders>
            <w:shd w:val="clear" w:color="auto" w:fill="D9D9D9"/>
            <w:tcMar>
              <w:top w:w="0" w:type="dxa"/>
              <w:left w:w="108" w:type="dxa"/>
              <w:bottom w:w="0" w:type="dxa"/>
              <w:right w:w="108" w:type="dxa"/>
            </w:tcMar>
          </w:tcPr>
          <w:p w14:paraId="3DB3A9BA" w14:textId="77777777" w:rsidR="00CD509F" w:rsidRPr="00FB1BFA" w:rsidRDefault="00CD509F" w:rsidP="00375A6F">
            <w:pPr>
              <w:pStyle w:val="Tabletext"/>
              <w:rPr>
                <w:lang w:val="fr-FR"/>
              </w:rPr>
            </w:pPr>
            <w:r w:rsidRPr="00FB1BFA">
              <w:rPr>
                <w:lang w:val="fr-FR"/>
              </w:rPr>
              <w:t>Hongrie</w:t>
            </w:r>
          </w:p>
        </w:tc>
      </w:tr>
      <w:tr w:rsidR="00CD509F" w:rsidRPr="00FB1BFA" w14:paraId="637E1028" w14:textId="77777777" w:rsidTr="00375A6F">
        <w:trPr>
          <w:trHeight w:val="468"/>
        </w:trPr>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3138338F" w14:textId="77777777" w:rsidR="00CD509F" w:rsidRPr="00FB1BFA" w:rsidRDefault="00CD509F" w:rsidP="00375A6F">
            <w:pPr>
              <w:pStyle w:val="Tabletext"/>
              <w:rPr>
                <w:b/>
                <w:color w:val="FFFFFF" w:themeColor="background1"/>
                <w:lang w:val="fr-FR"/>
              </w:rPr>
            </w:pPr>
            <w:r w:rsidRPr="00FB1BFA">
              <w:rPr>
                <w:b/>
                <w:color w:val="FFFFFF" w:themeColor="background1"/>
                <w:lang w:val="fr-FR"/>
              </w:rPr>
              <w:t>Commission 5 (Commission de rédaction): Vice-Présidente</w:t>
            </w:r>
          </w:p>
        </w:tc>
        <w:tc>
          <w:tcPr>
            <w:tcW w:w="3157"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541EC618" w14:textId="77777777" w:rsidR="00CD509F" w:rsidRPr="00FB1BFA" w:rsidRDefault="00CD509F" w:rsidP="00375A6F">
            <w:pPr>
              <w:pStyle w:val="Tabletext"/>
              <w:rPr>
                <w:lang w:val="fr-FR"/>
              </w:rPr>
            </w:pPr>
            <w:r w:rsidRPr="00FB1BFA">
              <w:rPr>
                <w:lang w:val="fr-FR"/>
              </w:rPr>
              <w:t>Mme Blanca Gonzalez</w:t>
            </w:r>
          </w:p>
        </w:tc>
        <w:tc>
          <w:tcPr>
            <w:tcW w:w="2585"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3BA27C0F" w14:textId="77777777" w:rsidR="00CD509F" w:rsidRPr="00FB1BFA" w:rsidRDefault="00CD509F" w:rsidP="00375A6F">
            <w:pPr>
              <w:pStyle w:val="Tabletext"/>
              <w:rPr>
                <w:lang w:val="fr-FR"/>
              </w:rPr>
            </w:pPr>
            <w:r w:rsidRPr="00FB1BFA">
              <w:rPr>
                <w:lang w:val="fr-FR"/>
              </w:rPr>
              <w:t>Espagne</w:t>
            </w:r>
          </w:p>
        </w:tc>
      </w:tr>
    </w:tbl>
    <w:p w14:paraId="763EBE06"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xml:space="preserve"> adapté de la présentation de la CEPT lors de la réunion IRM-3, 10 mars 2022.</w:t>
      </w:r>
    </w:p>
    <w:p w14:paraId="600CD0CF" w14:textId="77777777" w:rsidR="00CD509F" w:rsidRPr="00FB1BFA" w:rsidRDefault="00CD509F" w:rsidP="00CD509F">
      <w:pPr>
        <w:pStyle w:val="Heading2"/>
        <w:rPr>
          <w:sz w:val="18"/>
          <w:szCs w:val="18"/>
          <w:lang w:val="fr-FR"/>
        </w:rPr>
      </w:pPr>
      <w:r w:rsidRPr="00FB1BFA">
        <w:rPr>
          <w:lang w:val="fr-FR"/>
        </w:rPr>
        <w:t>3.6</w:t>
      </w:r>
      <w:r w:rsidRPr="00FB1BFA">
        <w:rPr>
          <w:lang w:val="fr-FR"/>
        </w:rPr>
        <w:tab/>
        <w:t xml:space="preserve">Ligue des </w:t>
      </w:r>
      <w:r w:rsidRPr="00FB1BFA">
        <w:rPr>
          <w:rFonts w:cstheme="minorHAnsi"/>
          <w:lang w:val="fr-FR"/>
        </w:rPr>
        <w:t>É</w:t>
      </w:r>
      <w:r w:rsidRPr="00FB1BFA">
        <w:rPr>
          <w:lang w:val="fr-FR"/>
        </w:rPr>
        <w:t>tats arabes (LAS)</w:t>
      </w:r>
    </w:p>
    <w:p w14:paraId="66B36CF0" w14:textId="77777777" w:rsidR="00CD509F" w:rsidRPr="00FB1BFA" w:rsidRDefault="00CD509F" w:rsidP="00CD509F">
      <w:pPr>
        <w:rPr>
          <w:rFonts w:cstheme="minorHAnsi"/>
          <w:lang w:val="fr-FR"/>
        </w:rPr>
      </w:pPr>
      <w:r w:rsidRPr="00FB1BFA">
        <w:rPr>
          <w:rFonts w:cstheme="minorHAnsi"/>
          <w:lang w:val="fr-FR"/>
        </w:rPr>
        <w:t>Le représentant de l'Arabie saoudite, au nom de la Ligue des États arabes, a présenté l'état d'avancement des travaux préparatoires dans la région des États arabes, mais a tout d'abord remercié le Ministre du Rwanda d'avoir proposé d'accueillir la CMDT et s'est déclaré convaincu que cette conférence serait couronnée de succès.</w:t>
      </w:r>
    </w:p>
    <w:p w14:paraId="0C6727EE" w14:textId="5FDAFD93" w:rsidR="00CD509F" w:rsidRPr="00FB1BFA" w:rsidRDefault="00CD509F" w:rsidP="00CD509F">
      <w:pPr>
        <w:rPr>
          <w:rFonts w:cstheme="minorHAnsi"/>
          <w:bCs/>
          <w:lang w:val="fr-FR"/>
        </w:rPr>
      </w:pPr>
      <w:r w:rsidRPr="00FB1BFA">
        <w:rPr>
          <w:rFonts w:cstheme="minorHAnsi"/>
          <w:lang w:val="fr-FR"/>
        </w:rPr>
        <w:t xml:space="preserve">Le Groupe de préparation des États arabes en vue de la CMDT a été créé par le Conseil des ministres arabes des communications et de l'information en décembre 2019, sous la présidence de M. Mansour Alqurashi. Il est composé de trois groupes de travail, chacun dirigé par un président (voir le Tableau 3.16). </w:t>
      </w:r>
      <w:r w:rsidRPr="00FB1BFA">
        <w:rPr>
          <w:rFonts w:cstheme="minorHAnsi"/>
          <w:bCs/>
          <w:lang w:val="fr-FR"/>
        </w:rPr>
        <w:t>Il assure la coordination avec les autres régions et entre les pays arabes en ce qui concerne les candidatures pour la CMDT et assure le suivi des travaux en vue de la CMDT.</w:t>
      </w:r>
    </w:p>
    <w:p w14:paraId="6F3ED76D" w14:textId="58DB676F" w:rsidR="007319CC" w:rsidRPr="00FB1BFA" w:rsidRDefault="007319CC">
      <w:pPr>
        <w:tabs>
          <w:tab w:val="clear" w:pos="794"/>
          <w:tab w:val="clear" w:pos="1191"/>
          <w:tab w:val="clear" w:pos="1588"/>
          <w:tab w:val="clear" w:pos="1985"/>
        </w:tabs>
        <w:overflowPunct/>
        <w:autoSpaceDE/>
        <w:autoSpaceDN/>
        <w:adjustRightInd/>
        <w:spacing w:before="0"/>
        <w:textAlignment w:val="auto"/>
        <w:rPr>
          <w:lang w:val="fr-FR"/>
        </w:rPr>
      </w:pPr>
      <w:r w:rsidRPr="00FB1BFA">
        <w:rPr>
          <w:lang w:val="fr-FR"/>
        </w:rPr>
        <w:br w:type="page"/>
      </w:r>
    </w:p>
    <w:p w14:paraId="6C7388C9" w14:textId="77777777" w:rsidR="00CD509F" w:rsidRPr="00FB1BFA" w:rsidRDefault="00CD509F" w:rsidP="00CD509F">
      <w:pPr>
        <w:pStyle w:val="Tabletitle"/>
        <w:spacing w:before="240"/>
        <w:rPr>
          <w:lang w:val="fr-FR"/>
        </w:rPr>
      </w:pPr>
      <w:r w:rsidRPr="00FB1BFA">
        <w:rPr>
          <w:lang w:val="fr-FR"/>
        </w:rPr>
        <w:lastRenderedPageBreak/>
        <w:t xml:space="preserve">Tableau 3.16: Responsables et structure du Groupe de préparation </w:t>
      </w:r>
      <w:r w:rsidRPr="00FB1BFA">
        <w:rPr>
          <w:lang w:val="fr-FR"/>
        </w:rPr>
        <w:br/>
        <w:t>des États arabes en vue de la CMDT</w:t>
      </w:r>
    </w:p>
    <w:tbl>
      <w:tblPr>
        <w:tblW w:w="5000" w:type="pct"/>
        <w:tblCellMar>
          <w:left w:w="0" w:type="dxa"/>
          <w:right w:w="0" w:type="dxa"/>
        </w:tblCellMar>
        <w:tblLook w:val="04A0" w:firstRow="1" w:lastRow="0" w:firstColumn="1" w:lastColumn="0" w:noHBand="0" w:noVBand="1"/>
      </w:tblPr>
      <w:tblGrid>
        <w:gridCol w:w="9621"/>
      </w:tblGrid>
      <w:tr w:rsidR="00CD509F" w:rsidRPr="00FB1BFA" w14:paraId="47276D88" w14:textId="77777777" w:rsidTr="00375A6F">
        <w:tc>
          <w:tcPr>
            <w:tcW w:w="9619" w:type="dxa"/>
            <w:tcBorders>
              <w:top w:val="single" w:sz="8" w:space="0" w:color="FFFFFF"/>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2753711F"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Groupe de préparation des États arabes en vue de la CMDT</w:t>
            </w:r>
          </w:p>
        </w:tc>
      </w:tr>
      <w:tr w:rsidR="00CD509F" w:rsidRPr="00FB1BFA" w14:paraId="2F7DFBE6" w14:textId="77777777" w:rsidTr="00375A6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4EA1C7E2" w14:textId="77777777" w:rsidR="00CD509F" w:rsidRPr="00FB1BFA" w:rsidRDefault="00CD509F" w:rsidP="00375A6F">
            <w:pPr>
              <w:pStyle w:val="Tabletext"/>
              <w:rPr>
                <w:lang w:val="fr-FR"/>
              </w:rPr>
            </w:pPr>
            <w:r w:rsidRPr="00FB1BFA">
              <w:rPr>
                <w:lang w:val="fr-FR"/>
              </w:rPr>
              <w:t>Président: M. Mansour Alqurashi (Arabie saoudite)</w:t>
            </w:r>
          </w:p>
        </w:tc>
      </w:tr>
      <w:tr w:rsidR="00CD509F" w:rsidRPr="00FB1BFA" w14:paraId="10E4E761" w14:textId="77777777" w:rsidTr="00375A6F">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0F357562"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Groupe de travail sur le Plan d'action, les Plans stratégique et opérationnel et les initiatives régionales</w:t>
            </w:r>
          </w:p>
        </w:tc>
      </w:tr>
      <w:tr w:rsidR="00CD509F" w:rsidRPr="00FB1BFA" w14:paraId="18F497C5" w14:textId="77777777" w:rsidTr="00375A6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388D1F3F" w14:textId="77777777" w:rsidR="00CD509F" w:rsidRPr="00FB1BFA" w:rsidRDefault="00CD509F" w:rsidP="00375A6F">
            <w:pPr>
              <w:pStyle w:val="Tabletext"/>
              <w:rPr>
                <w:lang w:val="fr-FR"/>
              </w:rPr>
            </w:pPr>
            <w:r w:rsidRPr="00FB1BFA">
              <w:rPr>
                <w:lang w:val="fr-FR"/>
              </w:rPr>
              <w:t>Président: M. Salem Almawali (Oman)</w:t>
            </w:r>
          </w:p>
        </w:tc>
      </w:tr>
      <w:tr w:rsidR="00CD509F" w:rsidRPr="00FB1BFA" w14:paraId="131B9344" w14:textId="77777777" w:rsidTr="00375A6F">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7A6F18E9"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Groupe de travail sur la Déclaration, la rationalisation des Résolutions et les priorités thématiques</w:t>
            </w:r>
          </w:p>
        </w:tc>
      </w:tr>
      <w:tr w:rsidR="00CD509F" w:rsidRPr="00FB1BFA" w14:paraId="617574DD" w14:textId="77777777" w:rsidTr="00375A6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23ED4B7B" w14:textId="77777777" w:rsidR="00CD509F" w:rsidRPr="00FB1BFA" w:rsidRDefault="00CD509F" w:rsidP="00375A6F">
            <w:pPr>
              <w:pStyle w:val="Tabletext"/>
              <w:rPr>
                <w:lang w:val="fr-FR"/>
              </w:rPr>
            </w:pPr>
            <w:r w:rsidRPr="00FB1BFA">
              <w:rPr>
                <w:lang w:val="fr-FR"/>
              </w:rPr>
              <w:t>Présidente: Mme Sameera Belal (Koweït)</w:t>
            </w:r>
          </w:p>
        </w:tc>
      </w:tr>
      <w:tr w:rsidR="00CD509F" w:rsidRPr="00FB1BFA" w14:paraId="18A6E450" w14:textId="77777777" w:rsidTr="00375A6F">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7211318D"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Groupe de travail du GCDT sur les activités préparatoires en vue de la CMDT</w:t>
            </w:r>
          </w:p>
        </w:tc>
      </w:tr>
      <w:tr w:rsidR="00CD509F" w:rsidRPr="00FB1BFA" w14:paraId="4C1D6237" w14:textId="77777777" w:rsidTr="00375A6F">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55918EBA" w14:textId="77777777" w:rsidR="00CD509F" w:rsidRPr="00FB1BFA" w:rsidRDefault="00CD509F" w:rsidP="00375A6F">
            <w:pPr>
              <w:pStyle w:val="Tabletext"/>
              <w:rPr>
                <w:lang w:val="fr-FR"/>
              </w:rPr>
            </w:pPr>
            <w:r w:rsidRPr="00FB1BFA">
              <w:rPr>
                <w:lang w:val="fr-FR"/>
              </w:rPr>
              <w:t>Président: M. Alansari Almashagbah (Jordanie)</w:t>
            </w:r>
          </w:p>
        </w:tc>
      </w:tr>
    </w:tbl>
    <w:p w14:paraId="1E4DC05C"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xml:space="preserve"> adapté de la présentation de la LAS lors de la réunion IRM-3, 10 mars 2022.</w:t>
      </w:r>
    </w:p>
    <w:p w14:paraId="27D93DE0" w14:textId="77777777" w:rsidR="00CD509F" w:rsidRPr="00FB1BFA" w:rsidRDefault="00CD509F" w:rsidP="00CD509F">
      <w:pPr>
        <w:pStyle w:val="Default"/>
        <w:tabs>
          <w:tab w:val="left" w:pos="7920"/>
        </w:tabs>
        <w:spacing w:before="120" w:after="120"/>
        <w:ind w:right="-40"/>
        <w:rPr>
          <w:rFonts w:asciiTheme="minorHAnsi" w:hAnsiTheme="minorHAnsi"/>
          <w:lang w:val="fr-FR"/>
        </w:rPr>
      </w:pPr>
      <w:r w:rsidRPr="00FB1BFA">
        <w:rPr>
          <w:rFonts w:asciiTheme="minorHAnsi" w:hAnsiTheme="minorHAnsi" w:cstheme="minorHAnsi"/>
          <w:lang w:val="fr-FR"/>
        </w:rPr>
        <w:t xml:space="preserve">Le Groupe de préparation des États arabes s'est réuni à trois reprises </w:t>
      </w:r>
      <w:r w:rsidRPr="00FB1BFA">
        <w:rPr>
          <w:rFonts w:asciiTheme="minorHAnsi" w:hAnsiTheme="minorHAnsi"/>
          <w:lang w:val="fr-FR"/>
        </w:rPr>
        <w:t>(voir la Figure 3.4) et projette de tenir une dernière réunion en avril 2022 pour achever ses travaux préparatoires.</w:t>
      </w:r>
    </w:p>
    <w:p w14:paraId="5427738B" w14:textId="77777777" w:rsidR="00CD509F" w:rsidRPr="00FB1BFA" w:rsidRDefault="00CD509F" w:rsidP="00CD509F">
      <w:pPr>
        <w:pStyle w:val="Figuretitle"/>
        <w:spacing w:before="240" w:after="120"/>
        <w:rPr>
          <w:lang w:val="fr-FR"/>
        </w:rPr>
      </w:pPr>
      <w:r w:rsidRPr="00FB1BFA">
        <w:rPr>
          <w:lang w:val="fr-FR"/>
        </w:rPr>
        <w:t>Figure 3.4: Réunions du Groupe de préparation des États arabes</w:t>
      </w:r>
    </w:p>
    <w:p w14:paraId="08888C0B" w14:textId="77777777" w:rsidR="00CD509F" w:rsidRPr="00FB1BFA" w:rsidRDefault="00CD509F" w:rsidP="00CD509F">
      <w:pPr>
        <w:keepNext/>
        <w:keepLines/>
        <w:spacing w:before="0"/>
        <w:jc w:val="center"/>
        <w:rPr>
          <w:lang w:val="fr-FR"/>
        </w:rPr>
      </w:pPr>
      <w:r w:rsidRPr="00FB1BFA">
        <w:rPr>
          <w:lang w:val="fr-FR"/>
        </w:rPr>
        <w:drawing>
          <wp:inline distT="0" distB="0" distL="0" distR="0" wp14:anchorId="26ED6C7B" wp14:editId="7D676A85">
            <wp:extent cx="4933950" cy="2428875"/>
            <wp:effectExtent l="0" t="0" r="0" b="9525"/>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29"/>
                    <a:stretch>
                      <a:fillRect/>
                    </a:stretch>
                  </pic:blipFill>
                  <pic:spPr>
                    <a:xfrm>
                      <a:off x="0" y="0"/>
                      <a:ext cx="4933950" cy="2428875"/>
                    </a:xfrm>
                    <a:prstGeom prst="rect">
                      <a:avLst/>
                    </a:prstGeom>
                  </pic:spPr>
                </pic:pic>
              </a:graphicData>
            </a:graphic>
          </wp:inline>
        </w:drawing>
      </w:r>
    </w:p>
    <w:p w14:paraId="79712EBA" w14:textId="77777777" w:rsidR="00CD509F" w:rsidRPr="00FB1BFA" w:rsidRDefault="00CD509F" w:rsidP="00CD509F">
      <w:pPr>
        <w:pStyle w:val="Figurelegend"/>
        <w:rPr>
          <w:lang w:val="fr-FR"/>
        </w:rPr>
      </w:pPr>
      <w:r w:rsidRPr="00FB1BFA">
        <w:rPr>
          <w:i/>
          <w:iCs/>
          <w:lang w:val="fr-FR"/>
        </w:rPr>
        <w:t>Source:</w:t>
      </w:r>
      <w:r w:rsidRPr="00FB1BFA">
        <w:rPr>
          <w:lang w:val="fr-FR"/>
        </w:rPr>
        <w:t xml:space="preserve"> adaptée de la présentation de la LAS lors de la réunion IRM-3, 10 mars 2022.</w:t>
      </w:r>
    </w:p>
    <w:p w14:paraId="061A8046" w14:textId="77777777" w:rsidR="00CD509F" w:rsidRPr="00FB1BFA" w:rsidRDefault="00CD509F" w:rsidP="00CD509F">
      <w:pPr>
        <w:tabs>
          <w:tab w:val="left" w:pos="7920"/>
        </w:tabs>
        <w:spacing w:after="120"/>
        <w:ind w:right="-40"/>
        <w:rPr>
          <w:lang w:val="fr-FR"/>
        </w:rPr>
      </w:pPr>
      <w:r w:rsidRPr="00FB1BFA">
        <w:rPr>
          <w:rFonts w:cstheme="minorHAnsi"/>
          <w:lang w:val="fr-FR"/>
        </w:rPr>
        <w:t xml:space="preserve">À ce jour, le Groupe de préparation des États arabes a décidé de modifier les Résolutions 8, 9, 22, 34, 45, 67 et 71 et de supprimer les Résolutions 27 et 61. </w:t>
      </w:r>
      <w:r w:rsidRPr="00FB1BFA">
        <w:rPr>
          <w:lang w:val="fr-FR"/>
        </w:rPr>
        <w:t>En outre, le Groupe a présenté deux nouvelles résolutions: l'une sur les pandémies et l'autre sur la promotion de la transformation numérique au service du développement durable (voir le Tableau 3.17).</w:t>
      </w:r>
    </w:p>
    <w:p w14:paraId="41B7A3B8" w14:textId="77777777" w:rsidR="00CD509F" w:rsidRPr="00FB1BFA" w:rsidRDefault="00CD509F" w:rsidP="00CD509F">
      <w:pPr>
        <w:pStyle w:val="Tabletitle"/>
        <w:spacing w:before="240"/>
        <w:rPr>
          <w:lang w:val="fr-FR"/>
        </w:rPr>
      </w:pPr>
      <w:r w:rsidRPr="00FB1BFA">
        <w:rPr>
          <w:lang w:val="fr-FR"/>
        </w:rPr>
        <w:t xml:space="preserve">Tableau 3.17: Résolutions du Groupe de préparation des États arabes </w:t>
      </w:r>
      <w:r w:rsidRPr="00FB1BFA">
        <w:rPr>
          <w:lang w:val="fr-FR"/>
        </w:rPr>
        <w:br/>
        <w:t>modifiées, supprimées ou nouvelles</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CD509F" w:rsidRPr="00FB1BFA" w14:paraId="0BB9CC73" w14:textId="77777777" w:rsidTr="00375A6F">
        <w:tc>
          <w:tcPr>
            <w:tcW w:w="4526" w:type="dxa"/>
            <w:shd w:val="clear" w:color="auto" w:fill="31849B"/>
          </w:tcPr>
          <w:p w14:paraId="3D109CB7"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8 (Rév. Buenos Aires, 2017)</w:t>
            </w:r>
          </w:p>
        </w:tc>
        <w:tc>
          <w:tcPr>
            <w:tcW w:w="5245" w:type="dxa"/>
            <w:shd w:val="clear" w:color="auto" w:fill="D9D9D9"/>
          </w:tcPr>
          <w:p w14:paraId="4158EE46" w14:textId="77777777" w:rsidR="00CD509F" w:rsidRPr="00FB1BFA" w:rsidRDefault="00CD509F" w:rsidP="00375A6F">
            <w:pPr>
              <w:pStyle w:val="Tabletext"/>
              <w:rPr>
                <w:lang w:val="fr-FR"/>
              </w:rPr>
            </w:pPr>
            <w:r w:rsidRPr="00FB1BFA">
              <w:rPr>
                <w:lang w:val="fr-FR"/>
              </w:rPr>
              <w:t>Collecte et diffusion d'informations et de statistiques</w:t>
            </w:r>
          </w:p>
        </w:tc>
      </w:tr>
      <w:tr w:rsidR="00CD509F" w:rsidRPr="00FB1BFA" w14:paraId="00C3B3DF" w14:textId="77777777" w:rsidTr="00375A6F">
        <w:tc>
          <w:tcPr>
            <w:tcW w:w="4526" w:type="dxa"/>
            <w:shd w:val="clear" w:color="auto" w:fill="31849B"/>
          </w:tcPr>
          <w:p w14:paraId="71E50328"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9 (Rév. Buenos Aires, 2017)</w:t>
            </w:r>
          </w:p>
        </w:tc>
        <w:tc>
          <w:tcPr>
            <w:tcW w:w="5245" w:type="dxa"/>
            <w:shd w:val="clear" w:color="auto" w:fill="D9D9D9"/>
          </w:tcPr>
          <w:p w14:paraId="79B71C40" w14:textId="77777777" w:rsidR="00CD509F" w:rsidRPr="00FB1BFA" w:rsidRDefault="00CD509F" w:rsidP="00375A6F">
            <w:pPr>
              <w:pStyle w:val="Tabletext"/>
              <w:rPr>
                <w:lang w:val="fr-FR"/>
              </w:rPr>
            </w:pPr>
            <w:bookmarkStart w:id="11" w:name="_Toc506198225"/>
            <w:r w:rsidRPr="00FB1BFA">
              <w:rPr>
                <w:lang w:val="fr-FR"/>
              </w:rPr>
              <w:t>Participation des pays, en particulier des pays en développement, à la gestion du spectre radioélectrique</w:t>
            </w:r>
            <w:bookmarkEnd w:id="11"/>
          </w:p>
        </w:tc>
      </w:tr>
      <w:tr w:rsidR="00CD509F" w:rsidRPr="00FB1BFA" w14:paraId="1393F81F" w14:textId="77777777" w:rsidTr="00375A6F">
        <w:tc>
          <w:tcPr>
            <w:tcW w:w="4526" w:type="dxa"/>
            <w:shd w:val="clear" w:color="auto" w:fill="31849B"/>
          </w:tcPr>
          <w:p w14:paraId="6ED825C9"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22 (Rév. Buenos Aires, 2017)</w:t>
            </w:r>
          </w:p>
        </w:tc>
        <w:tc>
          <w:tcPr>
            <w:tcW w:w="5245" w:type="dxa"/>
            <w:shd w:val="clear" w:color="auto" w:fill="D9D9D9"/>
          </w:tcPr>
          <w:p w14:paraId="752E7D90" w14:textId="77777777" w:rsidR="00CD509F" w:rsidRPr="00FB1BFA" w:rsidRDefault="00CD509F" w:rsidP="00375A6F">
            <w:pPr>
              <w:pStyle w:val="Tabletext"/>
              <w:rPr>
                <w:lang w:val="fr-FR"/>
              </w:rPr>
            </w:pPr>
            <w:r w:rsidRPr="00FB1BFA">
              <w:rPr>
                <w:lang w:val="fr-FR"/>
              </w:rPr>
              <w:t>Procédures d'appel alternatives sur les réseaux de télécommunication internationaux et identification de leur origine dans le cadre de la fourniture de services internationaux de télécommunication</w:t>
            </w:r>
          </w:p>
        </w:tc>
      </w:tr>
      <w:tr w:rsidR="00CD509F" w:rsidRPr="00FB1BFA" w14:paraId="7ABC2A77" w14:textId="77777777" w:rsidTr="00375A6F">
        <w:tc>
          <w:tcPr>
            <w:tcW w:w="4526" w:type="dxa"/>
            <w:shd w:val="clear" w:color="auto" w:fill="31849B"/>
          </w:tcPr>
          <w:p w14:paraId="2EA28C03"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lastRenderedPageBreak/>
              <w:t>MOD: Résolution 34 (Rév. Buenos Aires, 2017)</w:t>
            </w:r>
          </w:p>
        </w:tc>
        <w:tc>
          <w:tcPr>
            <w:tcW w:w="5245" w:type="dxa"/>
            <w:shd w:val="clear" w:color="auto" w:fill="D9D9D9"/>
          </w:tcPr>
          <w:p w14:paraId="2CE22542" w14:textId="77777777" w:rsidR="00CD509F" w:rsidRPr="00FB1BFA" w:rsidRDefault="00CD509F" w:rsidP="00375A6F">
            <w:pPr>
              <w:pStyle w:val="Tabletext"/>
              <w:rPr>
                <w:lang w:val="fr-FR"/>
              </w:rPr>
            </w:pPr>
            <w:r w:rsidRPr="00FB1BFA">
              <w:rPr>
                <w:lang w:val="fr-FR"/>
              </w:rPr>
              <w:t>Rôle des télécommunications et des technologies de l'information et de la communication dans la préparation en prévision des catastrophes, l'alerte avancée, l'atténuation des effets des catastrophes, les interventions et les opérations de secours</w:t>
            </w:r>
          </w:p>
        </w:tc>
      </w:tr>
      <w:tr w:rsidR="00CD509F" w:rsidRPr="00FB1BFA" w14:paraId="636641EB" w14:textId="77777777" w:rsidTr="00375A6F">
        <w:tc>
          <w:tcPr>
            <w:tcW w:w="4526" w:type="dxa"/>
            <w:shd w:val="clear" w:color="auto" w:fill="31849B"/>
          </w:tcPr>
          <w:p w14:paraId="1FB6211A"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45 (Rév. Dubaï, 2014)</w:t>
            </w:r>
          </w:p>
        </w:tc>
        <w:tc>
          <w:tcPr>
            <w:tcW w:w="5245" w:type="dxa"/>
            <w:shd w:val="clear" w:color="auto" w:fill="D9D9D9"/>
          </w:tcPr>
          <w:p w14:paraId="29209E51" w14:textId="77777777" w:rsidR="00CD509F" w:rsidRPr="00FB1BFA" w:rsidRDefault="00CD509F" w:rsidP="00375A6F">
            <w:pPr>
              <w:pStyle w:val="Tabletext"/>
              <w:rPr>
                <w:lang w:val="fr-FR"/>
              </w:rPr>
            </w:pPr>
            <w:bookmarkStart w:id="12" w:name="_Toc266951907"/>
            <w:bookmarkStart w:id="13" w:name="_Toc401906772"/>
            <w:bookmarkStart w:id="14" w:name="_Toc506198277"/>
            <w:r w:rsidRPr="00FB1BFA">
              <w:rPr>
                <w:lang w:val="fr-FR"/>
              </w:rPr>
              <w:t>Mécanismes propres à améliorer la coopération en matière de cybersécurité, y compris la lutte contre le spam</w:t>
            </w:r>
            <w:bookmarkEnd w:id="12"/>
            <w:bookmarkEnd w:id="13"/>
            <w:bookmarkEnd w:id="14"/>
          </w:p>
        </w:tc>
      </w:tr>
      <w:tr w:rsidR="00CD509F" w:rsidRPr="00FB1BFA" w14:paraId="0A1EE1B3" w14:textId="77777777" w:rsidTr="00375A6F">
        <w:tc>
          <w:tcPr>
            <w:tcW w:w="4526" w:type="dxa"/>
            <w:shd w:val="clear" w:color="auto" w:fill="31849B"/>
          </w:tcPr>
          <w:p w14:paraId="64FBD2EC"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67 (Rév. Buenos Aires, 2017)</w:t>
            </w:r>
          </w:p>
        </w:tc>
        <w:tc>
          <w:tcPr>
            <w:tcW w:w="5245" w:type="dxa"/>
            <w:shd w:val="clear" w:color="auto" w:fill="D9D9D9"/>
          </w:tcPr>
          <w:p w14:paraId="2BD79FEC" w14:textId="77777777" w:rsidR="00CD509F" w:rsidRPr="00FB1BFA" w:rsidRDefault="00CD509F" w:rsidP="00375A6F">
            <w:pPr>
              <w:pStyle w:val="Tabletext"/>
              <w:rPr>
                <w:lang w:val="fr-FR"/>
              </w:rPr>
            </w:pPr>
            <w:bookmarkStart w:id="15" w:name="_Toc401906812"/>
            <w:bookmarkStart w:id="16" w:name="_Toc506198315"/>
            <w:r w:rsidRPr="00FB1BFA">
              <w:rPr>
                <w:lang w:val="fr-FR"/>
              </w:rPr>
              <w:t>Rôle du Secteur du développement des télécommunications de l'UIT dans la protection en ligne des enfants</w:t>
            </w:r>
            <w:bookmarkEnd w:id="15"/>
            <w:bookmarkEnd w:id="16"/>
          </w:p>
        </w:tc>
      </w:tr>
      <w:tr w:rsidR="00CD509F" w:rsidRPr="00FB1BFA" w14:paraId="60BBF527" w14:textId="77777777" w:rsidTr="00375A6F">
        <w:tc>
          <w:tcPr>
            <w:tcW w:w="4526" w:type="dxa"/>
            <w:shd w:val="clear" w:color="auto" w:fill="31849B"/>
          </w:tcPr>
          <w:p w14:paraId="5DC55602"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MOD: Résolution 71 (Rév. Buenos Aires, 2017)</w:t>
            </w:r>
          </w:p>
        </w:tc>
        <w:tc>
          <w:tcPr>
            <w:tcW w:w="5245" w:type="dxa"/>
            <w:shd w:val="clear" w:color="auto" w:fill="D9D9D9"/>
          </w:tcPr>
          <w:p w14:paraId="76817D97" w14:textId="77777777" w:rsidR="00CD509F" w:rsidRPr="00FB1BFA" w:rsidRDefault="00CD509F" w:rsidP="00375A6F">
            <w:pPr>
              <w:pStyle w:val="Tabletext"/>
              <w:rPr>
                <w:lang w:val="fr-FR"/>
              </w:rPr>
            </w:pPr>
            <w:bookmarkStart w:id="17" w:name="_Toc401906820"/>
            <w:bookmarkStart w:id="18" w:name="_Toc506198320"/>
            <w:r w:rsidRPr="00FB1BFA">
              <w:rPr>
                <w:lang w:val="fr-FR"/>
              </w:rPr>
              <w:t>Renforcement de la coopération entre les États Membres, les Membres de Secteur, les Associés et les établissements universitaires participant aux travaux du Secteur du développement des télécommunications de l'UIT et évolution du rôle du secteur privé</w:t>
            </w:r>
            <w:bookmarkEnd w:id="17"/>
            <w:r w:rsidRPr="00FB1BFA">
              <w:rPr>
                <w:lang w:val="fr-FR"/>
              </w:rPr>
              <w:t xml:space="preserve"> au sein du Secteur du développement des télécommunications de l'UIT</w:t>
            </w:r>
            <w:bookmarkEnd w:id="18"/>
          </w:p>
        </w:tc>
      </w:tr>
      <w:tr w:rsidR="00CD509F" w:rsidRPr="00FB1BFA" w14:paraId="07E6BD53" w14:textId="77777777" w:rsidTr="00375A6F">
        <w:tc>
          <w:tcPr>
            <w:tcW w:w="4526" w:type="dxa"/>
            <w:shd w:val="clear" w:color="auto" w:fill="31849B"/>
          </w:tcPr>
          <w:p w14:paraId="25B8B734"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SUP: Résolution 27(Rév. Hyderabad, 2010)</w:t>
            </w:r>
          </w:p>
        </w:tc>
        <w:tc>
          <w:tcPr>
            <w:tcW w:w="5245" w:type="dxa"/>
            <w:shd w:val="clear" w:color="auto" w:fill="D9D9D9"/>
          </w:tcPr>
          <w:p w14:paraId="3A591E28" w14:textId="77777777" w:rsidR="00CD509F" w:rsidRPr="00FB1BFA" w:rsidRDefault="00CD509F" w:rsidP="00375A6F">
            <w:pPr>
              <w:pStyle w:val="Tabletext"/>
              <w:rPr>
                <w:lang w:val="fr-FR"/>
              </w:rPr>
            </w:pPr>
            <w:bookmarkStart w:id="19" w:name="_Toc266951880"/>
            <w:bookmarkStart w:id="20" w:name="_Toc401906747"/>
            <w:bookmarkStart w:id="21" w:name="_Toc506198253"/>
            <w:r w:rsidRPr="00FB1BFA">
              <w:rPr>
                <w:lang w:val="fr-FR"/>
              </w:rPr>
              <w:t>Admission d'entités ou d'organisations à participer comme Associés aux travaux du Secteur du développement des télécommunications de l'UIT</w:t>
            </w:r>
            <w:bookmarkEnd w:id="19"/>
            <w:bookmarkEnd w:id="20"/>
            <w:bookmarkEnd w:id="21"/>
          </w:p>
        </w:tc>
      </w:tr>
      <w:tr w:rsidR="00CD509F" w:rsidRPr="00FB1BFA" w14:paraId="7089C89D" w14:textId="77777777" w:rsidTr="00375A6F">
        <w:tc>
          <w:tcPr>
            <w:tcW w:w="4526" w:type="dxa"/>
            <w:shd w:val="clear" w:color="auto" w:fill="31849B"/>
          </w:tcPr>
          <w:p w14:paraId="39F9D5FF"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SUP: Résolution 61 (Rév. Dubaï, 2014)</w:t>
            </w:r>
          </w:p>
        </w:tc>
        <w:tc>
          <w:tcPr>
            <w:tcW w:w="5245" w:type="dxa"/>
            <w:shd w:val="clear" w:color="auto" w:fill="D9D9D9"/>
          </w:tcPr>
          <w:p w14:paraId="40935DFF" w14:textId="77777777" w:rsidR="00CD509F" w:rsidRPr="00FB1BFA" w:rsidRDefault="00CD509F" w:rsidP="00375A6F">
            <w:pPr>
              <w:pStyle w:val="Tabletext"/>
              <w:rPr>
                <w:lang w:val="fr-FR"/>
              </w:rPr>
            </w:pPr>
            <w:r w:rsidRPr="00FB1BFA">
              <w:rPr>
                <w:rFonts w:cstheme="minorHAnsi"/>
                <w:lang w:val="fr-FR"/>
              </w:rPr>
              <w:t>Nomination et durée maximale du mandat des présidents et vice-présidents des commissions d'études du Secteur du développement des télécommunications de l'UIT et du Groupe consultatif pour le développement des télécommunications</w:t>
            </w:r>
          </w:p>
        </w:tc>
      </w:tr>
      <w:tr w:rsidR="00CD509F" w:rsidRPr="00FB1BFA" w14:paraId="4C442D4E" w14:textId="77777777" w:rsidTr="00375A6F">
        <w:trPr>
          <w:trHeight w:val="195"/>
        </w:trPr>
        <w:tc>
          <w:tcPr>
            <w:tcW w:w="4526" w:type="dxa"/>
            <w:shd w:val="clear" w:color="auto" w:fill="31849B"/>
          </w:tcPr>
          <w:p w14:paraId="70E22C16"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Projet de nouvelle Résolution</w:t>
            </w:r>
          </w:p>
        </w:tc>
        <w:tc>
          <w:tcPr>
            <w:tcW w:w="5245" w:type="dxa"/>
            <w:shd w:val="clear" w:color="auto" w:fill="D9D9D9"/>
          </w:tcPr>
          <w:p w14:paraId="2FC24E57" w14:textId="77777777" w:rsidR="00CD509F" w:rsidRPr="00FB1BFA" w:rsidRDefault="00CD509F" w:rsidP="00375A6F">
            <w:pPr>
              <w:pStyle w:val="Tabletext"/>
              <w:rPr>
                <w:lang w:val="fr-FR"/>
              </w:rPr>
            </w:pPr>
            <w:r w:rsidRPr="00FB1BFA">
              <w:rPr>
                <w:lang w:val="fr-FR"/>
              </w:rPr>
              <w:t>Rôle des télécommunications/TIC dans les situations de pandémie (telle que la pandémie de COVID-19), en particulier dans les pays en développement</w:t>
            </w:r>
          </w:p>
        </w:tc>
      </w:tr>
      <w:tr w:rsidR="00CD509F" w:rsidRPr="00FB1BFA" w14:paraId="3B0EAA0E" w14:textId="77777777" w:rsidTr="00375A6F">
        <w:trPr>
          <w:trHeight w:val="195"/>
        </w:trPr>
        <w:tc>
          <w:tcPr>
            <w:tcW w:w="4526" w:type="dxa"/>
            <w:shd w:val="clear" w:color="auto" w:fill="31849B"/>
          </w:tcPr>
          <w:p w14:paraId="6E8AF109" w14:textId="77777777" w:rsidR="00CD509F" w:rsidRPr="00FB1BFA" w:rsidRDefault="00CD509F" w:rsidP="00375A6F">
            <w:pPr>
              <w:pStyle w:val="Tabletext"/>
              <w:rPr>
                <w:b/>
                <w:bCs/>
                <w:color w:val="FFFFFF" w:themeColor="background1"/>
                <w:lang w:val="fr-FR"/>
              </w:rPr>
            </w:pPr>
            <w:r w:rsidRPr="00FB1BFA">
              <w:rPr>
                <w:b/>
                <w:bCs/>
                <w:color w:val="FFFFFF" w:themeColor="background1"/>
                <w:lang w:val="fr-FR"/>
              </w:rPr>
              <w:t>Projet de nouvelle Résolution</w:t>
            </w:r>
          </w:p>
        </w:tc>
        <w:tc>
          <w:tcPr>
            <w:tcW w:w="5245" w:type="dxa"/>
            <w:shd w:val="clear" w:color="auto" w:fill="D9D9D9"/>
          </w:tcPr>
          <w:p w14:paraId="634DCF18" w14:textId="77777777" w:rsidR="00CD509F" w:rsidRPr="00FB1BFA" w:rsidRDefault="00CD509F" w:rsidP="00375A6F">
            <w:pPr>
              <w:pStyle w:val="Tabletext"/>
              <w:rPr>
                <w:lang w:val="fr-FR"/>
              </w:rPr>
            </w:pPr>
            <w:r w:rsidRPr="00FB1BFA">
              <w:rPr>
                <w:lang w:val="fr-FR"/>
              </w:rPr>
              <w:t>La transformation numérique au service du développement durable, y compris l'établissement de centres de données et d'informatique en nuage dans les pays en développement</w:t>
            </w:r>
          </w:p>
        </w:tc>
      </w:tr>
    </w:tbl>
    <w:p w14:paraId="3C9EA8DD" w14:textId="77777777" w:rsidR="00CD509F" w:rsidRPr="00FB1BFA" w:rsidRDefault="00CD509F" w:rsidP="00CD509F">
      <w:pPr>
        <w:pStyle w:val="Tablelegend"/>
        <w:rPr>
          <w:sz w:val="18"/>
          <w:szCs w:val="18"/>
          <w:lang w:val="fr-FR"/>
        </w:rPr>
      </w:pPr>
      <w:r w:rsidRPr="00FB1BFA">
        <w:rPr>
          <w:i/>
          <w:iCs/>
          <w:sz w:val="18"/>
          <w:szCs w:val="18"/>
          <w:lang w:val="fr-FR"/>
        </w:rPr>
        <w:t>Source</w:t>
      </w:r>
      <w:r w:rsidRPr="00FB1BFA">
        <w:rPr>
          <w:sz w:val="18"/>
          <w:szCs w:val="18"/>
          <w:lang w:val="fr-FR"/>
        </w:rPr>
        <w:t>: adapté de la présentation de la LAS lors de la réunion IRM-3, 10 mars 2022.</w:t>
      </w:r>
    </w:p>
    <w:p w14:paraId="6A98A37B" w14:textId="77777777" w:rsidR="00FE773D" w:rsidRPr="00FB1BFA" w:rsidRDefault="00FE773D" w:rsidP="00FE773D">
      <w:pPr>
        <w:pStyle w:val="Headingb"/>
        <w:rPr>
          <w:lang w:val="fr-FR"/>
        </w:rPr>
      </w:pPr>
      <w:r w:rsidRPr="00FB1BFA">
        <w:rPr>
          <w:lang w:val="fr-FR"/>
        </w:rPr>
        <w:t>Initiatives régionales du Groupe des États arabes</w:t>
      </w:r>
    </w:p>
    <w:p w14:paraId="7CC4915A" w14:textId="77777777" w:rsidR="00FE773D" w:rsidRPr="00FB1BFA" w:rsidRDefault="00FE773D" w:rsidP="00FE773D">
      <w:pPr>
        <w:rPr>
          <w:lang w:val="fr-FR"/>
        </w:rPr>
      </w:pPr>
      <w:r w:rsidRPr="00FB1BFA">
        <w:rPr>
          <w:lang w:val="fr-FR"/>
        </w:rPr>
        <w:t>Le Groupe de préparation des États arabes s'est fixé les cinq priorités suivantes:</w:t>
      </w:r>
    </w:p>
    <w:p w14:paraId="1C092A93" w14:textId="77777777" w:rsidR="00FE773D" w:rsidRPr="00FB1BFA" w:rsidRDefault="00FE773D" w:rsidP="00FE773D">
      <w:pPr>
        <w:pStyle w:val="enumlev1"/>
        <w:rPr>
          <w:lang w:val="fr-FR"/>
        </w:rPr>
      </w:pPr>
      <w:r w:rsidRPr="00FB1BFA">
        <w:rPr>
          <w:lang w:val="fr-FR"/>
        </w:rPr>
        <w:t>–</w:t>
      </w:r>
      <w:r w:rsidRPr="00FB1BFA">
        <w:rPr>
          <w:lang w:val="fr-FR"/>
        </w:rPr>
        <w:tab/>
        <w:t>Promouvoir la transformation numérique pour une transition rapide vers l'économie numérique et permettre l'inclusion numérique.</w:t>
      </w:r>
    </w:p>
    <w:p w14:paraId="26B30D11" w14:textId="77777777" w:rsidR="00FE773D" w:rsidRPr="00FB1BFA" w:rsidRDefault="00FE773D" w:rsidP="00FE773D">
      <w:pPr>
        <w:pStyle w:val="enumlev1"/>
        <w:rPr>
          <w:lang w:val="fr-FR"/>
        </w:rPr>
      </w:pPr>
      <w:r w:rsidRPr="00FB1BFA">
        <w:rPr>
          <w:lang w:val="fr-FR"/>
        </w:rPr>
        <w:t>–</w:t>
      </w:r>
      <w:r w:rsidRPr="00FB1BFA">
        <w:rPr>
          <w:lang w:val="fr-FR"/>
        </w:rPr>
        <w:tab/>
        <w:t>Renforcer la confiance, la sécurité et la confidentialité dans l'utilisation des télécommunications/TIC à l'ère des technologies numériques nouvelles et émergentes.</w:t>
      </w:r>
    </w:p>
    <w:p w14:paraId="3E08F97A" w14:textId="77777777" w:rsidR="00FE773D" w:rsidRPr="00FB1BFA" w:rsidRDefault="00FE773D" w:rsidP="00FE773D">
      <w:pPr>
        <w:pStyle w:val="enumlev1"/>
        <w:rPr>
          <w:lang w:val="fr-FR"/>
        </w:rPr>
      </w:pPr>
      <w:r w:rsidRPr="00FB1BFA">
        <w:rPr>
          <w:lang w:val="fr-FR"/>
        </w:rPr>
        <w:t>–</w:t>
      </w:r>
      <w:r w:rsidRPr="00FB1BFA">
        <w:rPr>
          <w:lang w:val="fr-FR"/>
        </w:rPr>
        <w:tab/>
        <w:t>Développer l'infrastructure numérique, promouvoir l'accès universel et appuyer les villes et communautés intelligentes.</w:t>
      </w:r>
    </w:p>
    <w:p w14:paraId="79578EEA" w14:textId="77777777" w:rsidR="00FE773D" w:rsidRPr="00FB1BFA" w:rsidRDefault="00FE773D" w:rsidP="00FE773D">
      <w:pPr>
        <w:pStyle w:val="enumlev1"/>
        <w:rPr>
          <w:lang w:val="fr-FR"/>
        </w:rPr>
      </w:pPr>
      <w:r w:rsidRPr="00FB1BFA">
        <w:rPr>
          <w:lang w:val="fr-FR"/>
        </w:rPr>
        <w:t>–</w:t>
      </w:r>
      <w:r w:rsidRPr="00FB1BFA">
        <w:rPr>
          <w:lang w:val="fr-FR"/>
        </w:rPr>
        <w:tab/>
        <w:t>Renforcer les capacités et encourager l'innovation et l'entrepreneuriat numériques.</w:t>
      </w:r>
    </w:p>
    <w:p w14:paraId="2F129FCB" w14:textId="77777777" w:rsidR="00FE773D" w:rsidRPr="00FB1BFA" w:rsidRDefault="00FE773D" w:rsidP="00FE773D">
      <w:pPr>
        <w:pStyle w:val="enumlev1"/>
        <w:rPr>
          <w:lang w:val="fr-FR"/>
        </w:rPr>
      </w:pPr>
      <w:r w:rsidRPr="00FB1BFA">
        <w:rPr>
          <w:lang w:val="fr-FR"/>
        </w:rPr>
        <w:t>–</w:t>
      </w:r>
      <w:r w:rsidRPr="00FB1BFA">
        <w:rPr>
          <w:lang w:val="fr-FR"/>
        </w:rPr>
        <w:tab/>
        <w:t>Élaborer une réglementation collaborative pour le numérique et harmoniser les cadres politiques et réglementaires applicables aux TIC.</w:t>
      </w:r>
    </w:p>
    <w:p w14:paraId="78890117" w14:textId="77777777" w:rsidR="00FE773D" w:rsidRPr="00FB1BFA" w:rsidRDefault="00FE773D" w:rsidP="00FE773D">
      <w:pPr>
        <w:pStyle w:val="Headingb"/>
        <w:rPr>
          <w:lang w:val="fr-FR"/>
        </w:rPr>
      </w:pPr>
      <w:r w:rsidRPr="00FB1BFA">
        <w:rPr>
          <w:lang w:val="fr-FR"/>
        </w:rPr>
        <w:lastRenderedPageBreak/>
        <w:t>Priorités thématiques</w:t>
      </w:r>
    </w:p>
    <w:p w14:paraId="3AFBC119" w14:textId="77777777" w:rsidR="00FE773D" w:rsidRPr="00FB1BFA" w:rsidRDefault="00FE773D" w:rsidP="00FE773D">
      <w:pPr>
        <w:rPr>
          <w:lang w:val="fr-FR"/>
        </w:rPr>
      </w:pPr>
      <w:r w:rsidRPr="00FB1BFA">
        <w:rPr>
          <w:lang w:val="fr-FR"/>
        </w:rPr>
        <w:t xml:space="preserve">Concernant les priorités thématiques finales, le Groupe de préparation des États arabes attend toujours avec intérêt de compter les cinq priorités suivantes, au lieu de quatre: connectivité; transformation numérique; environnement propice; mobilisation des ressources et coopération internationale, priorités </w:t>
      </w:r>
      <w:r w:rsidRPr="00FB1BFA">
        <w:rPr>
          <w:color w:val="000000"/>
          <w:lang w:val="fr-FR"/>
        </w:rPr>
        <w:t>auxquelles s'ajoute</w:t>
      </w:r>
      <w:r w:rsidRPr="00FB1BFA" w:rsidDel="00200F3C">
        <w:rPr>
          <w:lang w:val="fr-FR"/>
        </w:rPr>
        <w:t xml:space="preserve"> </w:t>
      </w:r>
      <w:r w:rsidRPr="00FB1BFA">
        <w:rPr>
          <w:lang w:val="fr-FR"/>
        </w:rPr>
        <w:t>le [renforcement de la confiance et de la sécurité dans l'utilisation des TIC].</w:t>
      </w:r>
    </w:p>
    <w:p w14:paraId="672BABBB" w14:textId="77777777" w:rsidR="00FE773D" w:rsidRPr="00FB1BFA" w:rsidRDefault="00FE773D" w:rsidP="00FE773D">
      <w:pPr>
        <w:pStyle w:val="Headingb"/>
        <w:rPr>
          <w:lang w:val="fr-FR"/>
        </w:rPr>
      </w:pPr>
      <w:r w:rsidRPr="00FB1BFA">
        <w:rPr>
          <w:lang w:val="fr-FR"/>
        </w:rPr>
        <w:t>Déclaration de la CMDT</w:t>
      </w:r>
    </w:p>
    <w:p w14:paraId="116801FF" w14:textId="77777777" w:rsidR="00FE773D" w:rsidRPr="00FB1BFA" w:rsidRDefault="00FE773D" w:rsidP="00FE773D">
      <w:pPr>
        <w:rPr>
          <w:lang w:val="fr-FR"/>
        </w:rPr>
      </w:pPr>
      <w:r w:rsidRPr="00FB1BFA">
        <w:rPr>
          <w:lang w:val="fr-FR"/>
        </w:rPr>
        <w:t>En ce qui concerne la Déclaration finale de la CMDT, le Groupe de préparation des États arabes estime que le projet de Déclaration proposé par le GCDT pourrait servir de base aux États Membres de l'UIT pour poursuivre l'examen et apporter des améliorations supplémentaires en vue de la CMDT, à laquelle la Déclaration sera établie sous sa forme définitive.</w:t>
      </w:r>
    </w:p>
    <w:p w14:paraId="5E215E0A" w14:textId="77777777" w:rsidR="00FE773D" w:rsidRPr="00FB1BFA" w:rsidRDefault="00FE773D" w:rsidP="00FE773D">
      <w:pPr>
        <w:spacing w:after="120"/>
        <w:rPr>
          <w:rFonts w:cstheme="minorHAnsi"/>
          <w:szCs w:val="24"/>
          <w:lang w:val="fr-FR"/>
        </w:rPr>
      </w:pPr>
      <w:r w:rsidRPr="00FB1BFA">
        <w:rPr>
          <w:rFonts w:cstheme="minorHAnsi"/>
          <w:szCs w:val="24"/>
          <w:lang w:val="fr-FR"/>
        </w:rPr>
        <w:t>Le Groupe de préparation des États arabes est parvenu à un accord concernant les nominations suivantes aux postes de direction du GCDT, des commissions d'études de l'UIT-D et de la Commission de rédaction de la CMDT (voir le Tableau 3.18).</w:t>
      </w:r>
    </w:p>
    <w:p w14:paraId="41218DA2" w14:textId="3D2675E0" w:rsidR="00FE773D" w:rsidRPr="00FB1BFA" w:rsidRDefault="00FE773D" w:rsidP="007319CC">
      <w:pPr>
        <w:pStyle w:val="Tabletitle"/>
        <w:rPr>
          <w:lang w:val="fr-FR"/>
        </w:rPr>
      </w:pPr>
      <w:r w:rsidRPr="00FB1BFA">
        <w:rPr>
          <w:lang w:val="fr-FR"/>
        </w:rPr>
        <w:t xml:space="preserve">Tableau 3.18: Candidats aux postes de direction de la CMDT, </w:t>
      </w:r>
      <w:r w:rsidR="007319CC" w:rsidRPr="00FB1BFA">
        <w:rPr>
          <w:lang w:val="fr-FR"/>
        </w:rPr>
        <w:br/>
      </w:r>
      <w:r w:rsidRPr="00FB1BFA">
        <w:rPr>
          <w:lang w:val="fr-FR"/>
        </w:rPr>
        <w:t>du GCDT et d'une Commission d'études de l'UIT-D</w:t>
      </w:r>
    </w:p>
    <w:tbl>
      <w:tblPr>
        <w:tblW w:w="5000" w:type="pct"/>
        <w:tblCellMar>
          <w:left w:w="0" w:type="dxa"/>
          <w:right w:w="0" w:type="dxa"/>
        </w:tblCellMar>
        <w:tblLook w:val="04A0" w:firstRow="1" w:lastRow="0" w:firstColumn="1" w:lastColumn="0" w:noHBand="0" w:noVBand="1"/>
      </w:tblPr>
      <w:tblGrid>
        <w:gridCol w:w="3877"/>
        <w:gridCol w:w="3158"/>
        <w:gridCol w:w="2586"/>
      </w:tblGrid>
      <w:tr w:rsidR="00FE773D" w:rsidRPr="00FB1BFA" w14:paraId="737D7749" w14:textId="77777777" w:rsidTr="00DB28BA">
        <w:trPr>
          <w:trHeight w:val="502"/>
        </w:trPr>
        <w:tc>
          <w:tcPr>
            <w:tcW w:w="3877" w:type="dxa"/>
            <w:tcBorders>
              <w:top w:val="single" w:sz="8" w:space="0" w:color="FFFFFF"/>
              <w:left w:val="single" w:sz="8" w:space="0" w:color="FFFFFF"/>
              <w:bottom w:val="single" w:sz="8" w:space="0" w:color="FFFFFF"/>
              <w:right w:val="nil"/>
            </w:tcBorders>
            <w:shd w:val="clear" w:color="auto" w:fill="31849B"/>
            <w:tcMar>
              <w:top w:w="0" w:type="dxa"/>
              <w:left w:w="108" w:type="dxa"/>
              <w:bottom w:w="0" w:type="dxa"/>
              <w:right w:w="108" w:type="dxa"/>
            </w:tcMar>
            <w:hideMark/>
          </w:tcPr>
          <w:p w14:paraId="3F435E30" w14:textId="77777777" w:rsidR="00FE773D" w:rsidRPr="00FB1BFA" w:rsidRDefault="00FE773D" w:rsidP="00DB28BA">
            <w:pPr>
              <w:pStyle w:val="Tablehead"/>
              <w:rPr>
                <w:bCs/>
                <w:color w:val="FFFFFF" w:themeColor="background1"/>
                <w:lang w:val="fr-FR"/>
              </w:rPr>
            </w:pPr>
          </w:p>
        </w:tc>
        <w:tc>
          <w:tcPr>
            <w:tcW w:w="5744" w:type="dxa"/>
            <w:gridSpan w:val="2"/>
            <w:tcBorders>
              <w:top w:val="single" w:sz="8" w:space="0" w:color="FFFFFF"/>
              <w:left w:val="nil"/>
              <w:bottom w:val="single" w:sz="8" w:space="0" w:color="FFFFFF"/>
              <w:right w:val="single" w:sz="8" w:space="0" w:color="FFFFFF"/>
            </w:tcBorders>
            <w:shd w:val="clear" w:color="auto" w:fill="31849B"/>
            <w:tcMar>
              <w:top w:w="0" w:type="dxa"/>
              <w:left w:w="108" w:type="dxa"/>
              <w:bottom w:w="0" w:type="dxa"/>
              <w:right w:w="108" w:type="dxa"/>
            </w:tcMar>
          </w:tcPr>
          <w:p w14:paraId="16812537" w14:textId="77777777" w:rsidR="00FE773D" w:rsidRPr="00FB1BFA" w:rsidRDefault="00FE773D" w:rsidP="00DB28BA">
            <w:pPr>
              <w:pStyle w:val="Tablehead"/>
              <w:rPr>
                <w:bCs/>
                <w:color w:val="FFFFFF" w:themeColor="background1"/>
                <w:lang w:val="fr-FR"/>
              </w:rPr>
            </w:pPr>
            <w:r w:rsidRPr="00FB1BFA">
              <w:rPr>
                <w:bCs/>
                <w:color w:val="FFFFFF" w:themeColor="background1"/>
                <w:lang w:val="fr-FR"/>
              </w:rPr>
              <w:t xml:space="preserve">Nominations du Groupe des États arabes </w:t>
            </w:r>
          </w:p>
        </w:tc>
      </w:tr>
      <w:tr w:rsidR="00FE773D" w:rsidRPr="00FB1BFA" w14:paraId="1018A3CD" w14:textId="77777777" w:rsidTr="00DB28BA">
        <w:tc>
          <w:tcPr>
            <w:tcW w:w="3877"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2F561039" w14:textId="77777777" w:rsidR="00FE773D" w:rsidRPr="00FB1BFA" w:rsidRDefault="00FE773D" w:rsidP="00DB28BA">
            <w:pPr>
              <w:pStyle w:val="Tabletext"/>
              <w:rPr>
                <w:b/>
                <w:bCs/>
                <w:color w:val="FFFFFF" w:themeColor="background1"/>
                <w:lang w:val="fr-FR"/>
              </w:rPr>
            </w:pPr>
            <w:r w:rsidRPr="00FB1BFA">
              <w:rPr>
                <w:b/>
                <w:bCs/>
                <w:color w:val="FFFFFF" w:themeColor="background1"/>
                <w:lang w:val="fr-FR"/>
              </w:rPr>
              <w:t>Commission/groupe</w:t>
            </w:r>
          </w:p>
        </w:tc>
        <w:tc>
          <w:tcPr>
            <w:tcW w:w="3158"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13B93958" w14:textId="77777777" w:rsidR="00FE773D" w:rsidRPr="00FB1BFA" w:rsidRDefault="00FE773D" w:rsidP="00DB28BA">
            <w:pPr>
              <w:pStyle w:val="Tabletext"/>
              <w:rPr>
                <w:b/>
                <w:bCs/>
                <w:color w:val="FFFFFF" w:themeColor="background1"/>
                <w:lang w:val="fr-FR"/>
              </w:rPr>
            </w:pPr>
            <w:r w:rsidRPr="00FB1BFA">
              <w:rPr>
                <w:b/>
                <w:bCs/>
                <w:color w:val="FFFFFF" w:themeColor="background1"/>
                <w:lang w:val="fr-FR"/>
              </w:rPr>
              <w:t xml:space="preserve">Fonction </w:t>
            </w:r>
          </w:p>
        </w:tc>
        <w:tc>
          <w:tcPr>
            <w:tcW w:w="2586"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43D9A841" w14:textId="77777777" w:rsidR="00FE773D" w:rsidRPr="00FB1BFA" w:rsidRDefault="00FE773D" w:rsidP="00DB28BA">
            <w:pPr>
              <w:pStyle w:val="Tabletext"/>
              <w:rPr>
                <w:b/>
                <w:bCs/>
                <w:color w:val="FFFFFF" w:themeColor="background1"/>
                <w:lang w:val="fr-FR"/>
              </w:rPr>
            </w:pPr>
            <w:r w:rsidRPr="00FB1BFA">
              <w:rPr>
                <w:b/>
                <w:bCs/>
                <w:color w:val="FFFFFF" w:themeColor="background1"/>
                <w:lang w:val="fr-FR"/>
              </w:rPr>
              <w:t>Pays</w:t>
            </w:r>
          </w:p>
        </w:tc>
      </w:tr>
      <w:tr w:rsidR="00FE773D" w:rsidRPr="00FB1BFA" w14:paraId="3586F3CE" w14:textId="77777777" w:rsidTr="00DB28BA">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1C50AF50" w14:textId="77777777" w:rsidR="00FE773D" w:rsidRPr="00FB1BFA" w:rsidRDefault="00FE773D" w:rsidP="00DB28BA">
            <w:pPr>
              <w:pStyle w:val="Tabletext"/>
              <w:rPr>
                <w:b/>
                <w:bCs/>
                <w:color w:val="FFFFFF" w:themeColor="background1"/>
                <w:lang w:val="fr-FR"/>
              </w:rPr>
            </w:pPr>
            <w:r w:rsidRPr="00FB1BFA">
              <w:rPr>
                <w:b/>
                <w:bCs/>
                <w:color w:val="FFFFFF" w:themeColor="background1"/>
                <w:lang w:val="fr-FR"/>
              </w:rPr>
              <w:t>GCDT</w:t>
            </w:r>
          </w:p>
        </w:tc>
        <w:tc>
          <w:tcPr>
            <w:tcW w:w="3158" w:type="dxa"/>
            <w:tcBorders>
              <w:top w:val="nil"/>
              <w:left w:val="nil"/>
              <w:bottom w:val="nil"/>
              <w:right w:val="single" w:sz="8" w:space="0" w:color="FFFFFF"/>
            </w:tcBorders>
            <w:shd w:val="clear" w:color="auto" w:fill="D9D9D9"/>
            <w:tcMar>
              <w:top w:w="0" w:type="dxa"/>
              <w:left w:w="108" w:type="dxa"/>
              <w:bottom w:w="0" w:type="dxa"/>
              <w:right w:w="108" w:type="dxa"/>
            </w:tcMar>
          </w:tcPr>
          <w:p w14:paraId="5E62609C" w14:textId="77777777" w:rsidR="00FE773D" w:rsidRPr="00FB1BFA" w:rsidRDefault="00FE773D" w:rsidP="00DB28BA">
            <w:pPr>
              <w:pStyle w:val="Tabletext"/>
              <w:rPr>
                <w:lang w:val="fr-FR"/>
              </w:rPr>
            </w:pPr>
            <w:r w:rsidRPr="00FB1BFA">
              <w:rPr>
                <w:lang w:val="fr-FR"/>
              </w:rPr>
              <w:t>Vice-Président</w:t>
            </w:r>
          </w:p>
        </w:tc>
        <w:tc>
          <w:tcPr>
            <w:tcW w:w="2586" w:type="dxa"/>
            <w:tcBorders>
              <w:top w:val="nil"/>
              <w:left w:val="nil"/>
              <w:bottom w:val="nil"/>
              <w:right w:val="single" w:sz="8" w:space="0" w:color="FFFFFF"/>
            </w:tcBorders>
            <w:shd w:val="clear" w:color="auto" w:fill="D9D9D9"/>
            <w:tcMar>
              <w:top w:w="0" w:type="dxa"/>
              <w:left w:w="108" w:type="dxa"/>
              <w:bottom w:w="0" w:type="dxa"/>
              <w:right w:w="108" w:type="dxa"/>
            </w:tcMar>
          </w:tcPr>
          <w:p w14:paraId="7F21249F" w14:textId="77777777" w:rsidR="00FE773D" w:rsidRPr="00FB1BFA" w:rsidRDefault="00FE773D" w:rsidP="00DB28BA">
            <w:pPr>
              <w:pStyle w:val="Tabletext"/>
              <w:rPr>
                <w:lang w:val="fr-FR"/>
              </w:rPr>
            </w:pPr>
            <w:r w:rsidRPr="00FB1BFA">
              <w:rPr>
                <w:lang w:val="fr-FR"/>
              </w:rPr>
              <w:t>Arabie saoudite</w:t>
            </w:r>
          </w:p>
        </w:tc>
      </w:tr>
      <w:tr w:rsidR="00FE773D" w:rsidRPr="00FB1BFA" w14:paraId="57BD4CDA" w14:textId="77777777" w:rsidTr="00DB28BA">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1543EC0C" w14:textId="77777777" w:rsidR="00FE773D" w:rsidRPr="00FB1BFA" w:rsidRDefault="00FE773D" w:rsidP="00DB28BA">
            <w:pPr>
              <w:pStyle w:val="Tabletext"/>
              <w:rPr>
                <w:b/>
                <w:bCs/>
                <w:color w:val="FFFFFF" w:themeColor="background1"/>
                <w:lang w:val="fr-FR"/>
              </w:rPr>
            </w:pPr>
            <w:r w:rsidRPr="00FB1BFA">
              <w:rPr>
                <w:b/>
                <w:bCs/>
                <w:color w:val="FFFFFF" w:themeColor="background1"/>
                <w:lang w:val="fr-FR"/>
              </w:rPr>
              <w:t>Commission d'études 2</w:t>
            </w:r>
          </w:p>
        </w:tc>
        <w:tc>
          <w:tcPr>
            <w:tcW w:w="3158" w:type="dxa"/>
            <w:tcBorders>
              <w:top w:val="nil"/>
              <w:left w:val="nil"/>
              <w:bottom w:val="nil"/>
              <w:right w:val="single" w:sz="8" w:space="0" w:color="FFFFFF"/>
            </w:tcBorders>
            <w:shd w:val="clear" w:color="auto" w:fill="D9D9D9"/>
            <w:tcMar>
              <w:top w:w="0" w:type="dxa"/>
              <w:left w:w="108" w:type="dxa"/>
              <w:bottom w:w="0" w:type="dxa"/>
              <w:right w:w="108" w:type="dxa"/>
            </w:tcMar>
          </w:tcPr>
          <w:p w14:paraId="69C34367" w14:textId="77777777" w:rsidR="00FE773D" w:rsidRPr="00FB1BFA" w:rsidRDefault="00FE773D" w:rsidP="00DB28BA">
            <w:pPr>
              <w:pStyle w:val="Tabletext"/>
              <w:rPr>
                <w:lang w:val="fr-FR"/>
              </w:rPr>
            </w:pPr>
            <w:r w:rsidRPr="00FB1BFA">
              <w:rPr>
                <w:lang w:val="fr-FR"/>
              </w:rPr>
              <w:t>Président</w:t>
            </w:r>
          </w:p>
        </w:tc>
        <w:tc>
          <w:tcPr>
            <w:tcW w:w="2586" w:type="dxa"/>
            <w:tcBorders>
              <w:top w:val="nil"/>
              <w:left w:val="nil"/>
              <w:bottom w:val="nil"/>
              <w:right w:val="single" w:sz="8" w:space="0" w:color="FFFFFF"/>
            </w:tcBorders>
            <w:shd w:val="clear" w:color="auto" w:fill="D9D9D9"/>
            <w:tcMar>
              <w:top w:w="0" w:type="dxa"/>
              <w:left w:w="108" w:type="dxa"/>
              <w:bottom w:w="0" w:type="dxa"/>
              <w:right w:w="108" w:type="dxa"/>
            </w:tcMar>
          </w:tcPr>
          <w:p w14:paraId="02FDA55B" w14:textId="77777777" w:rsidR="00FE773D" w:rsidRPr="00FB1BFA" w:rsidRDefault="00FE773D" w:rsidP="00DB28BA">
            <w:pPr>
              <w:pStyle w:val="Tabletext"/>
              <w:rPr>
                <w:lang w:val="fr-FR"/>
              </w:rPr>
            </w:pPr>
            <w:r w:rsidRPr="00FB1BFA">
              <w:rPr>
                <w:lang w:val="fr-FR"/>
              </w:rPr>
              <w:t>Égypte</w:t>
            </w:r>
          </w:p>
        </w:tc>
      </w:tr>
      <w:tr w:rsidR="00FE773D" w:rsidRPr="00FB1BFA" w14:paraId="0C508C2E" w14:textId="77777777" w:rsidTr="00DB28BA">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143A3B44" w14:textId="77777777" w:rsidR="00FE773D" w:rsidRPr="00FB1BFA" w:rsidRDefault="00FE773D" w:rsidP="00DB28BA">
            <w:pPr>
              <w:pStyle w:val="Tabletext"/>
              <w:rPr>
                <w:b/>
                <w:bCs/>
                <w:color w:val="FFFFFF" w:themeColor="background1"/>
                <w:lang w:val="fr-FR"/>
              </w:rPr>
            </w:pPr>
            <w:r w:rsidRPr="00FB1BFA">
              <w:rPr>
                <w:b/>
                <w:bCs/>
                <w:color w:val="FFFFFF" w:themeColor="background1"/>
                <w:lang w:val="fr-FR"/>
              </w:rPr>
              <w:t>Commission d'études 2</w:t>
            </w:r>
          </w:p>
        </w:tc>
        <w:tc>
          <w:tcPr>
            <w:tcW w:w="3158" w:type="dxa"/>
            <w:tcBorders>
              <w:top w:val="nil"/>
              <w:left w:val="nil"/>
              <w:bottom w:val="nil"/>
              <w:right w:val="single" w:sz="8" w:space="0" w:color="FFFFFF"/>
            </w:tcBorders>
            <w:shd w:val="clear" w:color="auto" w:fill="D9D9D9"/>
            <w:tcMar>
              <w:top w:w="0" w:type="dxa"/>
              <w:left w:w="108" w:type="dxa"/>
              <w:bottom w:w="0" w:type="dxa"/>
              <w:right w:w="108" w:type="dxa"/>
            </w:tcMar>
          </w:tcPr>
          <w:p w14:paraId="190051AF" w14:textId="77777777" w:rsidR="00FE773D" w:rsidRPr="00FB1BFA" w:rsidRDefault="00FE773D" w:rsidP="00DB28BA">
            <w:pPr>
              <w:pStyle w:val="Tabletext"/>
              <w:rPr>
                <w:lang w:val="fr-FR"/>
              </w:rPr>
            </w:pPr>
            <w:r w:rsidRPr="00FB1BFA">
              <w:rPr>
                <w:lang w:val="fr-FR"/>
              </w:rPr>
              <w:t xml:space="preserve">Vice-Président </w:t>
            </w:r>
          </w:p>
        </w:tc>
        <w:tc>
          <w:tcPr>
            <w:tcW w:w="2586" w:type="dxa"/>
            <w:tcBorders>
              <w:top w:val="nil"/>
              <w:left w:val="nil"/>
              <w:bottom w:val="nil"/>
              <w:right w:val="single" w:sz="8" w:space="0" w:color="FFFFFF"/>
            </w:tcBorders>
            <w:shd w:val="clear" w:color="auto" w:fill="D9D9D9"/>
            <w:tcMar>
              <w:top w:w="0" w:type="dxa"/>
              <w:left w:w="108" w:type="dxa"/>
              <w:bottom w:w="0" w:type="dxa"/>
              <w:right w:w="108" w:type="dxa"/>
            </w:tcMar>
          </w:tcPr>
          <w:p w14:paraId="3C4A5FF8" w14:textId="77777777" w:rsidR="00FE773D" w:rsidRPr="00FB1BFA" w:rsidRDefault="00FE773D" w:rsidP="00DB28BA">
            <w:pPr>
              <w:pStyle w:val="Tabletext"/>
              <w:rPr>
                <w:lang w:val="fr-FR"/>
              </w:rPr>
            </w:pPr>
            <w:r w:rsidRPr="00FB1BFA">
              <w:rPr>
                <w:lang w:val="fr-FR"/>
              </w:rPr>
              <w:t xml:space="preserve">Émirats arabes unis </w:t>
            </w:r>
          </w:p>
        </w:tc>
      </w:tr>
      <w:tr w:rsidR="00FE773D" w:rsidRPr="00FB1BFA" w14:paraId="21B784CD" w14:textId="77777777" w:rsidTr="00DB28BA">
        <w:tc>
          <w:tcPr>
            <w:tcW w:w="3877"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091E8772" w14:textId="77777777" w:rsidR="00FE773D" w:rsidRPr="00FB1BFA" w:rsidRDefault="00FE773D" w:rsidP="00DB28BA">
            <w:pPr>
              <w:pStyle w:val="Tabletext"/>
              <w:rPr>
                <w:b/>
                <w:bCs/>
                <w:color w:val="FFFFFF" w:themeColor="background1"/>
                <w:lang w:val="fr-FR"/>
              </w:rPr>
            </w:pPr>
            <w:r w:rsidRPr="00FB1BFA">
              <w:rPr>
                <w:b/>
                <w:bCs/>
                <w:color w:val="FFFFFF" w:themeColor="background1"/>
                <w:lang w:val="fr-FR"/>
              </w:rPr>
              <w:t>Commission de rédaction de la CMDT</w:t>
            </w:r>
          </w:p>
        </w:tc>
        <w:tc>
          <w:tcPr>
            <w:tcW w:w="3158"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733EE5DF" w14:textId="77777777" w:rsidR="00FE773D" w:rsidRPr="00FB1BFA" w:rsidRDefault="00FE773D" w:rsidP="00DB28BA">
            <w:pPr>
              <w:pStyle w:val="Tabletext"/>
              <w:rPr>
                <w:lang w:val="fr-FR"/>
              </w:rPr>
            </w:pPr>
            <w:r w:rsidRPr="00FB1BFA">
              <w:rPr>
                <w:lang w:val="fr-FR"/>
              </w:rPr>
              <w:t xml:space="preserve">Vice-Président </w:t>
            </w:r>
          </w:p>
        </w:tc>
        <w:tc>
          <w:tcPr>
            <w:tcW w:w="2586"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4F058476" w14:textId="77777777" w:rsidR="00FE773D" w:rsidRPr="00FB1BFA" w:rsidRDefault="00FE773D" w:rsidP="00DB28BA">
            <w:pPr>
              <w:pStyle w:val="Tabletext"/>
              <w:rPr>
                <w:lang w:val="fr-FR"/>
              </w:rPr>
            </w:pPr>
            <w:r w:rsidRPr="00FB1BFA">
              <w:rPr>
                <w:lang w:val="fr-FR"/>
              </w:rPr>
              <w:t>Koweït</w:t>
            </w:r>
          </w:p>
        </w:tc>
      </w:tr>
    </w:tbl>
    <w:p w14:paraId="186E6F76" w14:textId="77777777" w:rsidR="00FE773D" w:rsidRPr="00FB1BFA" w:rsidRDefault="00FE773D" w:rsidP="00FE773D">
      <w:pPr>
        <w:pStyle w:val="Tablelegend"/>
        <w:rPr>
          <w:sz w:val="18"/>
          <w:szCs w:val="18"/>
          <w:lang w:val="fr-FR"/>
        </w:rPr>
      </w:pPr>
      <w:r w:rsidRPr="00FB1BFA">
        <w:rPr>
          <w:i/>
          <w:iCs/>
          <w:sz w:val="18"/>
          <w:szCs w:val="18"/>
          <w:lang w:val="fr-FR"/>
        </w:rPr>
        <w:t>Source</w:t>
      </w:r>
      <w:r w:rsidRPr="00FB1BFA">
        <w:rPr>
          <w:sz w:val="18"/>
          <w:szCs w:val="18"/>
          <w:lang w:val="fr-FR"/>
        </w:rPr>
        <w:t>: Adapté de la présentation de la Ligue des États arabes lors de la réunion IRM-3, 10 mars 2022.</w:t>
      </w:r>
    </w:p>
    <w:p w14:paraId="5FB6C42D" w14:textId="77777777" w:rsidR="00FE773D" w:rsidRPr="00FB1BFA" w:rsidRDefault="00FE773D" w:rsidP="00FE773D">
      <w:pPr>
        <w:pStyle w:val="Heading1"/>
        <w:rPr>
          <w:lang w:val="fr-FR"/>
        </w:rPr>
      </w:pPr>
      <w:r w:rsidRPr="00FB1BFA">
        <w:rPr>
          <w:lang w:val="fr-FR"/>
        </w:rPr>
        <w:t>4</w:t>
      </w:r>
      <w:r w:rsidRPr="00FB1BFA">
        <w:rPr>
          <w:lang w:val="fr-FR"/>
        </w:rPr>
        <w:tab/>
        <w:t>Contributions des Membres et du BDT</w:t>
      </w:r>
    </w:p>
    <w:p w14:paraId="0190E90A" w14:textId="77777777" w:rsidR="00FE773D" w:rsidRPr="00FB1BFA" w:rsidRDefault="00FE773D" w:rsidP="00FE773D">
      <w:pPr>
        <w:pStyle w:val="Heading2"/>
        <w:rPr>
          <w:lang w:val="fr-FR"/>
        </w:rPr>
      </w:pPr>
      <w:r w:rsidRPr="00FB1BFA">
        <w:rPr>
          <w:lang w:val="fr-FR"/>
        </w:rPr>
        <w:t>4.1</w:t>
      </w:r>
      <w:r w:rsidRPr="00FB1BFA">
        <w:rPr>
          <w:lang w:val="fr-FR"/>
        </w:rPr>
        <w:tab/>
        <w:t>Vues de l'APT</w:t>
      </w:r>
    </w:p>
    <w:p w14:paraId="2F48CD52" w14:textId="77777777" w:rsidR="00FE773D" w:rsidRPr="00FB1BFA" w:rsidRDefault="00FB1BFA" w:rsidP="00FE773D">
      <w:pPr>
        <w:keepNext/>
        <w:keepLines/>
        <w:rPr>
          <w:rFonts w:asciiTheme="minorHAnsi" w:hAnsiTheme="minorHAnsi" w:cstheme="minorHAnsi"/>
          <w:szCs w:val="24"/>
          <w:lang w:val="fr-FR"/>
        </w:rPr>
      </w:pPr>
      <w:hyperlink r:id="rId30" w:history="1">
        <w:r w:rsidR="00FE773D" w:rsidRPr="00FB1BFA">
          <w:rPr>
            <w:rStyle w:val="Hyperlink"/>
            <w:rFonts w:asciiTheme="minorHAnsi" w:hAnsiTheme="minorHAnsi" w:cstheme="minorHAnsi"/>
            <w:szCs w:val="24"/>
            <w:lang w:val="fr-FR"/>
          </w:rPr>
          <w:t>Document 65</w:t>
        </w:r>
      </w:hyperlink>
      <w:r w:rsidR="00FE773D" w:rsidRPr="00FB1BFA">
        <w:rPr>
          <w:rFonts w:asciiTheme="minorHAnsi" w:hAnsiTheme="minorHAnsi" w:cstheme="minorHAnsi"/>
          <w:szCs w:val="24"/>
          <w:lang w:val="fr-FR"/>
        </w:rPr>
        <w:t xml:space="preserve">: cette contribution, présentée par la République islamique d'Iran, expose </w:t>
      </w:r>
      <w:r w:rsidR="00FE773D" w:rsidRPr="00FB1BFA">
        <w:rPr>
          <w:rFonts w:asciiTheme="minorHAnsi" w:hAnsiTheme="minorHAnsi" w:cstheme="minorHAnsi"/>
          <w:b/>
          <w:bCs/>
          <w:szCs w:val="24"/>
          <w:lang w:val="fr-FR"/>
        </w:rPr>
        <w:t>les vues de l'APT sur le projet de Déclaration de la CMDT</w:t>
      </w:r>
      <w:r w:rsidR="00FE773D" w:rsidRPr="00FB1BFA">
        <w:rPr>
          <w:rFonts w:asciiTheme="minorHAnsi" w:hAnsiTheme="minorHAnsi" w:cstheme="minorHAnsi"/>
          <w:szCs w:val="24"/>
          <w:lang w:val="fr-FR"/>
        </w:rPr>
        <w:t>. Lors de la 4ème réunion du Groupe de préparation de l'APT en vue de la CMDT, tenue du 24 au 28 janvier 2022, les 15 pays ci-après ont souscrit sans réserve au projet de Déclaration de la CMDT, qui avait été examiné à la réunion du GCDT tenue en novembre 2021: Australie, Brunéi Darussalam, Cambodge, Chine, Inde, Indonésie, République islamique d'Iran, Japon, République de Corée, Lao (R.d.p.), Malaisie, Myanmar, Samoa, Singapour et Thaïlande. Le projet de Déclaration de la CMDT comprend deux parties: la partie "</w:t>
      </w:r>
      <w:r w:rsidR="00FE773D" w:rsidRPr="00FB1BFA">
        <w:rPr>
          <w:rFonts w:asciiTheme="minorHAnsi" w:hAnsiTheme="minorHAnsi" w:cstheme="minorHAnsi"/>
          <w:i/>
          <w:iCs/>
          <w:szCs w:val="24"/>
          <w:lang w:val="fr-FR"/>
        </w:rPr>
        <w:t>Nous déclarons</w:t>
      </w:r>
      <w:r w:rsidR="00FE773D" w:rsidRPr="00FB1BFA">
        <w:rPr>
          <w:rFonts w:asciiTheme="minorHAnsi" w:hAnsiTheme="minorHAnsi" w:cstheme="minorHAnsi"/>
          <w:szCs w:val="24"/>
          <w:lang w:val="fr-FR"/>
        </w:rPr>
        <w:t>" et la partie "</w:t>
      </w:r>
      <w:r w:rsidR="00FE773D" w:rsidRPr="00FB1BFA">
        <w:rPr>
          <w:rFonts w:asciiTheme="minorHAnsi" w:hAnsiTheme="minorHAnsi" w:cstheme="minorHAnsi"/>
          <w:i/>
          <w:iCs/>
          <w:szCs w:val="24"/>
          <w:lang w:val="fr-FR"/>
        </w:rPr>
        <w:t>Nous nous engageons</w:t>
      </w:r>
      <w:r w:rsidR="00FE773D" w:rsidRPr="00FB1BFA">
        <w:rPr>
          <w:rFonts w:asciiTheme="minorHAnsi" w:hAnsiTheme="minorHAnsi" w:cstheme="minorHAnsi"/>
          <w:szCs w:val="24"/>
          <w:lang w:val="fr-FR"/>
        </w:rPr>
        <w:t>", chacune contenant six paragraphes.</w:t>
      </w:r>
    </w:p>
    <w:p w14:paraId="16F98E78" w14:textId="77777777" w:rsidR="00FE773D" w:rsidRPr="00FB1BFA" w:rsidRDefault="00FE773D" w:rsidP="00FE773D">
      <w:pPr>
        <w:rPr>
          <w:lang w:val="fr-FR"/>
        </w:rPr>
      </w:pPr>
      <w:r w:rsidRPr="00FB1BFA">
        <w:rPr>
          <w:lang w:val="fr-FR"/>
        </w:rPr>
        <w:t>La partie "Nous déclarons " porte sur:</w:t>
      </w:r>
    </w:p>
    <w:p w14:paraId="7EDB621A" w14:textId="77777777" w:rsidR="00FE773D" w:rsidRPr="00FB1BFA" w:rsidRDefault="00FE773D" w:rsidP="00FE773D">
      <w:pPr>
        <w:pStyle w:val="enumlev1"/>
        <w:rPr>
          <w:lang w:val="fr-FR"/>
        </w:rPr>
      </w:pPr>
      <w:r w:rsidRPr="00FB1BFA">
        <w:rPr>
          <w:lang w:val="fr-FR"/>
        </w:rPr>
        <w:t>1)</w:t>
      </w:r>
      <w:r w:rsidRPr="00FB1BFA">
        <w:rPr>
          <w:lang w:val="fr-FR"/>
        </w:rPr>
        <w:tab/>
      </w:r>
      <w:r w:rsidRPr="00FB1BFA">
        <w:rPr>
          <w:b/>
          <w:bCs/>
          <w:lang w:val="fr-FR"/>
        </w:rPr>
        <w:t>les personnes qui ne sont pas encore connectées</w:t>
      </w:r>
      <w:r w:rsidRPr="00FB1BFA">
        <w:rPr>
          <w:lang w:val="fr-FR"/>
        </w:rPr>
        <w:t xml:space="preserve"> et qui ne peuvent tirer parti du potentiel de transformation des TIC;</w:t>
      </w:r>
    </w:p>
    <w:p w14:paraId="414F7319" w14:textId="77777777" w:rsidR="00FE773D" w:rsidRPr="00FB1BFA" w:rsidRDefault="00FE773D" w:rsidP="00FE773D">
      <w:pPr>
        <w:pStyle w:val="enumlev1"/>
        <w:rPr>
          <w:lang w:val="fr-FR"/>
        </w:rPr>
      </w:pPr>
      <w:r w:rsidRPr="00FB1BFA">
        <w:rPr>
          <w:lang w:val="fr-FR"/>
        </w:rPr>
        <w:t>2)</w:t>
      </w:r>
      <w:r w:rsidRPr="00FB1BFA">
        <w:rPr>
          <w:lang w:val="fr-FR"/>
        </w:rPr>
        <w:tab/>
      </w:r>
      <w:r w:rsidRPr="00FB1BFA">
        <w:rPr>
          <w:b/>
          <w:bCs/>
          <w:lang w:val="fr-FR"/>
        </w:rPr>
        <w:t>la crise liée au COVID-19</w:t>
      </w:r>
      <w:r w:rsidRPr="00FB1BFA">
        <w:rPr>
          <w:lang w:val="fr-FR"/>
        </w:rPr>
        <w:t xml:space="preserve"> qui a bouleversé notre façon de vivre, de travailler, d'apprendre et de faire des affaires;</w:t>
      </w:r>
    </w:p>
    <w:p w14:paraId="1FFF5AAE" w14:textId="77777777" w:rsidR="00FE773D" w:rsidRPr="00FB1BFA" w:rsidRDefault="00FE773D" w:rsidP="00FE773D">
      <w:pPr>
        <w:pStyle w:val="enumlev1"/>
        <w:rPr>
          <w:lang w:val="fr-FR"/>
        </w:rPr>
      </w:pPr>
      <w:r w:rsidRPr="00FB1BFA">
        <w:rPr>
          <w:lang w:val="fr-FR"/>
        </w:rPr>
        <w:lastRenderedPageBreak/>
        <w:t>3)</w:t>
      </w:r>
      <w:r w:rsidRPr="00FB1BFA">
        <w:rPr>
          <w:lang w:val="fr-FR"/>
        </w:rPr>
        <w:tab/>
      </w:r>
      <w:r w:rsidRPr="00FB1BFA">
        <w:rPr>
          <w:b/>
          <w:bCs/>
          <w:lang w:val="fr-FR"/>
        </w:rPr>
        <w:t>les ressources humaines dotées de compétences numériques</w:t>
      </w:r>
      <w:r w:rsidRPr="00FB1BFA">
        <w:rPr>
          <w:lang w:val="fr-FR"/>
        </w:rPr>
        <w:t xml:space="preserve"> entre les régions, entre les pays et au sein des pays dans les zones urbaines et les zones rurales, et entre les femmes et les hommes;</w:t>
      </w:r>
    </w:p>
    <w:p w14:paraId="22467B76" w14:textId="77777777" w:rsidR="00FE773D" w:rsidRPr="00FB1BFA" w:rsidRDefault="00FE773D" w:rsidP="00FE773D">
      <w:pPr>
        <w:pStyle w:val="enumlev1"/>
        <w:rPr>
          <w:lang w:val="fr-FR"/>
        </w:rPr>
      </w:pPr>
      <w:r w:rsidRPr="00FB1BFA">
        <w:rPr>
          <w:lang w:val="fr-FR"/>
        </w:rPr>
        <w:t>4)</w:t>
      </w:r>
      <w:r w:rsidRPr="00FB1BFA">
        <w:rPr>
          <w:lang w:val="fr-FR"/>
        </w:rPr>
        <w:tab/>
      </w:r>
      <w:r w:rsidRPr="00FB1BFA">
        <w:rPr>
          <w:b/>
          <w:bCs/>
          <w:lang w:val="fr-FR"/>
        </w:rPr>
        <w:t xml:space="preserve">l'inclusion numérique, la transformation numérique </w:t>
      </w:r>
      <w:r w:rsidRPr="00FB1BFA">
        <w:rPr>
          <w:lang w:val="fr-FR"/>
        </w:rPr>
        <w:t>et l'économie numérique;</w:t>
      </w:r>
    </w:p>
    <w:p w14:paraId="04FB24D4" w14:textId="77777777" w:rsidR="00FE773D" w:rsidRPr="00FB1BFA" w:rsidRDefault="00FE773D" w:rsidP="00FE773D">
      <w:pPr>
        <w:pStyle w:val="enumlev1"/>
        <w:rPr>
          <w:lang w:val="fr-FR"/>
        </w:rPr>
      </w:pPr>
      <w:r w:rsidRPr="00FB1BFA">
        <w:rPr>
          <w:lang w:val="fr-FR"/>
        </w:rPr>
        <w:t>5)</w:t>
      </w:r>
      <w:r w:rsidRPr="00FB1BFA">
        <w:rPr>
          <w:lang w:val="fr-FR"/>
        </w:rPr>
        <w:tab/>
      </w:r>
      <w:r w:rsidRPr="00FB1BFA">
        <w:rPr>
          <w:b/>
          <w:bCs/>
          <w:lang w:val="fr-FR"/>
        </w:rPr>
        <w:t>les Objectifs de développement durable</w:t>
      </w:r>
      <w:r w:rsidRPr="00FB1BFA">
        <w:rPr>
          <w:lang w:val="fr-FR"/>
        </w:rPr>
        <w:t xml:space="preserve"> et </w:t>
      </w:r>
      <w:r w:rsidRPr="00FB1BFA">
        <w:rPr>
          <w:b/>
          <w:bCs/>
          <w:lang w:val="fr-FR"/>
        </w:rPr>
        <w:t>le</w:t>
      </w:r>
      <w:r w:rsidRPr="00FB1BFA">
        <w:rPr>
          <w:lang w:val="fr-FR"/>
        </w:rPr>
        <w:t xml:space="preserve"> </w:t>
      </w:r>
      <w:r w:rsidRPr="00FB1BFA">
        <w:rPr>
          <w:b/>
          <w:bCs/>
          <w:lang w:val="fr-FR"/>
        </w:rPr>
        <w:t>Sommet mondial sur la société de l'information</w:t>
      </w:r>
      <w:r w:rsidRPr="00FB1BFA">
        <w:rPr>
          <w:lang w:val="fr-FR"/>
        </w:rPr>
        <w:t>;</w:t>
      </w:r>
    </w:p>
    <w:p w14:paraId="31C08D04" w14:textId="77777777" w:rsidR="00FE773D" w:rsidRPr="00FB1BFA" w:rsidRDefault="00FE773D" w:rsidP="00FE773D">
      <w:pPr>
        <w:pStyle w:val="enumlev1"/>
        <w:rPr>
          <w:lang w:val="fr-FR"/>
        </w:rPr>
      </w:pPr>
      <w:r w:rsidRPr="00FB1BFA">
        <w:rPr>
          <w:lang w:val="fr-FR"/>
        </w:rPr>
        <w:t>6)</w:t>
      </w:r>
      <w:r w:rsidRPr="00FB1BFA">
        <w:rPr>
          <w:lang w:val="fr-FR"/>
        </w:rPr>
        <w:tab/>
      </w:r>
      <w:r w:rsidRPr="00FB1BFA">
        <w:rPr>
          <w:b/>
          <w:bCs/>
          <w:lang w:val="fr-FR"/>
        </w:rPr>
        <w:t>les pays en développement</w:t>
      </w:r>
      <w:r w:rsidRPr="00FB1BFA">
        <w:rPr>
          <w:lang w:val="fr-FR"/>
        </w:rPr>
        <w:t>, et en particulier</w:t>
      </w:r>
      <w:r w:rsidRPr="00FB1BFA">
        <w:rPr>
          <w:b/>
          <w:bCs/>
          <w:lang w:val="fr-FR"/>
        </w:rPr>
        <w:t xml:space="preserve"> les pays les moins avancés, les pays en développement sans littoral et les petits États insulaires en développement</w:t>
      </w:r>
      <w:r w:rsidRPr="00FB1BFA">
        <w:rPr>
          <w:lang w:val="fr-FR"/>
        </w:rPr>
        <w:t>.</w:t>
      </w:r>
    </w:p>
    <w:p w14:paraId="42EEAE8A" w14:textId="77777777" w:rsidR="00FE773D" w:rsidRPr="00FB1BFA" w:rsidRDefault="00FE773D" w:rsidP="00FE773D">
      <w:pPr>
        <w:rPr>
          <w:lang w:val="fr-FR"/>
        </w:rPr>
      </w:pPr>
      <w:r w:rsidRPr="00FB1BFA">
        <w:rPr>
          <w:lang w:val="fr-FR"/>
        </w:rPr>
        <w:t>La partie "Nous nous engageons" répond à ces priorités.</w:t>
      </w:r>
    </w:p>
    <w:p w14:paraId="59AAC709" w14:textId="77777777" w:rsidR="00FE773D" w:rsidRPr="00FB1BFA" w:rsidRDefault="00FB1BFA" w:rsidP="00FE773D">
      <w:pPr>
        <w:rPr>
          <w:lang w:val="fr-FR"/>
        </w:rPr>
      </w:pPr>
      <w:hyperlink r:id="rId31" w:history="1">
        <w:r w:rsidR="00FE773D" w:rsidRPr="00FB1BFA">
          <w:rPr>
            <w:rStyle w:val="Hyperlink"/>
            <w:lang w:val="fr-FR"/>
          </w:rPr>
          <w:t>Document 66</w:t>
        </w:r>
      </w:hyperlink>
      <w:r w:rsidR="00FE773D" w:rsidRPr="00FB1BFA">
        <w:rPr>
          <w:lang w:val="fr-FR"/>
        </w:rPr>
        <w:t>: cette contribution, présentée par l'Australie, expose les</w:t>
      </w:r>
      <w:r w:rsidR="00FE773D" w:rsidRPr="00FB1BFA">
        <w:rPr>
          <w:b/>
          <w:lang w:val="fr-FR"/>
        </w:rPr>
        <w:t xml:space="preserve"> vues de l'APT sur les réalisations et les produits figurant dans le Plan d'action de la CMDT</w:t>
      </w:r>
      <w:r w:rsidR="00FE773D" w:rsidRPr="00FB1BFA">
        <w:rPr>
          <w:lang w:val="fr-FR"/>
        </w:rPr>
        <w:t xml:space="preserve">. Elle indique comment les 15 pays mentionnés dans le </w:t>
      </w:r>
      <w:hyperlink r:id="rId32" w:history="1">
        <w:r w:rsidR="00FE773D" w:rsidRPr="00FB1BFA">
          <w:rPr>
            <w:rStyle w:val="Hyperlink"/>
            <w:lang w:val="fr-FR"/>
          </w:rPr>
          <w:t>Document 65</w:t>
        </w:r>
      </w:hyperlink>
      <w:r w:rsidR="00FE773D" w:rsidRPr="00FB1BFA">
        <w:rPr>
          <w:lang w:val="fr-FR"/>
        </w:rPr>
        <w:t xml:space="preserve"> ci-dessus ont examiné et approuvé les modifications apportées aux réalisations et aux produits figurant dans le Plan d'action de la CMDT. Lors de ses délibérations, l'APT s'est efforcée d'associer plus clairement les activités relatives à l'économie numérique aux télécommunications/TIC et, dans le même ordre d'idées, d'établir un lien entre les propositions du GCDT et le mandat de l'UIT tel qu'il est énoncé dans les Résolutions existantes.</w:t>
      </w:r>
    </w:p>
    <w:p w14:paraId="07A29B7C" w14:textId="77777777" w:rsidR="00FE773D" w:rsidRPr="00FB1BFA" w:rsidRDefault="00FB1BFA" w:rsidP="00FE773D">
      <w:pPr>
        <w:rPr>
          <w:lang w:val="fr-FR"/>
        </w:rPr>
      </w:pPr>
      <w:hyperlink r:id="rId33" w:history="1">
        <w:r w:rsidR="00FE773D" w:rsidRPr="00FB1BFA">
          <w:rPr>
            <w:rStyle w:val="Hyperlink"/>
            <w:lang w:val="fr-FR"/>
          </w:rPr>
          <w:t>Document 67</w:t>
        </w:r>
      </w:hyperlink>
      <w:r w:rsidR="00FE773D" w:rsidRPr="00FB1BFA">
        <w:rPr>
          <w:lang w:val="fr-FR"/>
        </w:rPr>
        <w:t>: cette contribution, présentée par la République de Corée contient les</w:t>
      </w:r>
      <w:r w:rsidR="00FE773D" w:rsidRPr="00FB1BFA">
        <w:rPr>
          <w:b/>
          <w:bCs/>
          <w:lang w:val="fr-FR"/>
        </w:rPr>
        <w:t xml:space="preserve"> vues de l'</w:t>
      </w:r>
      <w:r w:rsidR="00FE773D" w:rsidRPr="00FB1BFA">
        <w:rPr>
          <w:b/>
          <w:lang w:val="fr-FR"/>
        </w:rPr>
        <w:t>APT sur les modifications apportées à la Résolution 1 de la CMDT</w:t>
      </w:r>
      <w:r w:rsidR="00FE773D" w:rsidRPr="00FB1BFA">
        <w:rPr>
          <w:lang w:val="fr-FR"/>
        </w:rPr>
        <w:t xml:space="preserve">. Elle met en avant les modifications apportées à la Résolution 1 de la CMDT par les 15 pays énumérés dans le </w:t>
      </w:r>
      <w:hyperlink r:id="rId34" w:history="1">
        <w:r w:rsidR="00FE773D" w:rsidRPr="00FB1BFA">
          <w:rPr>
            <w:rStyle w:val="Hyperlink"/>
            <w:lang w:val="fr-FR"/>
          </w:rPr>
          <w:t>Document 65</w:t>
        </w:r>
      </w:hyperlink>
      <w:r w:rsidR="00FE773D" w:rsidRPr="00FB1BFA">
        <w:rPr>
          <w:lang w:val="fr-FR"/>
        </w:rPr>
        <w:t xml:space="preserve"> ci-dessus. Ces modifications visent essentiellement à mettre à jour les références figurant dans cette Résolution, pour tenir compte des pratiques et des activités actuelles de l'UIT, telles que le calendrier des réunions, la participation virtuelle et la participation à distance aux réunions, et les produits provisoires. En outre, les Membres de l'APT ont proposé de supprimer les termes "groupes de travail" dans la Résolution. Il a également été décidé, lors de la réunion de l'APT, d'adopter ces révisions de la Résolution 1 de la CMDT en tant que proposition commune préliminaire de l'APT (PACP).</w:t>
      </w:r>
    </w:p>
    <w:p w14:paraId="04339727" w14:textId="77777777" w:rsidR="00FE773D" w:rsidRPr="00FB1BFA" w:rsidRDefault="00FE773D" w:rsidP="00FE773D">
      <w:pPr>
        <w:pStyle w:val="Heading3"/>
        <w:rPr>
          <w:lang w:val="fr-FR"/>
        </w:rPr>
      </w:pPr>
      <w:r w:rsidRPr="00FB1BFA">
        <w:rPr>
          <w:lang w:val="fr-FR"/>
        </w:rPr>
        <w:t>4.1.1</w:t>
      </w:r>
      <w:r w:rsidRPr="00FB1BFA">
        <w:rPr>
          <w:lang w:val="fr-FR"/>
        </w:rPr>
        <w:tab/>
        <w:t>Observations des participants</w:t>
      </w:r>
    </w:p>
    <w:p w14:paraId="4A3A61FF" w14:textId="77777777" w:rsidR="00FE773D" w:rsidRPr="00FB1BFA" w:rsidRDefault="00FE773D" w:rsidP="00FE773D">
      <w:pPr>
        <w:rPr>
          <w:lang w:val="fr-FR"/>
        </w:rPr>
      </w:pPr>
      <w:r w:rsidRPr="00FB1BFA">
        <w:rPr>
          <w:lang w:val="fr-FR"/>
        </w:rPr>
        <w:t xml:space="preserve">Le représentant du Nigéria, s'exprimant au nom du Groupe africain, a appuyé les trois documents de l'APT et demandé quelles étaient les étapes à venir. Le secrétariat du BDT a précisé que les documents étaient uniquement présentés pour examen et observations, étant donné que </w:t>
      </w:r>
      <w:r w:rsidRPr="00FB1BFA">
        <w:rPr>
          <w:color w:val="000000"/>
          <w:lang w:val="fr-FR"/>
        </w:rPr>
        <w:t>la réunion</w:t>
      </w:r>
      <w:r w:rsidRPr="00FB1BFA">
        <w:rPr>
          <w:lang w:val="fr-FR"/>
        </w:rPr>
        <w:t xml:space="preserve"> IRM n'est pas une réunion à caractère décisionnel. Cette réunion a pour but de favoriser la collaboration entre les régions, en les aidant à harmoniser leurs propositions avant la Conférence.</w:t>
      </w:r>
    </w:p>
    <w:p w14:paraId="3CCE61A2" w14:textId="77777777" w:rsidR="00FE773D" w:rsidRPr="00FB1BFA" w:rsidRDefault="00FE773D" w:rsidP="00FE773D">
      <w:pPr>
        <w:rPr>
          <w:lang w:val="fr-FR"/>
        </w:rPr>
      </w:pPr>
      <w:r w:rsidRPr="00FB1BFA">
        <w:rPr>
          <w:lang w:val="fr-FR"/>
        </w:rPr>
        <w:t>Le représentant de la République islamique d'Iran a remercié le Nigéria pour son appui et ajouté que la soumission de ces documents visait à faire connaître les résultats des discussions de l'APT aux autres organisations régionales de télécommunication, en leur offrant la possibilité de coordonner leurs vues sur ces questions, afin que les délégations soient mieux préparées et parviennent plus rapidement à un consensus à Kigali.</w:t>
      </w:r>
    </w:p>
    <w:p w14:paraId="54845034" w14:textId="77777777" w:rsidR="00FE773D" w:rsidRPr="00FB1BFA" w:rsidRDefault="00FE773D" w:rsidP="007319CC">
      <w:pPr>
        <w:keepLines/>
        <w:rPr>
          <w:lang w:val="fr-FR"/>
        </w:rPr>
      </w:pPr>
      <w:r w:rsidRPr="00FB1BFA">
        <w:rPr>
          <w:lang w:val="fr-FR"/>
        </w:rPr>
        <w:lastRenderedPageBreak/>
        <w:t xml:space="preserve">La Présidente de </w:t>
      </w:r>
      <w:r w:rsidRPr="00FB1BFA">
        <w:rPr>
          <w:color w:val="000000"/>
          <w:lang w:val="fr-FR"/>
        </w:rPr>
        <w:t>la réunion</w:t>
      </w:r>
      <w:r w:rsidRPr="00FB1BFA" w:rsidDel="00494AD9">
        <w:rPr>
          <w:lang w:val="fr-FR"/>
        </w:rPr>
        <w:t xml:space="preserve"> </w:t>
      </w:r>
      <w:r w:rsidRPr="00FB1BFA">
        <w:rPr>
          <w:lang w:val="fr-FR"/>
        </w:rPr>
        <w:t>IRM-3 est convenue que même si la réunion IRM n'est pas censée prendre des décisions, elle offre néanmoins la possibilité aux participants de procéder à des échanges de vues. Pour reprendre ses propos: "Il est utile de bien comprendre la position de chacun, car en définitive, tous les participants ont intérêt à ce que soient élaborées des résolutions améliorées, représentant leurs vues sur les objectifs qu'ils s'efforcent d'atteindre dans les différentes régions".</w:t>
      </w:r>
    </w:p>
    <w:p w14:paraId="7305B840" w14:textId="77777777" w:rsidR="00FE773D" w:rsidRPr="00FB1BFA" w:rsidRDefault="00FE773D" w:rsidP="00FE773D">
      <w:pPr>
        <w:pStyle w:val="Heading3"/>
        <w:rPr>
          <w:lang w:val="fr-FR"/>
        </w:rPr>
      </w:pPr>
      <w:r w:rsidRPr="00FB1BFA">
        <w:rPr>
          <w:lang w:val="fr-FR"/>
        </w:rPr>
        <w:t>4.1.2</w:t>
      </w:r>
      <w:r w:rsidRPr="00FB1BFA">
        <w:rPr>
          <w:lang w:val="fr-FR"/>
        </w:rPr>
        <w:tab/>
        <w:t>Prochaines étapes</w:t>
      </w:r>
    </w:p>
    <w:p w14:paraId="3D7A5587" w14:textId="77777777" w:rsidR="00FE773D" w:rsidRPr="00FB1BFA" w:rsidRDefault="00FE773D" w:rsidP="00FE773D">
      <w:pPr>
        <w:rPr>
          <w:lang w:val="fr-FR"/>
        </w:rPr>
      </w:pPr>
      <w:r w:rsidRPr="00FB1BFA">
        <w:rPr>
          <w:lang w:val="fr-FR"/>
        </w:rPr>
        <w:t xml:space="preserve">Les participants à </w:t>
      </w:r>
      <w:r w:rsidRPr="00FB1BFA">
        <w:rPr>
          <w:color w:val="000000"/>
          <w:lang w:val="fr-FR"/>
        </w:rPr>
        <w:t xml:space="preserve">la réunion </w:t>
      </w:r>
      <w:r w:rsidRPr="00FB1BFA">
        <w:rPr>
          <w:lang w:val="fr-FR"/>
        </w:rPr>
        <w:t>IRM-3 ont pris note avec satisfaction des trois contributions et ont remercié l'APT d'avoir présenté les vues et les commentaires de la région Asie-Pacifique.</w:t>
      </w:r>
    </w:p>
    <w:p w14:paraId="192FF3A3" w14:textId="77777777" w:rsidR="00FE773D" w:rsidRPr="00FB1BFA" w:rsidRDefault="00FE773D" w:rsidP="00FE773D">
      <w:pPr>
        <w:pStyle w:val="Heading2"/>
        <w:rPr>
          <w:lang w:val="fr-FR"/>
        </w:rPr>
      </w:pPr>
      <w:r w:rsidRPr="00FB1BFA">
        <w:rPr>
          <w:lang w:val="fr-FR"/>
        </w:rPr>
        <w:t>4.2</w:t>
      </w:r>
      <w:r w:rsidRPr="00FB1BFA">
        <w:rPr>
          <w:lang w:val="fr-FR"/>
        </w:rPr>
        <w:tab/>
        <w:t>Proposition de révision de la Résolution 2</w:t>
      </w:r>
    </w:p>
    <w:p w14:paraId="5FA274A7" w14:textId="77777777" w:rsidR="00FE773D" w:rsidRPr="00FB1BFA" w:rsidRDefault="00FB1BFA" w:rsidP="00FE773D">
      <w:pPr>
        <w:rPr>
          <w:lang w:val="fr-FR"/>
        </w:rPr>
      </w:pPr>
      <w:hyperlink r:id="rId35" w:history="1">
        <w:r w:rsidR="00FE773D" w:rsidRPr="00FB1BFA">
          <w:rPr>
            <w:rStyle w:val="Hyperlink"/>
            <w:lang w:val="fr-FR"/>
          </w:rPr>
          <w:t>Document 68</w:t>
        </w:r>
      </w:hyperlink>
      <w:r w:rsidR="00FE773D" w:rsidRPr="00FB1BFA">
        <w:rPr>
          <w:lang w:val="fr-FR"/>
        </w:rPr>
        <w:t xml:space="preserve">: cette contribution, présentée par le représentant de la Fédération de Russie au nom de la RCC, contient une révision de la Résolution 2 (Rév. Buenos Aires, 2017) concernant </w:t>
      </w:r>
      <w:r w:rsidR="00FE773D" w:rsidRPr="00FB1BFA">
        <w:rPr>
          <w:color w:val="000000"/>
          <w:lang w:val="fr-FR"/>
        </w:rPr>
        <w:t>l'établissement</w:t>
      </w:r>
      <w:r w:rsidR="00FE773D" w:rsidRPr="00FB1BFA">
        <w:rPr>
          <w:lang w:val="fr-FR"/>
        </w:rPr>
        <w:t xml:space="preserve"> de commissions d'études. La révision proposée vise à définir le mandat des commissions d'études de l'UIT-D sur la base de deux priorités thématiques: "Connectivité et Transformation numérique".</w:t>
      </w:r>
    </w:p>
    <w:p w14:paraId="76620C99" w14:textId="77777777" w:rsidR="00FE773D" w:rsidRPr="00FB1BFA" w:rsidRDefault="00FE773D" w:rsidP="00FE773D">
      <w:pPr>
        <w:rPr>
          <w:lang w:val="fr-FR"/>
        </w:rPr>
      </w:pPr>
      <w:r w:rsidRPr="00FB1BFA">
        <w:rPr>
          <w:lang w:val="fr-FR"/>
        </w:rPr>
        <w:t>Les propositions figurant dans l'Annexe 1 de ce document ont trait à celles qui ont été présentées par les commissions d'études elles-mêmes, selon lesquelles la priorité "Connectivité" relèverait de la Commission d'études 1, et la priorité "Transformation numérique" relèverait de la Commission d'études 2. La RCC propose de transférer la Question relative à l'exposition des personnes aux champs électromagnétiques à la Commission d'études 1 et la Question relative à l'accès des personnes handicapées et des autres personnes ayant des besoins particuliers aux services de télécommunication/TIC à la Commission d'études 2, tout en reformulant cette Question de la manière suivante: "Accessibilité des télécommunications/TIC pour favoriser une communication inclusive".</w:t>
      </w:r>
    </w:p>
    <w:p w14:paraId="2A8A32EF" w14:textId="77777777" w:rsidR="00FE773D" w:rsidRPr="00FB1BFA" w:rsidRDefault="00FE773D" w:rsidP="00FE773D">
      <w:pPr>
        <w:rPr>
          <w:lang w:val="fr-FR"/>
        </w:rPr>
      </w:pPr>
      <w:r w:rsidRPr="00FB1BFA">
        <w:rPr>
          <w:lang w:val="fr-FR"/>
        </w:rPr>
        <w:t>Les propositions figurant dans l'Annexe 2 reposent sur les documents soumis par les commissions d'études à la réunion de novembre 2021 du GCDT et approuvés pour examen complémentaire à la CMDT. La RCC propose ce qui suit:</w:t>
      </w:r>
    </w:p>
    <w:p w14:paraId="12D0BD4A" w14:textId="77777777" w:rsidR="00FE773D" w:rsidRPr="00FB1BFA" w:rsidRDefault="00FE773D" w:rsidP="00FE773D">
      <w:pPr>
        <w:pStyle w:val="enumlev1"/>
        <w:rPr>
          <w:lang w:val="fr-FR"/>
        </w:rPr>
      </w:pPr>
      <w:r w:rsidRPr="00FB1BFA">
        <w:rPr>
          <w:lang w:val="fr-FR"/>
        </w:rPr>
        <w:t>1)</w:t>
      </w:r>
      <w:r w:rsidRPr="00FB1BFA">
        <w:rPr>
          <w:lang w:val="fr-FR"/>
        </w:rPr>
        <w:tab/>
        <w:t>Transférer la Question 3/1 (Technologies émergentes, y compris l'informatique en nuage, les services sur mobile et les OTT: enjeux et perspectives, incidences sur le plan de l'économie et des politiques générales pour les pays en développement) à la Commission d'études 2 et la renommer Question 5/2.</w:t>
      </w:r>
    </w:p>
    <w:p w14:paraId="6CFA77C7" w14:textId="77777777" w:rsidR="00FE773D" w:rsidRPr="00FB1BFA" w:rsidRDefault="00FE773D" w:rsidP="00FE773D">
      <w:pPr>
        <w:pStyle w:val="enumlev1"/>
        <w:rPr>
          <w:lang w:val="fr-FR"/>
        </w:rPr>
      </w:pPr>
      <w:r w:rsidRPr="00FB1BFA">
        <w:rPr>
          <w:lang w:val="fr-FR"/>
        </w:rPr>
        <w:t>2)</w:t>
      </w:r>
      <w:r w:rsidRPr="00FB1BFA">
        <w:rPr>
          <w:lang w:val="fr-FR"/>
        </w:rPr>
        <w:tab/>
        <w:t>Transférer la Question 5/2 (Utilisation des télécommunications/technologies de l'information et de la communication pour la réduction et la gestion des risques de catastrophe) à la Commission d'études 1 et la renommer Question 3/1.</w:t>
      </w:r>
    </w:p>
    <w:p w14:paraId="5FD1FA76" w14:textId="77777777" w:rsidR="00FE773D" w:rsidRPr="00FB1BFA" w:rsidRDefault="00FE773D" w:rsidP="00FE773D">
      <w:pPr>
        <w:pStyle w:val="enumlev1"/>
        <w:rPr>
          <w:lang w:val="fr-FR"/>
        </w:rPr>
      </w:pPr>
      <w:r w:rsidRPr="00FB1BFA">
        <w:rPr>
          <w:lang w:val="fr-FR"/>
        </w:rPr>
        <w:t>3)</w:t>
      </w:r>
      <w:r w:rsidRPr="00FB1BFA">
        <w:rPr>
          <w:lang w:val="fr-FR"/>
        </w:rPr>
        <w:tab/>
        <w:t>Transférer la Question 7/2 (Stratégies et politiques concernant l'exposition des personnes aux champs électromagnétiques) à la Commission d'études 1 et la renommer Question 7/1.</w:t>
      </w:r>
    </w:p>
    <w:p w14:paraId="158273BC" w14:textId="77777777" w:rsidR="00FE773D" w:rsidRPr="00FB1BFA" w:rsidRDefault="00FE773D" w:rsidP="00FE773D">
      <w:pPr>
        <w:pStyle w:val="enumlev1"/>
        <w:rPr>
          <w:lang w:val="fr-FR"/>
        </w:rPr>
      </w:pPr>
      <w:r w:rsidRPr="00FB1BFA">
        <w:rPr>
          <w:lang w:val="fr-FR"/>
        </w:rPr>
        <w:t>4)</w:t>
      </w:r>
      <w:r w:rsidRPr="00FB1BFA">
        <w:rPr>
          <w:lang w:val="fr-FR"/>
        </w:rPr>
        <w:tab/>
        <w:t>Transférer la Question 7/1 (Accès des personnes handicapées et des autres personnes ayant des besoins particuliers aux services de télécommunication/</w:t>
      </w:r>
      <w:r w:rsidRPr="00FB1BFA">
        <w:rPr>
          <w:rFonts w:eastAsia="Batang"/>
          <w:lang w:val="fr-FR"/>
        </w:rPr>
        <w:t>technologies de l'information et de la communication</w:t>
      </w:r>
      <w:r w:rsidRPr="00FB1BFA">
        <w:rPr>
          <w:lang w:val="fr-FR"/>
        </w:rPr>
        <w:t>) à la Commission d'études 2, et la reformuler de la manière suivante: "Accessibilité des télécommunications/TIC pour favoriser une communication inclusive".</w:t>
      </w:r>
    </w:p>
    <w:p w14:paraId="489EB83B" w14:textId="77777777" w:rsidR="00FE773D" w:rsidRPr="00FB1BFA" w:rsidRDefault="00FE773D" w:rsidP="00FE773D">
      <w:pPr>
        <w:pStyle w:val="Heading3"/>
        <w:rPr>
          <w:lang w:val="fr-FR"/>
        </w:rPr>
      </w:pPr>
      <w:r w:rsidRPr="00FB1BFA">
        <w:rPr>
          <w:lang w:val="fr-FR"/>
        </w:rPr>
        <w:lastRenderedPageBreak/>
        <w:t>4.2.1</w:t>
      </w:r>
      <w:r w:rsidRPr="00FB1BFA">
        <w:rPr>
          <w:lang w:val="fr-FR"/>
        </w:rPr>
        <w:tab/>
        <w:t>Observations des participants</w:t>
      </w:r>
    </w:p>
    <w:p w14:paraId="0C0E8D79" w14:textId="77777777" w:rsidR="00FE773D" w:rsidRPr="00FB1BFA" w:rsidRDefault="00FE773D" w:rsidP="00FE773D">
      <w:pPr>
        <w:rPr>
          <w:lang w:val="fr-FR"/>
        </w:rPr>
      </w:pPr>
      <w:r w:rsidRPr="00FB1BFA">
        <w:rPr>
          <w:lang w:val="fr-FR"/>
        </w:rPr>
        <w:t>Les propositions de la RCC ont suscité un débat intéressant. Le représentant de la Hongrie a estimé que le document constituait un bon point de départ, même s'il éprouve une certaine réticence à l'égard des propositions visant à transférer à la Commission d'études 1 la Question relative à l'exposition des personnes aux champs électromagnétiques, estimant que cette Question se rapporte davantage aux activités des villes intelligentes, par exemple, et que le thème de l'accessibilité concerne davantage les activités de la Commission d'études 1. Le représentant du Brésil a demandé si la RCC s'était penchée sur la fusion ou la réduction du nombre de Questions au sein de chaque commission d'études (on en compte actuellement sept par Commission). La formulation de cette Question tient au fait que dans la région Amériques, des discussions sont en cours sur la manière d'améliorer l'efficacité des travaux relatifs aux Questions et de créer des synergies, non seulement dans les Questions proprement dites, mais aussi au sein des commissions d'études. Le représentant des États-Unis a ajouté que la CITEL réfléchissait en effet aux</w:t>
      </w:r>
      <w:r w:rsidRPr="00FB1BFA">
        <w:rPr>
          <w:color w:val="000000"/>
          <w:lang w:val="fr-FR"/>
        </w:rPr>
        <w:t xml:space="preserve"> gains d'efficacité</w:t>
      </w:r>
      <w:r w:rsidRPr="00FB1BFA">
        <w:rPr>
          <w:lang w:val="fr-FR"/>
        </w:rPr>
        <w:t xml:space="preserve"> possibles et aux lacunes à combler, ou aux domaines à mettre en avant.</w:t>
      </w:r>
    </w:p>
    <w:p w14:paraId="25560CDC" w14:textId="77777777" w:rsidR="00FE773D" w:rsidRPr="00FB1BFA" w:rsidRDefault="00FE773D" w:rsidP="00FE773D">
      <w:pPr>
        <w:rPr>
          <w:lang w:val="fr-FR"/>
        </w:rPr>
      </w:pPr>
      <w:r w:rsidRPr="00FB1BFA">
        <w:rPr>
          <w:lang w:val="fr-FR"/>
        </w:rPr>
        <w:t xml:space="preserve">En réponse à ces questions, le représentant de la RCC a expliqué qu'en ce qui concerne l'exposition des personnes aux champs électromagnétiques, il fallait tenir compte de cette exposition au stade de la planification du déploiement de réseaux, et non plus tard, d'où le lien direct avec la connectivité. Pour ce qui est des fusions éventuelles, le représentant de la RCC a indiqué qu'il avait été envisagé de continuer de rationaliser et de fusionner des Questions, processus qui a été engagé à la CMDT-17 au cours de laquelle le nombre de Questions par commission d'études a été ramené de neuf à sept. La RCC, dans le cadre de son analyse (lors de l'élaboration de cette contribution), s'est efforcée d'harmoniser la structure des commissions d'études avec cinq Questions, mais s'est rapidement rendu compte que cette harmonisation </w:t>
      </w:r>
      <w:r w:rsidRPr="00FB1BFA">
        <w:rPr>
          <w:color w:val="000000"/>
          <w:lang w:val="fr-FR"/>
        </w:rPr>
        <w:t xml:space="preserve">nuirait considérablement à </w:t>
      </w:r>
      <w:r w:rsidRPr="00FB1BFA">
        <w:rPr>
          <w:lang w:val="fr-FR"/>
        </w:rPr>
        <w:t>la structure existante. En outre, compte tenu du report de la CMDT de 2021 à 2022, la Conférence de Kigali va sans doute raccourcir la durée de la période d'études. Dans ces conditions, la RCC pense qu'il serait plus judicieux d'utiliser les propositions relatives aux Questions déjà élaborées par les commissions d'études.</w:t>
      </w:r>
    </w:p>
    <w:p w14:paraId="71382CB6" w14:textId="77777777" w:rsidR="00FE773D" w:rsidRPr="00FB1BFA" w:rsidRDefault="00FE773D" w:rsidP="00FE773D">
      <w:pPr>
        <w:rPr>
          <w:lang w:val="fr-FR"/>
        </w:rPr>
      </w:pPr>
      <w:r w:rsidRPr="00FB1BFA">
        <w:rPr>
          <w:lang w:val="fr-FR"/>
        </w:rPr>
        <w:t xml:space="preserve">Le représentant de la RCC a également suggéré d'attribuer la Résolution 2 à la Commission 3 et a fait observer que les principes directeurs régissant l'attribution des documents, tels qu'ils figurent dans le </w:t>
      </w:r>
      <w:hyperlink r:id="rId36" w:history="1">
        <w:r w:rsidRPr="00FB1BFA">
          <w:rPr>
            <w:rStyle w:val="Hyperlink"/>
            <w:lang w:val="fr-FR"/>
          </w:rPr>
          <w:t>Document 69</w:t>
        </w:r>
      </w:hyperlink>
      <w:r w:rsidRPr="00FB1BFA">
        <w:rPr>
          <w:lang w:val="fr-FR"/>
        </w:rPr>
        <w:t>, étaient précisément à l'origine de certaines des difficultés rencontrées lors de la CMDT-17.</w:t>
      </w:r>
    </w:p>
    <w:p w14:paraId="13182553" w14:textId="77777777" w:rsidR="00FE773D" w:rsidRPr="00FB1BFA" w:rsidRDefault="00FE773D" w:rsidP="00FE773D">
      <w:pPr>
        <w:keepLines/>
        <w:rPr>
          <w:lang w:val="fr-FR"/>
        </w:rPr>
      </w:pPr>
      <w:r w:rsidRPr="00FB1BFA">
        <w:rPr>
          <w:lang w:val="fr-FR"/>
        </w:rPr>
        <w:t>Le représentant de la République islamique d'Iran a remercié la RCC, le Brésil et les États-Unis d'avoir attiré l'attention sur cette question très importante et a souligné que le "nombre de Questions à l'étude et le nombre de thèmes sont de la plus haute importance pour bon nombre de pays en développement. À ce titre, il convient d'être prêt à entamer des discussions appropriées sur ces deux aspects".</w:t>
      </w:r>
    </w:p>
    <w:p w14:paraId="205CA783" w14:textId="77777777" w:rsidR="00FE773D" w:rsidRPr="00FB1BFA" w:rsidRDefault="00FE773D" w:rsidP="00FE773D">
      <w:pPr>
        <w:rPr>
          <w:lang w:val="fr-FR"/>
        </w:rPr>
      </w:pPr>
      <w:r w:rsidRPr="00FB1BFA">
        <w:rPr>
          <w:lang w:val="fr-FR"/>
        </w:rPr>
        <w:t>La Présidente du GCDT a souscrit à ces vues et a indiqué que le moment était venu pour les membres de déterminer la nature des travaux des commissions d'études pour la période 2022</w:t>
      </w:r>
      <w:r w:rsidRPr="00FB1BFA">
        <w:rPr>
          <w:lang w:val="fr-FR"/>
        </w:rPr>
        <w:noBreakHyphen/>
        <w:t xml:space="preserve">2025. En l'état actuel des choses, les Questions qui ont été adoptées ont été entérinées par les commissions d'études. Il est certes primordial de disposer d'observations de première main de la part de ceux qui ont étudié de près ces Questions au cours des quatre dernières années, mais il est également nécessaire d'apporter un regard neuf sur les Questions. Si le report des dates de la CMDT avait été tel que celle-ci n'aurait pu avoir lieu avant la Conférence de plénipotentiaires, qui doit se tenir à Bucarest (Roumanie) du 26 septembre au 14 octobre 2022, il aurait alors été justifié de poursuivre l'étude de la série actuelle de Questions. Mais tel n'est pas </w:t>
      </w:r>
      <w:r w:rsidRPr="00FB1BFA">
        <w:rPr>
          <w:lang w:val="fr-FR"/>
        </w:rPr>
        <w:lastRenderedPageBreak/>
        <w:t>le cas, et les Membres ne devraient pas être censés se contenter d'approuver automatiquement les Questions actuelles. On dispose donc de</w:t>
      </w:r>
      <w:r w:rsidRPr="00FB1BFA">
        <w:rPr>
          <w:color w:val="000000"/>
          <w:lang w:val="fr-FR"/>
        </w:rPr>
        <w:t xml:space="preserve"> suffisamment </w:t>
      </w:r>
      <w:r w:rsidRPr="00FB1BFA">
        <w:rPr>
          <w:lang w:val="fr-FR"/>
        </w:rPr>
        <w:t>de temps pour veiller à ce que les membres adhèrent pleinement aux Questions, à la méthodologie et aux problématiques. De plus, les progrès technologiques se produisent à un rythme effréné, ce qui signifie que quatre ans représentent une longue période dans le domaine des télécommunications.</w:t>
      </w:r>
    </w:p>
    <w:p w14:paraId="1D931593" w14:textId="77777777" w:rsidR="00FE773D" w:rsidRPr="00FB1BFA" w:rsidRDefault="00FE773D" w:rsidP="00FE773D">
      <w:pPr>
        <w:rPr>
          <w:lang w:val="fr-FR"/>
        </w:rPr>
      </w:pPr>
      <w:r w:rsidRPr="00FB1BFA">
        <w:rPr>
          <w:lang w:val="fr-FR"/>
        </w:rPr>
        <w:t>Des débats prolongés ont ensuite été consacrés à l'avenir des documents élaborés par les trois Groupes de travail créés par le GCDT en juin 2020 pour</w:t>
      </w:r>
      <w:r w:rsidRPr="00FB1BFA">
        <w:rPr>
          <w:color w:val="000000"/>
          <w:lang w:val="fr-FR"/>
        </w:rPr>
        <w:t xml:space="preserve"> la préparation de </w:t>
      </w:r>
      <w:r w:rsidRPr="00FB1BFA">
        <w:rPr>
          <w:lang w:val="fr-FR"/>
        </w:rPr>
        <w:t>la Conférence, à savoir le Groupe de travail du GCDT sur les activités préparatoires en vue de la CMDT (GT-GCDT-Prep), le Groupe de travail du GCDT sur les Résolutions, la Déclaration et les priorités thématiques (GT</w:t>
      </w:r>
      <w:r w:rsidRPr="00FB1BFA">
        <w:rPr>
          <w:lang w:val="fr-FR"/>
        </w:rPr>
        <w:noBreakHyphen/>
        <w:t>GCDT-RDTP) et le Groupe de travail du GCDT chargé de la planification stratégique et opérationnelle (GT-GCDT-SOP).</w:t>
      </w:r>
    </w:p>
    <w:p w14:paraId="2EAF58BC" w14:textId="77777777" w:rsidR="00FE773D" w:rsidRPr="00FB1BFA" w:rsidRDefault="00FE773D" w:rsidP="00FE773D">
      <w:pPr>
        <w:rPr>
          <w:lang w:val="fr-FR"/>
        </w:rPr>
      </w:pPr>
      <w:r w:rsidRPr="00FB1BFA">
        <w:rPr>
          <w:lang w:val="fr-FR"/>
        </w:rPr>
        <w:t>Sachant que ces Groupes ont mené à bien leurs travaux, comme c'est le cas du GCDT lui-même du 8 au 12 novembre 2021, le représentant du Koweït a demandé des éclaircissements sur la question de savoir ce qu'il adviendra des documents finals établis par ces Groupes, notamment ceux élaborés par le GT-GCDT-RDTP.</w:t>
      </w:r>
    </w:p>
    <w:p w14:paraId="17EBDDD8" w14:textId="77777777" w:rsidR="00FE773D" w:rsidRPr="00FB1BFA" w:rsidRDefault="00FE773D" w:rsidP="00FE773D">
      <w:pPr>
        <w:rPr>
          <w:lang w:val="fr-FR"/>
        </w:rPr>
      </w:pPr>
      <w:r w:rsidRPr="00FB1BFA">
        <w:rPr>
          <w:lang w:val="fr-FR"/>
        </w:rPr>
        <w:t>Le secrétariat du BDT a précisé que ces documents avaient été mis à disposition sur le site web du GCDT dans la partie consacrée aux réunions correspondantes, ainsi que sur les pages web de chaque Groupe de travail, à titre d'information générale. Le Président du GT-GCDT-RDTP a ajouté que faute de temps, son Groupe n'avait pu achever l'examen de la Résolution 2. De même, les participants aux réunions conjointes de la Commission d'études 1 et de la Commission d'études 2 n'ont pu achever leurs travaux sur les Résolutions 1 et 2, faute de temps également. En conséquence, des divergences de vues subsistent. Pour aller de l'avant, le Président du GT</w:t>
      </w:r>
      <w:r w:rsidRPr="00FB1BFA">
        <w:rPr>
          <w:lang w:val="fr-FR"/>
        </w:rPr>
        <w:noBreakHyphen/>
        <w:t>GCDT</w:t>
      </w:r>
      <w:r w:rsidRPr="00FB1BFA">
        <w:rPr>
          <w:lang w:val="fr-FR"/>
        </w:rPr>
        <w:noBreakHyphen/>
        <w:t>RDTP a proposé que les coordonnateurs désignés par les organisations régionales de télécommunication tiennent des consultations informelles au sujet de la Résolution 2 et du nombre de thèmes et de Questions à étudier.</w:t>
      </w:r>
    </w:p>
    <w:p w14:paraId="4EAA6E20" w14:textId="77777777" w:rsidR="00FE773D" w:rsidRPr="00FB1BFA" w:rsidRDefault="00FE773D" w:rsidP="00FE773D">
      <w:pPr>
        <w:rPr>
          <w:lang w:val="fr-FR"/>
        </w:rPr>
      </w:pPr>
      <w:r w:rsidRPr="00FB1BFA">
        <w:rPr>
          <w:lang w:val="fr-FR"/>
        </w:rPr>
        <w:t>Les participants se sont félicités de cette proposition. Le représentant du Nigéria, s'exprimant au nom du Groupe africain, a fait savoir aux participants que l'Afrique avait envisagé de réduire le nombre de Questions en prévision d'un cycle d'études plus court et que son pays avait élaboré un document relatif à la Résolution 2 et aux Questions à étudier. Le représentant de la RCC a rappelé que l'exposé qu'il a présenté à cette réunion contient une liste indiquant, pour chaque Résolution, le coordonnateur et ses coordonnées.</w:t>
      </w:r>
    </w:p>
    <w:p w14:paraId="7B4FA67A" w14:textId="77777777" w:rsidR="00FE773D" w:rsidRPr="00FB1BFA" w:rsidRDefault="00FE773D" w:rsidP="00FE773D">
      <w:pPr>
        <w:rPr>
          <w:lang w:val="fr-FR"/>
        </w:rPr>
      </w:pPr>
      <w:r w:rsidRPr="00FB1BFA">
        <w:rPr>
          <w:lang w:val="fr-FR"/>
        </w:rPr>
        <w:t xml:space="preserve">La Présidente de la Commission d'études 1 (Côte d'Ivoire) a souligné qu'au cours des discussions informelles, il fallait examiner les Questions à l'étude </w:t>
      </w:r>
      <w:r w:rsidRPr="00FB1BFA">
        <w:rPr>
          <w:color w:val="000000"/>
          <w:lang w:val="fr-FR"/>
        </w:rPr>
        <w:t>en étroite harmonisation</w:t>
      </w:r>
      <w:r w:rsidRPr="00FB1BFA" w:rsidDel="002B46C0">
        <w:rPr>
          <w:lang w:val="fr-FR"/>
        </w:rPr>
        <w:t xml:space="preserve"> </w:t>
      </w:r>
      <w:r w:rsidRPr="00FB1BFA">
        <w:rPr>
          <w:lang w:val="fr-FR"/>
        </w:rPr>
        <w:t>avec la Résolution 2 et s'est rangée à l'avis du représentant de la RCC selon lequel la Résolution 2 devrait être examinée par la Commission 3, afin d'éviter toute confusion et les pertes de temps qui ont été occasionnées lors de la CMDT-17.</w:t>
      </w:r>
    </w:p>
    <w:p w14:paraId="39B282E4" w14:textId="77777777" w:rsidR="00FE773D" w:rsidRPr="00FB1BFA" w:rsidRDefault="00FE773D" w:rsidP="00FE773D">
      <w:pPr>
        <w:rPr>
          <w:lang w:val="fr-FR"/>
        </w:rPr>
      </w:pPr>
      <w:r w:rsidRPr="00FB1BFA">
        <w:rPr>
          <w:lang w:val="fr-FR"/>
        </w:rPr>
        <w:t>Le représentant du Brésil a ajouté que les consultations informelles relatives à la Résolution 2 devraient être engagées sans tarder et devraient avoir pour but de parvenir à un accord avant la Conférence. En ce qui concerne l'attribution des Résolutions aux Commissions 3 et 4, le représentant du Brésil a également reconnu que des difficultés avaient été rencontrées lors de la CMDT-17 et a souligné la nécessité de trouver le juste équilibre dans l'attribution des résolutions à ces deux Commissions. L'essentiel est que tout soit mis en œuvre pour éviter d'attribuer un trop grand nombre de questions à étudier à la Commission 3, qui est devenue la Commission la plus lourdement mise à contribution lors des CMDT.</w:t>
      </w:r>
    </w:p>
    <w:p w14:paraId="37144B1B" w14:textId="77777777" w:rsidR="00FE773D" w:rsidRPr="00FB1BFA" w:rsidRDefault="00FE773D" w:rsidP="00FE773D">
      <w:pPr>
        <w:pStyle w:val="Heading3"/>
        <w:rPr>
          <w:lang w:val="fr-FR"/>
        </w:rPr>
      </w:pPr>
      <w:r w:rsidRPr="00FB1BFA">
        <w:rPr>
          <w:lang w:val="fr-FR"/>
        </w:rPr>
        <w:lastRenderedPageBreak/>
        <w:t>4.2.2</w:t>
      </w:r>
      <w:r w:rsidRPr="00FB1BFA">
        <w:rPr>
          <w:lang w:val="fr-FR"/>
        </w:rPr>
        <w:tab/>
        <w:t>Prochaines étapes</w:t>
      </w:r>
    </w:p>
    <w:p w14:paraId="20920E2C" w14:textId="77777777" w:rsidR="00FE773D" w:rsidRPr="00FB1BFA" w:rsidRDefault="00FE773D" w:rsidP="00FE773D">
      <w:pPr>
        <w:rPr>
          <w:lang w:val="fr-FR"/>
        </w:rPr>
      </w:pPr>
      <w:r w:rsidRPr="00FB1BFA">
        <w:rPr>
          <w:lang w:val="fr-FR"/>
        </w:rPr>
        <w:t>Les participants à la réunion IRM-3 ont pris note avec satisfaction du document émanant de la RCC et sont convenus que les organisations régionales de télécommunication devraient désigner des coordonnateurs pour tenir des consultations informelles au sujet de la Résolution 2 et du nombre de thèmes et de Questions à étudier, afin de permettre une meilleure compréhension de ces questions à Kigali, et espère-t-on, de faciliter l'obtention d'un consensus à cet égard.</w:t>
      </w:r>
    </w:p>
    <w:p w14:paraId="1E366CC7" w14:textId="77777777" w:rsidR="00FE773D" w:rsidRPr="00FB1BFA" w:rsidRDefault="00FE773D" w:rsidP="00FE773D">
      <w:pPr>
        <w:pStyle w:val="Heading3"/>
        <w:rPr>
          <w:lang w:val="fr-FR"/>
        </w:rPr>
      </w:pPr>
      <w:r w:rsidRPr="00FB1BFA">
        <w:rPr>
          <w:lang w:val="fr-FR"/>
        </w:rPr>
        <w:t>4.2.3</w:t>
      </w:r>
      <w:r w:rsidRPr="00FB1BFA">
        <w:rPr>
          <w:lang w:val="fr-FR"/>
        </w:rPr>
        <w:tab/>
        <w:t>Statut des documents établis par le GCDT</w:t>
      </w:r>
    </w:p>
    <w:p w14:paraId="28F7CA03" w14:textId="77777777" w:rsidR="00FE773D" w:rsidRPr="00FB1BFA" w:rsidRDefault="00FE773D" w:rsidP="00FE773D">
      <w:pPr>
        <w:rPr>
          <w:lang w:val="fr-FR"/>
        </w:rPr>
      </w:pPr>
      <w:r w:rsidRPr="00FB1BFA">
        <w:rPr>
          <w:lang w:val="fr-FR"/>
        </w:rPr>
        <w:t>À propos de l'examen des documents finals, la Présidente du GCDT a fait observer que le représentant du Koweït avait soulevé une question importante qui suscite de nombreuses interrogations. Il s'agit des produits finals du GCDT portant sur les éléments qui constituent habituellement les résultats de la CMDT, par exemple la Déclaration, le Plan d'action, les Questions mises à l'étude et les programmes du BDT. La Présidente a expliqué que les produits des Groupes de travail du GCDT étaient examinés lors des séances plénières du GCDT. Le GCDT a formulé des avis au sujet de ces produits et, dans certains cas, leur a apporté des modifications.</w:t>
      </w:r>
    </w:p>
    <w:p w14:paraId="450DA603" w14:textId="77777777" w:rsidR="00FE773D" w:rsidRPr="00FB1BFA" w:rsidRDefault="00FE773D" w:rsidP="00FE773D">
      <w:pPr>
        <w:rPr>
          <w:lang w:val="fr-FR"/>
        </w:rPr>
      </w:pPr>
      <w:r w:rsidRPr="00FB1BFA">
        <w:rPr>
          <w:lang w:val="fr-FR"/>
        </w:rPr>
        <w:t xml:space="preserve">Il faut à présent disposer d'un guichet unique permettant de consulter les résultats des travaux effectués, au lieu d'avoir à parcourir toutes les archives des réunions des différents groupes. La Présidente du GCDT a demandé au BDT de réfléchir à la meilleure manière de centraliser dans un même espace tous les produits du GCDT, étant entendu que seul le projet de Déclaration, tel qu'approuvé à la réunion de novembre 2021, pourra servir de base aux membres pour formuler d'autres propositions de révision et apporter d'autres améliorations en vue de la CMDT – où ce texte sera établi sous sa forme finale. Les autres documents peuvent être utilisés par les membres ne serait-ce que pour mieux comprendre les discussions qui ont eu lieu et leur état d'avancement. La Présidente de la Commission d'études 1 (Côte d'Ivoire) a appuyé cette demande et demandé que le rapport du GCDT figurant dans le </w:t>
      </w:r>
      <w:hyperlink r:id="rId37" w:history="1">
        <w:r w:rsidRPr="00FB1BFA">
          <w:rPr>
            <w:rStyle w:val="Hyperlink"/>
            <w:lang w:val="fr-FR"/>
          </w:rPr>
          <w:t>Document 34</w:t>
        </w:r>
      </w:hyperlink>
      <w:r w:rsidRPr="00FB1BFA">
        <w:rPr>
          <w:lang w:val="fr-FR"/>
        </w:rPr>
        <w:t xml:space="preserve"> soit mis à la disposition de tous les membres.</w:t>
      </w:r>
    </w:p>
    <w:p w14:paraId="37A6A186" w14:textId="77777777" w:rsidR="00FE773D" w:rsidRPr="00FB1BFA" w:rsidRDefault="00FE773D" w:rsidP="00FE773D">
      <w:pPr>
        <w:rPr>
          <w:lang w:val="fr-FR"/>
        </w:rPr>
      </w:pPr>
      <w:r w:rsidRPr="00FB1BFA">
        <w:rPr>
          <w:lang w:val="fr-FR"/>
        </w:rPr>
        <w:t xml:space="preserve">Le représentant de la RCC a rappelé que le GCDT avait effectivement approuvé un certain nombre de documents qui ne peuvent manifestement pas être contraignants pour les États Membres et les organisations régionales de télécommunication qui leur sont rattachées, mais peuvent néanmoins fournir des informations générales utiles dans leurs </w:t>
      </w:r>
      <w:r w:rsidRPr="00FB1BFA">
        <w:rPr>
          <w:color w:val="000000"/>
          <w:lang w:val="fr-FR"/>
        </w:rPr>
        <w:t xml:space="preserve">activités de préparation </w:t>
      </w:r>
      <w:r w:rsidRPr="00FB1BFA">
        <w:rPr>
          <w:lang w:val="fr-FR"/>
        </w:rPr>
        <w:t>de la CMDT.</w:t>
      </w:r>
    </w:p>
    <w:p w14:paraId="0E8F62C1" w14:textId="77777777" w:rsidR="00FE773D" w:rsidRPr="00FB1BFA" w:rsidRDefault="00FE773D" w:rsidP="00FE773D">
      <w:pPr>
        <w:rPr>
          <w:lang w:val="fr-FR"/>
        </w:rPr>
      </w:pPr>
      <w:r w:rsidRPr="00FB1BFA">
        <w:rPr>
          <w:lang w:val="fr-FR"/>
        </w:rPr>
        <w:t>Le représentant des Bahamas a estimé que la proposition de la Présidente du GCDT constituait "un pas dans la bonne direction" et fait observer qu'on tient parfois pour acquis que tous les participants ont pris part à de nombreuses discussions et qu'ils connaissent bien non seulement le jargon et les acronymes, mais aussi les méthodes.</w:t>
      </w:r>
    </w:p>
    <w:p w14:paraId="2DCC4E1F" w14:textId="77777777" w:rsidR="00FE773D" w:rsidRPr="00FB1BFA" w:rsidRDefault="00FE773D" w:rsidP="00FE773D">
      <w:pPr>
        <w:rPr>
          <w:lang w:val="fr-FR"/>
        </w:rPr>
      </w:pPr>
      <w:r w:rsidRPr="00FB1BFA">
        <w:rPr>
          <w:lang w:val="fr-FR"/>
        </w:rPr>
        <w:t>En réponse aux observations formulées, le représentant du BDT a présenté le statut des documents approuvés par le GCDT indiqués ci-après, en attirant l'attention sur ceux qui ont déjà été publiés via l'Interface pour les propositions aux conférences (CPI) pour permettre aux membres d'y intégrer leurs propositions de révision et d'amélioration:</w:t>
      </w:r>
    </w:p>
    <w:p w14:paraId="11DDC418" w14:textId="77777777" w:rsidR="00FE773D" w:rsidRPr="00FB1BFA" w:rsidRDefault="00FE773D" w:rsidP="00FE773D">
      <w:pPr>
        <w:pStyle w:val="enumlev1"/>
        <w:rPr>
          <w:lang w:val="fr-FR"/>
        </w:rPr>
      </w:pPr>
      <w:r w:rsidRPr="00FB1BFA">
        <w:rPr>
          <w:lang w:val="fr-FR"/>
        </w:rPr>
        <w:t>1)</w:t>
      </w:r>
      <w:r w:rsidRPr="00FB1BFA">
        <w:rPr>
          <w:lang w:val="fr-FR"/>
        </w:rPr>
        <w:tab/>
        <w:t>Projet de Déclaration de la CMDT.</w:t>
      </w:r>
    </w:p>
    <w:p w14:paraId="03B8957A" w14:textId="77777777" w:rsidR="00FE773D" w:rsidRPr="00FB1BFA" w:rsidRDefault="00FE773D" w:rsidP="00FE773D">
      <w:pPr>
        <w:pStyle w:val="enumlev1"/>
        <w:rPr>
          <w:lang w:val="fr-FR"/>
        </w:rPr>
      </w:pPr>
      <w:r w:rsidRPr="00FB1BFA">
        <w:rPr>
          <w:lang w:val="fr-FR"/>
        </w:rPr>
        <w:t>2)</w:t>
      </w:r>
      <w:r w:rsidRPr="00FB1BFA">
        <w:rPr>
          <w:lang w:val="fr-FR"/>
        </w:rPr>
        <w:tab/>
        <w:t>Projet de Plan d'action de la CMDT, tel qu'il a été révisé et approuvé par le GCDT à sa réunion de novembre 2021.</w:t>
      </w:r>
      <w:r w:rsidRPr="00FB1BFA">
        <w:rPr>
          <w:lang w:val="fr-FR"/>
        </w:rPr>
        <w:br/>
      </w:r>
      <w:r w:rsidRPr="00FB1BFA">
        <w:rPr>
          <w:b/>
          <w:bCs/>
          <w:u w:val="single"/>
          <w:lang w:val="fr-FR"/>
        </w:rPr>
        <w:t>Note</w:t>
      </w:r>
      <w:r w:rsidRPr="00FB1BFA">
        <w:rPr>
          <w:lang w:val="fr-FR"/>
        </w:rPr>
        <w:t xml:space="preserve">: Étant donné que les travaux en cours au sein du Groupe de travail du Conseil chargé d'élaborer le Plan stratégique et le Plan financier de l'Union pour la période 2024-2027 auront une incidence sur certaines des informations figurant dans ce projet de Plan </w:t>
      </w:r>
      <w:r w:rsidRPr="00FB1BFA">
        <w:rPr>
          <w:lang w:val="fr-FR"/>
        </w:rPr>
        <w:lastRenderedPageBreak/>
        <w:t xml:space="preserve">d'action de la CMDT, le secrétariat du BDT a demandé aux participants à la réunion actuelle de fournir des orientations sur la marche à suivre. Au cours d'une discussion ultérieure, les participants sont convenus que le </w:t>
      </w:r>
      <w:hyperlink r:id="rId38" w:history="1">
        <w:r w:rsidRPr="00FB1BFA">
          <w:rPr>
            <w:rStyle w:val="Hyperlink"/>
            <w:lang w:val="fr-FR"/>
          </w:rPr>
          <w:t>Document 70</w:t>
        </w:r>
      </w:hyperlink>
      <w:r w:rsidRPr="00FB1BFA">
        <w:rPr>
          <w:lang w:val="fr-FR"/>
        </w:rPr>
        <w:t xml:space="preserve"> constituerait le Document de base (voir les pages 25 et 26) et remplacerait de ce fait la version actuellement disponible via l'interface CPI.</w:t>
      </w:r>
    </w:p>
    <w:p w14:paraId="5B4B2B1B" w14:textId="77777777" w:rsidR="00FE773D" w:rsidRPr="00FB1BFA" w:rsidRDefault="00FE773D" w:rsidP="00FE773D">
      <w:pPr>
        <w:pStyle w:val="enumlev1"/>
        <w:rPr>
          <w:lang w:val="fr-FR"/>
        </w:rPr>
      </w:pPr>
      <w:r w:rsidRPr="00FB1BFA">
        <w:rPr>
          <w:lang w:val="fr-FR"/>
        </w:rPr>
        <w:t>3)</w:t>
      </w:r>
      <w:r w:rsidRPr="00FB1BFA">
        <w:rPr>
          <w:lang w:val="fr-FR"/>
        </w:rPr>
        <w:tab/>
        <w:t>Les champs d'application révisés des Questions confiées aux Commissions d'études 1 et 2 approuvés à la réunion de novembre 2021 du GCDT ont été publiés via l'interface CPI respectivement en tant qu'Annexes 1 et 2 du Rapport de la Présidente du GCDT à la CMDT.</w:t>
      </w:r>
    </w:p>
    <w:p w14:paraId="6DC19714" w14:textId="77777777" w:rsidR="00FE773D" w:rsidRPr="00FB1BFA" w:rsidRDefault="00FE773D" w:rsidP="00FE773D">
      <w:pPr>
        <w:rPr>
          <w:lang w:val="fr-FR"/>
        </w:rPr>
      </w:pPr>
      <w:r w:rsidRPr="00FB1BFA">
        <w:rPr>
          <w:lang w:val="fr-FR"/>
        </w:rPr>
        <w:t>En outre, le secrétariat du BDT s'est engagé à centraliser dans un même espace tous les produits finals du GCDT (éventuellement sur le site web de la CMDT).</w:t>
      </w:r>
    </w:p>
    <w:p w14:paraId="36CDC62A" w14:textId="77777777" w:rsidR="00FE773D" w:rsidRPr="00FB1BFA" w:rsidRDefault="00FE773D" w:rsidP="00FE773D">
      <w:pPr>
        <w:pStyle w:val="Heading3"/>
        <w:rPr>
          <w:lang w:val="fr-FR"/>
        </w:rPr>
      </w:pPr>
      <w:r w:rsidRPr="00FB1BFA">
        <w:rPr>
          <w:lang w:val="fr-FR"/>
        </w:rPr>
        <w:t>4.2.4</w:t>
      </w:r>
      <w:r w:rsidRPr="00FB1BFA">
        <w:rPr>
          <w:lang w:val="fr-FR"/>
        </w:rPr>
        <w:tab/>
        <w:t>Prochaines étapes</w:t>
      </w:r>
    </w:p>
    <w:p w14:paraId="0F380251" w14:textId="77777777" w:rsidR="00FE773D" w:rsidRPr="00FB1BFA" w:rsidRDefault="00FE773D" w:rsidP="00FE773D">
      <w:pPr>
        <w:rPr>
          <w:bCs/>
          <w:lang w:val="fr-FR"/>
        </w:rPr>
      </w:pPr>
      <w:r w:rsidRPr="00FB1BFA">
        <w:rPr>
          <w:bCs/>
          <w:lang w:val="fr-FR"/>
        </w:rPr>
        <w:t>Les participants à la réunion IRM-3 ont remercié le secrétariat pour les mesures qu'il a déjà prises en vue de publier certains des documents de base, se sont félicités de la volonté du secrétariat de créer un guichet unique et ont souligné qu'il était nécessaire d'indiquer clairement le statut de chaque document.</w:t>
      </w:r>
    </w:p>
    <w:p w14:paraId="72BD94B8" w14:textId="77777777" w:rsidR="00FE773D" w:rsidRPr="00FB1BFA" w:rsidRDefault="00FE773D" w:rsidP="00FE773D">
      <w:pPr>
        <w:pStyle w:val="Heading2"/>
        <w:rPr>
          <w:lang w:val="fr-FR"/>
        </w:rPr>
      </w:pPr>
      <w:r w:rsidRPr="00FB1BFA">
        <w:rPr>
          <w:bCs/>
          <w:lang w:val="fr-FR"/>
        </w:rPr>
        <w:t>4.3</w:t>
      </w:r>
      <w:r w:rsidRPr="00FB1BFA">
        <w:rPr>
          <w:bCs/>
          <w:lang w:val="fr-FR"/>
        </w:rPr>
        <w:tab/>
      </w:r>
      <w:r w:rsidRPr="00FB1BFA">
        <w:rPr>
          <w:lang w:val="fr-FR"/>
        </w:rPr>
        <w:t>Projets de proposition sur les modifications apportées aux Résolutions et aux Questions confiées aux commissions d'études de la CMDT</w:t>
      </w:r>
    </w:p>
    <w:p w14:paraId="6DFF58FE" w14:textId="77777777" w:rsidR="00FE773D" w:rsidRPr="00FB1BFA" w:rsidRDefault="00FB1BFA" w:rsidP="00FE773D">
      <w:pPr>
        <w:rPr>
          <w:lang w:val="fr-FR"/>
        </w:rPr>
      </w:pPr>
      <w:hyperlink r:id="rId39" w:history="1">
        <w:r w:rsidR="00FE773D" w:rsidRPr="00FB1BFA">
          <w:rPr>
            <w:rStyle w:val="Hyperlink"/>
            <w:lang w:val="fr-FR"/>
          </w:rPr>
          <w:t>Document 64</w:t>
        </w:r>
      </w:hyperlink>
      <w:r w:rsidR="00FE773D" w:rsidRPr="00FB1BFA">
        <w:rPr>
          <w:lang w:val="fr-FR"/>
        </w:rPr>
        <w:t xml:space="preserve"> + Annexe 1: Cette contribution, établie par le secrétariat du BDT, regroupe les propositions visant à modifier ou à supprimer certaines Résolutions de la CMDT, ou à en ajouter de nouvelles. Elle </w:t>
      </w:r>
      <w:r w:rsidR="00FE773D" w:rsidRPr="00FB1BFA">
        <w:rPr>
          <w:color w:val="000000"/>
          <w:lang w:val="fr-FR"/>
        </w:rPr>
        <w:t xml:space="preserve">se veut </w:t>
      </w:r>
      <w:r w:rsidR="00FE773D" w:rsidRPr="00FB1BFA">
        <w:rPr>
          <w:lang w:val="fr-FR"/>
        </w:rPr>
        <w:t>un document évolutif, qui devra être mis à jour en permanence, et comprend une liste des coordonnateurs régionaux désignés à cet effet.</w:t>
      </w:r>
    </w:p>
    <w:p w14:paraId="7805F5BE" w14:textId="77777777" w:rsidR="00FE773D" w:rsidRPr="00FB1BFA" w:rsidRDefault="00FE773D" w:rsidP="00FE773D">
      <w:pPr>
        <w:pStyle w:val="Heading3"/>
        <w:rPr>
          <w:bCs/>
          <w:lang w:val="fr-FR"/>
        </w:rPr>
      </w:pPr>
      <w:r w:rsidRPr="00FB1BFA">
        <w:rPr>
          <w:lang w:val="fr-FR"/>
        </w:rPr>
        <w:t>4.3.1</w:t>
      </w:r>
      <w:r w:rsidRPr="00FB1BFA">
        <w:rPr>
          <w:lang w:val="fr-FR"/>
        </w:rPr>
        <w:tab/>
        <w:t>Observations des participants</w:t>
      </w:r>
    </w:p>
    <w:p w14:paraId="17B16267" w14:textId="77777777" w:rsidR="00FE773D" w:rsidRPr="00FB1BFA" w:rsidRDefault="00FE773D" w:rsidP="00FE773D">
      <w:pPr>
        <w:rPr>
          <w:lang w:val="fr-FR"/>
        </w:rPr>
      </w:pPr>
      <w:r w:rsidRPr="00FB1BFA">
        <w:rPr>
          <w:lang w:val="fr-FR"/>
        </w:rPr>
        <w:t>Le représentant des États-Unis a estimé que le document constituait un outil véritablement utile, qui fournira des indications sur la façon dont les régions peuvent rapprocher leurs points de vue, en particulier en ces dernières semaines de préparation. Le représentant du Botswana a demandé que ce document soit accessible en ligne. Le représentant de la République islamique d'Iran a ajouté qu'il faudrait en premier lieu le mettre à jour autant que faire se peut, notamment en ce qui concerne la Résolution 2. Le représentant du Nigéria a suggéré de télécharger le fichier sur Google Docs, pour qu'il soit actualisé à intervalles réguliers et accessible en permanence aux membres. Les trois pays ont considéré que cette contribution constituait un outil remarquable.</w:t>
      </w:r>
    </w:p>
    <w:p w14:paraId="0B18BDF2" w14:textId="77777777" w:rsidR="00FE773D" w:rsidRPr="00FB1BFA" w:rsidRDefault="00FE773D" w:rsidP="00FE773D">
      <w:pPr>
        <w:rPr>
          <w:lang w:val="fr-FR"/>
        </w:rPr>
      </w:pPr>
      <w:r w:rsidRPr="00FB1BFA">
        <w:rPr>
          <w:lang w:val="fr-FR"/>
        </w:rPr>
        <w:t>Le représentant du Koweït a demandé pourquoi le document faisait mention de cinq ou six priorités thématiques, alors qu'à ce jour, les discussions n'ont porté que sur quatre ou cinq priorités. Le Président du GT-GCDT-RDTP, groupe au sein duquel les priorités thématiques de l'UIT</w:t>
      </w:r>
      <w:r w:rsidRPr="00FB1BFA">
        <w:rPr>
          <w:lang w:val="fr-FR"/>
        </w:rPr>
        <w:noBreakHyphen/>
        <w:t xml:space="preserve">D ont été définies, a confirmé que son groupe avait approuvé quatre priorités, la cinquième ayant été laissée entre crochets faute de consensus. Il a été noté que la référence se rapportait sans doute au nouveau cadre stratégique de l'UIT </w:t>
      </w:r>
      <w:r w:rsidRPr="00FB1BFA">
        <w:rPr>
          <w:color w:val="000000"/>
          <w:lang w:val="fr-FR"/>
        </w:rPr>
        <w:t>dans son ensemble</w:t>
      </w:r>
      <w:r w:rsidRPr="00FB1BFA">
        <w:rPr>
          <w:lang w:val="fr-FR"/>
        </w:rPr>
        <w:t xml:space="preserve"> pour la période 2024-2027.</w:t>
      </w:r>
    </w:p>
    <w:p w14:paraId="4F3BAD0D" w14:textId="77777777" w:rsidR="00FE773D" w:rsidRPr="00FB1BFA" w:rsidRDefault="00FE773D" w:rsidP="00FE773D">
      <w:pPr>
        <w:rPr>
          <w:lang w:val="fr-FR"/>
        </w:rPr>
      </w:pPr>
      <w:r w:rsidRPr="00FB1BFA">
        <w:rPr>
          <w:lang w:val="fr-FR"/>
        </w:rPr>
        <w:t>La Présidente de la réunion IRM-3 est convenue que le document continuerait d'être enrichi par de nouvelles contributions émanant des différentes organisations régionales de télécommunication et a invité les régions n'ayant pas soumis de contributions ou de propositions à en informer le secrétariat du BDT.</w:t>
      </w:r>
    </w:p>
    <w:p w14:paraId="3F6AB825" w14:textId="77777777" w:rsidR="00FE773D" w:rsidRPr="00FB1BFA" w:rsidRDefault="00FE773D" w:rsidP="00FE773D">
      <w:pPr>
        <w:pStyle w:val="Heading3"/>
        <w:rPr>
          <w:lang w:val="fr-FR"/>
        </w:rPr>
      </w:pPr>
      <w:r w:rsidRPr="00FB1BFA">
        <w:rPr>
          <w:lang w:val="fr-FR"/>
        </w:rPr>
        <w:lastRenderedPageBreak/>
        <w:t>4.3.2</w:t>
      </w:r>
      <w:r w:rsidRPr="00FB1BFA">
        <w:rPr>
          <w:lang w:val="fr-FR"/>
        </w:rPr>
        <w:tab/>
        <w:t>Prochaines étapes</w:t>
      </w:r>
    </w:p>
    <w:p w14:paraId="7C2736E8" w14:textId="77777777" w:rsidR="00FE773D" w:rsidRPr="00FB1BFA" w:rsidRDefault="00FE773D" w:rsidP="00FE773D">
      <w:pPr>
        <w:rPr>
          <w:lang w:val="fr-FR"/>
        </w:rPr>
      </w:pPr>
      <w:r w:rsidRPr="00FB1BFA">
        <w:rPr>
          <w:lang w:val="fr-FR"/>
        </w:rPr>
        <w:t>Les participants à la réunion IRM-3 ont pris note du document, ainsi que des observations formulées, et ont demandé au secrétariat du BDT de mettre le document à jour et de le publier dans un répertoire en ligne, où il pourra être consulté et mis à jour périodiquement par les coordonnateurs participant aux travaux préparatoires de la CMDT.</w:t>
      </w:r>
    </w:p>
    <w:p w14:paraId="07726FD3" w14:textId="77777777" w:rsidR="00FE773D" w:rsidRPr="00FB1BFA" w:rsidRDefault="00FE773D" w:rsidP="00FE773D">
      <w:pPr>
        <w:pStyle w:val="Heading2"/>
        <w:rPr>
          <w:lang w:val="fr-FR"/>
        </w:rPr>
      </w:pPr>
      <w:r w:rsidRPr="00FB1BFA">
        <w:rPr>
          <w:lang w:val="fr-FR"/>
        </w:rPr>
        <w:t>4.4</w:t>
      </w:r>
      <w:r w:rsidRPr="00FB1BFA">
        <w:rPr>
          <w:lang w:val="fr-FR"/>
        </w:rPr>
        <w:tab/>
        <w:t>Bases à prendre en compte pour la répartition des documents et de la charge de travail entre les commissions à la CMDT</w:t>
      </w:r>
    </w:p>
    <w:p w14:paraId="4C38A9C6" w14:textId="77777777" w:rsidR="00FE773D" w:rsidRPr="00FB1BFA" w:rsidRDefault="00FB1BFA" w:rsidP="00FE773D">
      <w:pPr>
        <w:rPr>
          <w:lang w:val="fr-FR"/>
        </w:rPr>
      </w:pPr>
      <w:hyperlink r:id="rId40" w:history="1">
        <w:r w:rsidR="00FE773D" w:rsidRPr="00FB1BFA">
          <w:rPr>
            <w:rStyle w:val="Hyperlink"/>
            <w:lang w:val="fr-FR"/>
          </w:rPr>
          <w:t>Document 69</w:t>
        </w:r>
      </w:hyperlink>
      <w:r w:rsidR="00FE773D" w:rsidRPr="00FB1BFA">
        <w:rPr>
          <w:lang w:val="fr-FR"/>
        </w:rPr>
        <w:t xml:space="preserve">: Cette contribution du secrétariat du BDT est fondée sur les mandats des cinq Commissions de la CMDT, tels qu'ils ont été définis et approuvés par le GCDT en mai 2021 (voir le </w:t>
      </w:r>
      <w:hyperlink r:id="rId41" w:history="1">
        <w:r w:rsidR="00FE773D" w:rsidRPr="00FB1BFA">
          <w:rPr>
            <w:rStyle w:val="Hyperlink"/>
            <w:lang w:val="fr-FR"/>
          </w:rPr>
          <w:t>Document TDAG-21/17</w:t>
        </w:r>
      </w:hyperlink>
      <w:r w:rsidR="00FE773D" w:rsidRPr="00FB1BFA">
        <w:rPr>
          <w:lang w:val="fr-FR"/>
        </w:rPr>
        <w:t>).</w:t>
      </w:r>
    </w:p>
    <w:p w14:paraId="34D5ECA5" w14:textId="77777777" w:rsidR="00FE773D" w:rsidRPr="00FB1BFA" w:rsidRDefault="00FE773D" w:rsidP="00FE773D">
      <w:pPr>
        <w:pStyle w:val="Heading3"/>
        <w:rPr>
          <w:bCs/>
          <w:lang w:val="fr-FR"/>
        </w:rPr>
      </w:pPr>
      <w:r w:rsidRPr="00FB1BFA">
        <w:rPr>
          <w:lang w:val="fr-FR"/>
        </w:rPr>
        <w:t>4.4.1</w:t>
      </w:r>
      <w:r w:rsidRPr="00FB1BFA">
        <w:rPr>
          <w:lang w:val="fr-FR"/>
        </w:rPr>
        <w:tab/>
        <w:t>Observations des participants</w:t>
      </w:r>
    </w:p>
    <w:p w14:paraId="0DE43602" w14:textId="77777777" w:rsidR="00FE773D" w:rsidRPr="00FB1BFA" w:rsidRDefault="00FE773D" w:rsidP="00FE773D">
      <w:pPr>
        <w:rPr>
          <w:lang w:val="fr-FR"/>
        </w:rPr>
      </w:pPr>
      <w:r w:rsidRPr="00FB1BFA">
        <w:rPr>
          <w:lang w:val="fr-FR"/>
        </w:rPr>
        <w:t>Le représentant de la Fédération de Russie a suggéré que la Résolution 2 (Établissement de commissions d'études de l'UIT-D) dans son intégralité, y compris les Questions à étudier, soit attribuée à la Commission 3 (Objectifs), faisant valoir que cette Résolution est sans rapport avec les procédures et les méthodes de travail, qui sont toutes définies dans la Résolution 1 de la CMDT. Cette délégation a insisté sur la nécessité de confier ces tâches à une seule et même commission, afin d'éviter les multiples échanges de notes émanant des présidents de commissions. Le représentant de la Hongrie a appuyé ces propositions.</w:t>
      </w:r>
    </w:p>
    <w:p w14:paraId="06F8A9D2" w14:textId="77777777" w:rsidR="00FE773D" w:rsidRPr="00FB1BFA" w:rsidRDefault="00FE773D" w:rsidP="00FE773D">
      <w:pPr>
        <w:pStyle w:val="Heading3"/>
        <w:rPr>
          <w:lang w:val="fr-FR"/>
        </w:rPr>
      </w:pPr>
      <w:r w:rsidRPr="00FB1BFA">
        <w:rPr>
          <w:lang w:val="fr-FR"/>
        </w:rPr>
        <w:t>4.4.2</w:t>
      </w:r>
      <w:r w:rsidRPr="00FB1BFA">
        <w:rPr>
          <w:lang w:val="fr-FR"/>
        </w:rPr>
        <w:tab/>
        <w:t>Prochaines étapes</w:t>
      </w:r>
    </w:p>
    <w:p w14:paraId="0C978E85" w14:textId="77777777" w:rsidR="00FE773D" w:rsidRPr="00FB1BFA" w:rsidRDefault="00FE773D" w:rsidP="00FE773D">
      <w:pPr>
        <w:rPr>
          <w:lang w:val="fr-FR"/>
        </w:rPr>
      </w:pPr>
      <w:r w:rsidRPr="00FB1BFA">
        <w:rPr>
          <w:lang w:val="fr-FR"/>
        </w:rPr>
        <w:t>Les participants à la réunion IRM-3 ont pris note du document et demandé au secrétariat du BDT de revoir et d'adapter sa proposition de répartition, en tenant compte des observations ci-dessus, afin de garantir une répartition équilibrée des tâches entre les commissions et d'éviter les blocages susceptibles de compromettre le bon déroulement de la Conférence.</w:t>
      </w:r>
    </w:p>
    <w:p w14:paraId="2D4344C2" w14:textId="77777777" w:rsidR="00FE773D" w:rsidRPr="00FB1BFA" w:rsidRDefault="00FE773D" w:rsidP="00FE773D">
      <w:pPr>
        <w:pStyle w:val="Heading2"/>
        <w:rPr>
          <w:bCs/>
          <w:lang w:val="fr-FR"/>
        </w:rPr>
      </w:pPr>
      <w:r w:rsidRPr="00FB1BFA">
        <w:rPr>
          <w:bCs/>
          <w:lang w:val="fr-FR"/>
        </w:rPr>
        <w:t>4.5</w:t>
      </w:r>
      <w:r w:rsidRPr="00FB1BFA">
        <w:rPr>
          <w:bCs/>
          <w:lang w:val="fr-FR"/>
        </w:rPr>
        <w:tab/>
        <w:t xml:space="preserve">Le Plan d'action de la CMDT comme </w:t>
      </w:r>
      <w:r w:rsidRPr="00FB1BFA">
        <w:rPr>
          <w:lang w:val="fr-FR"/>
        </w:rPr>
        <w:t>document de base</w:t>
      </w:r>
    </w:p>
    <w:p w14:paraId="08B1820C" w14:textId="77777777" w:rsidR="00FE773D" w:rsidRPr="00FB1BFA" w:rsidRDefault="00FB1BFA" w:rsidP="00FE773D">
      <w:pPr>
        <w:rPr>
          <w:lang w:val="fr-FR"/>
        </w:rPr>
      </w:pPr>
      <w:hyperlink r:id="rId42" w:history="1">
        <w:r w:rsidR="00FE773D" w:rsidRPr="00FB1BFA">
          <w:rPr>
            <w:rStyle w:val="Hyperlink"/>
            <w:lang w:val="fr-FR"/>
          </w:rPr>
          <w:t>Document 70</w:t>
        </w:r>
      </w:hyperlink>
      <w:r w:rsidR="00FE773D" w:rsidRPr="00FB1BFA">
        <w:rPr>
          <w:lang w:val="fr-FR"/>
        </w:rPr>
        <w:t xml:space="preserve">: Cette contribution a été élaborée par le BDT afin de recueillir les vues et les avis des participants sur la question de savoir s'il convenait ou non de l'utiliser comme document de base. Lors de sa réunion de novembre 2021, le GCDT a examiné et révisé une liste de réalisations et de produits figurant dans le projet de Plan d'action de la CMDT soumis par le Groupe de travail chargé de la planification stratégique et opérationnelle qui lui est rattaché. Le GCDT était convenu que les réalisations et produits révisés pourraient servir de base aux membres pour formuler d'autres propositions de révision et apporter d'autres améliorations en vue de la CMDT. Sachant que l'avant-projet de Plan stratégique de l'UIT pour la période 2024-2027 serait disponible en janvier 2022, le BDT avait indiqué, lors de la réunion de novembre, qu'il présenterait un Plan d'action actualisé tenant compte des ajustements nécessaires pour aligner le Plan sur le nouveau cadre du Plan stratégique de l'UIT. Par conséquent, le </w:t>
      </w:r>
      <w:hyperlink r:id="rId43" w:history="1">
        <w:r w:rsidR="00FE773D" w:rsidRPr="00FB1BFA">
          <w:rPr>
            <w:rStyle w:val="Hyperlink"/>
            <w:lang w:val="fr-FR"/>
          </w:rPr>
          <w:t>Document 70</w:t>
        </w:r>
      </w:hyperlink>
      <w:r w:rsidR="00FE773D" w:rsidRPr="00FB1BFA">
        <w:rPr>
          <w:lang w:val="fr-FR"/>
        </w:rPr>
        <w:t xml:space="preserve"> tient compte des discussions de la deuxième réunion du GTC-SFP tenue en janvier 2022, sur la base de la contribution du secrétariat à l'Annexe 1 de la Résolution 71 de la Conférence de plénipotentiaires relative au projet de Plan stratégique de l'UIT pour la période 2024-2027.</w:t>
      </w:r>
    </w:p>
    <w:p w14:paraId="1CD6C959" w14:textId="77777777" w:rsidR="00FE773D" w:rsidRPr="00FB1BFA" w:rsidRDefault="00FE773D" w:rsidP="00FE773D">
      <w:pPr>
        <w:pStyle w:val="Heading3"/>
        <w:rPr>
          <w:lang w:val="fr-FR"/>
        </w:rPr>
      </w:pPr>
      <w:r w:rsidRPr="00FB1BFA">
        <w:rPr>
          <w:lang w:val="fr-FR"/>
        </w:rPr>
        <w:t>4.5.1</w:t>
      </w:r>
      <w:r w:rsidRPr="00FB1BFA">
        <w:rPr>
          <w:lang w:val="fr-FR"/>
        </w:rPr>
        <w:tab/>
        <w:t>Observations des participants</w:t>
      </w:r>
    </w:p>
    <w:p w14:paraId="76F71DA4" w14:textId="77777777" w:rsidR="00FE773D" w:rsidRPr="00FB1BFA" w:rsidRDefault="00FE773D" w:rsidP="00FE773D">
      <w:pPr>
        <w:rPr>
          <w:lang w:val="fr-FR"/>
        </w:rPr>
      </w:pPr>
      <w:r w:rsidRPr="00FB1BFA">
        <w:rPr>
          <w:lang w:val="fr-FR"/>
        </w:rPr>
        <w:t>Le représentant de l'Arabie saoudite a félicité le BDT et prié instamment le secrétariat de diffuser le document à tous ceux qui pourront le trouver utile.</w:t>
      </w:r>
    </w:p>
    <w:p w14:paraId="01391345" w14:textId="77777777" w:rsidR="00FE773D" w:rsidRPr="00FB1BFA" w:rsidRDefault="00FE773D" w:rsidP="00FE773D">
      <w:pPr>
        <w:rPr>
          <w:lang w:val="fr-FR"/>
        </w:rPr>
      </w:pPr>
      <w:r w:rsidRPr="00FB1BFA">
        <w:rPr>
          <w:lang w:val="fr-FR"/>
        </w:rPr>
        <w:lastRenderedPageBreak/>
        <w:t xml:space="preserve">Le représentant des États-Unis a indiqué que le document constituait </w:t>
      </w:r>
      <w:r w:rsidRPr="00FB1BFA">
        <w:rPr>
          <w:color w:val="000000"/>
          <w:lang w:val="fr-FR"/>
        </w:rPr>
        <w:t xml:space="preserve">un bon point de départ </w:t>
      </w:r>
      <w:r w:rsidRPr="00FB1BFA">
        <w:rPr>
          <w:lang w:val="fr-FR"/>
        </w:rPr>
        <w:t>pour déterminer la façon de faire correspondre certaines des discussions menées au sein du GCDT ainsi que le processus de planification stratégique et le nouveau Plan d'action.</w:t>
      </w:r>
    </w:p>
    <w:p w14:paraId="05A4E6C2" w14:textId="77777777" w:rsidR="00FE773D" w:rsidRPr="00FB1BFA" w:rsidRDefault="00FE773D" w:rsidP="00FE773D">
      <w:pPr>
        <w:rPr>
          <w:lang w:val="fr-FR"/>
        </w:rPr>
      </w:pPr>
      <w:r w:rsidRPr="00FB1BFA">
        <w:rPr>
          <w:lang w:val="fr-FR"/>
        </w:rPr>
        <w:t>Le représentant de la Fédération de Russie a fait observer que les crochets, en particulier au § 4.4 [Mise en œuvre de la priorité thématique relative à la cybersécurité], associés au texte surligné en jaune, prêtaient à confusion. Il a demandé s'il était possible de supprimer simplement les crochets dans le document et de les remplacer par une référence.</w:t>
      </w:r>
    </w:p>
    <w:p w14:paraId="223545CB" w14:textId="77777777" w:rsidR="00FE773D" w:rsidRPr="00FB1BFA" w:rsidRDefault="00FE773D" w:rsidP="00FE773D">
      <w:pPr>
        <w:rPr>
          <w:lang w:val="fr-FR"/>
        </w:rPr>
      </w:pPr>
      <w:r w:rsidRPr="00FB1BFA">
        <w:rPr>
          <w:lang w:val="fr-FR"/>
        </w:rPr>
        <w:t>Le représentant des Émirats arabes unis a demandé si des modifications seraient apportées au Plan d'action de la CMDT proposé une fois que les résultats de la réunion du GTC-SFP du 20 mars 2022 seraient publiés en vue de la session du Conseil (21-31 mars 2022). Le secrétariat du BDT a répondu que si les participants acceptaient de soumettre le Document 70 en tant que contribution aux travaux de la Conférence, il en élaborerait une version actualisée pour tenir compte des modifications éventuelles apportées au projet de Plan stratégique de l'UIT qui ont des incidences sur le Plan d'action de la CMDT proposé.</w:t>
      </w:r>
    </w:p>
    <w:p w14:paraId="70C34D40" w14:textId="77777777" w:rsidR="00FE773D" w:rsidRPr="00FB1BFA" w:rsidRDefault="00FE773D" w:rsidP="00FE773D">
      <w:pPr>
        <w:rPr>
          <w:lang w:val="fr-FR"/>
        </w:rPr>
      </w:pPr>
      <w:r w:rsidRPr="00FB1BFA">
        <w:rPr>
          <w:lang w:val="fr-FR"/>
        </w:rPr>
        <w:t xml:space="preserve">Le représentant de la République islamique d'Iran a souligné que le </w:t>
      </w:r>
      <w:hyperlink r:id="rId44" w:history="1">
        <w:r w:rsidRPr="00FB1BFA">
          <w:rPr>
            <w:rStyle w:val="Hyperlink"/>
            <w:lang w:val="fr-FR"/>
          </w:rPr>
          <w:t>Document 70</w:t>
        </w:r>
      </w:hyperlink>
      <w:r w:rsidRPr="00FB1BFA">
        <w:rPr>
          <w:lang w:val="fr-FR"/>
        </w:rPr>
        <w:t xml:space="preserve"> était extrêmement important et que </w:t>
      </w:r>
      <w:r w:rsidRPr="00FB1BFA">
        <w:rPr>
          <w:color w:val="000000"/>
          <w:lang w:val="fr-FR"/>
        </w:rPr>
        <w:t>comme chacun sait, il existait</w:t>
      </w:r>
      <w:r w:rsidRPr="00FB1BFA">
        <w:rPr>
          <w:lang w:val="fr-FR"/>
        </w:rPr>
        <w:t xml:space="preserve"> des divergences de vues entre les membres de l'UIT au sujet du projet de Plan d'action de la CMDT. Il est donc important de trouver un moyen de réduire au minimum ou de surmonter ces désaccords. Ce document donne un aperçu de la cause de ces divergences, ce qui facilitera considérablement les négociations à venir.</w:t>
      </w:r>
    </w:p>
    <w:p w14:paraId="0F777C43" w14:textId="77777777" w:rsidR="00FE773D" w:rsidRPr="00FB1BFA" w:rsidRDefault="00FE773D" w:rsidP="00FE773D">
      <w:pPr>
        <w:rPr>
          <w:lang w:val="fr-FR"/>
        </w:rPr>
      </w:pPr>
      <w:r w:rsidRPr="00FB1BFA">
        <w:rPr>
          <w:lang w:val="fr-FR"/>
        </w:rPr>
        <w:t>En réponse au représentant de l'Arabie saoudite, le secrétariat du BDT a expliqué que sa démarche consisterait à publier le document, en règle générale, à titre d'information uniquement, ou à le mettre à disposition via l'Interface pour les propositions aux conférences, afin de susciter d'autres propositions de révision et d'amélioration.</w:t>
      </w:r>
    </w:p>
    <w:p w14:paraId="75E6D6B3" w14:textId="77777777" w:rsidR="00FE773D" w:rsidRPr="00FB1BFA" w:rsidRDefault="00FE773D" w:rsidP="00FE773D">
      <w:pPr>
        <w:rPr>
          <w:lang w:val="fr-FR"/>
        </w:rPr>
      </w:pPr>
      <w:r w:rsidRPr="00FB1BFA">
        <w:rPr>
          <w:lang w:val="fr-FR"/>
        </w:rPr>
        <w:t>Le représentant de l'Arabie saoudite a souligné qu'il n'était pas possible de conférer un statut officiel au document, mais que la meilleure solution consisterait à le transmettre à toutes les régions après la session du Conseil (21-31 mars 2022), afin de les tenir dûment informées. Le représentant des États-Unis a souligné que le Plan d'action de la CMDT devait être adopté lors de la CMDT et a ajouté que certaines des divergences, par exemple en ce qui concerne la proposition tendant à faire de la cybersécurité une priorité thématique, pourraient être surmontées dans le cadre de nouvelles négociations entre les membres.</w:t>
      </w:r>
    </w:p>
    <w:p w14:paraId="33C7925B" w14:textId="77777777" w:rsidR="00FE773D" w:rsidRPr="00FB1BFA" w:rsidRDefault="00FE773D" w:rsidP="00FE773D">
      <w:pPr>
        <w:rPr>
          <w:lang w:val="fr-FR"/>
        </w:rPr>
      </w:pPr>
      <w:r w:rsidRPr="00FB1BFA">
        <w:rPr>
          <w:lang w:val="fr-FR"/>
        </w:rPr>
        <w:t xml:space="preserve">Étant donné que les travaux de l'UIT-D sont en définitive déterminés par les décisions de la CMDT, la Présidente du GCDT a proposé de soumettre le </w:t>
      </w:r>
      <w:hyperlink r:id="rId45" w:history="1">
        <w:r w:rsidRPr="00FB1BFA">
          <w:rPr>
            <w:rStyle w:val="Hyperlink"/>
            <w:lang w:val="fr-FR"/>
          </w:rPr>
          <w:t>Document 70</w:t>
        </w:r>
      </w:hyperlink>
      <w:r w:rsidRPr="00FB1BFA">
        <w:rPr>
          <w:lang w:val="fr-FR"/>
        </w:rPr>
        <w:t xml:space="preserve"> à la Conférence en tant que document de base. Les organisations régionales de télécommunication et les États Membres pourront ensuite le modifier, tout en tenant compte des discussions en cours au sein du GTC-SFP sur le cadre stratégique de l'UIT dans son ensemble et sur le Plan stratégique pour la période 2024-2027.</w:t>
      </w:r>
    </w:p>
    <w:p w14:paraId="0A467452" w14:textId="77777777" w:rsidR="00FE773D" w:rsidRPr="00FB1BFA" w:rsidRDefault="00FE773D" w:rsidP="00FE773D">
      <w:pPr>
        <w:keepLines/>
        <w:rPr>
          <w:lang w:val="fr-FR"/>
        </w:rPr>
      </w:pPr>
      <w:r w:rsidRPr="00FB1BFA">
        <w:rPr>
          <w:lang w:val="fr-FR"/>
        </w:rPr>
        <w:lastRenderedPageBreak/>
        <w:t>Le représentant de la République islamique d'Iran s'est dit favorable à cette proposition et a ajouté que le document pourrait également être transmis à d'autres réunions, en particulier à la réunion du 20 mars 2022 du GTC-SFP. Le représentant de la Fédération de Russie a approuvé la proposition de l'Arabie saoudite tendant à distribuer le document en tant que document contenant des informations générales et rendant compte des discussions qui ont eu lieu ainsi que des priorités recensées au niveau régional. L'orateur a noté que la proposition des États-Unis visant à soumettre le document à la Conférence était également judicieuse, mais a ajouté qu'il était évident que ce document devait être considéré comme un document fournissant des informations générales, et non comme une contribution. et qu'il ne savait toujours pas comment le document serait transmis à la Conférence avec des crochets et si cela aiderait la Conférence.</w:t>
      </w:r>
    </w:p>
    <w:p w14:paraId="4BE9174D" w14:textId="77777777" w:rsidR="00FE773D" w:rsidRPr="00FB1BFA" w:rsidRDefault="00FE773D" w:rsidP="00FE773D">
      <w:pPr>
        <w:rPr>
          <w:lang w:val="fr-FR"/>
        </w:rPr>
      </w:pPr>
      <w:r w:rsidRPr="00FB1BFA">
        <w:rPr>
          <w:lang w:val="fr-FR"/>
        </w:rPr>
        <w:t>Le représentant du Zimbabwe a fait remarquer que l'élaboration du document avait nécessité beaucoup d’efforts, tant au sein du GT-GCDT-SOP qu'au sein du GCDT lui-même, et que de nombreux compromis avaient été faits. Il a suggéré qu'étant donné que les éléments laissés entre crochets pour lesquels aucun consensus n'avait été obtenu étaient très peu nombreux, il serait préférable de transmettre le document à la Conférence, dans une annexe du rapport du GCDT ou en tant que document de base. En outre, les États Membres devraient être encouragés à examiner les textes entre crochets et à soumettre des contributions sur ces éléments, afin d'aider la Conférence à trouver un consensus à leur sujet.</w:t>
      </w:r>
    </w:p>
    <w:p w14:paraId="482FB093" w14:textId="77777777" w:rsidR="00FE773D" w:rsidRPr="00FB1BFA" w:rsidRDefault="00FE773D" w:rsidP="00FE773D">
      <w:pPr>
        <w:rPr>
          <w:lang w:val="fr-FR"/>
        </w:rPr>
      </w:pPr>
      <w:r w:rsidRPr="00FB1BFA">
        <w:rPr>
          <w:lang w:val="fr-FR"/>
        </w:rPr>
        <w:t xml:space="preserve">La Présidente du GCDT a partagé l'avis du Zimbabwe et rappelé que le BDT avait toujours établi un projet de Plan d'action de la CMDT en vue de permettre aux membres de formuler des observations à cet égard. Elle a noté qu'un consensus s'était dégagé sur un certain nombre de points et a recommandé que le </w:t>
      </w:r>
      <w:hyperlink r:id="rId46" w:history="1">
        <w:r w:rsidRPr="00FB1BFA">
          <w:rPr>
            <w:rStyle w:val="Hyperlink"/>
            <w:lang w:val="fr-FR"/>
          </w:rPr>
          <w:t>Document 70</w:t>
        </w:r>
      </w:hyperlink>
      <w:r w:rsidRPr="00FB1BFA">
        <w:rPr>
          <w:lang w:val="fr-FR"/>
        </w:rPr>
        <w:t xml:space="preserve"> soit accepté en tant que document de base, ce qui signifie simplement qu'il sert de point de départ. Elle a demandé au secrétariat du BDT d'ajouter ce document dans le guichet unique qu'il s'est engagé à créer pour regrouper les documents finals examinés précédemment, et de signaler clairement qu'il est possible d'apporter de nouvelles modifications à ces documents. Elle a rappelé que le Plan d'action émanait toujours de la CMDT et qu'il convenait de maintenir cette pratique. </w:t>
      </w:r>
    </w:p>
    <w:p w14:paraId="6895DBCE" w14:textId="77777777" w:rsidR="00FE773D" w:rsidRPr="00FB1BFA" w:rsidRDefault="00FE773D" w:rsidP="00FE773D">
      <w:pPr>
        <w:pStyle w:val="Heading3"/>
        <w:rPr>
          <w:lang w:val="fr-FR"/>
        </w:rPr>
      </w:pPr>
      <w:r w:rsidRPr="00FB1BFA">
        <w:rPr>
          <w:lang w:val="fr-FR"/>
        </w:rPr>
        <w:t>4.5.2</w:t>
      </w:r>
      <w:r w:rsidRPr="00FB1BFA">
        <w:rPr>
          <w:lang w:val="fr-FR"/>
        </w:rPr>
        <w:tab/>
        <w:t>Prochaines étapes</w:t>
      </w:r>
    </w:p>
    <w:p w14:paraId="581E56F6" w14:textId="77777777" w:rsidR="00FE773D" w:rsidRPr="00FB1BFA" w:rsidRDefault="00FE773D" w:rsidP="00FE773D">
      <w:pPr>
        <w:rPr>
          <w:lang w:val="fr-FR"/>
        </w:rPr>
      </w:pPr>
      <w:r w:rsidRPr="00FB1BFA">
        <w:rPr>
          <w:rFonts w:asciiTheme="minorHAnsi" w:hAnsiTheme="minorHAnsi" w:cstheme="minorHAnsi"/>
          <w:szCs w:val="24"/>
          <w:lang w:val="fr-FR"/>
        </w:rPr>
        <w:t xml:space="preserve">Les participants à la réunion IRM-3 ont pris note du document et accepté que la Directrice du BDT le soumette à la CMDT en tant que document de base, afin que les membres présentent d'autres propositions de révision et d'amélioration. </w:t>
      </w:r>
      <w:r w:rsidRPr="00FB1BFA">
        <w:rPr>
          <w:lang w:val="fr-FR"/>
        </w:rPr>
        <w:t>Les éléments surlignés en jaune désignent des points qui ne font pas l'objet d'un consensus, et resteront entre crochets afin d'être signalés comme tels pour faciliter les négociations à l'approche de la CMDT.</w:t>
      </w:r>
    </w:p>
    <w:p w14:paraId="1EFAEF24" w14:textId="77777777" w:rsidR="00FE773D" w:rsidRPr="00FB1BFA" w:rsidRDefault="00FE773D" w:rsidP="00FE773D">
      <w:pPr>
        <w:pStyle w:val="Heading1"/>
        <w:rPr>
          <w:lang w:val="fr-FR"/>
        </w:rPr>
      </w:pPr>
      <w:r w:rsidRPr="00FB1BFA">
        <w:rPr>
          <w:lang w:val="fr-FR"/>
        </w:rPr>
        <w:t>5</w:t>
      </w:r>
      <w:r w:rsidRPr="00FB1BFA">
        <w:rPr>
          <w:lang w:val="fr-FR"/>
        </w:rPr>
        <w:tab/>
        <w:t>Clôture de la réunion</w:t>
      </w:r>
    </w:p>
    <w:p w14:paraId="1BB4EE67" w14:textId="77777777" w:rsidR="00FE773D" w:rsidRPr="00FB1BFA" w:rsidRDefault="00FE773D" w:rsidP="00FE773D">
      <w:pPr>
        <w:rPr>
          <w:lang w:val="fr-FR"/>
        </w:rPr>
      </w:pPr>
      <w:r w:rsidRPr="00FB1BFA">
        <w:rPr>
          <w:lang w:val="fr-FR"/>
        </w:rPr>
        <w:t xml:space="preserve">Mme Bogdan-Martin, après avoir évoqué les progrès réalisés au cours de cette réunion, a souligné que la CMDT </w:t>
      </w:r>
      <w:r w:rsidRPr="00FB1BFA">
        <w:rPr>
          <w:color w:val="000000"/>
          <w:lang w:val="fr-FR"/>
        </w:rPr>
        <w:t>ferait date.</w:t>
      </w:r>
      <w:r w:rsidRPr="00FB1BFA">
        <w:rPr>
          <w:lang w:val="fr-FR"/>
        </w:rPr>
        <w:t xml:space="preserve"> "Ensemble, nous allons réécrire la feuille de route pour la connectivité numérique, pour </w:t>
      </w:r>
      <w:r w:rsidRPr="00FB1BFA">
        <w:rPr>
          <w:color w:val="000000"/>
          <w:lang w:val="fr-FR"/>
        </w:rPr>
        <w:t>permettre à chacun de</w:t>
      </w:r>
      <w:r w:rsidRPr="00FB1BFA">
        <w:rPr>
          <w:lang w:val="fr-FR"/>
        </w:rPr>
        <w:t xml:space="preserve"> bénéficier des avantages du monde numérique." La Directrice du BDT a noté qu'il fallait poursuivre les efforts en ce qui concerne le contenu et encouragé les groupes régionaux à faire avancer leurs travaux et à continuer de dialoguer entre eux. Elle a remercié Mme Ingabire pour </w:t>
      </w:r>
      <w:r w:rsidRPr="00FB1BFA">
        <w:rPr>
          <w:color w:val="000000"/>
          <w:lang w:val="fr-FR"/>
        </w:rPr>
        <w:t xml:space="preserve">la manière remarquable dont elle a dirigé </w:t>
      </w:r>
      <w:r w:rsidRPr="00FB1BFA">
        <w:rPr>
          <w:lang w:val="fr-FR"/>
        </w:rPr>
        <w:t>les débats. "Je suis convaincue que votre conduite avisée des travaux contribuera au bon déroulement de la CMDT."</w:t>
      </w:r>
    </w:p>
    <w:p w14:paraId="072AB359" w14:textId="77777777" w:rsidR="00FE773D" w:rsidRPr="00FB1BFA" w:rsidRDefault="00FE773D" w:rsidP="007319CC">
      <w:pPr>
        <w:keepLines/>
        <w:spacing w:after="240"/>
        <w:rPr>
          <w:lang w:val="fr-FR"/>
        </w:rPr>
      </w:pPr>
      <w:r w:rsidRPr="00FB1BFA">
        <w:rPr>
          <w:lang w:val="fr-FR"/>
        </w:rPr>
        <w:lastRenderedPageBreak/>
        <w:t xml:space="preserve">Mme Ingabire a remercié la Directrice pour ses propos aimables et pour l'organisation remarquable de la réunion; elle a également adressé ses remerciements aux participants pour leurs contributions et observations constructives pendant les discussions, au secrétariat et au personnel du BDT, ainsi qu'aux interprètes, d'avoir facilité les délibérations et les débats sur les documents présentés à la réunion. La Présidente a félicité tous les participants d'avoir entamé les préparatifs à bref délai, ce qui a permis d'engager des discussions constructives et d'assurer le bon déroulement de la réunion (qui n'a duré qu'un jour et non deux, comme prévu). Elle a exprimé sa reconnaissance à tous les pays, qui se sont prononcés dans leur immense majorité en faveur du choix du Rwanda comme pays hôte de la CMDT. Pour conclure, Mme Ingabire a déclaré ce qui suit: "D'ici à la Conférence, de nombreux débats auront lieu pour s'assurer que celle-ci aboutisse à des résultats concrets. Je me réjouis </w:t>
      </w:r>
      <w:r w:rsidRPr="00FB1BFA">
        <w:rPr>
          <w:color w:val="000000"/>
          <w:lang w:val="fr-FR"/>
        </w:rPr>
        <w:t xml:space="preserve">à la perspective </w:t>
      </w:r>
      <w:r w:rsidRPr="00FB1BFA">
        <w:rPr>
          <w:lang w:val="fr-FR"/>
        </w:rPr>
        <w:t>de poursuivre les travaux préparatoires et de vous retrouver à Kigali en juin 2022. Mais avant tout, je compte sur tous les États Membres et sur tous nos collègues pour faire en sorte que la CMDT soit couronnée de succès."</w:t>
      </w:r>
    </w:p>
    <w:p w14:paraId="0C2F0D37" w14:textId="77777777" w:rsidR="00FE773D" w:rsidRPr="00FB1BFA" w:rsidRDefault="00FE773D" w:rsidP="00FE773D">
      <w:pPr>
        <w:jc w:val="center"/>
        <w:rPr>
          <w:lang w:val="fr-FR"/>
        </w:rPr>
      </w:pPr>
      <w:r w:rsidRPr="00FB1BFA">
        <w:rPr>
          <w:lang w:val="fr-FR"/>
        </w:rPr>
        <w:t>______________</w:t>
      </w:r>
    </w:p>
    <w:p w14:paraId="56D5E8DD" w14:textId="77777777" w:rsidR="00FE773D" w:rsidRPr="00FB1BFA" w:rsidRDefault="00FE773D" w:rsidP="00FE773D">
      <w:pPr>
        <w:rPr>
          <w:lang w:val="fr-FR"/>
        </w:rPr>
      </w:pPr>
    </w:p>
    <w:sectPr w:rsidR="00FE773D" w:rsidRPr="00FB1BFA" w:rsidSect="00504609">
      <w:headerReference w:type="default" r:id="rId47"/>
      <w:footerReference w:type="default" r:id="rId48"/>
      <w:footerReference w:type="first" r:id="rId49"/>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811D" w14:textId="77777777" w:rsidR="00A86059" w:rsidRDefault="00A86059">
      <w:r>
        <w:separator/>
      </w:r>
    </w:p>
  </w:endnote>
  <w:endnote w:type="continuationSeparator" w:id="0">
    <w:p w14:paraId="43F257F5" w14:textId="77777777" w:rsidR="00A86059" w:rsidRDefault="00A8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 w:name="_Hlk101362585"/>
  <w:p w14:paraId="2C723803" w14:textId="641DDC65" w:rsidR="00A86059" w:rsidRPr="005F54BE" w:rsidRDefault="00A86059" w:rsidP="00CE3848">
    <w:pPr>
      <w:pStyle w:val="Footer"/>
      <w:rPr>
        <w:lang w:val="en-US"/>
      </w:rPr>
    </w:pPr>
    <w:r>
      <w:fldChar w:fldCharType="begin"/>
    </w:r>
    <w:r w:rsidRPr="005F54BE">
      <w:rPr>
        <w:lang w:val="en-US"/>
      </w:rPr>
      <w:instrText xml:space="preserve"> FILENAME \p  \* MERGEFORMAT </w:instrText>
    </w:r>
    <w:r>
      <w:fldChar w:fldCharType="separate"/>
    </w:r>
    <w:r w:rsidR="00D802AE">
      <w:rPr>
        <w:lang w:val="en-US"/>
      </w:rPr>
      <w:t>P:\FRA\ITU-D\CONF-D\IRM21\000\072F.docx</w:t>
    </w:r>
    <w:r>
      <w:fldChar w:fldCharType="end"/>
    </w:r>
    <w:r w:rsidRPr="005F54BE">
      <w:rPr>
        <w:lang w:val="en-US"/>
      </w:rPr>
      <w:t xml:space="preserve"> (503871)</w:t>
    </w:r>
    <w:bookmarkEnd w:id="2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1"/>
      <w:gridCol w:w="2251"/>
      <w:gridCol w:w="5959"/>
    </w:tblGrid>
    <w:tr w:rsidR="00A86059" w:rsidRPr="00225655" w14:paraId="38041CC2" w14:textId="77777777" w:rsidTr="00523157">
      <w:tc>
        <w:tcPr>
          <w:tcW w:w="1431" w:type="dxa"/>
          <w:tcBorders>
            <w:top w:val="single" w:sz="4" w:space="0" w:color="000000"/>
          </w:tcBorders>
          <w:shd w:val="clear" w:color="auto" w:fill="auto"/>
        </w:tcPr>
        <w:p w14:paraId="2D3EB904" w14:textId="77777777" w:rsidR="00A86059" w:rsidRPr="004D495C" w:rsidRDefault="00A86059" w:rsidP="00792001">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4C9EB3" w14:textId="77777777" w:rsidR="00A86059" w:rsidRPr="004D495C" w:rsidRDefault="00A86059" w:rsidP="00792001">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9" w:type="dxa"/>
          <w:tcBorders>
            <w:top w:val="single" w:sz="4" w:space="0" w:color="000000"/>
          </w:tcBorders>
          <w:shd w:val="clear" w:color="auto" w:fill="auto"/>
        </w:tcPr>
        <w:p w14:paraId="48712779" w14:textId="053210BE" w:rsidR="00A86059" w:rsidRPr="00963722" w:rsidRDefault="00A86059" w:rsidP="003D23EE">
          <w:pPr>
            <w:pStyle w:val="FirstFooter"/>
            <w:tabs>
              <w:tab w:val="left" w:pos="0"/>
            </w:tabs>
            <w:rPr>
              <w:sz w:val="18"/>
              <w:szCs w:val="18"/>
              <w:highlight w:val="yellow"/>
            </w:rPr>
          </w:pPr>
          <w:bookmarkStart w:id="25" w:name="OrgName"/>
          <w:bookmarkEnd w:id="25"/>
          <w:r w:rsidRPr="00963722">
            <w:rPr>
              <w:sz w:val="18"/>
              <w:szCs w:val="18"/>
            </w:rPr>
            <w:t>Mme Paula Ingabire, Ministre de l'information, des communications, de la technologie et de l'innovation du Rwanda</w:t>
          </w:r>
        </w:p>
      </w:tc>
    </w:tr>
    <w:tr w:rsidR="00A86059" w:rsidRPr="004D495C" w14:paraId="6EA353CC" w14:textId="77777777" w:rsidTr="00523157">
      <w:tc>
        <w:tcPr>
          <w:tcW w:w="1431" w:type="dxa"/>
          <w:shd w:val="clear" w:color="auto" w:fill="auto"/>
        </w:tcPr>
        <w:p w14:paraId="10D0031D" w14:textId="77777777" w:rsidR="00A86059" w:rsidRPr="00963722" w:rsidRDefault="00A86059" w:rsidP="00792001">
          <w:pPr>
            <w:pStyle w:val="FirstFooter"/>
            <w:tabs>
              <w:tab w:val="left" w:pos="1559"/>
              <w:tab w:val="left" w:pos="3828"/>
            </w:tabs>
            <w:rPr>
              <w:sz w:val="20"/>
            </w:rPr>
          </w:pPr>
        </w:p>
      </w:tc>
      <w:tc>
        <w:tcPr>
          <w:tcW w:w="2251" w:type="dxa"/>
        </w:tcPr>
        <w:p w14:paraId="171431B3" w14:textId="77777777" w:rsidR="00A86059" w:rsidRPr="004D495C" w:rsidRDefault="00A86059" w:rsidP="00792001">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9" w:type="dxa"/>
          <w:shd w:val="clear" w:color="auto" w:fill="auto"/>
        </w:tcPr>
        <w:p w14:paraId="7CC36269" w14:textId="4C0F0CED" w:rsidR="00A86059" w:rsidRPr="004D495C" w:rsidRDefault="00792001" w:rsidP="00792001">
          <w:pPr>
            <w:pStyle w:val="FirstFooter"/>
            <w:tabs>
              <w:tab w:val="left" w:pos="2302"/>
            </w:tabs>
            <w:rPr>
              <w:sz w:val="18"/>
              <w:szCs w:val="18"/>
              <w:highlight w:val="yellow"/>
              <w:lang w:val="en-US"/>
            </w:rPr>
          </w:pPr>
          <w:bookmarkStart w:id="26" w:name="PhoneNo"/>
          <w:bookmarkEnd w:id="26"/>
          <w:r w:rsidRPr="00792001">
            <w:rPr>
              <w:sz w:val="18"/>
              <w:szCs w:val="18"/>
              <w:lang w:val="en-US"/>
            </w:rPr>
            <w:t>–</w:t>
          </w:r>
        </w:p>
      </w:tc>
    </w:tr>
    <w:tr w:rsidR="00A86059" w:rsidRPr="004D495C" w14:paraId="0B41BBE9" w14:textId="77777777" w:rsidTr="00523157">
      <w:tc>
        <w:tcPr>
          <w:tcW w:w="1431" w:type="dxa"/>
          <w:shd w:val="clear" w:color="auto" w:fill="auto"/>
        </w:tcPr>
        <w:p w14:paraId="0AD2AA7B" w14:textId="77777777" w:rsidR="00A86059" w:rsidRPr="004D495C" w:rsidRDefault="00A86059" w:rsidP="00792001">
          <w:pPr>
            <w:pStyle w:val="FirstFooter"/>
            <w:tabs>
              <w:tab w:val="left" w:pos="1559"/>
              <w:tab w:val="left" w:pos="3828"/>
            </w:tabs>
            <w:rPr>
              <w:sz w:val="20"/>
              <w:lang w:val="en-US"/>
            </w:rPr>
          </w:pPr>
        </w:p>
      </w:tc>
      <w:tc>
        <w:tcPr>
          <w:tcW w:w="2251" w:type="dxa"/>
        </w:tcPr>
        <w:p w14:paraId="4EE2DD6A" w14:textId="77777777" w:rsidR="00A86059" w:rsidRPr="004D495C" w:rsidRDefault="00A86059" w:rsidP="00792001">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bookmarkStart w:id="27" w:name="Email"/>
      <w:bookmarkEnd w:id="27"/>
      <w:tc>
        <w:tcPr>
          <w:tcW w:w="5959" w:type="dxa"/>
          <w:shd w:val="clear" w:color="auto" w:fill="auto"/>
        </w:tcPr>
        <w:p w14:paraId="70551634" w14:textId="3B3C62CB" w:rsidR="00A86059" w:rsidRPr="004D495C" w:rsidRDefault="00A86059" w:rsidP="00792001">
          <w:pPr>
            <w:pStyle w:val="FirstFooter"/>
            <w:tabs>
              <w:tab w:val="left" w:pos="2302"/>
            </w:tabs>
            <w:rPr>
              <w:sz w:val="18"/>
              <w:szCs w:val="18"/>
              <w:highlight w:val="yellow"/>
              <w:lang w:val="en-US"/>
            </w:rPr>
          </w:pPr>
          <w:r>
            <w:fldChar w:fldCharType="begin"/>
          </w:r>
          <w:r>
            <w:instrText xml:space="preserve"> HYPERLINK "mailto:minister@minict.gov.rw" </w:instrText>
          </w:r>
          <w:r>
            <w:fldChar w:fldCharType="separate"/>
          </w:r>
          <w:r w:rsidRPr="002E682F">
            <w:rPr>
              <w:rStyle w:val="Hyperlink"/>
              <w:sz w:val="18"/>
              <w:szCs w:val="18"/>
            </w:rPr>
            <w:t>minister@minict.gov.rw</w:t>
          </w:r>
          <w:r>
            <w:rPr>
              <w:rStyle w:val="Hyperlink"/>
              <w:sz w:val="18"/>
              <w:szCs w:val="18"/>
            </w:rPr>
            <w:fldChar w:fldCharType="end"/>
          </w:r>
        </w:p>
      </w:tc>
    </w:tr>
  </w:tbl>
  <w:p w14:paraId="73D28639" w14:textId="6A56A081" w:rsidR="00A86059" w:rsidRPr="00D802AE" w:rsidRDefault="00A86059" w:rsidP="00ED1ECF">
    <w:pPr>
      <w:spacing w:befor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5F27" w14:textId="77777777" w:rsidR="00A86059" w:rsidRDefault="00A86059">
      <w:r>
        <w:separator/>
      </w:r>
    </w:p>
  </w:footnote>
  <w:footnote w:type="continuationSeparator" w:id="0">
    <w:p w14:paraId="15FF2A78" w14:textId="77777777" w:rsidR="00A86059" w:rsidRDefault="00A8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69D" w14:textId="1A5F7F44" w:rsidR="00A86059" w:rsidRPr="00FF089C" w:rsidRDefault="00A86059"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22" w:name="DocRef2"/>
    <w:bookmarkEnd w:id="22"/>
    <w:r>
      <w:rPr>
        <w:sz w:val="22"/>
        <w:szCs w:val="22"/>
        <w:lang w:val="es-ES_tradnl"/>
      </w:rPr>
      <w:t>IRM21-3</w:t>
    </w:r>
    <w:r w:rsidRPr="00FF089C">
      <w:rPr>
        <w:sz w:val="22"/>
        <w:szCs w:val="22"/>
        <w:lang w:val="es-ES_tradnl"/>
      </w:rPr>
      <w:t>/</w:t>
    </w:r>
    <w:bookmarkStart w:id="23" w:name="DocNo2"/>
    <w:bookmarkEnd w:id="23"/>
    <w:r>
      <w:rPr>
        <w:sz w:val="22"/>
        <w:szCs w:val="22"/>
        <w:lang w:val="es-ES_tradnl"/>
      </w:rPr>
      <w:t>72</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8426D">
      <w:rPr>
        <w:noProof/>
        <w:sz w:val="22"/>
        <w:szCs w:val="22"/>
        <w:lang w:val="es-ES_tradnl"/>
      </w:rPr>
      <w:t>15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8.75pt;height:8.75pt" o:bullet="t">
        <v:imagedata r:id="rId1" o:title="BD10267_"/>
      </v:shape>
    </w:pict>
  </w:numPicBullet>
  <w:abstractNum w:abstractNumId="0" w15:restartNumberingAfterBreak="0">
    <w:nsid w:val="FFFFFF7C"/>
    <w:multiLevelType w:val="singleLevel"/>
    <w:tmpl w:val="E22897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EEF3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B469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FC17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2AE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5899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9A53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00FB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E08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0A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CE6698A"/>
    <w:multiLevelType w:val="multilevel"/>
    <w:tmpl w:val="23CEEF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F4F9A"/>
    <w:multiLevelType w:val="hybridMultilevel"/>
    <w:tmpl w:val="24AADAA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B67932"/>
    <w:multiLevelType w:val="hybridMultilevel"/>
    <w:tmpl w:val="9B48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669307">
    <w:abstractNumId w:val="9"/>
  </w:num>
  <w:num w:numId="2" w16cid:durableId="109974637">
    <w:abstractNumId w:val="7"/>
  </w:num>
  <w:num w:numId="3" w16cid:durableId="2011515742">
    <w:abstractNumId w:val="6"/>
  </w:num>
  <w:num w:numId="4" w16cid:durableId="1853255708">
    <w:abstractNumId w:val="5"/>
  </w:num>
  <w:num w:numId="5" w16cid:durableId="173082016">
    <w:abstractNumId w:val="4"/>
  </w:num>
  <w:num w:numId="6" w16cid:durableId="2039771232">
    <w:abstractNumId w:val="8"/>
  </w:num>
  <w:num w:numId="7" w16cid:durableId="874541949">
    <w:abstractNumId w:val="3"/>
  </w:num>
  <w:num w:numId="8" w16cid:durableId="1918591326">
    <w:abstractNumId w:val="2"/>
  </w:num>
  <w:num w:numId="9" w16cid:durableId="344670799">
    <w:abstractNumId w:val="1"/>
  </w:num>
  <w:num w:numId="10" w16cid:durableId="1013070302">
    <w:abstractNumId w:val="0"/>
  </w:num>
  <w:num w:numId="11" w16cid:durableId="871042213">
    <w:abstractNumId w:val="10"/>
    <w:lvlOverride w:ilvl="0">
      <w:lvl w:ilvl="0">
        <w:numFmt w:val="bullet"/>
        <w:lvlText w:val=""/>
        <w:legacy w:legacy="1" w:legacySpace="0" w:legacyIndent="0"/>
        <w:lvlJc w:val="left"/>
        <w:rPr>
          <w:rFonts w:ascii="Symbol" w:hAnsi="Symbol" w:hint="default"/>
        </w:rPr>
      </w:lvl>
    </w:lvlOverride>
  </w:num>
  <w:num w:numId="12" w16cid:durableId="1473519961">
    <w:abstractNumId w:val="21"/>
  </w:num>
  <w:num w:numId="13" w16cid:durableId="1310288211">
    <w:abstractNumId w:val="29"/>
  </w:num>
  <w:num w:numId="14" w16cid:durableId="527836061">
    <w:abstractNumId w:val="12"/>
  </w:num>
  <w:num w:numId="15" w16cid:durableId="1478258268">
    <w:abstractNumId w:val="17"/>
  </w:num>
  <w:num w:numId="16" w16cid:durableId="1742024905">
    <w:abstractNumId w:val="33"/>
  </w:num>
  <w:num w:numId="17" w16cid:durableId="1739669696">
    <w:abstractNumId w:val="26"/>
  </w:num>
  <w:num w:numId="18" w16cid:durableId="764425432">
    <w:abstractNumId w:val="13"/>
  </w:num>
  <w:num w:numId="19" w16cid:durableId="794909625">
    <w:abstractNumId w:val="18"/>
  </w:num>
  <w:num w:numId="20" w16cid:durableId="1223443647">
    <w:abstractNumId w:val="23"/>
  </w:num>
  <w:num w:numId="21" w16cid:durableId="1284921223">
    <w:abstractNumId w:val="28"/>
  </w:num>
  <w:num w:numId="22" w16cid:durableId="257061058">
    <w:abstractNumId w:val="16"/>
  </w:num>
  <w:num w:numId="23" w16cid:durableId="1614095968">
    <w:abstractNumId w:val="19"/>
  </w:num>
  <w:num w:numId="24" w16cid:durableId="661549774">
    <w:abstractNumId w:val="25"/>
  </w:num>
  <w:num w:numId="25" w16cid:durableId="1725368810">
    <w:abstractNumId w:val="25"/>
  </w:num>
  <w:num w:numId="26" w16cid:durableId="1282033152">
    <w:abstractNumId w:val="20"/>
  </w:num>
  <w:num w:numId="27" w16cid:durableId="82188939">
    <w:abstractNumId w:val="15"/>
  </w:num>
  <w:num w:numId="28" w16cid:durableId="980617703">
    <w:abstractNumId w:val="30"/>
  </w:num>
  <w:num w:numId="29" w16cid:durableId="1639798913">
    <w:abstractNumId w:val="11"/>
  </w:num>
  <w:num w:numId="30" w16cid:durableId="1834563121">
    <w:abstractNumId w:val="22"/>
  </w:num>
  <w:num w:numId="31" w16cid:durableId="112865264">
    <w:abstractNumId w:val="32"/>
  </w:num>
  <w:num w:numId="32" w16cid:durableId="97339925">
    <w:abstractNumId w:val="24"/>
  </w:num>
  <w:num w:numId="33" w16cid:durableId="45418797">
    <w:abstractNumId w:val="14"/>
  </w:num>
  <w:num w:numId="34" w16cid:durableId="410586982">
    <w:abstractNumId w:val="27"/>
  </w:num>
  <w:num w:numId="35" w16cid:durableId="13499405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fr-CH"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02A1"/>
    <w:rsid w:val="00002024"/>
    <w:rsid w:val="00003125"/>
    <w:rsid w:val="00003F6D"/>
    <w:rsid w:val="00004F18"/>
    <w:rsid w:val="00005245"/>
    <w:rsid w:val="00006684"/>
    <w:rsid w:val="00010B00"/>
    <w:rsid w:val="00015ED4"/>
    <w:rsid w:val="00016408"/>
    <w:rsid w:val="00017345"/>
    <w:rsid w:val="00017BEC"/>
    <w:rsid w:val="00017E7D"/>
    <w:rsid w:val="00017E82"/>
    <w:rsid w:val="00021A72"/>
    <w:rsid w:val="000221F5"/>
    <w:rsid w:val="00022BFD"/>
    <w:rsid w:val="00025AB3"/>
    <w:rsid w:val="000312BE"/>
    <w:rsid w:val="00032DD2"/>
    <w:rsid w:val="00033701"/>
    <w:rsid w:val="00033BB3"/>
    <w:rsid w:val="000370A8"/>
    <w:rsid w:val="000411FC"/>
    <w:rsid w:val="00051291"/>
    <w:rsid w:val="0005362A"/>
    <w:rsid w:val="0005522C"/>
    <w:rsid w:val="0006050B"/>
    <w:rsid w:val="00061E9F"/>
    <w:rsid w:val="000624C9"/>
    <w:rsid w:val="00063691"/>
    <w:rsid w:val="00065F1B"/>
    <w:rsid w:val="00077FC5"/>
    <w:rsid w:val="00080665"/>
    <w:rsid w:val="00084466"/>
    <w:rsid w:val="00085784"/>
    <w:rsid w:val="00092079"/>
    <w:rsid w:val="000928EA"/>
    <w:rsid w:val="0009676A"/>
    <w:rsid w:val="000A0187"/>
    <w:rsid w:val="000A1D5B"/>
    <w:rsid w:val="000A3328"/>
    <w:rsid w:val="000A3D61"/>
    <w:rsid w:val="000A3F1E"/>
    <w:rsid w:val="000A43C7"/>
    <w:rsid w:val="000A728B"/>
    <w:rsid w:val="000B0350"/>
    <w:rsid w:val="000B49FD"/>
    <w:rsid w:val="000B5B59"/>
    <w:rsid w:val="000B6D5A"/>
    <w:rsid w:val="000C2D80"/>
    <w:rsid w:val="000C624C"/>
    <w:rsid w:val="000D0403"/>
    <w:rsid w:val="000D4BEE"/>
    <w:rsid w:val="000D61A2"/>
    <w:rsid w:val="000D7961"/>
    <w:rsid w:val="000E1B6C"/>
    <w:rsid w:val="000E2DC1"/>
    <w:rsid w:val="000E397B"/>
    <w:rsid w:val="000E6E45"/>
    <w:rsid w:val="000E7092"/>
    <w:rsid w:val="000E7E72"/>
    <w:rsid w:val="000F076C"/>
    <w:rsid w:val="000F0EB9"/>
    <w:rsid w:val="000F1580"/>
    <w:rsid w:val="000F38BD"/>
    <w:rsid w:val="000F5F81"/>
    <w:rsid w:val="00102F79"/>
    <w:rsid w:val="00105E55"/>
    <w:rsid w:val="00106B7C"/>
    <w:rsid w:val="001110B1"/>
    <w:rsid w:val="001229F6"/>
    <w:rsid w:val="00127919"/>
    <w:rsid w:val="00130A9B"/>
    <w:rsid w:val="00130B46"/>
    <w:rsid w:val="00130C36"/>
    <w:rsid w:val="00132B90"/>
    <w:rsid w:val="00142477"/>
    <w:rsid w:val="00145214"/>
    <w:rsid w:val="001457A8"/>
    <w:rsid w:val="00151478"/>
    <w:rsid w:val="0015200D"/>
    <w:rsid w:val="0015553B"/>
    <w:rsid w:val="00160C7F"/>
    <w:rsid w:val="00161A5A"/>
    <w:rsid w:val="00161A96"/>
    <w:rsid w:val="00170AB9"/>
    <w:rsid w:val="00171764"/>
    <w:rsid w:val="00177261"/>
    <w:rsid w:val="00177890"/>
    <w:rsid w:val="001809B2"/>
    <w:rsid w:val="00181928"/>
    <w:rsid w:val="00184A08"/>
    <w:rsid w:val="001856D7"/>
    <w:rsid w:val="00187E51"/>
    <w:rsid w:val="00190659"/>
    <w:rsid w:val="00192DBD"/>
    <w:rsid w:val="0019399A"/>
    <w:rsid w:val="00194590"/>
    <w:rsid w:val="001A00D3"/>
    <w:rsid w:val="001A2327"/>
    <w:rsid w:val="001A422D"/>
    <w:rsid w:val="001A43B0"/>
    <w:rsid w:val="001A52E9"/>
    <w:rsid w:val="001A57F8"/>
    <w:rsid w:val="001A7E31"/>
    <w:rsid w:val="001B0E3E"/>
    <w:rsid w:val="001B37D6"/>
    <w:rsid w:val="001B4B9B"/>
    <w:rsid w:val="001C5843"/>
    <w:rsid w:val="001C7BBF"/>
    <w:rsid w:val="001D18E4"/>
    <w:rsid w:val="001D3694"/>
    <w:rsid w:val="001D78C8"/>
    <w:rsid w:val="001E0F10"/>
    <w:rsid w:val="001E121B"/>
    <w:rsid w:val="001E130B"/>
    <w:rsid w:val="001E33AB"/>
    <w:rsid w:val="001E3BCF"/>
    <w:rsid w:val="001F20F8"/>
    <w:rsid w:val="002003BC"/>
    <w:rsid w:val="0020245F"/>
    <w:rsid w:val="00205498"/>
    <w:rsid w:val="002066B3"/>
    <w:rsid w:val="00206767"/>
    <w:rsid w:val="0020735E"/>
    <w:rsid w:val="00213C06"/>
    <w:rsid w:val="0021427F"/>
    <w:rsid w:val="002147FD"/>
    <w:rsid w:val="00215552"/>
    <w:rsid w:val="0022487A"/>
    <w:rsid w:val="00225655"/>
    <w:rsid w:val="00227062"/>
    <w:rsid w:val="00235915"/>
    <w:rsid w:val="00244D49"/>
    <w:rsid w:val="0024536C"/>
    <w:rsid w:val="0024574C"/>
    <w:rsid w:val="00250F11"/>
    <w:rsid w:val="00251CBF"/>
    <w:rsid w:val="00252877"/>
    <w:rsid w:val="00253EE4"/>
    <w:rsid w:val="00261C32"/>
    <w:rsid w:val="002626F0"/>
    <w:rsid w:val="00262B06"/>
    <w:rsid w:val="00262D75"/>
    <w:rsid w:val="002671EE"/>
    <w:rsid w:val="00267A4E"/>
    <w:rsid w:val="00270C45"/>
    <w:rsid w:val="00272DA4"/>
    <w:rsid w:val="002748B0"/>
    <w:rsid w:val="00275198"/>
    <w:rsid w:val="00277039"/>
    <w:rsid w:val="0028054C"/>
    <w:rsid w:val="0028150C"/>
    <w:rsid w:val="00282246"/>
    <w:rsid w:val="002869AF"/>
    <w:rsid w:val="00286A28"/>
    <w:rsid w:val="00287D8C"/>
    <w:rsid w:val="00290069"/>
    <w:rsid w:val="002900F9"/>
    <w:rsid w:val="00291EA4"/>
    <w:rsid w:val="00293B1B"/>
    <w:rsid w:val="00295878"/>
    <w:rsid w:val="002963D9"/>
    <w:rsid w:val="0029765D"/>
    <w:rsid w:val="002A216D"/>
    <w:rsid w:val="002A3A4E"/>
    <w:rsid w:val="002A5BA0"/>
    <w:rsid w:val="002B02FE"/>
    <w:rsid w:val="002B0B3E"/>
    <w:rsid w:val="002B0F30"/>
    <w:rsid w:val="002B1319"/>
    <w:rsid w:val="002B1A8F"/>
    <w:rsid w:val="002B2265"/>
    <w:rsid w:val="002B25D5"/>
    <w:rsid w:val="002B2AB9"/>
    <w:rsid w:val="002B6DAA"/>
    <w:rsid w:val="002B79E2"/>
    <w:rsid w:val="002C18BC"/>
    <w:rsid w:val="002C3CAF"/>
    <w:rsid w:val="002C67D8"/>
    <w:rsid w:val="002D0049"/>
    <w:rsid w:val="002D1B0B"/>
    <w:rsid w:val="002D556B"/>
    <w:rsid w:val="002E2FA9"/>
    <w:rsid w:val="002E3AD6"/>
    <w:rsid w:val="002E4E91"/>
    <w:rsid w:val="002E69EF"/>
    <w:rsid w:val="002F3821"/>
    <w:rsid w:val="002F48D0"/>
    <w:rsid w:val="002F4BFF"/>
    <w:rsid w:val="0030310B"/>
    <w:rsid w:val="003058DA"/>
    <w:rsid w:val="0030762F"/>
    <w:rsid w:val="0031009A"/>
    <w:rsid w:val="00311BD3"/>
    <w:rsid w:val="00312685"/>
    <w:rsid w:val="00312B0C"/>
    <w:rsid w:val="00316AFA"/>
    <w:rsid w:val="00316E87"/>
    <w:rsid w:val="0032036C"/>
    <w:rsid w:val="003206F7"/>
    <w:rsid w:val="003228C6"/>
    <w:rsid w:val="00323725"/>
    <w:rsid w:val="00330297"/>
    <w:rsid w:val="00334C18"/>
    <w:rsid w:val="0033750D"/>
    <w:rsid w:val="00340471"/>
    <w:rsid w:val="003419D8"/>
    <w:rsid w:val="00343890"/>
    <w:rsid w:val="003513DB"/>
    <w:rsid w:val="003551E0"/>
    <w:rsid w:val="003568A6"/>
    <w:rsid w:val="00362292"/>
    <w:rsid w:val="0036243F"/>
    <w:rsid w:val="0036283D"/>
    <w:rsid w:val="003665F1"/>
    <w:rsid w:val="00370EBB"/>
    <w:rsid w:val="00381334"/>
    <w:rsid w:val="00382385"/>
    <w:rsid w:val="00382D39"/>
    <w:rsid w:val="00385ABF"/>
    <w:rsid w:val="0039075D"/>
    <w:rsid w:val="0039201C"/>
    <w:rsid w:val="00392AF3"/>
    <w:rsid w:val="00395A98"/>
    <w:rsid w:val="003A0A10"/>
    <w:rsid w:val="003A0CA2"/>
    <w:rsid w:val="003A4BAB"/>
    <w:rsid w:val="003A6A11"/>
    <w:rsid w:val="003A7934"/>
    <w:rsid w:val="003B2C08"/>
    <w:rsid w:val="003B75F4"/>
    <w:rsid w:val="003C040D"/>
    <w:rsid w:val="003C0719"/>
    <w:rsid w:val="003C1934"/>
    <w:rsid w:val="003C6F76"/>
    <w:rsid w:val="003C78E4"/>
    <w:rsid w:val="003C7FAA"/>
    <w:rsid w:val="003D23EE"/>
    <w:rsid w:val="003E1F7C"/>
    <w:rsid w:val="003E20FF"/>
    <w:rsid w:val="003F4711"/>
    <w:rsid w:val="003F4D9B"/>
    <w:rsid w:val="003F7B88"/>
    <w:rsid w:val="00401E4E"/>
    <w:rsid w:val="0040396D"/>
    <w:rsid w:val="00406F1F"/>
    <w:rsid w:val="004077C9"/>
    <w:rsid w:val="00411880"/>
    <w:rsid w:val="00414E6F"/>
    <w:rsid w:val="00415F06"/>
    <w:rsid w:val="00416D38"/>
    <w:rsid w:val="00421F93"/>
    <w:rsid w:val="00431AD5"/>
    <w:rsid w:val="004331DF"/>
    <w:rsid w:val="00433EB3"/>
    <w:rsid w:val="0043566B"/>
    <w:rsid w:val="00440DF7"/>
    <w:rsid w:val="004430CE"/>
    <w:rsid w:val="00444011"/>
    <w:rsid w:val="00445029"/>
    <w:rsid w:val="00450AA2"/>
    <w:rsid w:val="00454B23"/>
    <w:rsid w:val="004551FC"/>
    <w:rsid w:val="00457453"/>
    <w:rsid w:val="00461040"/>
    <w:rsid w:val="0046327F"/>
    <w:rsid w:val="00470AC2"/>
    <w:rsid w:val="00472A03"/>
    <w:rsid w:val="00475A24"/>
    <w:rsid w:val="00477D64"/>
    <w:rsid w:val="0048027F"/>
    <w:rsid w:val="00483313"/>
    <w:rsid w:val="0048392E"/>
    <w:rsid w:val="00486C67"/>
    <w:rsid w:val="00487A55"/>
    <w:rsid w:val="00496015"/>
    <w:rsid w:val="00496DBA"/>
    <w:rsid w:val="004A0340"/>
    <w:rsid w:val="004A28F0"/>
    <w:rsid w:val="004A34DD"/>
    <w:rsid w:val="004A43D4"/>
    <w:rsid w:val="004A48E6"/>
    <w:rsid w:val="004A564F"/>
    <w:rsid w:val="004A591E"/>
    <w:rsid w:val="004A5CC5"/>
    <w:rsid w:val="004B33C3"/>
    <w:rsid w:val="004B5683"/>
    <w:rsid w:val="004C06FD"/>
    <w:rsid w:val="004C0DA2"/>
    <w:rsid w:val="004C4C2E"/>
    <w:rsid w:val="004C4E14"/>
    <w:rsid w:val="004C5611"/>
    <w:rsid w:val="004D0AC9"/>
    <w:rsid w:val="004D1140"/>
    <w:rsid w:val="004D2D58"/>
    <w:rsid w:val="004D335F"/>
    <w:rsid w:val="004D3DC4"/>
    <w:rsid w:val="004D428A"/>
    <w:rsid w:val="004D495C"/>
    <w:rsid w:val="004D5DFE"/>
    <w:rsid w:val="004D6D8F"/>
    <w:rsid w:val="004D6E09"/>
    <w:rsid w:val="004D7379"/>
    <w:rsid w:val="004E26E5"/>
    <w:rsid w:val="004E3824"/>
    <w:rsid w:val="004F09F8"/>
    <w:rsid w:val="004F3F4A"/>
    <w:rsid w:val="004F5944"/>
    <w:rsid w:val="004F778A"/>
    <w:rsid w:val="00502BFC"/>
    <w:rsid w:val="00504609"/>
    <w:rsid w:val="00511EDF"/>
    <w:rsid w:val="00511F3E"/>
    <w:rsid w:val="005162BF"/>
    <w:rsid w:val="00520DA8"/>
    <w:rsid w:val="00521427"/>
    <w:rsid w:val="00522EC8"/>
    <w:rsid w:val="00523157"/>
    <w:rsid w:val="00523237"/>
    <w:rsid w:val="005232B8"/>
    <w:rsid w:val="00523322"/>
    <w:rsid w:val="00523E05"/>
    <w:rsid w:val="005250F5"/>
    <w:rsid w:val="005302F6"/>
    <w:rsid w:val="00530987"/>
    <w:rsid w:val="00530EB0"/>
    <w:rsid w:val="0053188F"/>
    <w:rsid w:val="00531BFE"/>
    <w:rsid w:val="00534713"/>
    <w:rsid w:val="00536F36"/>
    <w:rsid w:val="00542D84"/>
    <w:rsid w:val="00546F06"/>
    <w:rsid w:val="00547294"/>
    <w:rsid w:val="005543B5"/>
    <w:rsid w:val="00555D12"/>
    <w:rsid w:val="00565294"/>
    <w:rsid w:val="00581D84"/>
    <w:rsid w:val="00583898"/>
    <w:rsid w:val="0058598D"/>
    <w:rsid w:val="0058604B"/>
    <w:rsid w:val="005876BF"/>
    <w:rsid w:val="0059208B"/>
    <w:rsid w:val="00592B9A"/>
    <w:rsid w:val="005962EC"/>
    <w:rsid w:val="00597A79"/>
    <w:rsid w:val="005A151B"/>
    <w:rsid w:val="005A1849"/>
    <w:rsid w:val="005A5685"/>
    <w:rsid w:val="005A5CCF"/>
    <w:rsid w:val="005B37AF"/>
    <w:rsid w:val="005B3A6B"/>
    <w:rsid w:val="005B45E9"/>
    <w:rsid w:val="005B5226"/>
    <w:rsid w:val="005B5914"/>
    <w:rsid w:val="005B6783"/>
    <w:rsid w:val="005B7C91"/>
    <w:rsid w:val="005C0E6F"/>
    <w:rsid w:val="005C0E75"/>
    <w:rsid w:val="005C0F1A"/>
    <w:rsid w:val="005C33BC"/>
    <w:rsid w:val="005C37C3"/>
    <w:rsid w:val="005C3DFA"/>
    <w:rsid w:val="005C5415"/>
    <w:rsid w:val="005D104B"/>
    <w:rsid w:val="005D12FD"/>
    <w:rsid w:val="005D4295"/>
    <w:rsid w:val="005D792B"/>
    <w:rsid w:val="005E07F1"/>
    <w:rsid w:val="005E5A6A"/>
    <w:rsid w:val="005F0A20"/>
    <w:rsid w:val="005F117A"/>
    <w:rsid w:val="005F54BE"/>
    <w:rsid w:val="00602C3E"/>
    <w:rsid w:val="006165DC"/>
    <w:rsid w:val="0061663D"/>
    <w:rsid w:val="00622A8F"/>
    <w:rsid w:val="00622BFF"/>
    <w:rsid w:val="00623071"/>
    <w:rsid w:val="00624A6C"/>
    <w:rsid w:val="00626828"/>
    <w:rsid w:val="00626C03"/>
    <w:rsid w:val="0063340A"/>
    <w:rsid w:val="00634B47"/>
    <w:rsid w:val="00634C97"/>
    <w:rsid w:val="006354E9"/>
    <w:rsid w:val="0064011F"/>
    <w:rsid w:val="00641918"/>
    <w:rsid w:val="00641CA0"/>
    <w:rsid w:val="0064235D"/>
    <w:rsid w:val="006444D5"/>
    <w:rsid w:val="00644623"/>
    <w:rsid w:val="00646ECA"/>
    <w:rsid w:val="0065094C"/>
    <w:rsid w:val="006527BD"/>
    <w:rsid w:val="006555B2"/>
    <w:rsid w:val="00663234"/>
    <w:rsid w:val="00665C06"/>
    <w:rsid w:val="006661C3"/>
    <w:rsid w:val="00667E12"/>
    <w:rsid w:val="00676C62"/>
    <w:rsid w:val="00676E77"/>
    <w:rsid w:val="00677A58"/>
    <w:rsid w:val="00685848"/>
    <w:rsid w:val="00686B12"/>
    <w:rsid w:val="006A1297"/>
    <w:rsid w:val="006A5EFF"/>
    <w:rsid w:val="006A6F8F"/>
    <w:rsid w:val="006B04EE"/>
    <w:rsid w:val="006B48B9"/>
    <w:rsid w:val="006C0E12"/>
    <w:rsid w:val="006C1686"/>
    <w:rsid w:val="006C7A7B"/>
    <w:rsid w:val="006D0B95"/>
    <w:rsid w:val="006D1217"/>
    <w:rsid w:val="006D6921"/>
    <w:rsid w:val="006E0A27"/>
    <w:rsid w:val="006E213E"/>
    <w:rsid w:val="006F1CE9"/>
    <w:rsid w:val="006F2D7D"/>
    <w:rsid w:val="006F5186"/>
    <w:rsid w:val="006F5A77"/>
    <w:rsid w:val="0070080A"/>
    <w:rsid w:val="007008E8"/>
    <w:rsid w:val="0070090A"/>
    <w:rsid w:val="007019DD"/>
    <w:rsid w:val="00703FB5"/>
    <w:rsid w:val="00705A35"/>
    <w:rsid w:val="0070610E"/>
    <w:rsid w:val="0070796E"/>
    <w:rsid w:val="00714EDE"/>
    <w:rsid w:val="00716BA9"/>
    <w:rsid w:val="00721D2E"/>
    <w:rsid w:val="007253AB"/>
    <w:rsid w:val="007255B0"/>
    <w:rsid w:val="007274B6"/>
    <w:rsid w:val="007319CC"/>
    <w:rsid w:val="00731C70"/>
    <w:rsid w:val="00735AC3"/>
    <w:rsid w:val="00735B54"/>
    <w:rsid w:val="007362C3"/>
    <w:rsid w:val="00755605"/>
    <w:rsid w:val="00757B41"/>
    <w:rsid w:val="00762A1E"/>
    <w:rsid w:val="00762E52"/>
    <w:rsid w:val="007676F8"/>
    <w:rsid w:val="007679D2"/>
    <w:rsid w:val="00770299"/>
    <w:rsid w:val="007738B0"/>
    <w:rsid w:val="00773AC7"/>
    <w:rsid w:val="007751FA"/>
    <w:rsid w:val="007769D2"/>
    <w:rsid w:val="00781513"/>
    <w:rsid w:val="00781933"/>
    <w:rsid w:val="007829F2"/>
    <w:rsid w:val="00785979"/>
    <w:rsid w:val="00787DAC"/>
    <w:rsid w:val="0079071A"/>
    <w:rsid w:val="00790D73"/>
    <w:rsid w:val="00791217"/>
    <w:rsid w:val="00791D56"/>
    <w:rsid w:val="00792001"/>
    <w:rsid w:val="00794FF3"/>
    <w:rsid w:val="00795647"/>
    <w:rsid w:val="00797056"/>
    <w:rsid w:val="007A1807"/>
    <w:rsid w:val="007B145B"/>
    <w:rsid w:val="007B5E61"/>
    <w:rsid w:val="007B6176"/>
    <w:rsid w:val="007B694A"/>
    <w:rsid w:val="007B75B1"/>
    <w:rsid w:val="007B7C19"/>
    <w:rsid w:val="007C2F2A"/>
    <w:rsid w:val="007D3AE8"/>
    <w:rsid w:val="007D3FAE"/>
    <w:rsid w:val="007E3A76"/>
    <w:rsid w:val="007F21D8"/>
    <w:rsid w:val="008008C6"/>
    <w:rsid w:val="00800D40"/>
    <w:rsid w:val="008016C7"/>
    <w:rsid w:val="00810A21"/>
    <w:rsid w:val="00811068"/>
    <w:rsid w:val="00813192"/>
    <w:rsid w:val="00813980"/>
    <w:rsid w:val="00813F3B"/>
    <w:rsid w:val="00814453"/>
    <w:rsid w:val="00817846"/>
    <w:rsid w:val="00824004"/>
    <w:rsid w:val="00831C97"/>
    <w:rsid w:val="00833A72"/>
    <w:rsid w:val="00833F2B"/>
    <w:rsid w:val="008340D6"/>
    <w:rsid w:val="0083540C"/>
    <w:rsid w:val="00835BBF"/>
    <w:rsid w:val="00835E95"/>
    <w:rsid w:val="00836808"/>
    <w:rsid w:val="00836E5A"/>
    <w:rsid w:val="00837B29"/>
    <w:rsid w:val="00842249"/>
    <w:rsid w:val="0084734D"/>
    <w:rsid w:val="00847736"/>
    <w:rsid w:val="00847A53"/>
    <w:rsid w:val="00852CC6"/>
    <w:rsid w:val="00855E6B"/>
    <w:rsid w:val="00856F27"/>
    <w:rsid w:val="00857EA3"/>
    <w:rsid w:val="00870D98"/>
    <w:rsid w:val="00871553"/>
    <w:rsid w:val="008740CF"/>
    <w:rsid w:val="0087447F"/>
    <w:rsid w:val="008745E7"/>
    <w:rsid w:val="008757DD"/>
    <w:rsid w:val="008758EE"/>
    <w:rsid w:val="008808A2"/>
    <w:rsid w:val="00881738"/>
    <w:rsid w:val="00882AA1"/>
    <w:rsid w:val="00883EFF"/>
    <w:rsid w:val="00885734"/>
    <w:rsid w:val="0088742A"/>
    <w:rsid w:val="00891809"/>
    <w:rsid w:val="00897793"/>
    <w:rsid w:val="008A2B3A"/>
    <w:rsid w:val="008A357D"/>
    <w:rsid w:val="008A3DCD"/>
    <w:rsid w:val="008A41EC"/>
    <w:rsid w:val="008A7992"/>
    <w:rsid w:val="008B1483"/>
    <w:rsid w:val="008C1B0D"/>
    <w:rsid w:val="008C40F1"/>
    <w:rsid w:val="008C5471"/>
    <w:rsid w:val="008C5D39"/>
    <w:rsid w:val="008D2FE6"/>
    <w:rsid w:val="008D65D2"/>
    <w:rsid w:val="008E0838"/>
    <w:rsid w:val="008E1452"/>
    <w:rsid w:val="008E5F1B"/>
    <w:rsid w:val="008E649B"/>
    <w:rsid w:val="008E6860"/>
    <w:rsid w:val="008E6EFB"/>
    <w:rsid w:val="008E7EAE"/>
    <w:rsid w:val="008F2196"/>
    <w:rsid w:val="008F3CEE"/>
    <w:rsid w:val="008F46B4"/>
    <w:rsid w:val="008F526B"/>
    <w:rsid w:val="008F5DE7"/>
    <w:rsid w:val="008F7CA8"/>
    <w:rsid w:val="00902C30"/>
    <w:rsid w:val="009034FA"/>
    <w:rsid w:val="009038CA"/>
    <w:rsid w:val="009043C2"/>
    <w:rsid w:val="00904AB9"/>
    <w:rsid w:val="0090650C"/>
    <w:rsid w:val="009070DE"/>
    <w:rsid w:val="009074FD"/>
    <w:rsid w:val="00912887"/>
    <w:rsid w:val="00914403"/>
    <w:rsid w:val="00915921"/>
    <w:rsid w:val="00917AD4"/>
    <w:rsid w:val="009211AC"/>
    <w:rsid w:val="00921C0D"/>
    <w:rsid w:val="0092342C"/>
    <w:rsid w:val="00923456"/>
    <w:rsid w:val="0093043A"/>
    <w:rsid w:val="0093069E"/>
    <w:rsid w:val="00930F7E"/>
    <w:rsid w:val="00931CEB"/>
    <w:rsid w:val="00932450"/>
    <w:rsid w:val="0093464A"/>
    <w:rsid w:val="00941145"/>
    <w:rsid w:val="0094145C"/>
    <w:rsid w:val="00941936"/>
    <w:rsid w:val="00941B63"/>
    <w:rsid w:val="00942ED4"/>
    <w:rsid w:val="00943034"/>
    <w:rsid w:val="00947092"/>
    <w:rsid w:val="00951378"/>
    <w:rsid w:val="00952266"/>
    <w:rsid w:val="009530DF"/>
    <w:rsid w:val="0095370B"/>
    <w:rsid w:val="00953C7D"/>
    <w:rsid w:val="009571AF"/>
    <w:rsid w:val="00960DFE"/>
    <w:rsid w:val="0096235E"/>
    <w:rsid w:val="00963722"/>
    <w:rsid w:val="0097038C"/>
    <w:rsid w:val="00980EB0"/>
    <w:rsid w:val="00992BB9"/>
    <w:rsid w:val="00995B12"/>
    <w:rsid w:val="009A05B2"/>
    <w:rsid w:val="009A1088"/>
    <w:rsid w:val="009A4293"/>
    <w:rsid w:val="009A4BB7"/>
    <w:rsid w:val="009A50FF"/>
    <w:rsid w:val="009A6FD6"/>
    <w:rsid w:val="009A7184"/>
    <w:rsid w:val="009B06E6"/>
    <w:rsid w:val="009B17EA"/>
    <w:rsid w:val="009B1A5B"/>
    <w:rsid w:val="009B2F12"/>
    <w:rsid w:val="009B6202"/>
    <w:rsid w:val="009B6F98"/>
    <w:rsid w:val="009D4B04"/>
    <w:rsid w:val="009D7B40"/>
    <w:rsid w:val="009E3FEB"/>
    <w:rsid w:val="009E50D3"/>
    <w:rsid w:val="009E5DE6"/>
    <w:rsid w:val="009E7F10"/>
    <w:rsid w:val="009F0C19"/>
    <w:rsid w:val="009F680F"/>
    <w:rsid w:val="009F6D9C"/>
    <w:rsid w:val="009F7F72"/>
    <w:rsid w:val="00A006DC"/>
    <w:rsid w:val="00A03608"/>
    <w:rsid w:val="00A07ECE"/>
    <w:rsid w:val="00A13179"/>
    <w:rsid w:val="00A140EB"/>
    <w:rsid w:val="00A14524"/>
    <w:rsid w:val="00A150F7"/>
    <w:rsid w:val="00A16064"/>
    <w:rsid w:val="00A16C87"/>
    <w:rsid w:val="00A171D0"/>
    <w:rsid w:val="00A26B53"/>
    <w:rsid w:val="00A35AAA"/>
    <w:rsid w:val="00A37E3C"/>
    <w:rsid w:val="00A414F1"/>
    <w:rsid w:val="00A44D4E"/>
    <w:rsid w:val="00A458F2"/>
    <w:rsid w:val="00A51E3D"/>
    <w:rsid w:val="00A5484C"/>
    <w:rsid w:val="00A54CA6"/>
    <w:rsid w:val="00A57865"/>
    <w:rsid w:val="00A6058A"/>
    <w:rsid w:val="00A65745"/>
    <w:rsid w:val="00A70F94"/>
    <w:rsid w:val="00A72BD4"/>
    <w:rsid w:val="00A80823"/>
    <w:rsid w:val="00A824E0"/>
    <w:rsid w:val="00A840C6"/>
    <w:rsid w:val="00A86059"/>
    <w:rsid w:val="00A9020E"/>
    <w:rsid w:val="00AA13E2"/>
    <w:rsid w:val="00AA4BAA"/>
    <w:rsid w:val="00AB00D6"/>
    <w:rsid w:val="00AB04F0"/>
    <w:rsid w:val="00AB3AF4"/>
    <w:rsid w:val="00AB4706"/>
    <w:rsid w:val="00AC1E2E"/>
    <w:rsid w:val="00AC3A1D"/>
    <w:rsid w:val="00AC6FA3"/>
    <w:rsid w:val="00AC7AC6"/>
    <w:rsid w:val="00AD2FB3"/>
    <w:rsid w:val="00AD799C"/>
    <w:rsid w:val="00AE1C97"/>
    <w:rsid w:val="00AE2BCA"/>
    <w:rsid w:val="00AE318D"/>
    <w:rsid w:val="00AE419C"/>
    <w:rsid w:val="00AE516E"/>
    <w:rsid w:val="00AF0A2E"/>
    <w:rsid w:val="00AF2749"/>
    <w:rsid w:val="00AF4619"/>
    <w:rsid w:val="00B03365"/>
    <w:rsid w:val="00B03FE2"/>
    <w:rsid w:val="00B055E8"/>
    <w:rsid w:val="00B0730C"/>
    <w:rsid w:val="00B11072"/>
    <w:rsid w:val="00B13550"/>
    <w:rsid w:val="00B154AD"/>
    <w:rsid w:val="00B2033A"/>
    <w:rsid w:val="00B20B08"/>
    <w:rsid w:val="00B23EFC"/>
    <w:rsid w:val="00B24401"/>
    <w:rsid w:val="00B26FE9"/>
    <w:rsid w:val="00B27C9A"/>
    <w:rsid w:val="00B34A05"/>
    <w:rsid w:val="00B34B6C"/>
    <w:rsid w:val="00B3506F"/>
    <w:rsid w:val="00B3512C"/>
    <w:rsid w:val="00B402E3"/>
    <w:rsid w:val="00B4143C"/>
    <w:rsid w:val="00B4147D"/>
    <w:rsid w:val="00B41935"/>
    <w:rsid w:val="00B42830"/>
    <w:rsid w:val="00B43A1B"/>
    <w:rsid w:val="00B43EBE"/>
    <w:rsid w:val="00B45C33"/>
    <w:rsid w:val="00B46EC5"/>
    <w:rsid w:val="00B50E11"/>
    <w:rsid w:val="00B528E2"/>
    <w:rsid w:val="00B532C0"/>
    <w:rsid w:val="00B538D6"/>
    <w:rsid w:val="00B53C8D"/>
    <w:rsid w:val="00B552E2"/>
    <w:rsid w:val="00B55431"/>
    <w:rsid w:val="00B568F4"/>
    <w:rsid w:val="00B60163"/>
    <w:rsid w:val="00B60B80"/>
    <w:rsid w:val="00B61028"/>
    <w:rsid w:val="00B6424A"/>
    <w:rsid w:val="00B64755"/>
    <w:rsid w:val="00B6543D"/>
    <w:rsid w:val="00B81FE6"/>
    <w:rsid w:val="00B830A9"/>
    <w:rsid w:val="00B8577A"/>
    <w:rsid w:val="00B8609C"/>
    <w:rsid w:val="00B862C9"/>
    <w:rsid w:val="00B93D26"/>
    <w:rsid w:val="00B95339"/>
    <w:rsid w:val="00BA0103"/>
    <w:rsid w:val="00BA012F"/>
    <w:rsid w:val="00BA2A7B"/>
    <w:rsid w:val="00BA5085"/>
    <w:rsid w:val="00BA62EC"/>
    <w:rsid w:val="00BB016F"/>
    <w:rsid w:val="00BB1B36"/>
    <w:rsid w:val="00BB67AF"/>
    <w:rsid w:val="00BC0FDD"/>
    <w:rsid w:val="00BC1350"/>
    <w:rsid w:val="00BC192A"/>
    <w:rsid w:val="00BC2F71"/>
    <w:rsid w:val="00BC6A2F"/>
    <w:rsid w:val="00BC6E3A"/>
    <w:rsid w:val="00BD30E5"/>
    <w:rsid w:val="00BD51F7"/>
    <w:rsid w:val="00BD6EDE"/>
    <w:rsid w:val="00BE03BB"/>
    <w:rsid w:val="00BE4182"/>
    <w:rsid w:val="00BE46E7"/>
    <w:rsid w:val="00BE77DE"/>
    <w:rsid w:val="00BF1682"/>
    <w:rsid w:val="00BF3CC7"/>
    <w:rsid w:val="00BF5F00"/>
    <w:rsid w:val="00BF6301"/>
    <w:rsid w:val="00C04AFF"/>
    <w:rsid w:val="00C0772D"/>
    <w:rsid w:val="00C1226D"/>
    <w:rsid w:val="00C1330F"/>
    <w:rsid w:val="00C1409D"/>
    <w:rsid w:val="00C16CED"/>
    <w:rsid w:val="00C26729"/>
    <w:rsid w:val="00C322BF"/>
    <w:rsid w:val="00C356DE"/>
    <w:rsid w:val="00C37B27"/>
    <w:rsid w:val="00C37FF8"/>
    <w:rsid w:val="00C428C5"/>
    <w:rsid w:val="00C458D5"/>
    <w:rsid w:val="00C46EBD"/>
    <w:rsid w:val="00C52F5B"/>
    <w:rsid w:val="00C53466"/>
    <w:rsid w:val="00C53CE6"/>
    <w:rsid w:val="00C53EDB"/>
    <w:rsid w:val="00C551FC"/>
    <w:rsid w:val="00C60464"/>
    <w:rsid w:val="00C615E5"/>
    <w:rsid w:val="00C61EE7"/>
    <w:rsid w:val="00C62651"/>
    <w:rsid w:val="00C648E4"/>
    <w:rsid w:val="00C67488"/>
    <w:rsid w:val="00C70A30"/>
    <w:rsid w:val="00C70A74"/>
    <w:rsid w:val="00C7140E"/>
    <w:rsid w:val="00C71FE4"/>
    <w:rsid w:val="00C72005"/>
    <w:rsid w:val="00C75AE4"/>
    <w:rsid w:val="00C75DBB"/>
    <w:rsid w:val="00C826C3"/>
    <w:rsid w:val="00C83300"/>
    <w:rsid w:val="00C837F9"/>
    <w:rsid w:val="00C84158"/>
    <w:rsid w:val="00C84E60"/>
    <w:rsid w:val="00C87F4A"/>
    <w:rsid w:val="00C910FF"/>
    <w:rsid w:val="00C9250C"/>
    <w:rsid w:val="00CA2558"/>
    <w:rsid w:val="00CA4723"/>
    <w:rsid w:val="00CA4E18"/>
    <w:rsid w:val="00CA58CB"/>
    <w:rsid w:val="00CA713C"/>
    <w:rsid w:val="00CA7D6D"/>
    <w:rsid w:val="00CB1EAB"/>
    <w:rsid w:val="00CB2785"/>
    <w:rsid w:val="00CB5459"/>
    <w:rsid w:val="00CB7669"/>
    <w:rsid w:val="00CB7D07"/>
    <w:rsid w:val="00CC502A"/>
    <w:rsid w:val="00CD02CB"/>
    <w:rsid w:val="00CD0B4F"/>
    <w:rsid w:val="00CD2494"/>
    <w:rsid w:val="00CD509F"/>
    <w:rsid w:val="00CD6356"/>
    <w:rsid w:val="00CE1527"/>
    <w:rsid w:val="00CE3848"/>
    <w:rsid w:val="00CE3F72"/>
    <w:rsid w:val="00CE60E2"/>
    <w:rsid w:val="00CF5FC2"/>
    <w:rsid w:val="00CF63E1"/>
    <w:rsid w:val="00CF6BA4"/>
    <w:rsid w:val="00D00614"/>
    <w:rsid w:val="00D009B3"/>
    <w:rsid w:val="00D12F1E"/>
    <w:rsid w:val="00D157E3"/>
    <w:rsid w:val="00D17DC5"/>
    <w:rsid w:val="00D2178B"/>
    <w:rsid w:val="00D266D5"/>
    <w:rsid w:val="00D27001"/>
    <w:rsid w:val="00D35307"/>
    <w:rsid w:val="00D42747"/>
    <w:rsid w:val="00D4563B"/>
    <w:rsid w:val="00D51B68"/>
    <w:rsid w:val="00D52FC9"/>
    <w:rsid w:val="00D5543A"/>
    <w:rsid w:val="00D80072"/>
    <w:rsid w:val="00D802AE"/>
    <w:rsid w:val="00D8169F"/>
    <w:rsid w:val="00D839D8"/>
    <w:rsid w:val="00D85CC4"/>
    <w:rsid w:val="00D905C9"/>
    <w:rsid w:val="00D92439"/>
    <w:rsid w:val="00D95C3F"/>
    <w:rsid w:val="00DA1664"/>
    <w:rsid w:val="00DA1755"/>
    <w:rsid w:val="00DA2F6F"/>
    <w:rsid w:val="00DA3130"/>
    <w:rsid w:val="00DA4897"/>
    <w:rsid w:val="00DA7C1D"/>
    <w:rsid w:val="00DA7D93"/>
    <w:rsid w:val="00DB05B2"/>
    <w:rsid w:val="00DB39DC"/>
    <w:rsid w:val="00DB4A00"/>
    <w:rsid w:val="00DB5B1B"/>
    <w:rsid w:val="00DB6C98"/>
    <w:rsid w:val="00DB6EA3"/>
    <w:rsid w:val="00DB71F8"/>
    <w:rsid w:val="00DC0944"/>
    <w:rsid w:val="00DC1AF7"/>
    <w:rsid w:val="00DC2607"/>
    <w:rsid w:val="00DC78DB"/>
    <w:rsid w:val="00DD05EF"/>
    <w:rsid w:val="00DD141E"/>
    <w:rsid w:val="00DD2F9F"/>
    <w:rsid w:val="00DD5A07"/>
    <w:rsid w:val="00DD664E"/>
    <w:rsid w:val="00DE0AB2"/>
    <w:rsid w:val="00DE1A00"/>
    <w:rsid w:val="00DE1B14"/>
    <w:rsid w:val="00DE3578"/>
    <w:rsid w:val="00DE3F2D"/>
    <w:rsid w:val="00DE460C"/>
    <w:rsid w:val="00DF0470"/>
    <w:rsid w:val="00DF10BE"/>
    <w:rsid w:val="00DF2629"/>
    <w:rsid w:val="00DF6E29"/>
    <w:rsid w:val="00DF76F2"/>
    <w:rsid w:val="00E04974"/>
    <w:rsid w:val="00E123F2"/>
    <w:rsid w:val="00E207C7"/>
    <w:rsid w:val="00E2379D"/>
    <w:rsid w:val="00E244D1"/>
    <w:rsid w:val="00E24FCC"/>
    <w:rsid w:val="00E264F7"/>
    <w:rsid w:val="00E266A9"/>
    <w:rsid w:val="00E27DA2"/>
    <w:rsid w:val="00E27DE7"/>
    <w:rsid w:val="00E33397"/>
    <w:rsid w:val="00E36891"/>
    <w:rsid w:val="00E45EB4"/>
    <w:rsid w:val="00E51E5F"/>
    <w:rsid w:val="00E52092"/>
    <w:rsid w:val="00E61A3C"/>
    <w:rsid w:val="00E627F8"/>
    <w:rsid w:val="00E7016C"/>
    <w:rsid w:val="00E7476B"/>
    <w:rsid w:val="00E74841"/>
    <w:rsid w:val="00E76850"/>
    <w:rsid w:val="00E84413"/>
    <w:rsid w:val="00E91094"/>
    <w:rsid w:val="00E92161"/>
    <w:rsid w:val="00E97390"/>
    <w:rsid w:val="00E97800"/>
    <w:rsid w:val="00EA1B36"/>
    <w:rsid w:val="00EA3797"/>
    <w:rsid w:val="00EA3F66"/>
    <w:rsid w:val="00EA467D"/>
    <w:rsid w:val="00EA6520"/>
    <w:rsid w:val="00EA6E9C"/>
    <w:rsid w:val="00EA72D0"/>
    <w:rsid w:val="00EB0906"/>
    <w:rsid w:val="00EB2B40"/>
    <w:rsid w:val="00EC21E6"/>
    <w:rsid w:val="00ED1ECF"/>
    <w:rsid w:val="00ED3F2E"/>
    <w:rsid w:val="00ED4B60"/>
    <w:rsid w:val="00ED67AA"/>
    <w:rsid w:val="00EE10E8"/>
    <w:rsid w:val="00EE6138"/>
    <w:rsid w:val="00EF079E"/>
    <w:rsid w:val="00EF54AA"/>
    <w:rsid w:val="00EF62C8"/>
    <w:rsid w:val="00F008B8"/>
    <w:rsid w:val="00F00A6E"/>
    <w:rsid w:val="00F01E1F"/>
    <w:rsid w:val="00F03032"/>
    <w:rsid w:val="00F05085"/>
    <w:rsid w:val="00F07003"/>
    <w:rsid w:val="00F13C4D"/>
    <w:rsid w:val="00F151B4"/>
    <w:rsid w:val="00F22B8F"/>
    <w:rsid w:val="00F2422E"/>
    <w:rsid w:val="00F27F8E"/>
    <w:rsid w:val="00F3312C"/>
    <w:rsid w:val="00F35A0C"/>
    <w:rsid w:val="00F37945"/>
    <w:rsid w:val="00F37A9F"/>
    <w:rsid w:val="00F37C00"/>
    <w:rsid w:val="00F40E2E"/>
    <w:rsid w:val="00F40F24"/>
    <w:rsid w:val="00F448C0"/>
    <w:rsid w:val="00F45BE5"/>
    <w:rsid w:val="00F50259"/>
    <w:rsid w:val="00F524CF"/>
    <w:rsid w:val="00F529F1"/>
    <w:rsid w:val="00F530DA"/>
    <w:rsid w:val="00F53CBC"/>
    <w:rsid w:val="00F57D0C"/>
    <w:rsid w:val="00F60171"/>
    <w:rsid w:val="00F60CF8"/>
    <w:rsid w:val="00F620CA"/>
    <w:rsid w:val="00F6394D"/>
    <w:rsid w:val="00F63DC1"/>
    <w:rsid w:val="00F66CF5"/>
    <w:rsid w:val="00F718BE"/>
    <w:rsid w:val="00F7310B"/>
    <w:rsid w:val="00F74154"/>
    <w:rsid w:val="00F76824"/>
    <w:rsid w:val="00F777B5"/>
    <w:rsid w:val="00F8238A"/>
    <w:rsid w:val="00F8272E"/>
    <w:rsid w:val="00F8426D"/>
    <w:rsid w:val="00F842D3"/>
    <w:rsid w:val="00F87092"/>
    <w:rsid w:val="00F91179"/>
    <w:rsid w:val="00F94A34"/>
    <w:rsid w:val="00F9740B"/>
    <w:rsid w:val="00FA170D"/>
    <w:rsid w:val="00FB1BFA"/>
    <w:rsid w:val="00FB34BC"/>
    <w:rsid w:val="00FB707D"/>
    <w:rsid w:val="00FB7285"/>
    <w:rsid w:val="00FB75C5"/>
    <w:rsid w:val="00FC045D"/>
    <w:rsid w:val="00FC0BB0"/>
    <w:rsid w:val="00FC3E4B"/>
    <w:rsid w:val="00FC5189"/>
    <w:rsid w:val="00FD1790"/>
    <w:rsid w:val="00FD1923"/>
    <w:rsid w:val="00FD1F9C"/>
    <w:rsid w:val="00FD281F"/>
    <w:rsid w:val="00FD572F"/>
    <w:rsid w:val="00FD677B"/>
    <w:rsid w:val="00FE084F"/>
    <w:rsid w:val="00FE2896"/>
    <w:rsid w:val="00FE424C"/>
    <w:rsid w:val="00FE42F3"/>
    <w:rsid w:val="00FE5C76"/>
    <w:rsid w:val="00FE64B2"/>
    <w:rsid w:val="00FE6EC1"/>
    <w:rsid w:val="00FE773D"/>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超级链接,Style 58,超?级链,超????,하이퍼링크2,하이퍼링크21,超链接1"/>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character" w:customStyle="1" w:styleId="UnresolvedMention2">
    <w:name w:val="Unresolved Mention2"/>
    <w:basedOn w:val="DefaultParagraphFont"/>
    <w:uiPriority w:val="99"/>
    <w:semiHidden/>
    <w:unhideWhenUsed/>
    <w:rsid w:val="00E7016C"/>
    <w:rPr>
      <w:color w:val="605E5C"/>
      <w:shd w:val="clear" w:color="auto" w:fill="E1DFDD"/>
    </w:rPr>
  </w:style>
  <w:style w:type="paragraph" w:customStyle="1" w:styleId="Default">
    <w:name w:val="Default"/>
    <w:rsid w:val="00444011"/>
    <w:pPr>
      <w:autoSpaceDE w:val="0"/>
      <w:autoSpaceDN w:val="0"/>
      <w:adjustRightInd w:val="0"/>
    </w:pPr>
    <w:rPr>
      <w:rFonts w:eastAsia="Calibri"/>
      <w:color w:val="000000"/>
      <w:sz w:val="24"/>
      <w:szCs w:val="24"/>
      <w:lang w:val="en-US" w:eastAsia="en-US"/>
    </w:rPr>
  </w:style>
  <w:style w:type="paragraph" w:customStyle="1" w:styleId="ByContin1">
    <w:name w:val="By  Contin 1"/>
    <w:basedOn w:val="Normal"/>
    <w:uiPriority w:val="99"/>
    <w:rsid w:val="00836E5A"/>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paragraph" w:customStyle="1" w:styleId="Tab">
    <w:name w:val="Tab"/>
    <w:basedOn w:val="Tabletext"/>
    <w:rsid w:val="00003F6D"/>
    <w:rPr>
      <w:lang w:val="en-US"/>
    </w:rPr>
  </w:style>
  <w:style w:type="table" w:customStyle="1" w:styleId="TableGrid1">
    <w:name w:val="Table Grid1"/>
    <w:basedOn w:val="TableNormal"/>
    <w:next w:val="TableGrid"/>
    <w:uiPriority w:val="59"/>
    <w:rsid w:val="00190659"/>
    <w:rPr>
      <w:rFonts w:ascii="Times" w:eastAsia="Times New Roman" w:hAnsi="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qFormat/>
    <w:locked/>
    <w:rsid w:val="00FB707D"/>
    <w:rPr>
      <w:rFonts w:ascii="Calibri" w:eastAsia="Times New Roman" w:hAnsi="Calibri"/>
      <w:sz w:val="24"/>
      <w:lang w:eastAsia="en-US"/>
    </w:rPr>
  </w:style>
  <w:style w:type="paragraph" w:customStyle="1" w:styleId="Heading10">
    <w:name w:val="Heading_1"/>
    <w:basedOn w:val="Normal"/>
    <w:rsid w:val="00773AC7"/>
  </w:style>
  <w:style w:type="paragraph" w:customStyle="1" w:styleId="Reasons">
    <w:name w:val="Reasons"/>
    <w:basedOn w:val="Normal"/>
    <w:qFormat/>
    <w:rsid w:val="00D905C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Figure">
    <w:name w:val="Figure"/>
    <w:basedOn w:val="Normal"/>
    <w:rsid w:val="00757B41"/>
    <w:pPr>
      <w:jc w:val="center"/>
    </w:pPr>
    <w:rPr>
      <w:noProof/>
    </w:rPr>
  </w:style>
  <w:style w:type="character" w:styleId="UnresolvedMention">
    <w:name w:val="Unresolved Mention"/>
    <w:basedOn w:val="DefaultParagraphFont"/>
    <w:uiPriority w:val="99"/>
    <w:semiHidden/>
    <w:unhideWhenUsed/>
    <w:rsid w:val="00FE7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SG-CIR-0004/en" TargetMode="External"/><Relationship Id="rId18" Type="http://schemas.openxmlformats.org/officeDocument/2006/relationships/image" Target="media/image5.png"/><Relationship Id="rId26" Type="http://schemas.openxmlformats.org/officeDocument/2006/relationships/hyperlink" Target="https://www.itu.int/md/D18-RPMIRM-C-0066/en" TargetMode="External"/><Relationship Id="rId39" Type="http://schemas.openxmlformats.org/officeDocument/2006/relationships/hyperlink" Target="https://www.itu.int/md/D18-RPMIRM-C-0064/fr" TargetMode="External"/><Relationship Id="rId21" Type="http://schemas.openxmlformats.org/officeDocument/2006/relationships/hyperlink" Target="mailto:bosire@ca.go.ke" TargetMode="External"/><Relationship Id="rId34" Type="http://schemas.openxmlformats.org/officeDocument/2006/relationships/hyperlink" Target="https://www.itu.int/md/D18-RPMIRM-C-0065/en" TargetMode="External"/><Relationship Id="rId42" Type="http://schemas.openxmlformats.org/officeDocument/2006/relationships/hyperlink" Target="https://www.itu.int/md/D18-RPMIRM-C-0070/fr"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fellowships@itu.int" TargetMode="External"/><Relationship Id="rId29" Type="http://schemas.openxmlformats.org/officeDocument/2006/relationships/image" Target="media/image8.png"/><Relationship Id="rId11" Type="http://schemas.openxmlformats.org/officeDocument/2006/relationships/hyperlink" Target="https://www.itu.int/dms_pub/itu-s/md/21/dm/cir/S21-DM-CIR-01025!!PDF-F.pdf" TargetMode="External"/><Relationship Id="rId24" Type="http://schemas.openxmlformats.org/officeDocument/2006/relationships/image" Target="media/image7.png"/><Relationship Id="rId32" Type="http://schemas.openxmlformats.org/officeDocument/2006/relationships/hyperlink" Target="https://www.itu.int/md/D18-RPMIRM-C-0065/en" TargetMode="External"/><Relationship Id="rId37" Type="http://schemas.openxmlformats.org/officeDocument/2006/relationships/hyperlink" Target="https://www.itu.int/md/D18-RPMIRM-C-0034/fr" TargetMode="External"/><Relationship Id="rId40" Type="http://schemas.openxmlformats.org/officeDocument/2006/relationships/hyperlink" Target="https://www.itu.int/md/D18-RPMIRM-C-0069/fr" TargetMode="External"/><Relationship Id="rId45" Type="http://schemas.openxmlformats.org/officeDocument/2006/relationships/hyperlink" Target="https://www.itu.int/md/D18-RPMIRM-C-0070/fr"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mailto:biggie.chiripanhura@potraz.gov.zw" TargetMode="External"/><Relationship Id="rId36" Type="http://schemas.openxmlformats.org/officeDocument/2006/relationships/hyperlink" Target="https://www.itu.int/md/D18-RPMIRM-C-0069/en" TargetMode="External"/><Relationship Id="rId49" Type="http://schemas.openxmlformats.org/officeDocument/2006/relationships/footer" Target="footer2.xml"/><Relationship Id="rId10" Type="http://schemas.openxmlformats.org/officeDocument/2006/relationships/hyperlink" Target="https://www.itu.int/md/D18-RPMIRM-C-0063/en" TargetMode="External"/><Relationship Id="rId19" Type="http://schemas.openxmlformats.org/officeDocument/2006/relationships/hyperlink" Target="mailto:biggie.chiripanhura@potraz.gov.zw" TargetMode="External"/><Relationship Id="rId31" Type="http://schemas.openxmlformats.org/officeDocument/2006/relationships/hyperlink" Target="https://www.itu.int/md/D18-RPMIRM-C-0066/en" TargetMode="External"/><Relationship Id="rId44" Type="http://schemas.openxmlformats.org/officeDocument/2006/relationships/hyperlink" Target="https://www.itu.int/md/D18-RPMIRM-C-0070/fr" TargetMode="External"/><Relationship Id="rId4" Type="http://schemas.openxmlformats.org/officeDocument/2006/relationships/webSettings" Target="webSettings.xml"/><Relationship Id="rId9" Type="http://schemas.openxmlformats.org/officeDocument/2006/relationships/hyperlink" Target="https://www.itu.int/dms_ties/itu-d/md/18/rpmirm/c/D18-RPMIRM-C-0071!!PDF-E.pdf" TargetMode="External"/><Relationship Id="rId14" Type="http://schemas.openxmlformats.org/officeDocument/2006/relationships/hyperlink" Target="https://www.itu.int/md/D18-TDAG28-C-0017/en" TargetMode="External"/><Relationship Id="rId22" Type="http://schemas.openxmlformats.org/officeDocument/2006/relationships/hyperlink" Target="mailto:anago.richard@gmail.com" TargetMode="External"/><Relationship Id="rId27" Type="http://schemas.openxmlformats.org/officeDocument/2006/relationships/hyperlink" Target="https://www.itu.int/md/D18-RPMIRM-C-0067/en" TargetMode="External"/><Relationship Id="rId30" Type="http://schemas.openxmlformats.org/officeDocument/2006/relationships/hyperlink" Target="https://www.itu.int/md/D18-RPMIRM-C-0065/en" TargetMode="External"/><Relationship Id="rId35" Type="http://schemas.openxmlformats.org/officeDocument/2006/relationships/hyperlink" Target="https://www.itu.int/md/D18-RPMIRM-C-0068/en" TargetMode="External"/><Relationship Id="rId43" Type="http://schemas.openxmlformats.org/officeDocument/2006/relationships/hyperlink" Target="https://www.itu.int/md/D18-RPMIRM-C-0070/fr" TargetMode="External"/><Relationship Id="rId48" Type="http://schemas.openxmlformats.org/officeDocument/2006/relationships/footer" Target="footer1.xml"/><Relationship Id="rId8" Type="http://schemas.openxmlformats.org/officeDocument/2006/relationships/image" Target="media/image3.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tu.int/md/S22-DM-CIR-01000/en" TargetMode="External"/><Relationship Id="rId17" Type="http://schemas.openxmlformats.org/officeDocument/2006/relationships/hyperlink" Target="mailto:protocol.service@itu.int" TargetMode="External"/><Relationship Id="rId25" Type="http://schemas.openxmlformats.org/officeDocument/2006/relationships/hyperlink" Target="https://www.itu.int/md/D18-RPMIRM-C-0065/en" TargetMode="External"/><Relationship Id="rId33" Type="http://schemas.openxmlformats.org/officeDocument/2006/relationships/hyperlink" Target="https://www.itu.int/md/D18-RPMIRM-C-0067/en" TargetMode="External"/><Relationship Id="rId38" Type="http://schemas.openxmlformats.org/officeDocument/2006/relationships/hyperlink" Target="https://www.itu.int/md/D18-RPMIRM-C-0070/en" TargetMode="External"/><Relationship Id="rId46" Type="http://schemas.openxmlformats.org/officeDocument/2006/relationships/hyperlink" Target="https://www.itu.int/md/D18-RPMIRM-C-0070/fr" TargetMode="External"/><Relationship Id="rId20" Type="http://schemas.openxmlformats.org/officeDocument/2006/relationships/hyperlink" Target="mailto:bessou.regina@artci.ci" TargetMode="External"/><Relationship Id="rId41" Type="http://schemas.openxmlformats.org/officeDocument/2006/relationships/hyperlink" Target="https://www.itu.int/md/D18-TDAG28-C-0017/fr"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36</Pages>
  <Words>14705</Words>
  <Characters>83283</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Frenchi</cp:lastModifiedBy>
  <cp:revision>16</cp:revision>
  <cp:lastPrinted>2016-05-13T07:33:00Z</cp:lastPrinted>
  <dcterms:created xsi:type="dcterms:W3CDTF">2022-05-03T05:33:00Z</dcterms:created>
  <dcterms:modified xsi:type="dcterms:W3CDTF">2022-05-04T09:47:00Z</dcterms:modified>
</cp:coreProperties>
</file>