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F0D01" w14:paraId="5A4FDABF" w14:textId="77777777" w:rsidTr="005E7F1C">
        <w:trPr>
          <w:cantSplit/>
        </w:trPr>
        <w:tc>
          <w:tcPr>
            <w:tcW w:w="2127" w:type="dxa"/>
          </w:tcPr>
          <w:p w14:paraId="2FEB3411" w14:textId="7397A80F" w:rsidR="00ED64CE" w:rsidRPr="006F0D01" w:rsidRDefault="00314DC6" w:rsidP="00314DC6">
            <w:pPr>
              <w:spacing w:before="600" w:after="120"/>
              <w:rPr>
                <w:rFonts w:cstheme="minorHAnsi"/>
                <w:b/>
                <w:bCs/>
                <w:sz w:val="32"/>
                <w:szCs w:val="32"/>
                <w:lang w:val="es-ES_tradnl"/>
              </w:rPr>
            </w:pPr>
            <w:r>
              <w:rPr>
                <w:noProof/>
              </w:rPr>
              <w:drawing>
                <wp:inline distT="0" distB="0" distL="0" distR="0" wp14:anchorId="1C1740D6" wp14:editId="431F0F1C">
                  <wp:extent cx="1213485" cy="2152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3485" cy="215265"/>
                          </a:xfrm>
                          <a:prstGeom prst="rect">
                            <a:avLst/>
                          </a:prstGeom>
                        </pic:spPr>
                      </pic:pic>
                    </a:graphicData>
                  </a:graphic>
                </wp:inline>
              </w:drawing>
            </w:r>
            <w:bookmarkStart w:id="0" w:name="_GoBack"/>
            <w:bookmarkEnd w:id="0"/>
          </w:p>
        </w:tc>
        <w:tc>
          <w:tcPr>
            <w:tcW w:w="6095" w:type="dxa"/>
            <w:gridSpan w:val="2"/>
          </w:tcPr>
          <w:p w14:paraId="23657FEB" w14:textId="61E59AAA" w:rsidR="00ED64CE" w:rsidRPr="006F0D01" w:rsidRDefault="00547AFB" w:rsidP="00CF0676">
            <w:pPr>
              <w:spacing w:before="280" w:after="120"/>
              <w:rPr>
                <w:rFonts w:cstheme="minorHAnsi"/>
                <w:b/>
                <w:bCs/>
                <w:sz w:val="32"/>
                <w:szCs w:val="32"/>
                <w:lang w:val="es-ES_tradnl"/>
              </w:rPr>
            </w:pPr>
            <w:r w:rsidRPr="006F0D01">
              <w:rPr>
                <w:rFonts w:cstheme="minorHAnsi"/>
                <w:b/>
                <w:bCs/>
                <w:sz w:val="32"/>
                <w:szCs w:val="32"/>
                <w:lang w:val="es-ES_tradnl"/>
              </w:rPr>
              <w:t>Tercera Reunión Interregional (RIR-3) para preparar la CMDT</w:t>
            </w:r>
          </w:p>
          <w:p w14:paraId="2C5307A5" w14:textId="284B70C0" w:rsidR="000A48B6" w:rsidRPr="006F0D01" w:rsidRDefault="00547AFB" w:rsidP="00547AFB">
            <w:pPr>
              <w:spacing w:after="120"/>
              <w:rPr>
                <w:rFonts w:cstheme="minorHAnsi"/>
                <w:b/>
                <w:bCs/>
                <w:sz w:val="32"/>
                <w:szCs w:val="32"/>
                <w:lang w:val="es-ES_tradnl"/>
              </w:rPr>
            </w:pPr>
            <w:r w:rsidRPr="006F0D01">
              <w:rPr>
                <w:rFonts w:cstheme="minorHAnsi"/>
                <w:b/>
                <w:bCs/>
                <w:szCs w:val="24"/>
                <w:lang w:val="es-ES_tradnl"/>
              </w:rPr>
              <w:t>Ginebra</w:t>
            </w:r>
            <w:r w:rsidR="000A48B6" w:rsidRPr="006F0D01">
              <w:rPr>
                <w:rFonts w:cstheme="minorHAnsi"/>
                <w:b/>
                <w:bCs/>
                <w:szCs w:val="24"/>
                <w:lang w:val="es-ES_tradnl"/>
              </w:rPr>
              <w:t xml:space="preserve">, </w:t>
            </w:r>
            <w:r w:rsidRPr="006F0D01">
              <w:rPr>
                <w:rFonts w:cstheme="minorHAnsi"/>
                <w:b/>
                <w:bCs/>
                <w:szCs w:val="24"/>
                <w:lang w:val="es-ES_tradnl"/>
              </w:rPr>
              <w:t>Suiza</w:t>
            </w:r>
            <w:r w:rsidR="00CF0676" w:rsidRPr="006F0D01">
              <w:rPr>
                <w:rFonts w:cstheme="minorHAnsi"/>
                <w:b/>
                <w:bCs/>
                <w:szCs w:val="24"/>
                <w:lang w:val="es-ES_tradnl"/>
              </w:rPr>
              <w:t xml:space="preserve">, </w:t>
            </w:r>
            <w:r w:rsidR="000A48B6" w:rsidRPr="006F0D01">
              <w:rPr>
                <w:rFonts w:cstheme="minorHAnsi"/>
                <w:b/>
                <w:bCs/>
                <w:szCs w:val="24"/>
                <w:lang w:val="es-ES_tradnl"/>
              </w:rPr>
              <w:t xml:space="preserve">10-11 </w:t>
            </w:r>
            <w:r w:rsidRPr="006F0D01">
              <w:rPr>
                <w:rFonts w:cstheme="minorHAnsi"/>
                <w:b/>
                <w:bCs/>
                <w:szCs w:val="24"/>
                <w:lang w:val="es-ES_tradnl"/>
              </w:rPr>
              <w:t xml:space="preserve">de marzo de </w:t>
            </w:r>
            <w:r w:rsidR="000A48B6" w:rsidRPr="006F0D01">
              <w:rPr>
                <w:rFonts w:cstheme="minorHAnsi"/>
                <w:b/>
                <w:bCs/>
                <w:szCs w:val="24"/>
                <w:lang w:val="es-ES_tradnl"/>
              </w:rPr>
              <w:t>2022</w:t>
            </w:r>
          </w:p>
        </w:tc>
        <w:tc>
          <w:tcPr>
            <w:tcW w:w="1417" w:type="dxa"/>
          </w:tcPr>
          <w:p w14:paraId="08590635" w14:textId="3E0052EE" w:rsidR="00ED64CE" w:rsidRPr="006F0D01" w:rsidRDefault="00ED64CE" w:rsidP="005E7F1C">
            <w:pPr>
              <w:spacing w:before="240" w:line="240" w:lineRule="atLeast"/>
              <w:jc w:val="right"/>
              <w:rPr>
                <w:rFonts w:cstheme="minorHAnsi"/>
                <w:lang w:val="es-ES_tradnl"/>
              </w:rPr>
            </w:pPr>
            <w:bookmarkStart w:id="1" w:name="ditulogo"/>
            <w:bookmarkEnd w:id="1"/>
            <w:r w:rsidRPr="006F0D01">
              <w:rPr>
                <w:noProof/>
                <w:lang w:val="es-ES_tradnl" w:eastAsia="es-ES_tradnl"/>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F0D01" w14:paraId="49A9DD1C" w14:textId="77777777" w:rsidTr="00A96DFE">
        <w:trPr>
          <w:cantSplit/>
        </w:trPr>
        <w:tc>
          <w:tcPr>
            <w:tcW w:w="6379" w:type="dxa"/>
            <w:gridSpan w:val="2"/>
            <w:tcBorders>
              <w:top w:val="single" w:sz="12" w:space="0" w:color="auto"/>
            </w:tcBorders>
          </w:tcPr>
          <w:p w14:paraId="7B629AD8" w14:textId="77777777" w:rsidR="00C64B30" w:rsidRPr="006F0D01" w:rsidRDefault="00C64B30" w:rsidP="00C64B30">
            <w:pPr>
              <w:spacing w:before="0" w:after="48" w:line="240" w:lineRule="atLeast"/>
              <w:rPr>
                <w:rFonts w:cstheme="minorHAnsi"/>
                <w:b/>
                <w:smallCaps/>
                <w:sz w:val="20"/>
                <w:lang w:val="es-ES_tradnl"/>
              </w:rPr>
            </w:pPr>
            <w:bookmarkStart w:id="2" w:name="dhead"/>
          </w:p>
        </w:tc>
        <w:tc>
          <w:tcPr>
            <w:tcW w:w="3260" w:type="dxa"/>
            <w:gridSpan w:val="2"/>
            <w:tcBorders>
              <w:top w:val="single" w:sz="12" w:space="0" w:color="auto"/>
            </w:tcBorders>
          </w:tcPr>
          <w:p w14:paraId="10DB571E" w14:textId="77777777" w:rsidR="00C64B30" w:rsidRPr="006F0D01" w:rsidRDefault="00C64B30" w:rsidP="00C64B30">
            <w:pPr>
              <w:spacing w:before="0" w:line="240" w:lineRule="atLeast"/>
              <w:rPr>
                <w:rFonts w:cstheme="minorHAnsi"/>
                <w:sz w:val="20"/>
                <w:lang w:val="es-ES_tradnl"/>
              </w:rPr>
            </w:pPr>
          </w:p>
        </w:tc>
      </w:tr>
      <w:tr w:rsidR="00C64B30" w:rsidRPr="006F0D01" w14:paraId="69AB090E" w14:textId="77777777" w:rsidTr="00A96DFE">
        <w:trPr>
          <w:cantSplit/>
          <w:trHeight w:val="23"/>
        </w:trPr>
        <w:tc>
          <w:tcPr>
            <w:tcW w:w="6379" w:type="dxa"/>
            <w:gridSpan w:val="2"/>
            <w:shd w:val="clear" w:color="auto" w:fill="auto"/>
          </w:tcPr>
          <w:p w14:paraId="14945264" w14:textId="77777777" w:rsidR="00C64B30" w:rsidRPr="006F0D01" w:rsidRDefault="00C64B30" w:rsidP="00C64B30">
            <w:pPr>
              <w:pStyle w:val="Committee"/>
              <w:framePr w:hSpace="0" w:wrap="auto" w:hAnchor="text" w:yAlign="inline"/>
              <w:rPr>
                <w:lang w:val="es-ES_tradnl"/>
              </w:rPr>
            </w:pPr>
            <w:bookmarkStart w:id="3" w:name="dnum" w:colFirst="1" w:colLast="1"/>
            <w:bookmarkStart w:id="4" w:name="dmeeting" w:colFirst="0" w:colLast="0"/>
            <w:bookmarkEnd w:id="2"/>
          </w:p>
        </w:tc>
        <w:tc>
          <w:tcPr>
            <w:tcW w:w="3260" w:type="dxa"/>
            <w:gridSpan w:val="2"/>
          </w:tcPr>
          <w:p w14:paraId="19298A4A" w14:textId="4F3F0801" w:rsidR="00C64B30" w:rsidRPr="006F0D01" w:rsidRDefault="00C64B30" w:rsidP="00547AFB">
            <w:pPr>
              <w:tabs>
                <w:tab w:val="left" w:pos="851"/>
              </w:tabs>
              <w:spacing w:before="0" w:line="240" w:lineRule="atLeast"/>
              <w:rPr>
                <w:rFonts w:cstheme="minorHAnsi"/>
                <w:szCs w:val="24"/>
                <w:lang w:val="es-ES_tradnl"/>
              </w:rPr>
            </w:pPr>
            <w:r w:rsidRPr="006F0D01">
              <w:rPr>
                <w:rFonts w:cstheme="minorHAnsi"/>
                <w:b/>
                <w:bCs/>
                <w:szCs w:val="24"/>
                <w:lang w:val="es-ES_tradnl"/>
              </w:rPr>
              <w:t>Document</w:t>
            </w:r>
            <w:r w:rsidR="00547AFB" w:rsidRPr="006F0D01">
              <w:rPr>
                <w:rFonts w:cstheme="minorHAnsi"/>
                <w:b/>
                <w:bCs/>
                <w:szCs w:val="24"/>
                <w:lang w:val="es-ES_tradnl"/>
              </w:rPr>
              <w:t>o</w:t>
            </w:r>
            <w:r w:rsidRPr="006F0D01">
              <w:rPr>
                <w:rFonts w:cstheme="minorHAnsi"/>
                <w:b/>
                <w:bCs/>
                <w:szCs w:val="24"/>
                <w:lang w:val="es-ES_tradnl"/>
              </w:rPr>
              <w:t xml:space="preserve"> </w:t>
            </w:r>
            <w:bookmarkStart w:id="5" w:name="DocRef1"/>
            <w:bookmarkEnd w:id="5"/>
            <w:r w:rsidR="0069749B" w:rsidRPr="006F0D01">
              <w:rPr>
                <w:rFonts w:cstheme="minorHAnsi"/>
                <w:b/>
                <w:bCs/>
                <w:szCs w:val="24"/>
                <w:lang w:val="es-ES_tradnl"/>
              </w:rPr>
              <w:t>IRM21</w:t>
            </w:r>
            <w:r w:rsidR="000A48B6" w:rsidRPr="006F0D01">
              <w:rPr>
                <w:rFonts w:cstheme="minorHAnsi"/>
                <w:b/>
                <w:bCs/>
                <w:szCs w:val="24"/>
                <w:lang w:val="es-ES_tradnl"/>
              </w:rPr>
              <w:t>-3</w:t>
            </w:r>
            <w:r w:rsidRPr="006F0D01">
              <w:rPr>
                <w:rFonts w:cstheme="minorHAnsi"/>
                <w:b/>
                <w:bCs/>
                <w:szCs w:val="24"/>
                <w:lang w:val="es-ES_tradnl"/>
              </w:rPr>
              <w:t>/</w:t>
            </w:r>
            <w:r w:rsidR="007065C2" w:rsidRPr="006F0D01">
              <w:rPr>
                <w:rFonts w:cstheme="minorHAnsi"/>
                <w:b/>
                <w:bCs/>
                <w:szCs w:val="24"/>
                <w:lang w:val="es-ES_tradnl"/>
              </w:rPr>
              <w:t>69</w:t>
            </w:r>
            <w:r w:rsidRPr="006F0D01">
              <w:rPr>
                <w:rFonts w:cstheme="minorHAnsi"/>
                <w:b/>
                <w:bCs/>
                <w:szCs w:val="24"/>
                <w:lang w:val="es-ES_tradnl"/>
              </w:rPr>
              <w:t>-</w:t>
            </w:r>
            <w:r w:rsidR="00547AFB" w:rsidRPr="006F0D01">
              <w:rPr>
                <w:rFonts w:cstheme="minorHAnsi"/>
                <w:b/>
                <w:bCs/>
                <w:szCs w:val="24"/>
                <w:lang w:val="es-ES_tradnl"/>
              </w:rPr>
              <w:t>S</w:t>
            </w:r>
          </w:p>
        </w:tc>
      </w:tr>
      <w:tr w:rsidR="00C64B30" w:rsidRPr="006F0D01" w14:paraId="7E2BB70E" w14:textId="77777777" w:rsidTr="00A96DFE">
        <w:trPr>
          <w:cantSplit/>
          <w:trHeight w:val="23"/>
        </w:trPr>
        <w:tc>
          <w:tcPr>
            <w:tcW w:w="6379" w:type="dxa"/>
            <w:gridSpan w:val="2"/>
            <w:shd w:val="clear" w:color="auto" w:fill="auto"/>
          </w:tcPr>
          <w:p w14:paraId="6187458F" w14:textId="77777777" w:rsidR="00C64B30" w:rsidRPr="006F0D01" w:rsidRDefault="00C64B30" w:rsidP="00C64B3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60" w:type="dxa"/>
            <w:gridSpan w:val="2"/>
          </w:tcPr>
          <w:p w14:paraId="1D84793C" w14:textId="4C4FC37C" w:rsidR="00C64B30" w:rsidRPr="006F0D01" w:rsidRDefault="007065C2" w:rsidP="00547AFB">
            <w:pPr>
              <w:spacing w:before="0" w:line="240" w:lineRule="atLeast"/>
              <w:rPr>
                <w:rFonts w:cstheme="minorHAnsi"/>
                <w:szCs w:val="24"/>
                <w:lang w:val="es-ES_tradnl"/>
              </w:rPr>
            </w:pPr>
            <w:r w:rsidRPr="006F0D01">
              <w:rPr>
                <w:rFonts w:cstheme="minorHAnsi"/>
                <w:b/>
                <w:bCs/>
                <w:szCs w:val="24"/>
                <w:lang w:val="es-ES_tradnl"/>
              </w:rPr>
              <w:t>3</w:t>
            </w:r>
            <w:r w:rsidR="00663583" w:rsidRPr="006F0D01">
              <w:rPr>
                <w:rFonts w:cstheme="minorHAnsi"/>
                <w:b/>
                <w:bCs/>
                <w:szCs w:val="24"/>
                <w:lang w:val="es-ES_tradnl"/>
              </w:rPr>
              <w:t xml:space="preserve"> </w:t>
            </w:r>
            <w:r w:rsidR="00547AFB" w:rsidRPr="006F0D01">
              <w:rPr>
                <w:rFonts w:cstheme="minorHAnsi"/>
                <w:b/>
                <w:bCs/>
                <w:szCs w:val="24"/>
                <w:lang w:val="es-ES_tradnl"/>
              </w:rPr>
              <w:t xml:space="preserve">de marzo de </w:t>
            </w:r>
            <w:r w:rsidR="00663583" w:rsidRPr="006F0D01">
              <w:rPr>
                <w:rFonts w:cstheme="minorHAnsi"/>
                <w:b/>
                <w:bCs/>
                <w:szCs w:val="24"/>
                <w:lang w:val="es-ES_tradnl"/>
              </w:rPr>
              <w:t>2022</w:t>
            </w:r>
          </w:p>
        </w:tc>
      </w:tr>
      <w:tr w:rsidR="00C64B30" w:rsidRPr="006F0D01" w14:paraId="1D6C1835" w14:textId="77777777" w:rsidTr="00A96DFE">
        <w:trPr>
          <w:cantSplit/>
          <w:trHeight w:val="23"/>
        </w:trPr>
        <w:tc>
          <w:tcPr>
            <w:tcW w:w="6379" w:type="dxa"/>
            <w:gridSpan w:val="2"/>
            <w:shd w:val="clear" w:color="auto" w:fill="auto"/>
          </w:tcPr>
          <w:p w14:paraId="6E1A8021" w14:textId="77777777" w:rsidR="00C64B30" w:rsidRPr="006F0D01" w:rsidRDefault="00C64B30" w:rsidP="00C64B30">
            <w:pPr>
              <w:tabs>
                <w:tab w:val="left" w:pos="851"/>
              </w:tabs>
              <w:spacing w:before="0" w:line="240" w:lineRule="atLeast"/>
              <w:rPr>
                <w:rFonts w:cstheme="minorHAnsi"/>
                <w:szCs w:val="24"/>
                <w:lang w:val="es-ES_tradnl"/>
              </w:rPr>
            </w:pPr>
            <w:bookmarkStart w:id="8" w:name="dbluepink" w:colFirst="0" w:colLast="0"/>
            <w:bookmarkStart w:id="9" w:name="dorlang" w:colFirst="1" w:colLast="1"/>
            <w:bookmarkEnd w:id="6"/>
            <w:bookmarkEnd w:id="7"/>
          </w:p>
        </w:tc>
        <w:tc>
          <w:tcPr>
            <w:tcW w:w="3260" w:type="dxa"/>
            <w:gridSpan w:val="2"/>
          </w:tcPr>
          <w:p w14:paraId="09B26F7F" w14:textId="047331A1" w:rsidR="00C64B30" w:rsidRPr="006F0D01" w:rsidRDefault="00C64B30" w:rsidP="00547AFB">
            <w:pPr>
              <w:tabs>
                <w:tab w:val="left" w:pos="993"/>
              </w:tabs>
              <w:spacing w:before="0"/>
              <w:rPr>
                <w:rFonts w:cstheme="minorHAnsi"/>
                <w:b/>
                <w:szCs w:val="24"/>
                <w:lang w:val="es-ES_tradnl"/>
              </w:rPr>
            </w:pPr>
            <w:r w:rsidRPr="006F0D01">
              <w:rPr>
                <w:rFonts w:cstheme="minorHAnsi"/>
                <w:b/>
                <w:bCs/>
                <w:szCs w:val="24"/>
                <w:lang w:val="es-ES_tradnl"/>
              </w:rPr>
              <w:t xml:space="preserve">Original: </w:t>
            </w:r>
            <w:r w:rsidR="00547AFB" w:rsidRPr="006F0D01">
              <w:rPr>
                <w:rFonts w:cstheme="minorHAnsi"/>
                <w:b/>
                <w:bCs/>
                <w:szCs w:val="24"/>
                <w:lang w:val="es-ES_tradnl"/>
              </w:rPr>
              <w:t>inglés</w:t>
            </w:r>
          </w:p>
        </w:tc>
      </w:tr>
      <w:tr w:rsidR="00C64B30" w:rsidRPr="00314DC6" w14:paraId="51CDE126" w14:textId="77777777" w:rsidTr="00A96DFE">
        <w:trPr>
          <w:cantSplit/>
          <w:trHeight w:val="23"/>
        </w:trPr>
        <w:tc>
          <w:tcPr>
            <w:tcW w:w="9639" w:type="dxa"/>
            <w:gridSpan w:val="4"/>
            <w:shd w:val="clear" w:color="auto" w:fill="auto"/>
          </w:tcPr>
          <w:p w14:paraId="56E95E27" w14:textId="68CB9DEC" w:rsidR="00C64B30" w:rsidRPr="006F0D01" w:rsidRDefault="00547AFB" w:rsidP="00547AFB">
            <w:pPr>
              <w:pStyle w:val="Source"/>
              <w:spacing w:before="240" w:after="240"/>
              <w:rPr>
                <w:rFonts w:cstheme="minorHAnsi"/>
                <w:lang w:val="es-ES_tradnl"/>
              </w:rPr>
            </w:pPr>
            <w:r w:rsidRPr="006F0D01">
              <w:rPr>
                <w:rFonts w:cstheme="minorHAnsi"/>
                <w:lang w:val="es-ES_tradnl"/>
              </w:rPr>
              <w:t>Directora de la Oficina de Desarrollo de las Telecomunicaciones</w:t>
            </w:r>
          </w:p>
        </w:tc>
      </w:tr>
      <w:tr w:rsidR="00C64B30" w:rsidRPr="00314DC6" w14:paraId="49F9171B" w14:textId="77777777" w:rsidTr="00A96DFE">
        <w:trPr>
          <w:cantSplit/>
          <w:trHeight w:val="23"/>
        </w:trPr>
        <w:tc>
          <w:tcPr>
            <w:tcW w:w="9639" w:type="dxa"/>
            <w:gridSpan w:val="4"/>
            <w:shd w:val="clear" w:color="auto" w:fill="auto"/>
          </w:tcPr>
          <w:p w14:paraId="6243469E" w14:textId="1F9E6C47" w:rsidR="00C64B30" w:rsidRPr="006F0D01" w:rsidRDefault="00AD08B0" w:rsidP="00EA2D9F">
            <w:pPr>
              <w:pStyle w:val="Title1"/>
              <w:spacing w:before="120" w:after="120"/>
              <w:rPr>
                <w:rFonts w:cstheme="minorHAnsi"/>
                <w:caps w:val="0"/>
                <w:lang w:val="es-ES_tradnl"/>
              </w:rPr>
            </w:pPr>
            <w:r w:rsidRPr="006F0D01">
              <w:rPr>
                <w:rFonts w:cstheme="minorHAnsi"/>
                <w:caps w:val="0"/>
                <w:szCs w:val="28"/>
                <w:lang w:val="es-ES_tradnl"/>
              </w:rPr>
              <w:t>Bas</w:t>
            </w:r>
            <w:r w:rsidR="00EA2D9F" w:rsidRPr="006F0D01">
              <w:rPr>
                <w:rFonts w:cstheme="minorHAnsi"/>
                <w:caps w:val="0"/>
                <w:szCs w:val="28"/>
                <w:lang w:val="es-ES_tradnl"/>
              </w:rPr>
              <w:t>e para la asignación de doc</w:t>
            </w:r>
            <w:r w:rsidR="000C3213" w:rsidRPr="006F0D01">
              <w:rPr>
                <w:rFonts w:cstheme="minorHAnsi"/>
                <w:caps w:val="0"/>
                <w:szCs w:val="28"/>
                <w:lang w:val="es-ES_tradnl"/>
              </w:rPr>
              <w:t>umentos y las cargas de trabajo</w:t>
            </w:r>
            <w:r w:rsidR="000C3213" w:rsidRPr="006F0D01">
              <w:rPr>
                <w:rFonts w:cstheme="minorHAnsi"/>
                <w:caps w:val="0"/>
                <w:szCs w:val="28"/>
                <w:lang w:val="es-ES_tradnl"/>
              </w:rPr>
              <w:br/>
            </w:r>
            <w:r w:rsidR="00EA2D9F" w:rsidRPr="006F0D01">
              <w:rPr>
                <w:rFonts w:cstheme="minorHAnsi"/>
                <w:caps w:val="0"/>
                <w:szCs w:val="28"/>
                <w:lang w:val="es-ES_tradnl"/>
              </w:rPr>
              <w:t>de las Comisiones en la CMDT</w:t>
            </w:r>
            <w:r w:rsidR="009B51E3" w:rsidRPr="006F0D01">
              <w:rPr>
                <w:rFonts w:cstheme="minorHAnsi"/>
                <w:caps w:val="0"/>
                <w:szCs w:val="28"/>
                <w:lang w:val="es-ES_tradnl"/>
              </w:rPr>
              <w:t>-21</w:t>
            </w:r>
          </w:p>
        </w:tc>
      </w:tr>
      <w:tr w:rsidR="00C64B30" w:rsidRPr="00314DC6"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F0D01" w:rsidRDefault="00C64B30" w:rsidP="00C64B30">
            <w:pPr>
              <w:pStyle w:val="Title1"/>
              <w:rPr>
                <w:rFonts w:cstheme="minorHAnsi"/>
                <w:szCs w:val="28"/>
                <w:lang w:val="es-ES_tradnl"/>
              </w:rPr>
            </w:pPr>
          </w:p>
        </w:tc>
      </w:tr>
      <w:tr w:rsidR="00C64B30" w:rsidRPr="006F0D01"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29A16785" w14:textId="2C794F31" w:rsidR="00ED2DA4" w:rsidRPr="006F0D01" w:rsidRDefault="00547AFB" w:rsidP="007065C2">
            <w:pPr>
              <w:pStyle w:val="Title1"/>
              <w:tabs>
                <w:tab w:val="clear" w:pos="1134"/>
                <w:tab w:val="clear" w:pos="1871"/>
                <w:tab w:val="left" w:pos="1985"/>
              </w:tabs>
              <w:spacing w:before="120" w:after="120"/>
              <w:jc w:val="left"/>
              <w:rPr>
                <w:rFonts w:cs="Times New Roman Bold"/>
                <w:caps w:val="0"/>
                <w:sz w:val="24"/>
                <w:szCs w:val="24"/>
                <w:lang w:val="es-ES_tradnl"/>
              </w:rPr>
            </w:pPr>
            <w:r w:rsidRPr="006F0D01">
              <w:rPr>
                <w:rFonts w:cs="Times New Roman Bold"/>
                <w:b/>
                <w:caps w:val="0"/>
                <w:sz w:val="24"/>
                <w:lang w:val="es-ES_tradnl"/>
              </w:rPr>
              <w:t>Área prioritaria</w:t>
            </w:r>
            <w:r w:rsidR="00ED2DA4" w:rsidRPr="006F0D01">
              <w:rPr>
                <w:rFonts w:cs="Times New Roman Bold"/>
                <w:b/>
                <w:caps w:val="0"/>
                <w:sz w:val="24"/>
                <w:lang w:val="es-ES_tradnl"/>
              </w:rPr>
              <w:t>:</w:t>
            </w:r>
            <w:r w:rsidR="00ED2DA4" w:rsidRPr="006F0D01">
              <w:rPr>
                <w:rFonts w:cs="Times New Roman Bold"/>
                <w:caps w:val="0"/>
                <w:sz w:val="24"/>
                <w:szCs w:val="24"/>
                <w:lang w:val="es-ES_tradnl"/>
              </w:rPr>
              <w:tab/>
            </w:r>
            <w:r w:rsidR="009B51E3" w:rsidRPr="006F0D01">
              <w:rPr>
                <w:rFonts w:cs="Times New Roman Bold"/>
                <w:caps w:val="0"/>
                <w:sz w:val="24"/>
                <w:szCs w:val="24"/>
                <w:lang w:val="es-ES_tradnl"/>
              </w:rPr>
              <w:t>N</w:t>
            </w:r>
            <w:r w:rsidR="00EA2D9F" w:rsidRPr="006F0D01">
              <w:rPr>
                <w:rFonts w:cs="Times New Roman Bold"/>
                <w:caps w:val="0"/>
                <w:sz w:val="24"/>
                <w:szCs w:val="24"/>
                <w:lang w:val="es-ES_tradnl"/>
              </w:rPr>
              <w:t>o se aplica</w:t>
            </w:r>
          </w:p>
          <w:p w14:paraId="085FB24C" w14:textId="210BA880" w:rsidR="00ED2DA4" w:rsidRPr="006F0D01" w:rsidRDefault="00547AFB" w:rsidP="000C3213">
            <w:pPr>
              <w:pStyle w:val="Headingb"/>
              <w:rPr>
                <w:lang w:val="es-ES_tradnl"/>
              </w:rPr>
            </w:pPr>
            <w:r w:rsidRPr="006F0D01">
              <w:rPr>
                <w:lang w:val="es-ES_tradnl"/>
              </w:rPr>
              <w:t>Resumen</w:t>
            </w:r>
            <w:r w:rsidR="00ED2DA4" w:rsidRPr="006F0D01">
              <w:rPr>
                <w:lang w:val="es-ES_tradnl"/>
              </w:rPr>
              <w:t>:</w:t>
            </w:r>
          </w:p>
          <w:p w14:paraId="25FDA09A" w14:textId="3E3CD6E0" w:rsidR="00663583" w:rsidRPr="006F0D01" w:rsidRDefault="00547AFB" w:rsidP="007065C2">
            <w:pPr>
              <w:spacing w:after="120"/>
              <w:rPr>
                <w:szCs w:val="24"/>
                <w:lang w:val="es-ES_tradnl"/>
              </w:rPr>
            </w:pPr>
            <w:r w:rsidRPr="006F0D01">
              <w:rPr>
                <w:szCs w:val="24"/>
                <w:lang w:val="es-ES_tradnl"/>
              </w:rPr>
              <w:t xml:space="preserve">En este documento se presenta para su examen una propuesta de base para la asignación de documentos en la CMDT-21, de acuerdo con la propuesta de estructura para la CMDT-21 </w:t>
            </w:r>
            <w:r w:rsidR="00EA2D9F" w:rsidRPr="006F0D01">
              <w:rPr>
                <w:szCs w:val="24"/>
                <w:lang w:val="es-ES_tradnl"/>
              </w:rPr>
              <w:t>aprobada por</w:t>
            </w:r>
            <w:r w:rsidRPr="006F0D01">
              <w:rPr>
                <w:szCs w:val="24"/>
                <w:lang w:val="es-ES_tradnl"/>
              </w:rPr>
              <w:t xml:space="preserve"> el GADT-21</w:t>
            </w:r>
            <w:r w:rsidR="009B51E3" w:rsidRPr="006F0D01">
              <w:rPr>
                <w:szCs w:val="24"/>
                <w:lang w:val="es-ES_tradnl"/>
              </w:rPr>
              <w:t>.</w:t>
            </w:r>
          </w:p>
          <w:p w14:paraId="1067DC68" w14:textId="58C893CB" w:rsidR="00ED2DA4" w:rsidRPr="006F0D01" w:rsidRDefault="00547AFB" w:rsidP="000C3213">
            <w:pPr>
              <w:pStyle w:val="Headingb"/>
              <w:rPr>
                <w:lang w:val="es-ES_tradnl"/>
              </w:rPr>
            </w:pPr>
            <w:r w:rsidRPr="006F0D01">
              <w:rPr>
                <w:lang w:val="es-ES_tradnl"/>
              </w:rPr>
              <w:t>R</w:t>
            </w:r>
            <w:r w:rsidR="00ED2DA4" w:rsidRPr="006F0D01">
              <w:rPr>
                <w:lang w:val="es-ES_tradnl"/>
              </w:rPr>
              <w:t>esult</w:t>
            </w:r>
            <w:r w:rsidRPr="006F0D01">
              <w:rPr>
                <w:lang w:val="es-ES_tradnl"/>
              </w:rPr>
              <w:t>ado</w:t>
            </w:r>
            <w:r w:rsidR="00ED2DA4" w:rsidRPr="006F0D01">
              <w:rPr>
                <w:lang w:val="es-ES_tradnl"/>
              </w:rPr>
              <w:t>s</w:t>
            </w:r>
            <w:r w:rsidRPr="006F0D01">
              <w:rPr>
                <w:lang w:val="es-ES_tradnl"/>
              </w:rPr>
              <w:t xml:space="preserve"> esperados</w:t>
            </w:r>
            <w:r w:rsidR="00ED2DA4" w:rsidRPr="006F0D01">
              <w:rPr>
                <w:lang w:val="es-ES_tradnl"/>
              </w:rPr>
              <w:t>:</w:t>
            </w:r>
          </w:p>
          <w:p w14:paraId="7B7F2F8F" w14:textId="70675E79" w:rsidR="00ED2DA4" w:rsidRPr="006F0D01" w:rsidRDefault="00547AFB" w:rsidP="007065C2">
            <w:pPr>
              <w:spacing w:after="120"/>
              <w:rPr>
                <w:szCs w:val="24"/>
                <w:lang w:val="es-ES_tradnl"/>
              </w:rPr>
            </w:pPr>
            <w:r w:rsidRPr="006F0D01">
              <w:rPr>
                <w:szCs w:val="24"/>
                <w:lang w:val="es-ES_tradnl"/>
              </w:rPr>
              <w:t>Se invita a la RIR-</w:t>
            </w:r>
            <w:r w:rsidR="00663583" w:rsidRPr="006F0D01">
              <w:rPr>
                <w:szCs w:val="24"/>
                <w:lang w:val="es-ES_tradnl"/>
              </w:rPr>
              <w:t xml:space="preserve">3 </w:t>
            </w:r>
            <w:r w:rsidRPr="006F0D01">
              <w:rPr>
                <w:szCs w:val="24"/>
                <w:lang w:val="es-ES_tradnl"/>
              </w:rPr>
              <w:t>a tomar nota de este documento</w:t>
            </w:r>
          </w:p>
          <w:p w14:paraId="5950807A" w14:textId="6708F60A" w:rsidR="00ED2DA4" w:rsidRPr="006F0D01" w:rsidRDefault="00547AFB" w:rsidP="000C3213">
            <w:pPr>
              <w:pStyle w:val="Headingb"/>
              <w:rPr>
                <w:lang w:val="es-ES_tradnl"/>
              </w:rPr>
            </w:pPr>
            <w:r w:rsidRPr="006F0D01">
              <w:rPr>
                <w:lang w:val="es-ES_tradnl"/>
              </w:rPr>
              <w:t>Referencia</w:t>
            </w:r>
            <w:r w:rsidR="00ED2DA4" w:rsidRPr="006F0D01">
              <w:rPr>
                <w:lang w:val="es-ES_tradnl"/>
              </w:rPr>
              <w:t>s:</w:t>
            </w:r>
          </w:p>
          <w:p w14:paraId="3D799BA1" w14:textId="7661D4F5" w:rsidR="00C64B30" w:rsidRPr="006F0D01" w:rsidRDefault="00314DC6" w:rsidP="007065C2">
            <w:pPr>
              <w:spacing w:after="120"/>
              <w:rPr>
                <w:highlight w:val="yellow"/>
                <w:lang w:val="es-ES_tradnl"/>
              </w:rPr>
            </w:pPr>
            <w:hyperlink r:id="rId14" w:history="1">
              <w:r w:rsidR="00BF5755" w:rsidRPr="006F0D01">
                <w:rPr>
                  <w:rStyle w:val="Hyperlink"/>
                  <w:lang w:val="es-ES_tradnl"/>
                </w:rPr>
                <w:t>TDAG-21/17</w:t>
              </w:r>
            </w:hyperlink>
          </w:p>
        </w:tc>
      </w:tr>
      <w:bookmarkEnd w:id="8"/>
      <w:bookmarkEnd w:id="9"/>
    </w:tbl>
    <w:p w14:paraId="50B50B53" w14:textId="77777777" w:rsidR="00D83BF5" w:rsidRPr="006F0D01" w:rsidRDefault="00D83BF5" w:rsidP="00674952">
      <w:pPr>
        <w:spacing w:after="120"/>
        <w:rPr>
          <w:lang w:val="es-ES_tradnl"/>
        </w:rPr>
      </w:pPr>
    </w:p>
    <w:p w14:paraId="00F1ACC0" w14:textId="52FC2124" w:rsidR="00663583" w:rsidRPr="006F0D01" w:rsidRDefault="00EA2D9F" w:rsidP="00663583">
      <w:pPr>
        <w:spacing w:after="120"/>
        <w:rPr>
          <w:bCs/>
          <w:szCs w:val="24"/>
          <w:lang w:val="es-ES_tradnl"/>
        </w:rPr>
      </w:pPr>
      <w:r w:rsidRPr="006F0D01">
        <w:rPr>
          <w:bCs/>
          <w:szCs w:val="24"/>
          <w:lang w:val="es-ES_tradnl"/>
        </w:rPr>
        <w:t>A fin de garantizar el máximo equilibrio posible en la carga de trabajo de las Comisiones sustantivas de la CMDT</w:t>
      </w:r>
      <w:r w:rsidR="00CF0E69" w:rsidRPr="006F0D01">
        <w:rPr>
          <w:bCs/>
          <w:szCs w:val="24"/>
          <w:lang w:val="es-ES_tradnl"/>
        </w:rPr>
        <w:t xml:space="preserve">-21, </w:t>
      </w:r>
      <w:r w:rsidRPr="006F0D01">
        <w:rPr>
          <w:bCs/>
          <w:szCs w:val="24"/>
          <w:lang w:val="es-ES_tradnl"/>
        </w:rPr>
        <w:t xml:space="preserve">se propone la división siguiente </w:t>
      </w:r>
      <w:r w:rsidR="00C438F4" w:rsidRPr="006F0D01">
        <w:rPr>
          <w:bCs/>
          <w:szCs w:val="24"/>
          <w:lang w:val="es-ES_tradnl"/>
        </w:rPr>
        <w:t xml:space="preserve">con el objetivo de </w:t>
      </w:r>
      <w:r w:rsidRPr="006F0D01">
        <w:rPr>
          <w:bCs/>
          <w:szCs w:val="24"/>
          <w:lang w:val="es-ES_tradnl"/>
        </w:rPr>
        <w:t xml:space="preserve">suscitar un debate entre los miembros </w:t>
      </w:r>
      <w:r w:rsidR="00C438F4" w:rsidRPr="006F0D01">
        <w:rPr>
          <w:bCs/>
          <w:szCs w:val="24"/>
          <w:lang w:val="es-ES_tradnl"/>
        </w:rPr>
        <w:t>participantes</w:t>
      </w:r>
      <w:r w:rsidRPr="006F0D01">
        <w:rPr>
          <w:bCs/>
          <w:szCs w:val="24"/>
          <w:lang w:val="es-ES_tradnl"/>
        </w:rPr>
        <w:t xml:space="preserve"> en la RIR-3 que pueda servir de orientación </w:t>
      </w:r>
      <w:r w:rsidR="00C438F4" w:rsidRPr="006F0D01">
        <w:rPr>
          <w:bCs/>
          <w:szCs w:val="24"/>
          <w:lang w:val="es-ES_tradnl"/>
        </w:rPr>
        <w:t>a</w:t>
      </w:r>
      <w:r w:rsidR="006F0D01" w:rsidRPr="006F0D01">
        <w:rPr>
          <w:bCs/>
          <w:szCs w:val="24"/>
          <w:lang w:val="es-ES_tradnl"/>
        </w:rPr>
        <w:t xml:space="preserve"> la </w:t>
      </w:r>
      <w:proofErr w:type="gramStart"/>
      <w:r w:rsidR="006F0D01" w:rsidRPr="006F0D01">
        <w:rPr>
          <w:bCs/>
          <w:szCs w:val="24"/>
          <w:lang w:val="es-ES_tradnl"/>
        </w:rPr>
        <w:t>Directora</w:t>
      </w:r>
      <w:proofErr w:type="gramEnd"/>
      <w:r w:rsidR="006F0D01" w:rsidRPr="006F0D01">
        <w:rPr>
          <w:bCs/>
          <w:szCs w:val="24"/>
          <w:lang w:val="es-ES_tradnl"/>
        </w:rPr>
        <w:t xml:space="preserve"> de la </w:t>
      </w:r>
      <w:r w:rsidRPr="006F0D01">
        <w:rPr>
          <w:bCs/>
          <w:szCs w:val="24"/>
          <w:lang w:val="es-ES_tradnl"/>
        </w:rPr>
        <w:t xml:space="preserve">BDT </w:t>
      </w:r>
      <w:r w:rsidR="00C438F4" w:rsidRPr="006F0D01">
        <w:rPr>
          <w:bCs/>
          <w:szCs w:val="24"/>
          <w:lang w:val="es-ES_tradnl"/>
        </w:rPr>
        <w:t xml:space="preserve">para las disposiciones </w:t>
      </w:r>
      <w:r w:rsidRPr="006F0D01">
        <w:rPr>
          <w:bCs/>
          <w:szCs w:val="24"/>
          <w:lang w:val="es-ES_tradnl"/>
        </w:rPr>
        <w:t>relativas a la Conferencia</w:t>
      </w:r>
      <w:r w:rsidR="00CF0E69" w:rsidRPr="006F0D01">
        <w:rPr>
          <w:bCs/>
          <w:szCs w:val="24"/>
          <w:lang w:val="es-ES_tradnl"/>
        </w:rPr>
        <w:t>.</w:t>
      </w:r>
      <w:r w:rsidRPr="006F0D01">
        <w:rPr>
          <w:bCs/>
          <w:szCs w:val="24"/>
          <w:lang w:val="es-ES_tradnl"/>
        </w:rPr>
        <w:t xml:space="preserve"> La asignación propuesta se basa en el mandato de cada Comisión y en el equilibrio de la carga de trabajo, con miras a evitar los cuellos de botella en el nivel de las Comisiones y así garantizar la correcta finalización de los trabajos de la Conferencia</w:t>
      </w:r>
      <w:r w:rsidR="0092499A" w:rsidRPr="006F0D01">
        <w:rPr>
          <w:bCs/>
          <w:szCs w:val="24"/>
          <w:lang w:val="es-ES_tradnl"/>
        </w:rPr>
        <w:t>.</w:t>
      </w:r>
    </w:p>
    <w:p w14:paraId="6CF62071" w14:textId="43EC7239" w:rsidR="00CF0E69" w:rsidRPr="006F0D01" w:rsidRDefault="00633664" w:rsidP="00663583">
      <w:pPr>
        <w:spacing w:after="120"/>
        <w:rPr>
          <w:bCs/>
          <w:szCs w:val="24"/>
          <w:lang w:val="es-ES_tradnl"/>
        </w:rPr>
      </w:pPr>
      <w:r w:rsidRPr="006F0D01">
        <w:rPr>
          <w:bCs/>
          <w:szCs w:val="24"/>
          <w:lang w:val="es-ES_tradnl"/>
        </w:rPr>
        <w:t xml:space="preserve">Para facilitar la referencia, en el documento </w:t>
      </w:r>
      <w:hyperlink r:id="rId15" w:history="1">
        <w:r w:rsidRPr="006F0D01">
          <w:rPr>
            <w:rStyle w:val="Hyperlink"/>
            <w:bCs/>
            <w:szCs w:val="24"/>
            <w:lang w:val="es-ES_tradnl"/>
          </w:rPr>
          <w:t>TDAG-21/17</w:t>
        </w:r>
      </w:hyperlink>
      <w:r w:rsidRPr="006F0D01">
        <w:rPr>
          <w:bCs/>
          <w:szCs w:val="24"/>
          <w:lang w:val="es-ES_tradnl"/>
        </w:rPr>
        <w:t xml:space="preserve"> se recoge el proyecto de estructura de la Conferencia que se aprobó en la sesión del GADT de </w:t>
      </w:r>
      <w:r w:rsidR="00646859" w:rsidRPr="006F0D01">
        <w:rPr>
          <w:bCs/>
          <w:szCs w:val="24"/>
          <w:lang w:val="es-ES_tradnl"/>
        </w:rPr>
        <w:t xml:space="preserve">24-28 </w:t>
      </w:r>
      <w:r w:rsidRPr="006F0D01">
        <w:rPr>
          <w:bCs/>
          <w:szCs w:val="24"/>
          <w:lang w:val="es-ES_tradnl"/>
        </w:rPr>
        <w:t xml:space="preserve">de mayo de </w:t>
      </w:r>
      <w:r w:rsidR="00646859" w:rsidRPr="006F0D01">
        <w:rPr>
          <w:bCs/>
          <w:szCs w:val="24"/>
          <w:lang w:val="es-ES_tradnl"/>
        </w:rPr>
        <w:t>2021.</w:t>
      </w:r>
    </w:p>
    <w:p w14:paraId="78DCF01C" w14:textId="4EF468F8" w:rsidR="00646859" w:rsidRPr="006F0D01" w:rsidRDefault="00646859">
      <w:pPr>
        <w:tabs>
          <w:tab w:val="clear" w:pos="1134"/>
          <w:tab w:val="clear" w:pos="1871"/>
          <w:tab w:val="clear" w:pos="2268"/>
        </w:tabs>
        <w:overflowPunct/>
        <w:autoSpaceDE/>
        <w:autoSpaceDN/>
        <w:adjustRightInd/>
        <w:spacing w:before="0"/>
        <w:textAlignment w:val="auto"/>
        <w:rPr>
          <w:bCs/>
          <w:szCs w:val="24"/>
          <w:lang w:val="es-ES_tradnl"/>
        </w:rPr>
      </w:pPr>
      <w:r w:rsidRPr="006F0D01">
        <w:rPr>
          <w:bCs/>
          <w:szCs w:val="24"/>
          <w:lang w:val="es-ES_tradnl"/>
        </w:rPr>
        <w:br w:type="page"/>
      </w:r>
    </w:p>
    <w:tbl>
      <w:tblPr>
        <w:tblStyle w:val="TableGrid"/>
        <w:tblW w:w="9730" w:type="dxa"/>
        <w:tblLook w:val="04A0" w:firstRow="1" w:lastRow="0" w:firstColumn="1" w:lastColumn="0" w:noHBand="0" w:noVBand="1"/>
      </w:tblPr>
      <w:tblGrid>
        <w:gridCol w:w="9730"/>
      </w:tblGrid>
      <w:tr w:rsidR="00646859" w:rsidRPr="006F0D01" w14:paraId="71F64F22" w14:textId="77777777" w:rsidTr="00394831">
        <w:trPr>
          <w:trHeight w:val="579"/>
        </w:trPr>
        <w:tc>
          <w:tcPr>
            <w:tcW w:w="9730" w:type="dxa"/>
            <w:shd w:val="clear" w:color="auto" w:fill="B8CCE4" w:themeFill="accent1" w:themeFillTint="66"/>
          </w:tcPr>
          <w:p w14:paraId="37311B6F" w14:textId="771570D9" w:rsidR="00646859" w:rsidRPr="006F0D01" w:rsidRDefault="00633664" w:rsidP="00633664">
            <w:pPr>
              <w:spacing w:after="120"/>
              <w:rPr>
                <w:bCs/>
                <w:szCs w:val="24"/>
                <w:lang w:val="es-ES_tradnl"/>
              </w:rPr>
            </w:pPr>
            <w:r w:rsidRPr="006F0D01">
              <w:rPr>
                <w:b/>
                <w:bCs/>
                <w:sz w:val="28"/>
                <w:szCs w:val="28"/>
                <w:lang w:val="es-ES_tradnl"/>
              </w:rPr>
              <w:lastRenderedPageBreak/>
              <w:t>Comisión</w:t>
            </w:r>
            <w:r w:rsidR="00646859" w:rsidRPr="006F0D01">
              <w:rPr>
                <w:b/>
                <w:bCs/>
                <w:sz w:val="28"/>
                <w:szCs w:val="28"/>
                <w:lang w:val="es-ES_tradnl"/>
              </w:rPr>
              <w:t xml:space="preserve"> 3: Objetiv</w:t>
            </w:r>
            <w:r w:rsidRPr="006F0D01">
              <w:rPr>
                <w:b/>
                <w:bCs/>
                <w:sz w:val="28"/>
                <w:szCs w:val="28"/>
                <w:lang w:val="es-ES_tradnl"/>
              </w:rPr>
              <w:t>o</w:t>
            </w:r>
            <w:r w:rsidR="00646859" w:rsidRPr="006F0D01">
              <w:rPr>
                <w:b/>
                <w:bCs/>
                <w:sz w:val="28"/>
                <w:szCs w:val="28"/>
                <w:lang w:val="es-ES_tradnl"/>
              </w:rPr>
              <w:t>s</w:t>
            </w:r>
          </w:p>
        </w:tc>
      </w:tr>
      <w:tr w:rsidR="009C6377" w:rsidRPr="00314DC6" w14:paraId="725AB847" w14:textId="77777777" w:rsidTr="00394831">
        <w:trPr>
          <w:trHeight w:val="1859"/>
        </w:trPr>
        <w:tc>
          <w:tcPr>
            <w:tcW w:w="9730" w:type="dxa"/>
            <w:tcBorders>
              <w:bottom w:val="single" w:sz="4" w:space="0" w:color="auto"/>
            </w:tcBorders>
          </w:tcPr>
          <w:p w14:paraId="0CC4BB86" w14:textId="13D3636F" w:rsidR="005D6D03" w:rsidRPr="006F0D01" w:rsidRDefault="00633664" w:rsidP="00B8505E">
            <w:pPr>
              <w:rPr>
                <w:rFonts w:eastAsia="SimSun"/>
                <w:lang w:val="es-ES_tradnl"/>
              </w:rPr>
            </w:pPr>
            <w:r w:rsidRPr="006F0D01">
              <w:rPr>
                <w:b/>
                <w:bCs/>
                <w:lang w:val="es-ES_tradnl"/>
              </w:rPr>
              <w:t>Mandato</w:t>
            </w:r>
            <w:r w:rsidRPr="006F0D01">
              <w:rPr>
                <w:lang w:val="es-ES_tradnl"/>
              </w:rPr>
              <w:t xml:space="preserve">: </w:t>
            </w:r>
            <w:r w:rsidRPr="006F0D01">
              <w:rPr>
                <w:rFonts w:eastAsia="SimSun"/>
                <w:lang w:val="es-ES_tradnl"/>
              </w:rPr>
              <w:t>Examinar y aprobar el orden del día y formular propuestas para la organización de los trabajos; examinar y aprobar los productos y resultados para los Objetivos; examinar y acordar las Cuestiones de las Comisiones de Estudio relacionadas y las Iniciativas Regionales conexas, y establecer directrices apropiadas para su puesta en práctica; examinar y acordar las resoluciones correspondientes; y garantizar que el producto se ajuste a un enfoque de gestión basada en los resultados con el fin de mejorar la eficacia y responsabilidad en la gestión.</w:t>
            </w:r>
          </w:p>
        </w:tc>
      </w:tr>
      <w:tr w:rsidR="00646859" w:rsidRPr="00314DC6" w14:paraId="609D7F21" w14:textId="77777777" w:rsidTr="00394831">
        <w:trPr>
          <w:trHeight w:val="1740"/>
        </w:trPr>
        <w:tc>
          <w:tcPr>
            <w:tcW w:w="9730" w:type="dxa"/>
            <w:tcBorders>
              <w:bottom w:val="single" w:sz="4" w:space="0" w:color="auto"/>
            </w:tcBorders>
          </w:tcPr>
          <w:p w14:paraId="3948D5BF" w14:textId="27920307" w:rsidR="00377759" w:rsidRPr="006F0D01" w:rsidRDefault="00E92C84" w:rsidP="00E92C84">
            <w:pPr>
              <w:pStyle w:val="enumlev1"/>
              <w:rPr>
                <w:bCs/>
                <w:lang w:val="es-ES_tradnl"/>
              </w:rPr>
            </w:pPr>
            <w:r w:rsidRPr="006F0D01">
              <w:rPr>
                <w:lang w:val="es-ES_tradnl"/>
              </w:rPr>
              <w:t>•</w:t>
            </w:r>
            <w:r w:rsidRPr="006F0D01">
              <w:rPr>
                <w:lang w:val="es-ES_tradnl"/>
              </w:rPr>
              <w:tab/>
            </w:r>
            <w:r w:rsidR="00633664" w:rsidRPr="006F0D01">
              <w:rPr>
                <w:b/>
                <w:bCs/>
                <w:lang w:val="es-ES_tradnl"/>
              </w:rPr>
              <w:t>Mandato de todas las Cuestiones de Comisiones de Estudio</w:t>
            </w:r>
            <w:r w:rsidR="006F0D01" w:rsidRPr="006F0D01">
              <w:rPr>
                <w:b/>
                <w:bCs/>
                <w:lang w:val="es-ES_tradnl"/>
              </w:rPr>
              <w:t>.</w:t>
            </w:r>
          </w:p>
          <w:p w14:paraId="3A3CD8CE" w14:textId="1614290E" w:rsidR="00377759" w:rsidRPr="006F0D01" w:rsidRDefault="00E92C84" w:rsidP="00E92C84">
            <w:pPr>
              <w:pStyle w:val="enumlev1"/>
              <w:rPr>
                <w:bCs/>
                <w:lang w:val="es-ES_tradnl"/>
              </w:rPr>
            </w:pPr>
            <w:r w:rsidRPr="006F0D01">
              <w:rPr>
                <w:lang w:val="es-ES_tradnl"/>
              </w:rPr>
              <w:t>•</w:t>
            </w:r>
            <w:r w:rsidRPr="006F0D01">
              <w:rPr>
                <w:lang w:val="es-ES_tradnl"/>
              </w:rPr>
              <w:tab/>
            </w:r>
            <w:r w:rsidR="00633664" w:rsidRPr="006F0D01">
              <w:rPr>
                <w:b/>
                <w:bCs/>
                <w:lang w:val="es-ES_tradnl"/>
              </w:rPr>
              <w:t>Plan de Acción de la CMDT</w:t>
            </w:r>
            <w:r w:rsidR="006F0D01" w:rsidRPr="006F0D01">
              <w:rPr>
                <w:b/>
                <w:bCs/>
                <w:lang w:val="es-ES_tradnl"/>
              </w:rPr>
              <w:t>.</w:t>
            </w:r>
          </w:p>
          <w:p w14:paraId="4B561733" w14:textId="3795C93B" w:rsidR="00377759" w:rsidRPr="006F0D01" w:rsidRDefault="00E92C84" w:rsidP="00E92C84">
            <w:pPr>
              <w:pStyle w:val="enumlev1"/>
              <w:rPr>
                <w:bCs/>
                <w:lang w:val="es-ES_tradnl"/>
              </w:rPr>
            </w:pPr>
            <w:r w:rsidRPr="006F0D01">
              <w:rPr>
                <w:lang w:val="es-ES_tradnl"/>
              </w:rPr>
              <w:t>•</w:t>
            </w:r>
            <w:r w:rsidRPr="006F0D01">
              <w:rPr>
                <w:lang w:val="es-ES_tradnl"/>
              </w:rPr>
              <w:tab/>
            </w:r>
            <w:r w:rsidR="00633664" w:rsidRPr="006F0D01">
              <w:rPr>
                <w:b/>
                <w:bCs/>
                <w:lang w:val="es-ES_tradnl"/>
              </w:rPr>
              <w:t>Resolució</w:t>
            </w:r>
            <w:r w:rsidR="00377759" w:rsidRPr="006F0D01">
              <w:rPr>
                <w:b/>
                <w:bCs/>
                <w:lang w:val="es-ES_tradnl"/>
              </w:rPr>
              <w:t>n 17</w:t>
            </w:r>
            <w:r w:rsidR="00377759" w:rsidRPr="006F0D01">
              <w:rPr>
                <w:bCs/>
                <w:lang w:val="es-ES_tradnl"/>
              </w:rPr>
              <w:t xml:space="preserve"> – </w:t>
            </w:r>
            <w:bookmarkStart w:id="10" w:name="_Toc503337222"/>
            <w:bookmarkStart w:id="11" w:name="_Toc503773899"/>
            <w:bookmarkStart w:id="12" w:name="_Toc506801760"/>
            <w:r w:rsidR="00633664" w:rsidRPr="006F0D01">
              <w:rPr>
                <w:bCs/>
                <w:i/>
                <w:iCs/>
                <w:lang w:val="es-ES_tradnl"/>
              </w:rPr>
              <w:t xml:space="preserve">Ejecución en los planos nacional, regional, interregional y mundial de las Iniciativas Regionales aprobadas por las regiones </w:t>
            </w:r>
            <w:bookmarkEnd w:id="10"/>
            <w:bookmarkEnd w:id="11"/>
            <w:r w:rsidR="00633664" w:rsidRPr="006F0D01">
              <w:rPr>
                <w:bCs/>
                <w:i/>
                <w:iCs/>
                <w:lang w:val="es-ES_tradnl"/>
              </w:rPr>
              <w:t>y colaboración al respecto</w:t>
            </w:r>
            <w:bookmarkEnd w:id="12"/>
            <w:r w:rsidR="006F0D01" w:rsidRPr="006F0D01">
              <w:rPr>
                <w:bCs/>
                <w:i/>
                <w:iCs/>
                <w:lang w:val="es-ES_tradnl"/>
              </w:rPr>
              <w:t>.</w:t>
            </w:r>
          </w:p>
          <w:p w14:paraId="1146B514" w14:textId="3D00030C" w:rsidR="00AD08B0" w:rsidRPr="006F0D01" w:rsidRDefault="00E92C84" w:rsidP="00E92C84">
            <w:pPr>
              <w:pStyle w:val="enumlev1"/>
              <w:rPr>
                <w:bCs/>
                <w:lang w:val="es-ES_tradnl"/>
              </w:rPr>
            </w:pPr>
            <w:r w:rsidRPr="006F0D01">
              <w:rPr>
                <w:lang w:val="es-ES_tradnl"/>
              </w:rPr>
              <w:t>•</w:t>
            </w:r>
            <w:r w:rsidRPr="006F0D01">
              <w:rPr>
                <w:lang w:val="es-ES_tradnl"/>
              </w:rPr>
              <w:tab/>
            </w:r>
            <w:r w:rsidR="00633664" w:rsidRPr="006F0D01">
              <w:rPr>
                <w:b/>
                <w:bCs/>
                <w:lang w:val="es-ES_tradnl"/>
              </w:rPr>
              <w:t>Otras Resoluciones y Recomendaciones</w:t>
            </w:r>
            <w:r w:rsidR="00377759" w:rsidRPr="006F0D01">
              <w:rPr>
                <w:bCs/>
                <w:lang w:val="es-ES_tradnl"/>
              </w:rPr>
              <w:t xml:space="preserve"> </w:t>
            </w:r>
            <w:r w:rsidR="00633664" w:rsidRPr="006F0D01">
              <w:rPr>
                <w:bCs/>
                <w:lang w:val="es-ES_tradnl"/>
              </w:rPr>
              <w:t xml:space="preserve">no enumeradas en la </w:t>
            </w:r>
            <w:r w:rsidR="00377759" w:rsidRPr="006F0D01">
              <w:rPr>
                <w:bCs/>
                <w:lang w:val="es-ES_tradnl"/>
              </w:rPr>
              <w:t xml:space="preserve">COM 4 </w:t>
            </w:r>
            <w:r w:rsidR="00633664" w:rsidRPr="006F0D01">
              <w:rPr>
                <w:bCs/>
                <w:lang w:val="es-ES_tradnl"/>
              </w:rPr>
              <w:t>y el GT</w:t>
            </w:r>
            <w:r w:rsidR="00377759" w:rsidRPr="006F0D01">
              <w:rPr>
                <w:bCs/>
                <w:lang w:val="es-ES_tradnl"/>
              </w:rPr>
              <w:t>-PL</w:t>
            </w:r>
            <w:r w:rsidR="006F0D01" w:rsidRPr="006F0D01">
              <w:rPr>
                <w:bCs/>
                <w:lang w:val="es-ES_tradnl"/>
              </w:rPr>
              <w:t>.</w:t>
            </w:r>
          </w:p>
        </w:tc>
      </w:tr>
      <w:tr w:rsidR="00646859" w:rsidRPr="00314DC6" w14:paraId="7A78926E" w14:textId="77777777" w:rsidTr="00394831">
        <w:trPr>
          <w:trHeight w:val="540"/>
        </w:trPr>
        <w:tc>
          <w:tcPr>
            <w:tcW w:w="9730" w:type="dxa"/>
            <w:tcBorders>
              <w:left w:val="nil"/>
              <w:right w:val="nil"/>
            </w:tcBorders>
          </w:tcPr>
          <w:p w14:paraId="1522FE0A" w14:textId="77777777" w:rsidR="00646859" w:rsidRPr="006F0D01" w:rsidRDefault="00646859" w:rsidP="007065C2">
            <w:pPr>
              <w:spacing w:after="120"/>
              <w:rPr>
                <w:bCs/>
                <w:szCs w:val="24"/>
                <w:lang w:val="es-ES_tradnl"/>
              </w:rPr>
            </w:pPr>
          </w:p>
        </w:tc>
      </w:tr>
      <w:tr w:rsidR="00646859" w:rsidRPr="00314DC6" w14:paraId="70B11EE6" w14:textId="77777777" w:rsidTr="00394831">
        <w:trPr>
          <w:trHeight w:val="579"/>
        </w:trPr>
        <w:tc>
          <w:tcPr>
            <w:tcW w:w="9730" w:type="dxa"/>
            <w:shd w:val="clear" w:color="auto" w:fill="B8CCE4" w:themeFill="accent1" w:themeFillTint="66"/>
          </w:tcPr>
          <w:p w14:paraId="7E968D21" w14:textId="37E4CB43" w:rsidR="00646859" w:rsidRPr="006F0D01" w:rsidRDefault="00633664" w:rsidP="007065C2">
            <w:pPr>
              <w:spacing w:after="120"/>
              <w:rPr>
                <w:bCs/>
                <w:szCs w:val="24"/>
                <w:lang w:val="es-ES_tradnl"/>
              </w:rPr>
            </w:pPr>
            <w:r w:rsidRPr="006F0D01">
              <w:rPr>
                <w:b/>
                <w:bCs/>
                <w:sz w:val="28"/>
                <w:szCs w:val="28"/>
                <w:lang w:val="es-ES_tradnl"/>
              </w:rPr>
              <w:t>Comisión</w:t>
            </w:r>
            <w:r w:rsidR="00646859" w:rsidRPr="006F0D01">
              <w:rPr>
                <w:b/>
                <w:bCs/>
                <w:sz w:val="28"/>
                <w:szCs w:val="28"/>
                <w:lang w:val="es-ES_tradnl"/>
              </w:rPr>
              <w:t xml:space="preserve"> 4: </w:t>
            </w:r>
            <w:r w:rsidRPr="006F0D01">
              <w:rPr>
                <w:b/>
                <w:bCs/>
                <w:i/>
                <w:iCs/>
                <w:sz w:val="28"/>
                <w:lang w:val="es-ES_tradnl"/>
              </w:rPr>
              <w:t>Métodos de trabajo del UIT-D</w:t>
            </w:r>
          </w:p>
        </w:tc>
      </w:tr>
      <w:tr w:rsidR="009C6377" w:rsidRPr="00314DC6" w14:paraId="228FC5BD" w14:textId="77777777" w:rsidTr="00394831">
        <w:trPr>
          <w:trHeight w:val="3438"/>
        </w:trPr>
        <w:tc>
          <w:tcPr>
            <w:tcW w:w="9730" w:type="dxa"/>
            <w:tcBorders>
              <w:bottom w:val="single" w:sz="4" w:space="0" w:color="auto"/>
            </w:tcBorders>
          </w:tcPr>
          <w:p w14:paraId="6BD341CA" w14:textId="5CC074AF" w:rsidR="00CA0136" w:rsidRPr="006F0D01" w:rsidRDefault="00633664" w:rsidP="00B8505E">
            <w:pPr>
              <w:rPr>
                <w:lang w:val="es-ES_tradnl"/>
              </w:rPr>
            </w:pPr>
            <w:r w:rsidRPr="006F0D01">
              <w:rPr>
                <w:rFonts w:eastAsia="SimHei"/>
                <w:b/>
                <w:bCs/>
                <w:lang w:val="es-ES_tradnl"/>
              </w:rPr>
              <w:t>Mandato</w:t>
            </w:r>
            <w:r w:rsidRPr="006F0D01">
              <w:rPr>
                <w:rFonts w:eastAsia="SimHei"/>
                <w:lang w:val="es-ES_tradnl"/>
              </w:rPr>
              <w:t xml:space="preserve">: </w:t>
            </w:r>
            <w:r w:rsidRPr="006F0D01">
              <w:rPr>
                <w:lang w:val="es-ES_tradnl"/>
              </w:rPr>
              <w:t xml:space="preserve">Examinar y aprobar </w:t>
            </w:r>
            <w:r w:rsidRPr="006F0D01">
              <w:rPr>
                <w:rFonts w:eastAsia="SimHei"/>
                <w:lang w:val="es-ES_tradnl"/>
              </w:rPr>
              <w:t>el orden del día y formular propuestas para la organización de los trabajos; examinar las propuestas y contribuciones relativas a la cooperación entre los miembros; evaluar los métodos de trabajo y el funcionamiento de las Comisiones de Estudio del UIT-D y del GADT; evaluar y definir opciones para lograr la máxima eficacia en la ejecución de los programas y aprobar cambios apropiados a los mismos, a fin de fortalecer las sinergias entre las cuestiones de las Comisiones de Estudio, los programas y las Iniciativas Regionales</w:t>
            </w:r>
            <w:r w:rsidRPr="006F0D01">
              <w:rPr>
                <w:lang w:val="es-ES_tradnl"/>
              </w:rPr>
              <w:t>; y someter a la Plenaria informes de reuniones, incluidas propuestas sobre los métodos de trabajo del UIT-D para la implementación del programa de trabajo del UIT-D, sobre la base de informes del GADT y de Comisiones de Estudio sometidos a la Conferencia y de propuestas de Estados Miembros de la UIT, Miembros de Sector del UIT-D e Instituciones Académicas</w:t>
            </w:r>
            <w:r w:rsidR="009C6377" w:rsidRPr="006F0D01">
              <w:rPr>
                <w:lang w:val="es-ES_tradnl"/>
              </w:rPr>
              <w:t>.</w:t>
            </w:r>
          </w:p>
        </w:tc>
      </w:tr>
      <w:tr w:rsidR="00646859" w:rsidRPr="00314DC6" w14:paraId="2748AD3A" w14:textId="77777777" w:rsidTr="00394831">
        <w:trPr>
          <w:trHeight w:val="4918"/>
        </w:trPr>
        <w:tc>
          <w:tcPr>
            <w:tcW w:w="9730" w:type="dxa"/>
            <w:tcBorders>
              <w:bottom w:val="single" w:sz="4" w:space="0" w:color="auto"/>
            </w:tcBorders>
          </w:tcPr>
          <w:p w14:paraId="248F0A5A" w14:textId="0865F128" w:rsidR="00377759" w:rsidRPr="006F0D01" w:rsidRDefault="00B8505E" w:rsidP="00CA0136">
            <w:pPr>
              <w:pStyle w:val="enumlev1"/>
              <w:spacing w:before="0"/>
              <w:rPr>
                <w:lang w:val="es-ES_tradnl"/>
              </w:rPr>
            </w:pPr>
            <w:r w:rsidRPr="006F0D01">
              <w:rPr>
                <w:b/>
                <w:lang w:val="es-ES_tradnl"/>
              </w:rPr>
              <w:t>•</w:t>
            </w:r>
            <w:r w:rsidRPr="006F0D01">
              <w:rPr>
                <w:b/>
                <w:lang w:val="es-ES_tradnl"/>
              </w:rPr>
              <w:tab/>
            </w:r>
            <w:r w:rsidR="00882D53" w:rsidRPr="006F0D01">
              <w:rPr>
                <w:b/>
                <w:lang w:val="es-ES_tradnl"/>
              </w:rPr>
              <w:t xml:space="preserve">Resolución </w:t>
            </w:r>
            <w:r w:rsidR="00377759" w:rsidRPr="006F0D01">
              <w:rPr>
                <w:b/>
                <w:lang w:val="es-ES_tradnl"/>
              </w:rPr>
              <w:t>1</w:t>
            </w:r>
            <w:r w:rsidR="00377759" w:rsidRPr="006F0D01">
              <w:rPr>
                <w:lang w:val="es-ES_tradnl"/>
              </w:rPr>
              <w:t xml:space="preserve"> – </w:t>
            </w:r>
            <w:bookmarkStart w:id="13" w:name="_Toc505609879"/>
            <w:bookmarkStart w:id="14" w:name="_Toc505610324"/>
            <w:bookmarkStart w:id="15" w:name="_Toc506801742"/>
            <w:r w:rsidR="00882D53" w:rsidRPr="006F0D01">
              <w:rPr>
                <w:i/>
                <w:iCs/>
                <w:lang w:val="es-ES_tradnl"/>
              </w:rPr>
              <w:t>Reglamento Interno del Sector de Desarrollo de las Telecomunicaciones de la UIT</w:t>
            </w:r>
            <w:bookmarkEnd w:id="13"/>
            <w:bookmarkEnd w:id="14"/>
            <w:bookmarkEnd w:id="15"/>
            <w:r w:rsidR="006F0D01" w:rsidRPr="006F0D01">
              <w:rPr>
                <w:i/>
                <w:iCs/>
                <w:lang w:val="es-ES_tradnl"/>
              </w:rPr>
              <w:t>.</w:t>
            </w:r>
          </w:p>
          <w:p w14:paraId="1E8CECC6" w14:textId="494719C7" w:rsidR="00377759" w:rsidRPr="006F0D01" w:rsidRDefault="00CA0136" w:rsidP="00CA0136">
            <w:pPr>
              <w:pStyle w:val="enumlev1"/>
              <w:spacing w:before="0"/>
              <w:rPr>
                <w:i/>
                <w:iCs/>
                <w:lang w:val="es-ES_tradnl"/>
              </w:rPr>
            </w:pPr>
            <w:r w:rsidRPr="006F0D01">
              <w:rPr>
                <w:b/>
                <w:lang w:val="es-ES_tradnl"/>
              </w:rPr>
              <w:t>•</w:t>
            </w:r>
            <w:r w:rsidRPr="006F0D01">
              <w:rPr>
                <w:b/>
                <w:lang w:val="es-ES_tradnl"/>
              </w:rPr>
              <w:tab/>
            </w:r>
            <w:r w:rsidR="00882D53" w:rsidRPr="006F0D01">
              <w:rPr>
                <w:b/>
                <w:lang w:val="es-ES_tradnl"/>
              </w:rPr>
              <w:t xml:space="preserve">Resolución </w:t>
            </w:r>
            <w:r w:rsidR="00377759" w:rsidRPr="006F0D01">
              <w:rPr>
                <w:b/>
                <w:lang w:val="es-ES_tradnl"/>
              </w:rPr>
              <w:t>2</w:t>
            </w:r>
            <w:r w:rsidR="00377759" w:rsidRPr="006F0D01">
              <w:rPr>
                <w:lang w:val="es-ES_tradnl"/>
              </w:rPr>
              <w:t xml:space="preserve"> – </w:t>
            </w:r>
            <w:bookmarkStart w:id="16" w:name="_Toc505609881"/>
            <w:bookmarkStart w:id="17" w:name="_Toc505610326"/>
            <w:bookmarkStart w:id="18" w:name="_Toc506801744"/>
            <w:r w:rsidR="00882D53" w:rsidRPr="006F0D01">
              <w:rPr>
                <w:i/>
                <w:iCs/>
                <w:lang w:val="es-ES_tradnl"/>
              </w:rPr>
              <w:t>Establecimiento de Comisiones de Estudio</w:t>
            </w:r>
            <w:bookmarkEnd w:id="16"/>
            <w:bookmarkEnd w:id="17"/>
            <w:bookmarkEnd w:id="18"/>
            <w:r w:rsidR="006F0D01" w:rsidRPr="006F0D01">
              <w:rPr>
                <w:i/>
                <w:iCs/>
                <w:lang w:val="es-ES_tradnl"/>
              </w:rPr>
              <w:t>.</w:t>
            </w:r>
          </w:p>
          <w:p w14:paraId="1F643CC0" w14:textId="4CADE7F8" w:rsidR="00377759" w:rsidRPr="006F0D01" w:rsidRDefault="00CA0136" w:rsidP="00CA0136">
            <w:pPr>
              <w:pStyle w:val="enumlev1"/>
              <w:spacing w:before="0"/>
              <w:rPr>
                <w:i/>
                <w:iCs/>
                <w:lang w:val="es-ES_tradnl"/>
              </w:rPr>
            </w:pPr>
            <w:r w:rsidRPr="006F0D01">
              <w:rPr>
                <w:b/>
                <w:lang w:val="es-ES_tradnl"/>
              </w:rPr>
              <w:t>•</w:t>
            </w:r>
            <w:r w:rsidRPr="006F0D01">
              <w:rPr>
                <w:b/>
                <w:lang w:val="es-ES_tradnl"/>
              </w:rPr>
              <w:tab/>
            </w:r>
            <w:r w:rsidR="00882D53" w:rsidRPr="006F0D01">
              <w:rPr>
                <w:b/>
                <w:lang w:val="es-ES_tradnl"/>
              </w:rPr>
              <w:t xml:space="preserve">Resolución </w:t>
            </w:r>
            <w:r w:rsidR="00377759" w:rsidRPr="006F0D01">
              <w:rPr>
                <w:b/>
                <w:lang w:val="es-ES_tradnl"/>
              </w:rPr>
              <w:t>5</w:t>
            </w:r>
            <w:r w:rsidR="00377759" w:rsidRPr="006F0D01">
              <w:rPr>
                <w:lang w:val="es-ES_tradnl"/>
              </w:rPr>
              <w:t xml:space="preserve"> – </w:t>
            </w:r>
            <w:bookmarkStart w:id="19" w:name="_Toc503337208"/>
            <w:bookmarkStart w:id="20" w:name="_Toc503773885"/>
            <w:bookmarkStart w:id="21" w:name="_Toc506801746"/>
            <w:r w:rsidR="00BA3741" w:rsidRPr="006F0D01">
              <w:rPr>
                <w:i/>
                <w:iCs/>
                <w:lang w:val="es-ES_tradnl"/>
              </w:rPr>
              <w:t>Aumento de la participación de los países en desarrollo</w:t>
            </w:r>
            <w:bookmarkEnd w:id="19"/>
            <w:bookmarkEnd w:id="20"/>
            <w:r w:rsidR="00146A51" w:rsidRPr="006F0D01">
              <w:rPr>
                <w:i/>
                <w:iCs/>
                <w:lang w:val="es-ES_tradnl"/>
              </w:rPr>
              <w:t xml:space="preserve"> </w:t>
            </w:r>
            <w:r w:rsidR="00BA3741" w:rsidRPr="006F0D01">
              <w:rPr>
                <w:i/>
                <w:iCs/>
                <w:lang w:val="es-ES_tradnl"/>
              </w:rPr>
              <w:t>en las actividades de la UIT</w:t>
            </w:r>
            <w:bookmarkEnd w:id="21"/>
            <w:r w:rsidR="006F0D01" w:rsidRPr="006F0D01">
              <w:rPr>
                <w:i/>
                <w:iCs/>
                <w:lang w:val="es-ES_tradnl"/>
              </w:rPr>
              <w:t>.</w:t>
            </w:r>
          </w:p>
          <w:p w14:paraId="637B5CE7" w14:textId="54A5FCE6" w:rsidR="00377759" w:rsidRPr="006F0D01" w:rsidRDefault="00CA0136" w:rsidP="00CA0136">
            <w:pPr>
              <w:pStyle w:val="enumlev1"/>
              <w:spacing w:before="0"/>
              <w:rPr>
                <w:i/>
                <w:iCs/>
                <w:lang w:val="es-ES_tradnl"/>
              </w:rPr>
            </w:pPr>
            <w:r w:rsidRPr="006F0D01">
              <w:rPr>
                <w:b/>
                <w:lang w:val="es-ES_tradnl"/>
              </w:rPr>
              <w:t>•</w:t>
            </w:r>
            <w:r w:rsidRPr="006F0D01">
              <w:rPr>
                <w:b/>
                <w:lang w:val="es-ES_tradnl"/>
              </w:rPr>
              <w:tab/>
            </w:r>
            <w:r w:rsidR="00882D53" w:rsidRPr="006F0D01">
              <w:rPr>
                <w:b/>
                <w:lang w:val="es-ES_tradnl"/>
              </w:rPr>
              <w:t xml:space="preserve">Resolución </w:t>
            </w:r>
            <w:r w:rsidR="00377759" w:rsidRPr="006F0D01">
              <w:rPr>
                <w:b/>
                <w:lang w:val="es-ES_tradnl"/>
              </w:rPr>
              <w:t>21</w:t>
            </w:r>
            <w:r w:rsidR="00377759" w:rsidRPr="006F0D01">
              <w:rPr>
                <w:lang w:val="es-ES_tradnl"/>
              </w:rPr>
              <w:t xml:space="preserve"> – </w:t>
            </w:r>
            <w:bookmarkStart w:id="22" w:name="_Toc505609904"/>
            <w:bookmarkStart w:id="23" w:name="_Toc505610349"/>
            <w:bookmarkStart w:id="24" w:name="_Toc506801766"/>
            <w:r w:rsidR="00BA3741" w:rsidRPr="006F0D01">
              <w:rPr>
                <w:i/>
                <w:iCs/>
                <w:lang w:val="es-ES_tradnl"/>
              </w:rPr>
              <w:t>Coordinación y colaboración con organizaciones</w:t>
            </w:r>
            <w:r w:rsidR="00146A51" w:rsidRPr="006F0D01">
              <w:rPr>
                <w:i/>
                <w:iCs/>
                <w:lang w:val="es-ES_tradnl"/>
              </w:rPr>
              <w:t xml:space="preserve"> </w:t>
            </w:r>
            <w:r w:rsidR="00BA3741" w:rsidRPr="006F0D01">
              <w:rPr>
                <w:i/>
                <w:iCs/>
                <w:lang w:val="es-ES_tradnl"/>
              </w:rPr>
              <w:t>regionales y subregionales</w:t>
            </w:r>
            <w:bookmarkEnd w:id="22"/>
            <w:bookmarkEnd w:id="23"/>
            <w:bookmarkEnd w:id="24"/>
            <w:r w:rsidR="006F0D01" w:rsidRPr="006F0D01">
              <w:rPr>
                <w:i/>
                <w:iCs/>
                <w:lang w:val="es-ES_tradnl"/>
              </w:rPr>
              <w:t>.</w:t>
            </w:r>
          </w:p>
          <w:p w14:paraId="0EA7EAE1" w14:textId="2A31E40E" w:rsidR="00377759" w:rsidRPr="006F0D01" w:rsidRDefault="00CA0136" w:rsidP="00CA0136">
            <w:pPr>
              <w:pStyle w:val="enumlev1"/>
              <w:spacing w:before="0"/>
              <w:rPr>
                <w:i/>
                <w:iCs/>
                <w:lang w:val="es-ES_tradnl"/>
              </w:rPr>
            </w:pPr>
            <w:r w:rsidRPr="006F0D01">
              <w:rPr>
                <w:b/>
                <w:lang w:val="es-ES_tradnl"/>
              </w:rPr>
              <w:t>•</w:t>
            </w:r>
            <w:r w:rsidRPr="006F0D01">
              <w:rPr>
                <w:b/>
                <w:lang w:val="es-ES_tradnl"/>
              </w:rPr>
              <w:tab/>
            </w:r>
            <w:r w:rsidR="00882D53" w:rsidRPr="006F0D01">
              <w:rPr>
                <w:b/>
                <w:lang w:val="es-ES_tradnl"/>
              </w:rPr>
              <w:t xml:space="preserve">Resolución </w:t>
            </w:r>
            <w:r w:rsidR="00377759" w:rsidRPr="006F0D01">
              <w:rPr>
                <w:b/>
                <w:lang w:val="es-ES_tradnl"/>
              </w:rPr>
              <w:t>24</w:t>
            </w:r>
            <w:r w:rsidR="00377759" w:rsidRPr="006F0D01">
              <w:rPr>
                <w:lang w:val="es-ES_tradnl"/>
              </w:rPr>
              <w:t xml:space="preserve"> – </w:t>
            </w:r>
            <w:bookmarkStart w:id="25" w:name="_Toc20045314"/>
            <w:bookmarkStart w:id="26" w:name="_Toc20045931"/>
            <w:bookmarkStart w:id="27" w:name="_Toc401734425"/>
            <w:bookmarkStart w:id="28" w:name="_Toc505609910"/>
            <w:bookmarkStart w:id="29" w:name="_Toc505610355"/>
            <w:bookmarkStart w:id="30" w:name="_Toc506801772"/>
            <w:r w:rsidR="00146A51" w:rsidRPr="006F0D01">
              <w:rPr>
                <w:i/>
                <w:iCs/>
                <w:lang w:val="es-ES_tradnl"/>
              </w:rPr>
              <w:t>Autorización para que el Grupo Asesor de Desarrollo de las Telecomunicaciones actúe en el periodo entre Conferencias Mundiales de Desarrollo de las Telecomunicaciones</w:t>
            </w:r>
            <w:bookmarkEnd w:id="25"/>
            <w:bookmarkEnd w:id="26"/>
            <w:bookmarkEnd w:id="27"/>
            <w:bookmarkEnd w:id="28"/>
            <w:bookmarkEnd w:id="29"/>
            <w:bookmarkEnd w:id="30"/>
            <w:r w:rsidR="006F0D01" w:rsidRPr="006F0D01">
              <w:rPr>
                <w:i/>
                <w:iCs/>
                <w:lang w:val="es-ES_tradnl"/>
              </w:rPr>
              <w:t>.</w:t>
            </w:r>
          </w:p>
          <w:p w14:paraId="5AEA6EDC" w14:textId="67ED55BE" w:rsidR="00377759" w:rsidRPr="006F0D01" w:rsidRDefault="00CA0136" w:rsidP="00CA0136">
            <w:pPr>
              <w:pStyle w:val="enumlev1"/>
              <w:spacing w:before="0"/>
              <w:rPr>
                <w:i/>
                <w:iCs/>
                <w:lang w:val="es-ES_tradnl"/>
              </w:rPr>
            </w:pPr>
            <w:r w:rsidRPr="006F0D01">
              <w:rPr>
                <w:b/>
                <w:lang w:val="es-ES_tradnl"/>
              </w:rPr>
              <w:t>•</w:t>
            </w:r>
            <w:r w:rsidRPr="006F0D01">
              <w:rPr>
                <w:b/>
                <w:lang w:val="es-ES_tradnl"/>
              </w:rPr>
              <w:tab/>
            </w:r>
            <w:r w:rsidR="00882D53" w:rsidRPr="006F0D01">
              <w:rPr>
                <w:b/>
                <w:lang w:val="es-ES_tradnl"/>
              </w:rPr>
              <w:t xml:space="preserve">Resolución </w:t>
            </w:r>
            <w:r w:rsidR="00377759" w:rsidRPr="006F0D01">
              <w:rPr>
                <w:b/>
                <w:lang w:val="es-ES_tradnl"/>
              </w:rPr>
              <w:t>27</w:t>
            </w:r>
            <w:r w:rsidR="00377759" w:rsidRPr="006F0D01">
              <w:rPr>
                <w:lang w:val="es-ES_tradnl"/>
              </w:rPr>
              <w:t xml:space="preserve"> – </w:t>
            </w:r>
            <w:bookmarkStart w:id="31" w:name="_Toc401734431"/>
            <w:bookmarkStart w:id="32" w:name="_Toc505609916"/>
            <w:bookmarkStart w:id="33" w:name="_Toc505610361"/>
            <w:bookmarkStart w:id="34" w:name="_Toc506801778"/>
            <w:r w:rsidR="00146A51" w:rsidRPr="006F0D01">
              <w:rPr>
                <w:i/>
                <w:iCs/>
                <w:lang w:val="es-ES_tradnl"/>
              </w:rPr>
              <w:t xml:space="preserve">Admisión de entidades u organizaciones para participar como Asociados en los trabajos del Sector de Desarrollo </w:t>
            </w:r>
            <w:r w:rsidR="006F0D01" w:rsidRPr="006F0D01">
              <w:rPr>
                <w:i/>
                <w:iCs/>
                <w:lang w:val="es-ES_tradnl"/>
              </w:rPr>
              <w:t>de las Telecomunicaciones de la </w:t>
            </w:r>
            <w:r w:rsidR="00146A51" w:rsidRPr="006F0D01">
              <w:rPr>
                <w:i/>
                <w:iCs/>
                <w:lang w:val="es-ES_tradnl"/>
              </w:rPr>
              <w:t>UIT</w:t>
            </w:r>
            <w:bookmarkEnd w:id="31"/>
            <w:bookmarkEnd w:id="32"/>
            <w:bookmarkEnd w:id="33"/>
            <w:bookmarkEnd w:id="34"/>
            <w:r w:rsidR="006F0D01" w:rsidRPr="006F0D01">
              <w:rPr>
                <w:i/>
                <w:iCs/>
                <w:lang w:val="es-ES_tradnl"/>
              </w:rPr>
              <w:t>.</w:t>
            </w:r>
          </w:p>
          <w:p w14:paraId="6EABE5CE" w14:textId="2E8B8E92" w:rsidR="00377759" w:rsidRPr="006F0D01" w:rsidRDefault="00CA0136" w:rsidP="00CA0136">
            <w:pPr>
              <w:pStyle w:val="enumlev1"/>
              <w:spacing w:before="0"/>
              <w:rPr>
                <w:lang w:val="es-ES_tradnl"/>
              </w:rPr>
            </w:pPr>
            <w:r w:rsidRPr="006F0D01">
              <w:rPr>
                <w:b/>
                <w:lang w:val="es-ES_tradnl"/>
              </w:rPr>
              <w:t>•</w:t>
            </w:r>
            <w:r w:rsidRPr="006F0D01">
              <w:rPr>
                <w:b/>
                <w:lang w:val="es-ES_tradnl"/>
              </w:rPr>
              <w:tab/>
            </w:r>
            <w:r w:rsidR="00882D53" w:rsidRPr="006F0D01">
              <w:rPr>
                <w:b/>
                <w:lang w:val="es-ES_tradnl"/>
              </w:rPr>
              <w:t xml:space="preserve">Resolución </w:t>
            </w:r>
            <w:r w:rsidR="00377759" w:rsidRPr="006F0D01">
              <w:rPr>
                <w:b/>
                <w:lang w:val="es-ES_tradnl"/>
              </w:rPr>
              <w:t>31</w:t>
            </w:r>
            <w:r w:rsidR="00377759" w:rsidRPr="006F0D01">
              <w:rPr>
                <w:lang w:val="es-ES_tradnl"/>
              </w:rPr>
              <w:t xml:space="preserve"> – </w:t>
            </w:r>
            <w:bookmarkStart w:id="35" w:name="_Toc505609920"/>
            <w:bookmarkStart w:id="36" w:name="_Toc505610365"/>
            <w:bookmarkStart w:id="37" w:name="_Toc506801782"/>
            <w:r w:rsidR="00146A51" w:rsidRPr="006F0D01">
              <w:rPr>
                <w:i/>
                <w:iCs/>
                <w:lang w:val="es-ES_tradnl"/>
              </w:rPr>
              <w:t>Preparación regional de las Conferencias Mundiales de Desarrollo de las Telecomunicaciones</w:t>
            </w:r>
            <w:bookmarkEnd w:id="35"/>
            <w:bookmarkEnd w:id="36"/>
            <w:bookmarkEnd w:id="37"/>
            <w:r w:rsidR="006F0D01" w:rsidRPr="006F0D01">
              <w:rPr>
                <w:i/>
                <w:iCs/>
                <w:lang w:val="es-ES_tradnl"/>
              </w:rPr>
              <w:t>.</w:t>
            </w:r>
          </w:p>
          <w:p w14:paraId="539C01A7" w14:textId="077A85D1" w:rsidR="00377759" w:rsidRPr="006F0D01" w:rsidRDefault="00CA0136" w:rsidP="00CA0136">
            <w:pPr>
              <w:pStyle w:val="enumlev1"/>
              <w:spacing w:before="0"/>
              <w:rPr>
                <w:i/>
                <w:lang w:val="es-ES_tradnl"/>
              </w:rPr>
            </w:pPr>
            <w:r w:rsidRPr="006F0D01">
              <w:rPr>
                <w:b/>
                <w:lang w:val="es-ES_tradnl"/>
              </w:rPr>
              <w:t>•</w:t>
            </w:r>
            <w:r w:rsidRPr="006F0D01">
              <w:rPr>
                <w:b/>
                <w:lang w:val="es-ES_tradnl"/>
              </w:rPr>
              <w:tab/>
            </w:r>
            <w:r w:rsidR="00882D53" w:rsidRPr="006F0D01">
              <w:rPr>
                <w:b/>
                <w:lang w:val="es-ES_tradnl"/>
              </w:rPr>
              <w:t xml:space="preserve">Resolución </w:t>
            </w:r>
            <w:r w:rsidR="00377759" w:rsidRPr="006F0D01">
              <w:rPr>
                <w:b/>
                <w:lang w:val="es-ES_tradnl"/>
              </w:rPr>
              <w:t>53</w:t>
            </w:r>
            <w:r w:rsidR="00377759" w:rsidRPr="006F0D01">
              <w:rPr>
                <w:lang w:val="es-ES_tradnl"/>
              </w:rPr>
              <w:t xml:space="preserve"> – </w:t>
            </w:r>
            <w:bookmarkStart w:id="38" w:name="_Toc401734471"/>
            <w:bookmarkStart w:id="39" w:name="_Toc505609954"/>
            <w:bookmarkStart w:id="40" w:name="_Toc505610399"/>
            <w:bookmarkStart w:id="41" w:name="_Toc506801816"/>
            <w:r w:rsidR="00146A51" w:rsidRPr="006F0D01">
              <w:rPr>
                <w:i/>
                <w:lang w:val="es-ES_tradnl"/>
              </w:rPr>
              <w:t>Marco estratégico y financiero para la elaboración y ejecución del Plan de Acción de Dubái</w:t>
            </w:r>
            <w:bookmarkEnd w:id="38"/>
            <w:bookmarkEnd w:id="39"/>
            <w:bookmarkEnd w:id="40"/>
            <w:bookmarkEnd w:id="41"/>
            <w:r w:rsidR="006F0D01" w:rsidRPr="006F0D01">
              <w:rPr>
                <w:i/>
                <w:lang w:val="es-ES_tradnl"/>
              </w:rPr>
              <w:t>.</w:t>
            </w:r>
          </w:p>
          <w:p w14:paraId="22F83A36" w14:textId="2DB58851" w:rsidR="00377759" w:rsidRPr="006F0D01" w:rsidRDefault="00CA0136" w:rsidP="00CA0136">
            <w:pPr>
              <w:pStyle w:val="enumlev1"/>
              <w:spacing w:before="0"/>
              <w:rPr>
                <w:i/>
                <w:iCs/>
                <w:lang w:val="es-ES_tradnl"/>
              </w:rPr>
            </w:pPr>
            <w:r w:rsidRPr="006F0D01">
              <w:rPr>
                <w:b/>
                <w:lang w:val="es-ES_tradnl"/>
              </w:rPr>
              <w:lastRenderedPageBreak/>
              <w:t>•</w:t>
            </w:r>
            <w:r w:rsidRPr="006F0D01">
              <w:rPr>
                <w:b/>
                <w:lang w:val="es-ES_tradnl"/>
              </w:rPr>
              <w:tab/>
            </w:r>
            <w:r w:rsidR="00882D53" w:rsidRPr="006F0D01">
              <w:rPr>
                <w:b/>
                <w:lang w:val="es-ES_tradnl"/>
              </w:rPr>
              <w:t xml:space="preserve">Resolución </w:t>
            </w:r>
            <w:r w:rsidR="00377759" w:rsidRPr="006F0D01">
              <w:rPr>
                <w:b/>
                <w:lang w:val="es-ES_tradnl"/>
              </w:rPr>
              <w:t>59</w:t>
            </w:r>
            <w:r w:rsidR="00377759" w:rsidRPr="006F0D01">
              <w:rPr>
                <w:lang w:val="es-ES_tradnl"/>
              </w:rPr>
              <w:t xml:space="preserve"> – </w:t>
            </w:r>
            <w:bookmarkStart w:id="42" w:name="_Toc505609964"/>
            <w:bookmarkStart w:id="43" w:name="_Toc505610409"/>
            <w:bookmarkStart w:id="44" w:name="_Toc506801826"/>
            <w:r w:rsidR="00146A51" w:rsidRPr="006F0D01">
              <w:rPr>
                <w:i/>
                <w:iCs/>
                <w:lang w:val="es-ES_tradnl"/>
              </w:rPr>
              <w:t>Fortalecimiento de la coordinación y la cooperación entre los tres Sectores en asuntos de interés mutuo</w:t>
            </w:r>
            <w:bookmarkEnd w:id="42"/>
            <w:bookmarkEnd w:id="43"/>
            <w:bookmarkEnd w:id="44"/>
            <w:r w:rsidR="006F0D01" w:rsidRPr="006F0D01">
              <w:rPr>
                <w:i/>
                <w:iCs/>
                <w:lang w:val="es-ES_tradnl"/>
              </w:rPr>
              <w:t>.</w:t>
            </w:r>
          </w:p>
          <w:p w14:paraId="27DDFB97" w14:textId="28E96374" w:rsidR="00377759" w:rsidRPr="006F0D01" w:rsidRDefault="00CA0136" w:rsidP="00CA0136">
            <w:pPr>
              <w:pStyle w:val="enumlev1"/>
              <w:spacing w:before="0"/>
              <w:rPr>
                <w:bCs/>
                <w:szCs w:val="24"/>
                <w:lang w:val="es-ES_tradnl"/>
              </w:rPr>
            </w:pPr>
            <w:r w:rsidRPr="006F0D01">
              <w:rPr>
                <w:b/>
                <w:szCs w:val="24"/>
                <w:lang w:val="es-ES_tradnl"/>
              </w:rPr>
              <w:t>•</w:t>
            </w:r>
            <w:r w:rsidRPr="006F0D01">
              <w:rPr>
                <w:b/>
                <w:szCs w:val="24"/>
                <w:lang w:val="es-ES_tradnl"/>
              </w:rPr>
              <w:tab/>
            </w:r>
            <w:r w:rsidR="00882D53" w:rsidRPr="006F0D01">
              <w:rPr>
                <w:b/>
                <w:szCs w:val="24"/>
                <w:lang w:val="es-ES_tradnl"/>
              </w:rPr>
              <w:t xml:space="preserve">Resolución </w:t>
            </w:r>
            <w:r w:rsidR="00377759" w:rsidRPr="006F0D01">
              <w:rPr>
                <w:b/>
                <w:szCs w:val="24"/>
                <w:lang w:val="es-ES_tradnl"/>
              </w:rPr>
              <w:t>61</w:t>
            </w:r>
            <w:r w:rsidR="00377759" w:rsidRPr="006F0D01">
              <w:rPr>
                <w:bCs/>
                <w:szCs w:val="24"/>
                <w:lang w:val="es-ES_tradnl"/>
              </w:rPr>
              <w:t xml:space="preserve"> – </w:t>
            </w:r>
            <w:bookmarkStart w:id="45" w:name="_Toc401734485"/>
            <w:bookmarkStart w:id="46" w:name="_Toc505609968"/>
            <w:bookmarkStart w:id="47" w:name="_Toc505610413"/>
            <w:bookmarkStart w:id="48" w:name="_Toc506801830"/>
            <w:r w:rsidR="00146A51" w:rsidRPr="006F0D01">
              <w:rPr>
                <w:i/>
                <w:lang w:val="es-ES_tradnl"/>
              </w:rPr>
              <w:t xml:space="preserve">Nombramiento y duración máxima del mandato de los </w:t>
            </w:r>
            <w:proofErr w:type="gramStart"/>
            <w:r w:rsidR="00146A51" w:rsidRPr="006F0D01">
              <w:rPr>
                <w:i/>
                <w:lang w:val="es-ES_tradnl"/>
              </w:rPr>
              <w:t>Presidentes</w:t>
            </w:r>
            <w:proofErr w:type="gramEnd"/>
            <w:r w:rsidR="00146A51" w:rsidRPr="006F0D01">
              <w:rPr>
                <w:i/>
                <w:lang w:val="es-ES_tradnl"/>
              </w:rPr>
              <w:t xml:space="preserve"> y Vicepresidentes de las Comisiones de Estudio del Sector de Desarrollo de las Telecomunicaciones y del Grupo Asesor de Desarrollo de las Telecomunicaciones</w:t>
            </w:r>
            <w:bookmarkEnd w:id="45"/>
            <w:bookmarkEnd w:id="46"/>
            <w:bookmarkEnd w:id="47"/>
            <w:bookmarkEnd w:id="48"/>
            <w:r w:rsidR="006F0D01" w:rsidRPr="006F0D01">
              <w:rPr>
                <w:i/>
                <w:lang w:val="es-ES_tradnl"/>
              </w:rPr>
              <w:t>.</w:t>
            </w:r>
          </w:p>
          <w:p w14:paraId="0A099EC2" w14:textId="5F982A7A" w:rsidR="00377759" w:rsidRPr="006F0D01" w:rsidRDefault="00CA0136" w:rsidP="00CA0136">
            <w:pPr>
              <w:pStyle w:val="enumlev1"/>
              <w:spacing w:before="0"/>
              <w:rPr>
                <w:bCs/>
                <w:szCs w:val="24"/>
                <w:lang w:val="es-ES_tradnl"/>
              </w:rPr>
            </w:pPr>
            <w:r w:rsidRPr="006F0D01">
              <w:rPr>
                <w:b/>
                <w:szCs w:val="24"/>
                <w:lang w:val="es-ES_tradnl"/>
              </w:rPr>
              <w:t>•</w:t>
            </w:r>
            <w:r w:rsidRPr="006F0D01">
              <w:rPr>
                <w:b/>
                <w:szCs w:val="24"/>
                <w:lang w:val="es-ES_tradnl"/>
              </w:rPr>
              <w:tab/>
            </w:r>
            <w:r w:rsidR="00882D53" w:rsidRPr="006F0D01">
              <w:rPr>
                <w:b/>
                <w:szCs w:val="24"/>
                <w:lang w:val="es-ES_tradnl"/>
              </w:rPr>
              <w:t xml:space="preserve">Resolución </w:t>
            </w:r>
            <w:r w:rsidR="00377759" w:rsidRPr="006F0D01">
              <w:rPr>
                <w:b/>
                <w:szCs w:val="24"/>
                <w:lang w:val="es-ES_tradnl"/>
              </w:rPr>
              <w:t>71</w:t>
            </w:r>
            <w:r w:rsidR="00377759" w:rsidRPr="006F0D01">
              <w:rPr>
                <w:bCs/>
                <w:szCs w:val="24"/>
                <w:lang w:val="es-ES_tradnl"/>
              </w:rPr>
              <w:t xml:space="preserve"> – </w:t>
            </w:r>
            <w:bookmarkStart w:id="49" w:name="_Toc505609984"/>
            <w:bookmarkStart w:id="50" w:name="_Toc505610429"/>
            <w:bookmarkStart w:id="51" w:name="_Toc506801846"/>
            <w:r w:rsidR="00146A51" w:rsidRPr="006F0D01">
              <w:rPr>
                <w:i/>
                <w:lang w:val="es-ES_tradnl"/>
              </w:rPr>
              <w:t xml:space="preserve">Fortalecimiento de la cooperación </w:t>
            </w:r>
            <w:r w:rsidR="006F0D01" w:rsidRPr="006F0D01">
              <w:rPr>
                <w:i/>
                <w:lang w:val="es-ES_tradnl"/>
              </w:rPr>
              <w:t>entre los Estados Miembros, los </w:t>
            </w:r>
            <w:r w:rsidR="00146A51" w:rsidRPr="006F0D01">
              <w:rPr>
                <w:i/>
                <w:lang w:val="es-ES_tradnl"/>
              </w:rPr>
              <w:t>Miembros de Sector, los Asociados y las Instituciones Académicas del Sector de Desarrollo de las Telecomunicaciones de la UIT y el carácter evolutivo de la función del</w:t>
            </w:r>
            <w:r w:rsidR="006F0D01" w:rsidRPr="006F0D01">
              <w:rPr>
                <w:i/>
                <w:lang w:val="es-ES_tradnl"/>
              </w:rPr>
              <w:t> </w:t>
            </w:r>
            <w:r w:rsidR="00146A51" w:rsidRPr="006F0D01">
              <w:rPr>
                <w:i/>
                <w:lang w:val="es-ES_tradnl"/>
              </w:rPr>
              <w:t>sector privado en el Sector de Desarrollo de las Telecomunicaciones de la UIT</w:t>
            </w:r>
            <w:bookmarkEnd w:id="49"/>
            <w:bookmarkEnd w:id="50"/>
            <w:bookmarkEnd w:id="51"/>
            <w:r w:rsidR="006F0D01" w:rsidRPr="006F0D01">
              <w:rPr>
                <w:i/>
                <w:lang w:val="es-ES_tradnl"/>
              </w:rPr>
              <w:t>.</w:t>
            </w:r>
          </w:p>
          <w:p w14:paraId="2E1C3638" w14:textId="18ADEF36" w:rsidR="00377759" w:rsidRPr="006F0D01" w:rsidRDefault="00CA0136" w:rsidP="00CA0136">
            <w:pPr>
              <w:pStyle w:val="enumlev1"/>
              <w:spacing w:before="0"/>
              <w:rPr>
                <w:bCs/>
                <w:szCs w:val="24"/>
                <w:lang w:val="es-ES_tradnl"/>
              </w:rPr>
            </w:pPr>
            <w:r w:rsidRPr="006F0D01">
              <w:rPr>
                <w:b/>
                <w:szCs w:val="24"/>
                <w:lang w:val="es-ES_tradnl"/>
              </w:rPr>
              <w:t>•</w:t>
            </w:r>
            <w:r w:rsidRPr="006F0D01">
              <w:rPr>
                <w:b/>
                <w:szCs w:val="24"/>
                <w:lang w:val="es-ES_tradnl"/>
              </w:rPr>
              <w:tab/>
            </w:r>
            <w:r w:rsidR="00882D53" w:rsidRPr="006F0D01">
              <w:rPr>
                <w:b/>
                <w:szCs w:val="24"/>
                <w:lang w:val="es-ES_tradnl"/>
              </w:rPr>
              <w:t xml:space="preserve">Resolución </w:t>
            </w:r>
            <w:r w:rsidR="00377759" w:rsidRPr="006F0D01">
              <w:rPr>
                <w:b/>
                <w:szCs w:val="24"/>
                <w:lang w:val="es-ES_tradnl"/>
              </w:rPr>
              <w:t>81</w:t>
            </w:r>
            <w:r w:rsidR="00377759" w:rsidRPr="006F0D01">
              <w:rPr>
                <w:bCs/>
                <w:szCs w:val="24"/>
                <w:lang w:val="es-ES_tradnl"/>
              </w:rPr>
              <w:t xml:space="preserve"> – </w:t>
            </w:r>
            <w:bookmarkStart w:id="52" w:name="_Toc505610000"/>
            <w:bookmarkStart w:id="53" w:name="_Toc505610445"/>
            <w:bookmarkStart w:id="54" w:name="_Toc506801862"/>
            <w:r w:rsidR="00146A51" w:rsidRPr="006F0D01">
              <w:rPr>
                <w:i/>
                <w:lang w:val="es-ES_tradnl"/>
              </w:rPr>
              <w:t>Perfeccionamiento de los métodos de trabajo electrónicos para la labor del Sector de Desarrollo de las Telecomunicaciones de la UIT</w:t>
            </w:r>
            <w:bookmarkEnd w:id="52"/>
            <w:bookmarkEnd w:id="53"/>
            <w:bookmarkEnd w:id="54"/>
            <w:r w:rsidR="006F0D01" w:rsidRPr="006F0D01">
              <w:rPr>
                <w:i/>
                <w:lang w:val="es-ES_tradnl"/>
              </w:rPr>
              <w:t>.</w:t>
            </w:r>
          </w:p>
          <w:p w14:paraId="0B58CF99" w14:textId="3CA395AB" w:rsidR="00377759" w:rsidRPr="006F0D01" w:rsidRDefault="00CA0136" w:rsidP="00CA0136">
            <w:pPr>
              <w:pStyle w:val="enumlev1"/>
              <w:spacing w:before="0"/>
              <w:rPr>
                <w:bCs/>
                <w:szCs w:val="24"/>
                <w:lang w:val="es-ES_tradnl"/>
              </w:rPr>
            </w:pPr>
            <w:r w:rsidRPr="006F0D01">
              <w:rPr>
                <w:b/>
                <w:szCs w:val="24"/>
                <w:lang w:val="es-ES_tradnl"/>
              </w:rPr>
              <w:t>•</w:t>
            </w:r>
            <w:r w:rsidRPr="006F0D01">
              <w:rPr>
                <w:b/>
                <w:szCs w:val="24"/>
                <w:lang w:val="es-ES_tradnl"/>
              </w:rPr>
              <w:tab/>
            </w:r>
            <w:r w:rsidR="00882D53" w:rsidRPr="006F0D01">
              <w:rPr>
                <w:b/>
                <w:szCs w:val="24"/>
                <w:lang w:val="es-ES_tradnl"/>
              </w:rPr>
              <w:t xml:space="preserve">Resolución </w:t>
            </w:r>
            <w:r w:rsidR="00377759" w:rsidRPr="006F0D01">
              <w:rPr>
                <w:b/>
                <w:szCs w:val="24"/>
                <w:lang w:val="es-ES_tradnl"/>
              </w:rPr>
              <w:t>82</w:t>
            </w:r>
            <w:r w:rsidR="00377759" w:rsidRPr="006F0D01">
              <w:rPr>
                <w:bCs/>
                <w:szCs w:val="24"/>
                <w:lang w:val="es-ES_tradnl"/>
              </w:rPr>
              <w:t xml:space="preserve"> – </w:t>
            </w:r>
            <w:bookmarkStart w:id="55" w:name="_Toc401734527"/>
            <w:bookmarkStart w:id="56" w:name="_Toc505610002"/>
            <w:bookmarkStart w:id="57" w:name="_Toc505610447"/>
            <w:bookmarkStart w:id="58" w:name="_Toc506801864"/>
            <w:r w:rsidR="00146A51" w:rsidRPr="006F0D01">
              <w:rPr>
                <w:i/>
                <w:lang w:val="es-ES_tradnl"/>
              </w:rPr>
              <w:t>Preservación y promoción del plurilingüismo en Internet, en favor de la sociedad de la información integradora</w:t>
            </w:r>
            <w:bookmarkEnd w:id="55"/>
            <w:bookmarkEnd w:id="56"/>
            <w:bookmarkEnd w:id="57"/>
            <w:bookmarkEnd w:id="58"/>
            <w:r w:rsidR="006F0D01" w:rsidRPr="006F0D01">
              <w:rPr>
                <w:i/>
                <w:lang w:val="es-ES_tradnl"/>
              </w:rPr>
              <w:t>.</w:t>
            </w:r>
          </w:p>
          <w:p w14:paraId="55FB5DC2" w14:textId="5B6B3428" w:rsidR="00195268" w:rsidRPr="006F0D01" w:rsidRDefault="00CA0136" w:rsidP="00CA0136">
            <w:pPr>
              <w:pStyle w:val="enumlev1"/>
              <w:spacing w:before="0"/>
              <w:rPr>
                <w:bCs/>
                <w:szCs w:val="24"/>
                <w:lang w:val="es-ES_tradnl"/>
              </w:rPr>
            </w:pPr>
            <w:r w:rsidRPr="006F0D01">
              <w:rPr>
                <w:b/>
                <w:szCs w:val="24"/>
                <w:lang w:val="es-ES_tradnl"/>
              </w:rPr>
              <w:t>•</w:t>
            </w:r>
            <w:r w:rsidRPr="006F0D01">
              <w:rPr>
                <w:b/>
                <w:szCs w:val="24"/>
                <w:lang w:val="es-ES_tradnl"/>
              </w:rPr>
              <w:tab/>
            </w:r>
            <w:r w:rsidR="00882D53" w:rsidRPr="006F0D01">
              <w:rPr>
                <w:b/>
                <w:szCs w:val="24"/>
                <w:lang w:val="es-ES_tradnl"/>
              </w:rPr>
              <w:t xml:space="preserve">Resolución </w:t>
            </w:r>
            <w:r w:rsidR="00377759" w:rsidRPr="006F0D01">
              <w:rPr>
                <w:b/>
                <w:szCs w:val="24"/>
                <w:lang w:val="es-ES_tradnl"/>
              </w:rPr>
              <w:t>86</w:t>
            </w:r>
            <w:r w:rsidR="00377759" w:rsidRPr="006F0D01">
              <w:rPr>
                <w:bCs/>
                <w:szCs w:val="24"/>
                <w:lang w:val="es-ES_tradnl"/>
              </w:rPr>
              <w:t xml:space="preserve"> – </w:t>
            </w:r>
            <w:bookmarkStart w:id="59" w:name="_Toc477787168"/>
            <w:bookmarkStart w:id="60" w:name="_Toc505610010"/>
            <w:bookmarkStart w:id="61" w:name="_Toc505610455"/>
            <w:bookmarkStart w:id="62" w:name="_Toc506801872"/>
            <w:r w:rsidR="00146A51" w:rsidRPr="006F0D01">
              <w:rPr>
                <w:i/>
                <w:lang w:val="es-ES_tradnl"/>
              </w:rPr>
              <w:t>Utilización de los idiomas de la Unión en igualdad de condiciones en el Sector de Desarrollo de las Telecomunicaciones de la UIT</w:t>
            </w:r>
            <w:bookmarkEnd w:id="59"/>
            <w:bookmarkEnd w:id="60"/>
            <w:bookmarkEnd w:id="61"/>
            <w:bookmarkEnd w:id="62"/>
            <w:r w:rsidR="006F0D01" w:rsidRPr="006F0D01">
              <w:rPr>
                <w:i/>
                <w:lang w:val="es-ES_tradnl"/>
              </w:rPr>
              <w:t>.</w:t>
            </w:r>
          </w:p>
        </w:tc>
      </w:tr>
      <w:tr w:rsidR="00646859" w:rsidRPr="00314DC6" w14:paraId="32820A48" w14:textId="77777777" w:rsidTr="00394831">
        <w:trPr>
          <w:trHeight w:val="540"/>
        </w:trPr>
        <w:tc>
          <w:tcPr>
            <w:tcW w:w="9730" w:type="dxa"/>
            <w:tcBorders>
              <w:left w:val="nil"/>
              <w:right w:val="nil"/>
            </w:tcBorders>
          </w:tcPr>
          <w:p w14:paraId="2A2A4411" w14:textId="77777777" w:rsidR="00646859" w:rsidRPr="006F0D01" w:rsidRDefault="00646859" w:rsidP="007065C2">
            <w:pPr>
              <w:spacing w:after="120"/>
              <w:rPr>
                <w:bCs/>
                <w:szCs w:val="24"/>
                <w:lang w:val="es-ES_tradnl"/>
              </w:rPr>
            </w:pPr>
          </w:p>
        </w:tc>
      </w:tr>
      <w:tr w:rsidR="00646859" w:rsidRPr="00314DC6" w14:paraId="126910FA" w14:textId="77777777" w:rsidTr="00394831">
        <w:trPr>
          <w:trHeight w:val="919"/>
        </w:trPr>
        <w:tc>
          <w:tcPr>
            <w:tcW w:w="9730" w:type="dxa"/>
            <w:shd w:val="clear" w:color="auto" w:fill="B8CCE4" w:themeFill="accent1" w:themeFillTint="66"/>
          </w:tcPr>
          <w:p w14:paraId="41D13849" w14:textId="0C734ED4" w:rsidR="00646859" w:rsidRPr="006F0D01" w:rsidRDefault="00633664" w:rsidP="00633664">
            <w:pPr>
              <w:spacing w:after="120"/>
              <w:rPr>
                <w:bCs/>
                <w:szCs w:val="24"/>
                <w:lang w:val="es-ES_tradnl"/>
              </w:rPr>
            </w:pPr>
            <w:r w:rsidRPr="006F0D01">
              <w:rPr>
                <w:b/>
                <w:bCs/>
                <w:sz w:val="28"/>
                <w:szCs w:val="28"/>
                <w:lang w:val="es-ES_tradnl"/>
              </w:rPr>
              <w:t>Grupo de Trabajo de la Plenaria: Contribució</w:t>
            </w:r>
            <w:r w:rsidR="006F0D01" w:rsidRPr="006F0D01">
              <w:rPr>
                <w:b/>
                <w:bCs/>
                <w:sz w:val="28"/>
                <w:szCs w:val="28"/>
                <w:lang w:val="es-ES_tradnl"/>
              </w:rPr>
              <w:t>n del UIT-D al Plan Estratégico</w:t>
            </w:r>
            <w:r w:rsidR="006F0D01" w:rsidRPr="006F0D01">
              <w:rPr>
                <w:b/>
                <w:bCs/>
                <w:sz w:val="28"/>
                <w:szCs w:val="28"/>
                <w:lang w:val="es-ES_tradnl"/>
              </w:rPr>
              <w:br/>
            </w:r>
            <w:r w:rsidRPr="006F0D01">
              <w:rPr>
                <w:b/>
                <w:bCs/>
                <w:sz w:val="28"/>
                <w:szCs w:val="28"/>
                <w:lang w:val="es-ES_tradnl"/>
              </w:rPr>
              <w:t>de la UIT para 2024-2027 y Declaración de la CMDT</w:t>
            </w:r>
          </w:p>
        </w:tc>
      </w:tr>
      <w:tr w:rsidR="009C6377" w:rsidRPr="00314DC6" w14:paraId="14026EA1" w14:textId="77777777" w:rsidTr="006F0D01">
        <w:trPr>
          <w:trHeight w:val="999"/>
        </w:trPr>
        <w:tc>
          <w:tcPr>
            <w:tcW w:w="9730" w:type="dxa"/>
            <w:tcBorders>
              <w:bottom w:val="single" w:sz="4" w:space="0" w:color="auto"/>
            </w:tcBorders>
          </w:tcPr>
          <w:p w14:paraId="1C5C179C" w14:textId="6005292F" w:rsidR="009C6377" w:rsidRPr="006F0D01" w:rsidRDefault="00633664" w:rsidP="00CA0136">
            <w:pPr>
              <w:rPr>
                <w:b/>
                <w:bCs/>
                <w:lang w:val="es-ES_tradnl"/>
              </w:rPr>
            </w:pPr>
            <w:r w:rsidRPr="006F0D01">
              <w:rPr>
                <w:rFonts w:eastAsia="SimHei"/>
                <w:b/>
                <w:lang w:val="es-ES_tradnl"/>
              </w:rPr>
              <w:t>Mandato</w:t>
            </w:r>
            <w:r w:rsidRPr="006F0D01">
              <w:rPr>
                <w:lang w:val="es-ES_tradnl"/>
              </w:rPr>
              <w:t>: Elaborar un proyecto de Declaración de la CMDT y la contribución del Sector del UIT-D al Plan Estratégico de la Unión para su adopción en la siguiente Conferencia de Plenipotenciarios</w:t>
            </w:r>
            <w:r w:rsidR="009C6377" w:rsidRPr="006F0D01">
              <w:rPr>
                <w:lang w:val="es-ES_tradnl"/>
              </w:rPr>
              <w:t>.</w:t>
            </w:r>
          </w:p>
        </w:tc>
      </w:tr>
      <w:tr w:rsidR="00646859" w:rsidRPr="00314DC6" w14:paraId="67927C79" w14:textId="77777777" w:rsidTr="006F0D01">
        <w:trPr>
          <w:trHeight w:val="1439"/>
        </w:trPr>
        <w:tc>
          <w:tcPr>
            <w:tcW w:w="9730" w:type="dxa"/>
            <w:tcBorders>
              <w:bottom w:val="single" w:sz="4" w:space="0" w:color="auto"/>
            </w:tcBorders>
          </w:tcPr>
          <w:p w14:paraId="7431ECE5" w14:textId="3F53BA71" w:rsidR="00646859" w:rsidRPr="006F0D01" w:rsidRDefault="00CA0136" w:rsidP="00CA0136">
            <w:pPr>
              <w:pStyle w:val="enumlev1"/>
              <w:spacing w:before="0"/>
              <w:rPr>
                <w:lang w:val="es-ES_tradnl"/>
              </w:rPr>
            </w:pPr>
            <w:r w:rsidRPr="006F0D01">
              <w:rPr>
                <w:lang w:val="es-ES_tradnl"/>
              </w:rPr>
              <w:t>•</w:t>
            </w:r>
            <w:r w:rsidRPr="006F0D01">
              <w:rPr>
                <w:lang w:val="es-ES_tradnl"/>
              </w:rPr>
              <w:tab/>
            </w:r>
            <w:r w:rsidR="00633664" w:rsidRPr="006F0D01">
              <w:rPr>
                <w:b/>
                <w:bCs/>
                <w:lang w:val="es-ES_tradnl"/>
              </w:rPr>
              <w:t>Declaración de la CMDT</w:t>
            </w:r>
            <w:r w:rsidR="006F0D01" w:rsidRPr="006F0D01">
              <w:rPr>
                <w:b/>
                <w:bCs/>
                <w:lang w:val="es-ES_tradnl"/>
              </w:rPr>
              <w:t>.</w:t>
            </w:r>
          </w:p>
          <w:p w14:paraId="6DB68A13" w14:textId="404485CD" w:rsidR="00646859" w:rsidRPr="006F0D01" w:rsidRDefault="00CA0136" w:rsidP="00CA0136">
            <w:pPr>
              <w:pStyle w:val="enumlev1"/>
              <w:spacing w:before="0"/>
              <w:rPr>
                <w:lang w:val="es-ES_tradnl"/>
              </w:rPr>
            </w:pPr>
            <w:r w:rsidRPr="006F0D01">
              <w:rPr>
                <w:lang w:val="es-ES_tradnl"/>
              </w:rPr>
              <w:t>•</w:t>
            </w:r>
            <w:r w:rsidRPr="006F0D01">
              <w:rPr>
                <w:lang w:val="es-ES_tradnl"/>
              </w:rPr>
              <w:tab/>
            </w:r>
            <w:r w:rsidR="00633664" w:rsidRPr="006F0D01">
              <w:rPr>
                <w:b/>
                <w:bCs/>
                <w:lang w:val="es-ES_tradnl"/>
              </w:rPr>
              <w:t>C</w:t>
            </w:r>
            <w:r w:rsidR="00C438F4" w:rsidRPr="006F0D01">
              <w:rPr>
                <w:b/>
                <w:bCs/>
                <w:lang w:val="es-ES_tradnl"/>
              </w:rPr>
              <w:t>ontribución</w:t>
            </w:r>
            <w:r w:rsidR="00633664" w:rsidRPr="006F0D01">
              <w:rPr>
                <w:b/>
                <w:bCs/>
                <w:lang w:val="es-ES_tradnl"/>
              </w:rPr>
              <w:t xml:space="preserve"> del UIT</w:t>
            </w:r>
            <w:r w:rsidR="00646859" w:rsidRPr="006F0D01">
              <w:rPr>
                <w:b/>
                <w:bCs/>
                <w:lang w:val="es-ES_tradnl"/>
              </w:rPr>
              <w:t xml:space="preserve">-D </w:t>
            </w:r>
            <w:r w:rsidR="00633664" w:rsidRPr="006F0D01">
              <w:rPr>
                <w:b/>
                <w:bCs/>
                <w:lang w:val="es-ES_tradnl"/>
              </w:rPr>
              <w:t>al Plan Estratégico de la UIT</w:t>
            </w:r>
            <w:r w:rsidR="006F0D01" w:rsidRPr="006F0D01">
              <w:rPr>
                <w:b/>
                <w:bCs/>
                <w:lang w:val="es-ES_tradnl"/>
              </w:rPr>
              <w:t>.</w:t>
            </w:r>
          </w:p>
          <w:p w14:paraId="63BD1318" w14:textId="729452DE" w:rsidR="00646859" w:rsidRPr="006F0D01" w:rsidRDefault="00CA0136" w:rsidP="006F0D01">
            <w:pPr>
              <w:pStyle w:val="enumlev1"/>
              <w:spacing w:before="0" w:after="120"/>
              <w:rPr>
                <w:bCs/>
                <w:lang w:val="es-ES_tradnl"/>
              </w:rPr>
            </w:pPr>
            <w:r w:rsidRPr="006F0D01">
              <w:rPr>
                <w:lang w:val="es-ES_tradnl"/>
              </w:rPr>
              <w:t>•</w:t>
            </w:r>
            <w:r w:rsidRPr="006F0D01">
              <w:rPr>
                <w:lang w:val="es-ES_tradnl"/>
              </w:rPr>
              <w:tab/>
            </w:r>
            <w:r w:rsidR="00646859" w:rsidRPr="006F0D01">
              <w:rPr>
                <w:b/>
                <w:bCs/>
                <w:lang w:val="es-ES_tradnl"/>
              </w:rPr>
              <w:t>Resolu</w:t>
            </w:r>
            <w:r w:rsidR="00882D53" w:rsidRPr="006F0D01">
              <w:rPr>
                <w:b/>
                <w:bCs/>
                <w:lang w:val="es-ES_tradnl"/>
              </w:rPr>
              <w:t>ción</w:t>
            </w:r>
            <w:r w:rsidR="00646859" w:rsidRPr="006F0D01">
              <w:rPr>
                <w:b/>
                <w:bCs/>
                <w:lang w:val="es-ES_tradnl"/>
              </w:rPr>
              <w:t xml:space="preserve"> 30</w:t>
            </w:r>
            <w:r w:rsidR="006F0D01" w:rsidRPr="006F0D01">
              <w:rPr>
                <w:bCs/>
                <w:lang w:val="es-ES_tradnl"/>
              </w:rPr>
              <w:t xml:space="preserve"> –</w:t>
            </w:r>
            <w:r w:rsidR="00646859" w:rsidRPr="006F0D01">
              <w:rPr>
                <w:bCs/>
                <w:lang w:val="es-ES_tradnl"/>
              </w:rPr>
              <w:t xml:space="preserve"> </w:t>
            </w:r>
            <w:bookmarkStart w:id="63" w:name="_Toc505609918"/>
            <w:bookmarkStart w:id="64" w:name="_Toc505610363"/>
            <w:bookmarkStart w:id="65" w:name="_Toc506801780"/>
            <w:r w:rsidR="00882D53" w:rsidRPr="006F0D01">
              <w:rPr>
                <w:bCs/>
                <w:i/>
                <w:iCs/>
                <w:lang w:val="es-ES_tradnl"/>
              </w:rPr>
              <w:t>Función del Sector de Desarrollo de las Telecomunicaciones de la UIT en la aplicación de los resultados de la Cumbre Mundial sobre la Sociedad de la Información, habida cuenta de la Agenda 2030 para el Desarrollo Sostenible</w:t>
            </w:r>
            <w:bookmarkEnd w:id="63"/>
            <w:bookmarkEnd w:id="64"/>
            <w:bookmarkEnd w:id="65"/>
            <w:r w:rsidR="006F0D01" w:rsidRPr="006F0D01">
              <w:rPr>
                <w:bCs/>
                <w:i/>
                <w:iCs/>
                <w:lang w:val="es-ES_tradnl"/>
              </w:rPr>
              <w:t>.</w:t>
            </w:r>
          </w:p>
        </w:tc>
      </w:tr>
    </w:tbl>
    <w:p w14:paraId="7556F2DE" w14:textId="77777777" w:rsidR="009B51E3" w:rsidRPr="006F0D01" w:rsidRDefault="009B51E3" w:rsidP="00674952">
      <w:pPr>
        <w:spacing w:after="120"/>
        <w:rPr>
          <w:lang w:val="es-ES_tradnl"/>
        </w:rPr>
      </w:pPr>
    </w:p>
    <w:p w14:paraId="7572B8B5" w14:textId="77777777" w:rsidR="00D83BF5" w:rsidRPr="006F0D01" w:rsidRDefault="00D83BF5" w:rsidP="00D83BF5">
      <w:pPr>
        <w:jc w:val="center"/>
        <w:rPr>
          <w:szCs w:val="24"/>
          <w:lang w:val="es-ES_tradnl"/>
        </w:rPr>
      </w:pPr>
      <w:r w:rsidRPr="006F0D01">
        <w:rPr>
          <w:szCs w:val="24"/>
          <w:lang w:val="es-ES_tradnl"/>
        </w:rPr>
        <w:t>_______________</w:t>
      </w:r>
    </w:p>
    <w:sectPr w:rsidR="00D83BF5" w:rsidRPr="006F0D01" w:rsidSect="00674952">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72C2A" w14:textId="77777777" w:rsidR="00C14C9F" w:rsidRDefault="00C14C9F">
      <w:r>
        <w:separator/>
      </w:r>
    </w:p>
  </w:endnote>
  <w:endnote w:type="continuationSeparator" w:id="0">
    <w:p w14:paraId="1EABD12D" w14:textId="77777777" w:rsidR="00C14C9F" w:rsidRDefault="00C1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6BC2003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314DC6">
      <w:rPr>
        <w:noProof/>
      </w:rPr>
      <w:t>04.03.22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286C" w14:textId="36E30656" w:rsidR="00B8505E" w:rsidRDefault="00314DC6" w:rsidP="006F0D01">
    <w:pPr>
      <w:pStyle w:val="Footer"/>
      <w:tabs>
        <w:tab w:val="clear" w:pos="1871"/>
        <w:tab w:val="clear" w:pos="5954"/>
        <w:tab w:val="clear" w:pos="9639"/>
      </w:tabs>
    </w:pPr>
    <w:r>
      <w:fldChar w:fldCharType="begin"/>
    </w:r>
    <w:r>
      <w:instrText xml:space="preserve"> FILENAME \p  \* MERGEFORMAT </w:instrText>
    </w:r>
    <w:r>
      <w:fldChar w:fldCharType="separate"/>
    </w:r>
    <w:r w:rsidR="00B8505E">
      <w:t>P:\ESP\ITU-D\CONF-D\IRM21\000\069S.docx</w:t>
    </w:r>
    <w:r>
      <w:fldChar w:fldCharType="end"/>
    </w:r>
    <w:r w:rsidR="00B8505E">
      <w:t xml:space="preserve"> (502288)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C22D" w14:textId="77777777" w:rsidR="008008BC" w:rsidRPr="006F0D01" w:rsidRDefault="008008BC" w:rsidP="008008BC">
    <w:pPr>
      <w:spacing w:before="0"/>
      <w:rPr>
        <w:sz w:val="18"/>
        <w:szCs w:val="18"/>
        <w:lang w:val="es-ES_tradnl"/>
      </w:rPr>
    </w:pPr>
  </w:p>
  <w:tbl>
    <w:tblPr>
      <w:tblW w:w="5001" w:type="pct"/>
      <w:tblLayout w:type="fixed"/>
      <w:tblLook w:val="04A0" w:firstRow="1" w:lastRow="0" w:firstColumn="1" w:lastColumn="0" w:noHBand="0" w:noVBand="1"/>
    </w:tblPr>
    <w:tblGrid>
      <w:gridCol w:w="1432"/>
      <w:gridCol w:w="2708"/>
      <w:gridCol w:w="5501"/>
    </w:tblGrid>
    <w:tr w:rsidR="00663583" w:rsidRPr="006F0D01" w14:paraId="2405CDF7" w14:textId="77777777" w:rsidTr="00C438F4">
      <w:tc>
        <w:tcPr>
          <w:tcW w:w="1432" w:type="dxa"/>
          <w:tcBorders>
            <w:top w:val="single" w:sz="4" w:space="0" w:color="000000"/>
          </w:tcBorders>
          <w:shd w:val="clear" w:color="auto" w:fill="auto"/>
        </w:tcPr>
        <w:p w14:paraId="069CC8A3" w14:textId="2E89D7F1" w:rsidR="00663583" w:rsidRPr="006F0D01" w:rsidRDefault="00663583" w:rsidP="00663583">
          <w:pPr>
            <w:pStyle w:val="FirstFooter"/>
            <w:tabs>
              <w:tab w:val="left" w:pos="1559"/>
              <w:tab w:val="left" w:pos="3828"/>
            </w:tabs>
            <w:rPr>
              <w:sz w:val="18"/>
              <w:szCs w:val="18"/>
              <w:lang w:val="es-ES_tradnl"/>
            </w:rPr>
          </w:pPr>
          <w:r w:rsidRPr="006F0D01">
            <w:rPr>
              <w:sz w:val="18"/>
              <w:szCs w:val="18"/>
              <w:lang w:val="es-ES_tradnl"/>
            </w:rPr>
            <w:t>Contact</w:t>
          </w:r>
          <w:r w:rsidR="00C438F4" w:rsidRPr="006F0D01">
            <w:rPr>
              <w:sz w:val="18"/>
              <w:szCs w:val="18"/>
              <w:lang w:val="es-ES_tradnl"/>
            </w:rPr>
            <w:t>o</w:t>
          </w:r>
          <w:r w:rsidRPr="006F0D01">
            <w:rPr>
              <w:sz w:val="18"/>
              <w:szCs w:val="18"/>
              <w:lang w:val="es-ES_tradnl"/>
            </w:rPr>
            <w:t>:</w:t>
          </w:r>
        </w:p>
      </w:tc>
      <w:tc>
        <w:tcPr>
          <w:tcW w:w="2708" w:type="dxa"/>
          <w:tcBorders>
            <w:top w:val="single" w:sz="4" w:space="0" w:color="000000"/>
          </w:tcBorders>
          <w:shd w:val="clear" w:color="auto" w:fill="auto"/>
        </w:tcPr>
        <w:p w14:paraId="47C9D700" w14:textId="1FEEFA93" w:rsidR="00663583" w:rsidRPr="006F0D01" w:rsidRDefault="00663583" w:rsidP="00C438F4">
          <w:pPr>
            <w:pStyle w:val="FirstFooter"/>
            <w:tabs>
              <w:tab w:val="left" w:pos="2302"/>
            </w:tabs>
            <w:ind w:left="2302" w:hanging="2302"/>
            <w:rPr>
              <w:sz w:val="18"/>
              <w:szCs w:val="18"/>
              <w:lang w:val="es-ES_tradnl"/>
            </w:rPr>
          </w:pPr>
          <w:r w:rsidRPr="006F0D01">
            <w:rPr>
              <w:sz w:val="18"/>
              <w:szCs w:val="18"/>
              <w:lang w:val="es-ES_tradnl"/>
            </w:rPr>
            <w:t>N</w:t>
          </w:r>
          <w:r w:rsidR="00C438F4" w:rsidRPr="006F0D01">
            <w:rPr>
              <w:sz w:val="18"/>
              <w:szCs w:val="18"/>
              <w:lang w:val="es-ES_tradnl"/>
            </w:rPr>
            <w:t>ombre</w:t>
          </w:r>
          <w:r w:rsidRPr="006F0D01">
            <w:rPr>
              <w:sz w:val="18"/>
              <w:szCs w:val="18"/>
              <w:lang w:val="es-ES_tradnl"/>
            </w:rPr>
            <w:t>/Organiza</w:t>
          </w:r>
          <w:r w:rsidR="00C438F4" w:rsidRPr="006F0D01">
            <w:rPr>
              <w:sz w:val="18"/>
              <w:szCs w:val="18"/>
              <w:lang w:val="es-ES_tradnl"/>
            </w:rPr>
            <w:t>ció</w:t>
          </w:r>
          <w:r w:rsidRPr="006F0D01">
            <w:rPr>
              <w:sz w:val="18"/>
              <w:szCs w:val="18"/>
              <w:lang w:val="es-ES_tradnl"/>
            </w:rPr>
            <w:t>n/Ent</w:t>
          </w:r>
          <w:r w:rsidR="00C438F4" w:rsidRPr="006F0D01">
            <w:rPr>
              <w:sz w:val="18"/>
              <w:szCs w:val="18"/>
              <w:lang w:val="es-ES_tradnl"/>
            </w:rPr>
            <w:t>idad</w:t>
          </w:r>
          <w:r w:rsidRPr="006F0D01">
            <w:rPr>
              <w:sz w:val="18"/>
              <w:szCs w:val="18"/>
              <w:lang w:val="es-ES_tradnl"/>
            </w:rPr>
            <w:t>:</w:t>
          </w:r>
        </w:p>
      </w:tc>
      <w:tc>
        <w:tcPr>
          <w:tcW w:w="5501" w:type="dxa"/>
          <w:tcBorders>
            <w:top w:val="single" w:sz="4" w:space="0" w:color="000000"/>
          </w:tcBorders>
        </w:tcPr>
        <w:p w14:paraId="225B9A27" w14:textId="23F13E63" w:rsidR="00663583" w:rsidRPr="006F0D01" w:rsidRDefault="00C438F4" w:rsidP="00C438F4">
          <w:pPr>
            <w:pStyle w:val="FirstFooter"/>
            <w:tabs>
              <w:tab w:val="left" w:pos="2302"/>
            </w:tabs>
            <w:rPr>
              <w:sz w:val="18"/>
              <w:szCs w:val="18"/>
              <w:lang w:val="es-ES_tradnl"/>
            </w:rPr>
          </w:pPr>
          <w:r w:rsidRPr="006F0D01">
            <w:rPr>
              <w:sz w:val="18"/>
              <w:szCs w:val="18"/>
              <w:lang w:val="es-ES_tradnl"/>
            </w:rPr>
            <w:t>S</w:t>
          </w:r>
          <w:r w:rsidR="00663583" w:rsidRPr="006F0D01">
            <w:rPr>
              <w:sz w:val="18"/>
              <w:szCs w:val="18"/>
              <w:lang w:val="es-ES_tradnl"/>
            </w:rPr>
            <w:t>r</w:t>
          </w:r>
          <w:r w:rsidRPr="006F0D01">
            <w:rPr>
              <w:sz w:val="18"/>
              <w:szCs w:val="18"/>
              <w:lang w:val="es-ES_tradnl"/>
            </w:rPr>
            <w:t>.</w:t>
          </w:r>
          <w:r w:rsidR="00663583" w:rsidRPr="006F0D01">
            <w:rPr>
              <w:sz w:val="18"/>
              <w:szCs w:val="18"/>
              <w:lang w:val="es-ES_tradnl"/>
            </w:rPr>
            <w:t xml:space="preserve"> Stephen Bereaux, </w:t>
          </w:r>
          <w:r w:rsidRPr="006F0D01">
            <w:rPr>
              <w:sz w:val="18"/>
              <w:szCs w:val="18"/>
              <w:lang w:val="es-ES_tradnl"/>
            </w:rPr>
            <w:t>Director</w:t>
          </w:r>
          <w:r w:rsidR="000C3213" w:rsidRPr="006F0D01">
            <w:rPr>
              <w:sz w:val="18"/>
              <w:szCs w:val="18"/>
              <w:lang w:val="es-ES_tradnl"/>
            </w:rPr>
            <w:t xml:space="preserve"> Adjunto, Oficina de Desarrollo</w:t>
          </w:r>
          <w:r w:rsidR="000C3213" w:rsidRPr="006F0D01">
            <w:rPr>
              <w:sz w:val="18"/>
              <w:szCs w:val="18"/>
              <w:lang w:val="es-ES_tradnl"/>
            </w:rPr>
            <w:br/>
          </w:r>
          <w:r w:rsidRPr="006F0D01">
            <w:rPr>
              <w:sz w:val="18"/>
              <w:szCs w:val="18"/>
              <w:lang w:val="es-ES_tradnl"/>
            </w:rPr>
            <w:t>de las Telecomunicaciones</w:t>
          </w:r>
        </w:p>
      </w:tc>
      <w:bookmarkStart w:id="68" w:name="OrgName"/>
      <w:bookmarkEnd w:id="68"/>
    </w:tr>
    <w:tr w:rsidR="00663583" w:rsidRPr="006F0D01" w14:paraId="4607CF08" w14:textId="77777777" w:rsidTr="00C438F4">
      <w:tc>
        <w:tcPr>
          <w:tcW w:w="1432" w:type="dxa"/>
          <w:shd w:val="clear" w:color="auto" w:fill="auto"/>
        </w:tcPr>
        <w:p w14:paraId="0DBB45CA" w14:textId="77777777" w:rsidR="00663583" w:rsidRPr="006F0D01" w:rsidRDefault="00663583" w:rsidP="00663583">
          <w:pPr>
            <w:pStyle w:val="FirstFooter"/>
            <w:tabs>
              <w:tab w:val="left" w:pos="1559"/>
              <w:tab w:val="left" w:pos="3828"/>
            </w:tabs>
            <w:rPr>
              <w:sz w:val="20"/>
              <w:lang w:val="es-ES_tradnl"/>
            </w:rPr>
          </w:pPr>
        </w:p>
      </w:tc>
      <w:tc>
        <w:tcPr>
          <w:tcW w:w="2708" w:type="dxa"/>
          <w:shd w:val="clear" w:color="auto" w:fill="auto"/>
        </w:tcPr>
        <w:p w14:paraId="64710DAE" w14:textId="28319576" w:rsidR="00663583" w:rsidRPr="006F0D01" w:rsidRDefault="00C438F4" w:rsidP="00C438F4">
          <w:pPr>
            <w:pStyle w:val="FirstFooter"/>
            <w:tabs>
              <w:tab w:val="left" w:pos="2302"/>
            </w:tabs>
            <w:rPr>
              <w:sz w:val="18"/>
              <w:szCs w:val="18"/>
              <w:lang w:val="es-ES_tradnl"/>
            </w:rPr>
          </w:pPr>
          <w:r w:rsidRPr="006F0D01">
            <w:rPr>
              <w:sz w:val="18"/>
              <w:szCs w:val="18"/>
              <w:lang w:val="es-ES_tradnl"/>
            </w:rPr>
            <w:t>Teléfono</w:t>
          </w:r>
          <w:r w:rsidR="00663583" w:rsidRPr="006F0D01">
            <w:rPr>
              <w:sz w:val="18"/>
              <w:szCs w:val="18"/>
              <w:lang w:val="es-ES_tradnl"/>
            </w:rPr>
            <w:t>:</w:t>
          </w:r>
        </w:p>
      </w:tc>
      <w:tc>
        <w:tcPr>
          <w:tcW w:w="5501" w:type="dxa"/>
        </w:tcPr>
        <w:p w14:paraId="33DF8092" w14:textId="12C27415" w:rsidR="00663583" w:rsidRPr="006F0D01" w:rsidRDefault="00663583" w:rsidP="00663583">
          <w:pPr>
            <w:pStyle w:val="FirstFooter"/>
            <w:tabs>
              <w:tab w:val="left" w:pos="2302"/>
            </w:tabs>
            <w:rPr>
              <w:sz w:val="18"/>
              <w:szCs w:val="18"/>
              <w:highlight w:val="yellow"/>
              <w:lang w:val="es-ES_tradnl"/>
            </w:rPr>
          </w:pPr>
          <w:r w:rsidRPr="006F0D01">
            <w:rPr>
              <w:sz w:val="18"/>
              <w:szCs w:val="18"/>
              <w:lang w:val="es-ES_tradnl"/>
            </w:rPr>
            <w:t>+41 22 730 5131</w:t>
          </w:r>
        </w:p>
      </w:tc>
      <w:bookmarkStart w:id="69" w:name="PhoneNo"/>
      <w:bookmarkEnd w:id="69"/>
    </w:tr>
    <w:tr w:rsidR="00663583" w:rsidRPr="006F0D01" w14:paraId="474E069B" w14:textId="77777777" w:rsidTr="00C438F4">
      <w:tc>
        <w:tcPr>
          <w:tcW w:w="1432" w:type="dxa"/>
          <w:shd w:val="clear" w:color="auto" w:fill="auto"/>
        </w:tcPr>
        <w:p w14:paraId="349E473D" w14:textId="77777777" w:rsidR="00663583" w:rsidRPr="006F0D01" w:rsidRDefault="00663583" w:rsidP="00663583">
          <w:pPr>
            <w:pStyle w:val="FirstFooter"/>
            <w:tabs>
              <w:tab w:val="left" w:pos="1559"/>
              <w:tab w:val="left" w:pos="3828"/>
            </w:tabs>
            <w:rPr>
              <w:sz w:val="20"/>
              <w:lang w:val="es-ES_tradnl"/>
            </w:rPr>
          </w:pPr>
        </w:p>
      </w:tc>
      <w:tc>
        <w:tcPr>
          <w:tcW w:w="2708" w:type="dxa"/>
          <w:shd w:val="clear" w:color="auto" w:fill="auto"/>
        </w:tcPr>
        <w:p w14:paraId="371FC720" w14:textId="53FD9783" w:rsidR="00663583" w:rsidRPr="006F0D01" w:rsidRDefault="00C438F4" w:rsidP="00C438F4">
          <w:pPr>
            <w:pStyle w:val="FirstFooter"/>
            <w:tabs>
              <w:tab w:val="left" w:pos="2302"/>
            </w:tabs>
            <w:rPr>
              <w:sz w:val="18"/>
              <w:szCs w:val="18"/>
              <w:lang w:val="es-ES_tradnl"/>
            </w:rPr>
          </w:pPr>
          <w:r w:rsidRPr="006F0D01">
            <w:rPr>
              <w:sz w:val="18"/>
              <w:szCs w:val="18"/>
              <w:lang w:val="es-ES_tradnl"/>
            </w:rPr>
            <w:t>Correo-e</w:t>
          </w:r>
          <w:r w:rsidR="00663583" w:rsidRPr="006F0D01">
            <w:rPr>
              <w:sz w:val="18"/>
              <w:szCs w:val="18"/>
              <w:lang w:val="es-ES_tradnl"/>
            </w:rPr>
            <w:t>:</w:t>
          </w:r>
        </w:p>
      </w:tc>
      <w:tc>
        <w:tcPr>
          <w:tcW w:w="5501" w:type="dxa"/>
        </w:tcPr>
        <w:p w14:paraId="56952740" w14:textId="48EC1635" w:rsidR="00663583" w:rsidRPr="006F0D01" w:rsidRDefault="00314DC6" w:rsidP="00663583">
          <w:pPr>
            <w:pStyle w:val="FirstFooter"/>
            <w:tabs>
              <w:tab w:val="left" w:pos="2302"/>
            </w:tabs>
            <w:rPr>
              <w:sz w:val="18"/>
              <w:szCs w:val="18"/>
              <w:highlight w:val="yellow"/>
              <w:lang w:val="es-ES_tradnl"/>
            </w:rPr>
          </w:pPr>
          <w:hyperlink r:id="rId1" w:history="1">
            <w:r w:rsidR="00663583" w:rsidRPr="006F0D01">
              <w:rPr>
                <w:rStyle w:val="Hyperlink"/>
                <w:sz w:val="18"/>
                <w:szCs w:val="22"/>
                <w:lang w:val="es-ES_tradnl"/>
              </w:rPr>
              <w:t>stephen.bereaux@itu.int</w:t>
            </w:r>
          </w:hyperlink>
          <w:r w:rsidR="00663583" w:rsidRPr="006F0D01">
            <w:rPr>
              <w:sz w:val="18"/>
              <w:szCs w:val="22"/>
              <w:lang w:val="es-ES_tradnl"/>
            </w:rPr>
            <w:t xml:space="preserve"> </w:t>
          </w:r>
        </w:p>
      </w:tc>
      <w:bookmarkStart w:id="70" w:name="Email"/>
      <w:bookmarkEnd w:id="70"/>
    </w:tr>
  </w:tbl>
  <w:p w14:paraId="65715F79" w14:textId="0356C352" w:rsidR="00E45D05" w:rsidRPr="006F0D01" w:rsidRDefault="00E45D05" w:rsidP="0069749B">
    <w:pPr>
      <w:rPr>
        <w:sz w:val="20"/>
        <w:szCs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1AC29" w14:textId="77777777" w:rsidR="00C14C9F" w:rsidRDefault="00C14C9F">
      <w:r>
        <w:rPr>
          <w:b/>
        </w:rPr>
        <w:t>_______________</w:t>
      </w:r>
    </w:p>
  </w:footnote>
  <w:footnote w:type="continuationSeparator" w:id="0">
    <w:p w14:paraId="1C1147A3" w14:textId="77777777" w:rsidR="00C14C9F" w:rsidRDefault="00C1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2F936536"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66" w:name="DocRef2"/>
    <w:bookmarkEnd w:id="66"/>
    <w:r w:rsidR="0069749B">
      <w:rPr>
        <w:sz w:val="22"/>
        <w:szCs w:val="22"/>
        <w:lang w:val="es-ES_tradnl"/>
      </w:rPr>
      <w:t>IRM21</w:t>
    </w:r>
    <w:r w:rsidR="000A48B6">
      <w:rPr>
        <w:sz w:val="22"/>
        <w:szCs w:val="22"/>
        <w:lang w:val="es-ES_tradnl"/>
      </w:rPr>
      <w:t>-3</w:t>
    </w:r>
    <w:r w:rsidRPr="00FF089C">
      <w:rPr>
        <w:sz w:val="22"/>
        <w:szCs w:val="22"/>
        <w:lang w:val="es-ES_tradnl"/>
      </w:rPr>
      <w:t>/</w:t>
    </w:r>
    <w:bookmarkStart w:id="67" w:name="DocNo2"/>
    <w:bookmarkEnd w:id="67"/>
    <w:r w:rsidR="00656D95">
      <w:rPr>
        <w:sz w:val="22"/>
        <w:szCs w:val="22"/>
        <w:lang w:val="es-ES_tradnl"/>
      </w:rPr>
      <w:t>69</w:t>
    </w:r>
    <w:r w:rsidR="006F0D01">
      <w:rPr>
        <w:sz w:val="22"/>
        <w:szCs w:val="22"/>
        <w:lang w:val="es-ES_tradnl"/>
      </w:rPr>
      <w:t>-S</w:t>
    </w:r>
    <w:r w:rsidRPr="00FF089C">
      <w:rPr>
        <w:sz w:val="22"/>
        <w:szCs w:val="22"/>
        <w:lang w:val="es-ES_tradnl"/>
      </w:rPr>
      <w:tab/>
    </w:r>
    <w:r w:rsidR="006F0D01">
      <w:rPr>
        <w:sz w:val="22"/>
        <w:szCs w:val="22"/>
        <w:lang w:val="es-ES_tradnl"/>
      </w:rPr>
      <w:t>Página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F0D01">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5F16A42"/>
    <w:multiLevelType w:val="hybridMultilevel"/>
    <w:tmpl w:val="7528F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D611E5"/>
    <w:multiLevelType w:val="hybridMultilevel"/>
    <w:tmpl w:val="53F08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BA21BCA"/>
    <w:multiLevelType w:val="hybridMultilevel"/>
    <w:tmpl w:val="71821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22BE"/>
    <w:rsid w:val="00086491"/>
    <w:rsid w:val="00091346"/>
    <w:rsid w:val="000A48B6"/>
    <w:rsid w:val="000C3213"/>
    <w:rsid w:val="000D41C5"/>
    <w:rsid w:val="000F73FF"/>
    <w:rsid w:val="00114CF7"/>
    <w:rsid w:val="00123B68"/>
    <w:rsid w:val="00124A96"/>
    <w:rsid w:val="00126F2E"/>
    <w:rsid w:val="00146A51"/>
    <w:rsid w:val="00146F6F"/>
    <w:rsid w:val="00152957"/>
    <w:rsid w:val="00187BD9"/>
    <w:rsid w:val="00190B55"/>
    <w:rsid w:val="00194CFB"/>
    <w:rsid w:val="00195268"/>
    <w:rsid w:val="001B2ED3"/>
    <w:rsid w:val="001C3B5F"/>
    <w:rsid w:val="001D058F"/>
    <w:rsid w:val="002009EA"/>
    <w:rsid w:val="00202CA0"/>
    <w:rsid w:val="00212EBB"/>
    <w:rsid w:val="002154A6"/>
    <w:rsid w:val="002255B3"/>
    <w:rsid w:val="00271316"/>
    <w:rsid w:val="002D58BE"/>
    <w:rsid w:val="002D732A"/>
    <w:rsid w:val="003013EE"/>
    <w:rsid w:val="00311D16"/>
    <w:rsid w:val="00314DC6"/>
    <w:rsid w:val="00377759"/>
    <w:rsid w:val="00377BD3"/>
    <w:rsid w:val="00384088"/>
    <w:rsid w:val="0039169B"/>
    <w:rsid w:val="00394831"/>
    <w:rsid w:val="003A7F8C"/>
    <w:rsid w:val="003B532E"/>
    <w:rsid w:val="003B6F14"/>
    <w:rsid w:val="003D0F8B"/>
    <w:rsid w:val="004131D4"/>
    <w:rsid w:val="0041348E"/>
    <w:rsid w:val="00435D62"/>
    <w:rsid w:val="00436965"/>
    <w:rsid w:val="00447308"/>
    <w:rsid w:val="004753DD"/>
    <w:rsid w:val="004765FF"/>
    <w:rsid w:val="00490830"/>
    <w:rsid w:val="00492075"/>
    <w:rsid w:val="004969AD"/>
    <w:rsid w:val="004B13CB"/>
    <w:rsid w:val="004B4FDF"/>
    <w:rsid w:val="004D5D5C"/>
    <w:rsid w:val="0050139F"/>
    <w:rsid w:val="00515E90"/>
    <w:rsid w:val="00521223"/>
    <w:rsid w:val="00547AFB"/>
    <w:rsid w:val="0055118B"/>
    <w:rsid w:val="0055140B"/>
    <w:rsid w:val="00585074"/>
    <w:rsid w:val="005964AB"/>
    <w:rsid w:val="005B3735"/>
    <w:rsid w:val="005C099A"/>
    <w:rsid w:val="005C31A5"/>
    <w:rsid w:val="005C7A3C"/>
    <w:rsid w:val="005D0ED3"/>
    <w:rsid w:val="005D6D03"/>
    <w:rsid w:val="005E10C9"/>
    <w:rsid w:val="005E61DD"/>
    <w:rsid w:val="005E6321"/>
    <w:rsid w:val="005E7F1C"/>
    <w:rsid w:val="006023DF"/>
    <w:rsid w:val="006239B8"/>
    <w:rsid w:val="00633664"/>
    <w:rsid w:val="00646859"/>
    <w:rsid w:val="00655097"/>
    <w:rsid w:val="00656D95"/>
    <w:rsid w:val="00657DE0"/>
    <w:rsid w:val="00663583"/>
    <w:rsid w:val="0067199F"/>
    <w:rsid w:val="00674952"/>
    <w:rsid w:val="006766AB"/>
    <w:rsid w:val="006848DD"/>
    <w:rsid w:val="00685313"/>
    <w:rsid w:val="00687800"/>
    <w:rsid w:val="0069749B"/>
    <w:rsid w:val="006A6E9B"/>
    <w:rsid w:val="006B7C2A"/>
    <w:rsid w:val="006C23DA"/>
    <w:rsid w:val="006D5C31"/>
    <w:rsid w:val="006E3D45"/>
    <w:rsid w:val="006F0D01"/>
    <w:rsid w:val="007065C2"/>
    <w:rsid w:val="007149F9"/>
    <w:rsid w:val="00733A30"/>
    <w:rsid w:val="00740B1E"/>
    <w:rsid w:val="00745AEE"/>
    <w:rsid w:val="007479EA"/>
    <w:rsid w:val="00750F10"/>
    <w:rsid w:val="007742CA"/>
    <w:rsid w:val="007D06F0"/>
    <w:rsid w:val="007D45E3"/>
    <w:rsid w:val="007D5320"/>
    <w:rsid w:val="007D6E4F"/>
    <w:rsid w:val="008008BC"/>
    <w:rsid w:val="00800972"/>
    <w:rsid w:val="00804475"/>
    <w:rsid w:val="00811633"/>
    <w:rsid w:val="00821CEF"/>
    <w:rsid w:val="00832828"/>
    <w:rsid w:val="0083645A"/>
    <w:rsid w:val="00855428"/>
    <w:rsid w:val="00872FC8"/>
    <w:rsid w:val="008801D3"/>
    <w:rsid w:val="00882D53"/>
    <w:rsid w:val="008845D0"/>
    <w:rsid w:val="00885D3E"/>
    <w:rsid w:val="008B43F2"/>
    <w:rsid w:val="008B6CFF"/>
    <w:rsid w:val="008F422A"/>
    <w:rsid w:val="00910B26"/>
    <w:rsid w:val="00916FC8"/>
    <w:rsid w:val="0092499A"/>
    <w:rsid w:val="009274B4"/>
    <w:rsid w:val="00932355"/>
    <w:rsid w:val="00934EA2"/>
    <w:rsid w:val="00944A5C"/>
    <w:rsid w:val="00952A66"/>
    <w:rsid w:val="009B51E3"/>
    <w:rsid w:val="009C56E5"/>
    <w:rsid w:val="009C6377"/>
    <w:rsid w:val="009E5FC8"/>
    <w:rsid w:val="009E687A"/>
    <w:rsid w:val="00A03C5C"/>
    <w:rsid w:val="00A066F1"/>
    <w:rsid w:val="00A141AF"/>
    <w:rsid w:val="00A16D29"/>
    <w:rsid w:val="00A20E5E"/>
    <w:rsid w:val="00A30305"/>
    <w:rsid w:val="00A31D2D"/>
    <w:rsid w:val="00A4600A"/>
    <w:rsid w:val="00A538A6"/>
    <w:rsid w:val="00A54C25"/>
    <w:rsid w:val="00A710E7"/>
    <w:rsid w:val="00A71114"/>
    <w:rsid w:val="00A7372E"/>
    <w:rsid w:val="00A93B85"/>
    <w:rsid w:val="00A96DFE"/>
    <w:rsid w:val="00AA0B18"/>
    <w:rsid w:val="00AA2B39"/>
    <w:rsid w:val="00AA666F"/>
    <w:rsid w:val="00AD08B0"/>
    <w:rsid w:val="00B004E5"/>
    <w:rsid w:val="00B05B45"/>
    <w:rsid w:val="00B63782"/>
    <w:rsid w:val="00B639E9"/>
    <w:rsid w:val="00B7249F"/>
    <w:rsid w:val="00B76BC1"/>
    <w:rsid w:val="00B817CD"/>
    <w:rsid w:val="00B8505E"/>
    <w:rsid w:val="00BA3741"/>
    <w:rsid w:val="00BA65F3"/>
    <w:rsid w:val="00BB29C8"/>
    <w:rsid w:val="00BB3A95"/>
    <w:rsid w:val="00BB4DC9"/>
    <w:rsid w:val="00BE0C72"/>
    <w:rsid w:val="00BF5755"/>
    <w:rsid w:val="00C0018F"/>
    <w:rsid w:val="00C14C9F"/>
    <w:rsid w:val="00C20466"/>
    <w:rsid w:val="00C214ED"/>
    <w:rsid w:val="00C234E6"/>
    <w:rsid w:val="00C324A8"/>
    <w:rsid w:val="00C438F4"/>
    <w:rsid w:val="00C52D8E"/>
    <w:rsid w:val="00C54517"/>
    <w:rsid w:val="00C64B30"/>
    <w:rsid w:val="00C64CD8"/>
    <w:rsid w:val="00C97C68"/>
    <w:rsid w:val="00CA0136"/>
    <w:rsid w:val="00CA1A47"/>
    <w:rsid w:val="00CC247A"/>
    <w:rsid w:val="00CE4B5E"/>
    <w:rsid w:val="00CE5E47"/>
    <w:rsid w:val="00CF020F"/>
    <w:rsid w:val="00CF0676"/>
    <w:rsid w:val="00CF0E69"/>
    <w:rsid w:val="00CF2B5B"/>
    <w:rsid w:val="00D14CE0"/>
    <w:rsid w:val="00D5651D"/>
    <w:rsid w:val="00D56AB7"/>
    <w:rsid w:val="00D74898"/>
    <w:rsid w:val="00D801ED"/>
    <w:rsid w:val="00D83BF5"/>
    <w:rsid w:val="00D925C2"/>
    <w:rsid w:val="00D936BC"/>
    <w:rsid w:val="00D96530"/>
    <w:rsid w:val="00D96B4B"/>
    <w:rsid w:val="00DA7078"/>
    <w:rsid w:val="00DD08B4"/>
    <w:rsid w:val="00DD324E"/>
    <w:rsid w:val="00DD44AF"/>
    <w:rsid w:val="00DE2AC3"/>
    <w:rsid w:val="00DE434C"/>
    <w:rsid w:val="00DE5692"/>
    <w:rsid w:val="00DF6F8E"/>
    <w:rsid w:val="00E03C94"/>
    <w:rsid w:val="00E07105"/>
    <w:rsid w:val="00E26226"/>
    <w:rsid w:val="00E45D05"/>
    <w:rsid w:val="00E55816"/>
    <w:rsid w:val="00E55AEF"/>
    <w:rsid w:val="00E928A1"/>
    <w:rsid w:val="00E92C84"/>
    <w:rsid w:val="00E976C1"/>
    <w:rsid w:val="00EA12E5"/>
    <w:rsid w:val="00EA2D9F"/>
    <w:rsid w:val="00ED2DA4"/>
    <w:rsid w:val="00ED64CE"/>
    <w:rsid w:val="00F02766"/>
    <w:rsid w:val="00F04067"/>
    <w:rsid w:val="00F05BD4"/>
    <w:rsid w:val="00F21A1D"/>
    <w:rsid w:val="00F65C19"/>
    <w:rsid w:val="00F80F88"/>
    <w:rsid w:val="00FB034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styleId="CommentReference">
    <w:name w:val="annotation reference"/>
    <w:basedOn w:val="DefaultParagraphFont"/>
    <w:semiHidden/>
    <w:unhideWhenUsed/>
    <w:rsid w:val="00C52D8E"/>
    <w:rPr>
      <w:sz w:val="16"/>
      <w:szCs w:val="16"/>
    </w:rPr>
  </w:style>
  <w:style w:type="paragraph" w:styleId="CommentText">
    <w:name w:val="annotation text"/>
    <w:basedOn w:val="Normal"/>
    <w:link w:val="CommentTextChar"/>
    <w:unhideWhenUsed/>
    <w:rsid w:val="00C52D8E"/>
    <w:rPr>
      <w:sz w:val="20"/>
    </w:rPr>
  </w:style>
  <w:style w:type="character" w:customStyle="1" w:styleId="CommentTextChar">
    <w:name w:val="Comment Text Char"/>
    <w:basedOn w:val="DefaultParagraphFont"/>
    <w:link w:val="CommentText"/>
    <w:rsid w:val="00C52D8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52D8E"/>
    <w:rPr>
      <w:b/>
      <w:bCs/>
    </w:rPr>
  </w:style>
  <w:style w:type="character" w:customStyle="1" w:styleId="CommentSubjectChar">
    <w:name w:val="Comment Subject Char"/>
    <w:basedOn w:val="CommentTextChar"/>
    <w:link w:val="CommentSubject"/>
    <w:semiHidden/>
    <w:rsid w:val="00C52D8E"/>
    <w:rPr>
      <w:rFonts w:asciiTheme="minorHAnsi" w:hAnsiTheme="minorHAnsi"/>
      <w:b/>
      <w:bCs/>
      <w:lang w:val="en-GB" w:eastAsia="en-US"/>
    </w:rPr>
  </w:style>
  <w:style w:type="character" w:customStyle="1" w:styleId="UnresolvedMention2">
    <w:name w:val="Unresolved Mention2"/>
    <w:basedOn w:val="DefaultParagraphFont"/>
    <w:uiPriority w:val="99"/>
    <w:semiHidden/>
    <w:unhideWhenUsed/>
    <w:rsid w:val="00646859"/>
    <w:rPr>
      <w:color w:val="605E5C"/>
      <w:shd w:val="clear" w:color="auto" w:fill="E1DFDD"/>
    </w:rPr>
  </w:style>
  <w:style w:type="table" w:styleId="TableGrid">
    <w:name w:val="Table Grid"/>
    <w:basedOn w:val="TableNormal"/>
    <w:rsid w:val="00646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3DD"/>
    <w:rPr>
      <w:rFonts w:asciiTheme="minorHAnsi" w:hAnsiTheme="minorHAnsi"/>
      <w:sz w:val="24"/>
      <w:lang w:val="en-GB" w:eastAsia="en-US"/>
    </w:rPr>
  </w:style>
  <w:style w:type="character" w:styleId="Emphasis">
    <w:name w:val="Emphasis"/>
    <w:basedOn w:val="DefaultParagraphFont"/>
    <w:qFormat/>
    <w:rsid w:val="00633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062734">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8319640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944922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iew.officeapps.live.com/op/view.aspx?src=https%3A%2F%2Fwww.itu.int%2Fdms_pub%2Fitu-d%2Fmd%2F18%2Ftdag28%2Fc%2FD18-TDAG28-C-0017!!MSW-S.docx&amp;wdOrigin=BROWSELINK"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TDAG28-C-0017/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www.w3.org/XML/1998/namespace"/>
    <ds:schemaRef ds:uri="http://schemas.openxmlformats.org/package/2006/metadata/core-properties"/>
    <ds:schemaRef ds:uri="996b2e75-67fd-4955-a3b0-5ab9934cb50b"/>
    <ds:schemaRef ds:uri="32a1a8c5-2265-4ebc-b7a0-2071e2c5c9bb"/>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B430CF2A-034A-4779-94F6-DA1E0D9D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934</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8</cp:revision>
  <cp:lastPrinted>2011-08-24T07:41:00Z</cp:lastPrinted>
  <dcterms:created xsi:type="dcterms:W3CDTF">2022-03-03T12:16:00Z</dcterms:created>
  <dcterms:modified xsi:type="dcterms:W3CDTF">2022-03-09T19:55:00Z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