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843"/>
        <w:gridCol w:w="1419"/>
      </w:tblGrid>
      <w:tr w:rsidR="00980EB0" w:rsidRPr="00AE2BCA" w14:paraId="17753B25" w14:textId="77777777" w:rsidTr="00646ECA">
        <w:trPr>
          <w:cantSplit/>
        </w:trPr>
        <w:tc>
          <w:tcPr>
            <w:tcW w:w="2127" w:type="dxa"/>
          </w:tcPr>
          <w:p w14:paraId="05A0EAAE" w14:textId="3781E582" w:rsidR="00980EB0" w:rsidRPr="00641CA0" w:rsidRDefault="004E09B1" w:rsidP="004E09B1">
            <w:pPr>
              <w:spacing w:before="600" w:after="120"/>
              <w:rPr>
                <w:b/>
                <w:bCs/>
                <w:sz w:val="32"/>
                <w:szCs w:val="32"/>
                <w:lang w:val="fr-CH"/>
              </w:rPr>
            </w:pPr>
            <w:r>
              <w:rPr>
                <w:noProof/>
              </w:rPr>
              <w:drawing>
                <wp:inline distT="0" distB="0" distL="0" distR="0" wp14:anchorId="0D4E78A8" wp14:editId="16778300">
                  <wp:extent cx="1213485" cy="21526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21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133AC731" w14:textId="1F8F2E4F" w:rsidR="00980EB0" w:rsidRPr="001525AB" w:rsidRDefault="00464051" w:rsidP="004E09B1">
            <w:pPr>
              <w:spacing w:before="200" w:after="120"/>
              <w:rPr>
                <w:b/>
                <w:bCs/>
                <w:sz w:val="32"/>
                <w:szCs w:val="32"/>
                <w:lang w:val="fr-CH"/>
              </w:rPr>
            </w:pPr>
            <w:r w:rsidRPr="001525AB">
              <w:rPr>
                <w:b/>
                <w:bCs/>
                <w:sz w:val="32"/>
                <w:szCs w:val="32"/>
                <w:lang w:val="fr-CH"/>
              </w:rPr>
              <w:t>Troisième r</w:t>
            </w:r>
            <w:r w:rsidR="006661C3" w:rsidRPr="001525AB">
              <w:rPr>
                <w:b/>
                <w:bCs/>
                <w:sz w:val="32"/>
                <w:szCs w:val="32"/>
                <w:lang w:val="fr-CH"/>
              </w:rPr>
              <w:t>éunion interrégionale</w:t>
            </w:r>
            <w:r w:rsidRPr="001525AB">
              <w:rPr>
                <w:b/>
                <w:bCs/>
                <w:sz w:val="32"/>
                <w:szCs w:val="32"/>
                <w:lang w:val="fr-CH"/>
              </w:rPr>
              <w:t xml:space="preserve"> </w:t>
            </w:r>
            <w:r w:rsidR="006661C3" w:rsidRPr="001525AB">
              <w:rPr>
                <w:b/>
                <w:bCs/>
                <w:sz w:val="32"/>
                <w:szCs w:val="32"/>
                <w:lang w:val="fr-CH"/>
              </w:rPr>
              <w:t>(IRM</w:t>
            </w:r>
            <w:r w:rsidRPr="001525AB">
              <w:rPr>
                <w:b/>
                <w:bCs/>
                <w:sz w:val="32"/>
                <w:szCs w:val="32"/>
                <w:lang w:val="fr-CH"/>
              </w:rPr>
              <w:noBreakHyphen/>
              <w:t>3</w:t>
            </w:r>
            <w:r w:rsidR="006661C3" w:rsidRPr="001525AB">
              <w:rPr>
                <w:b/>
                <w:bCs/>
                <w:sz w:val="32"/>
                <w:szCs w:val="32"/>
                <w:lang w:val="fr-CH"/>
              </w:rPr>
              <w:t>) chargée de la préparation de la CMDT</w:t>
            </w:r>
          </w:p>
          <w:p w14:paraId="733A8873" w14:textId="75DA4479" w:rsidR="002A3921" w:rsidRPr="002A3921" w:rsidRDefault="002A3921" w:rsidP="004E09B1">
            <w:pPr>
              <w:spacing w:before="200" w:after="120"/>
              <w:rPr>
                <w:b/>
                <w:bCs/>
                <w:szCs w:val="24"/>
                <w:lang w:val="fr-CH"/>
              </w:rPr>
            </w:pPr>
            <w:r w:rsidRPr="002A3921">
              <w:rPr>
                <w:b/>
                <w:bCs/>
                <w:szCs w:val="24"/>
                <w:lang w:val="fr-CH"/>
              </w:rPr>
              <w:t>Genève, Suisse, 10-11 mars 2022</w:t>
            </w:r>
          </w:p>
        </w:tc>
        <w:tc>
          <w:tcPr>
            <w:tcW w:w="1419" w:type="dxa"/>
          </w:tcPr>
          <w:p w14:paraId="279197B1" w14:textId="09B5E2EB" w:rsidR="00980EB0" w:rsidRPr="00AE2BCA" w:rsidRDefault="00980EB0" w:rsidP="00875786">
            <w:pPr>
              <w:spacing w:before="240" w:after="120"/>
              <w:ind w:right="142"/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 wp14:anchorId="21CF14CF" wp14:editId="205E0EF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96E" w:rsidRPr="002D0049" w14:paraId="02CA2556" w14:textId="77777777" w:rsidTr="00504609">
        <w:trPr>
          <w:cantSplit/>
          <w:trHeight w:val="238"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5057834D" w14:textId="77777777" w:rsidR="0070796E" w:rsidRPr="002D0049" w:rsidRDefault="0070796E" w:rsidP="00875786">
            <w:pPr>
              <w:spacing w:before="0"/>
              <w:rPr>
                <w:lang w:val="en-US"/>
              </w:rPr>
            </w:pPr>
            <w:bookmarkStart w:id="0" w:name="Meeting"/>
            <w:bookmarkStart w:id="1" w:name="PlaceDate"/>
            <w:bookmarkEnd w:id="0"/>
            <w:bookmarkEnd w:id="1"/>
          </w:p>
        </w:tc>
        <w:tc>
          <w:tcPr>
            <w:tcW w:w="3262" w:type="dxa"/>
            <w:gridSpan w:val="2"/>
            <w:tcBorders>
              <w:top w:val="single" w:sz="12" w:space="0" w:color="auto"/>
            </w:tcBorders>
          </w:tcPr>
          <w:p w14:paraId="48551317" w14:textId="77777777" w:rsidR="0070796E" w:rsidRPr="002D0049" w:rsidRDefault="0070796E" w:rsidP="00875786">
            <w:pPr>
              <w:spacing w:before="0"/>
              <w:rPr>
                <w:lang w:val="en-US"/>
              </w:rPr>
            </w:pPr>
          </w:p>
        </w:tc>
      </w:tr>
      <w:tr w:rsidR="0070796E" w:rsidRPr="00BA2A7B" w14:paraId="042F6D12" w14:textId="77777777" w:rsidTr="00504609">
        <w:trPr>
          <w:cantSplit/>
          <w:trHeight w:val="20"/>
        </w:trPr>
        <w:tc>
          <w:tcPr>
            <w:tcW w:w="6379" w:type="dxa"/>
            <w:gridSpan w:val="2"/>
            <w:vMerge w:val="restart"/>
          </w:tcPr>
          <w:p w14:paraId="20070EC3" w14:textId="77777777" w:rsidR="0070796E" w:rsidRPr="002D0049" w:rsidRDefault="0070796E" w:rsidP="00875786">
            <w:pPr>
              <w:rPr>
                <w:lang w:val="en-US"/>
              </w:rPr>
            </w:pPr>
          </w:p>
        </w:tc>
        <w:tc>
          <w:tcPr>
            <w:tcW w:w="3262" w:type="dxa"/>
            <w:gridSpan w:val="2"/>
          </w:tcPr>
          <w:p w14:paraId="49CE235C" w14:textId="0EED9742" w:rsidR="0070796E" w:rsidRPr="0093043A" w:rsidRDefault="0070796E" w:rsidP="00875786">
            <w:pPr>
              <w:spacing w:before="0"/>
              <w:rPr>
                <w:b/>
                <w:bCs/>
                <w:szCs w:val="24"/>
                <w:lang w:val="fr-CH"/>
              </w:rPr>
            </w:pPr>
            <w:r w:rsidRPr="0093043A">
              <w:rPr>
                <w:b/>
                <w:bCs/>
                <w:szCs w:val="24"/>
                <w:lang w:val="fr-CH"/>
              </w:rPr>
              <w:t>Document</w:t>
            </w:r>
            <w:r w:rsidR="006527BD" w:rsidRPr="0093043A">
              <w:rPr>
                <w:b/>
                <w:bCs/>
                <w:szCs w:val="24"/>
                <w:lang w:val="fr-CH"/>
              </w:rPr>
              <w:t xml:space="preserve"> </w:t>
            </w:r>
            <w:bookmarkStart w:id="2" w:name="DocRef1"/>
            <w:bookmarkEnd w:id="2"/>
            <w:r w:rsidR="006661C3">
              <w:rPr>
                <w:b/>
                <w:bCs/>
                <w:szCs w:val="24"/>
                <w:lang w:val="fr-CH"/>
              </w:rPr>
              <w:t>IRM21</w:t>
            </w:r>
            <w:r w:rsidR="00464051">
              <w:rPr>
                <w:b/>
                <w:bCs/>
                <w:szCs w:val="24"/>
                <w:lang w:val="fr-CH"/>
              </w:rPr>
              <w:t>-3</w:t>
            </w:r>
            <w:r w:rsidR="00FF089C" w:rsidRPr="0093043A">
              <w:rPr>
                <w:b/>
                <w:bCs/>
                <w:szCs w:val="24"/>
                <w:lang w:val="fr-CH"/>
              </w:rPr>
              <w:t>/</w:t>
            </w:r>
            <w:r w:rsidR="00464051">
              <w:rPr>
                <w:b/>
                <w:bCs/>
                <w:szCs w:val="24"/>
                <w:lang w:val="fr-CH"/>
              </w:rPr>
              <w:t>69</w:t>
            </w:r>
            <w:r w:rsidR="00FF089C" w:rsidRPr="0093043A">
              <w:rPr>
                <w:b/>
                <w:bCs/>
                <w:szCs w:val="24"/>
                <w:lang w:val="fr-CH"/>
              </w:rPr>
              <w:t>-</w:t>
            </w:r>
            <w:bookmarkStart w:id="3" w:name="DocNo1"/>
            <w:bookmarkEnd w:id="3"/>
            <w:r w:rsidR="0093043A" w:rsidRPr="0093043A">
              <w:rPr>
                <w:b/>
                <w:bCs/>
                <w:szCs w:val="24"/>
                <w:lang w:val="fr-CH"/>
              </w:rPr>
              <w:t>F</w:t>
            </w:r>
          </w:p>
        </w:tc>
      </w:tr>
      <w:tr w:rsidR="0070796E" w:rsidRPr="00AE2BCA" w14:paraId="2EA9F9CE" w14:textId="77777777" w:rsidTr="00504609">
        <w:trPr>
          <w:cantSplit/>
          <w:trHeight w:val="23"/>
        </w:trPr>
        <w:tc>
          <w:tcPr>
            <w:tcW w:w="6379" w:type="dxa"/>
            <w:gridSpan w:val="2"/>
            <w:vMerge/>
          </w:tcPr>
          <w:p w14:paraId="2A780D8D" w14:textId="77777777" w:rsidR="0070796E" w:rsidRPr="0093043A" w:rsidRDefault="0070796E">
            <w:pPr>
              <w:tabs>
                <w:tab w:val="left" w:pos="851"/>
              </w:tabs>
              <w:rPr>
                <w:b/>
                <w:lang w:val="fr-CH"/>
              </w:rPr>
              <w:pPrChange w:id="4" w:author="French" w:date="2022-03-03T13:58:00Z">
                <w:pPr>
                  <w:framePr w:hSpace="181" w:wrap="around" w:vAnchor="page" w:hAnchor="margin" w:y="1061"/>
                  <w:tabs>
                    <w:tab w:val="left" w:pos="851"/>
                  </w:tabs>
                  <w:spacing w:line="240" w:lineRule="atLeast"/>
                </w:pPr>
              </w:pPrChange>
            </w:pPr>
          </w:p>
        </w:tc>
        <w:tc>
          <w:tcPr>
            <w:tcW w:w="3262" w:type="dxa"/>
            <w:gridSpan w:val="2"/>
          </w:tcPr>
          <w:p w14:paraId="5AACB509" w14:textId="3CF199B3" w:rsidR="0070796E" w:rsidRPr="00930F7E" w:rsidRDefault="00464051" w:rsidP="00875786">
            <w:pPr>
              <w:spacing w:before="0"/>
              <w:rPr>
                <w:b/>
                <w:bCs/>
                <w:szCs w:val="24"/>
                <w:lang w:val="fr-FR"/>
              </w:rPr>
            </w:pPr>
            <w:bookmarkStart w:id="5" w:name="CreationDate"/>
            <w:bookmarkEnd w:id="5"/>
            <w:r>
              <w:rPr>
                <w:b/>
                <w:bCs/>
                <w:szCs w:val="24"/>
                <w:lang w:val="fr-FR"/>
              </w:rPr>
              <w:t>3 mars 2022</w:t>
            </w:r>
          </w:p>
        </w:tc>
      </w:tr>
      <w:tr w:rsidR="0070796E" w:rsidRPr="00AE2BCA" w14:paraId="03F0AF90" w14:textId="77777777" w:rsidTr="00504609">
        <w:trPr>
          <w:cantSplit/>
          <w:trHeight w:val="333"/>
        </w:trPr>
        <w:tc>
          <w:tcPr>
            <w:tcW w:w="6379" w:type="dxa"/>
            <w:gridSpan w:val="2"/>
            <w:vMerge/>
          </w:tcPr>
          <w:p w14:paraId="49E11E04" w14:textId="77777777" w:rsidR="0070796E" w:rsidRPr="00AE2BCA" w:rsidRDefault="0070796E">
            <w:pPr>
              <w:tabs>
                <w:tab w:val="left" w:pos="851"/>
              </w:tabs>
              <w:rPr>
                <w:b/>
              </w:rPr>
              <w:pPrChange w:id="6" w:author="French" w:date="2022-03-03T13:58:00Z">
                <w:pPr>
                  <w:framePr w:hSpace="181" w:wrap="around" w:vAnchor="page" w:hAnchor="margin" w:y="1061"/>
                  <w:tabs>
                    <w:tab w:val="left" w:pos="851"/>
                  </w:tabs>
                  <w:spacing w:line="240" w:lineRule="atLeast"/>
                </w:pPr>
              </w:pPrChange>
            </w:pPr>
          </w:p>
        </w:tc>
        <w:tc>
          <w:tcPr>
            <w:tcW w:w="3262" w:type="dxa"/>
            <w:gridSpan w:val="2"/>
          </w:tcPr>
          <w:p w14:paraId="5C49528C" w14:textId="1E0DB836" w:rsidR="0070796E" w:rsidRPr="00930F7E" w:rsidRDefault="0070796E" w:rsidP="00875786">
            <w:pPr>
              <w:spacing w:before="0" w:after="120"/>
              <w:rPr>
                <w:b/>
                <w:bCs/>
                <w:szCs w:val="24"/>
                <w:lang w:val="fr-FR"/>
              </w:rPr>
            </w:pPr>
            <w:proofErr w:type="gramStart"/>
            <w:r w:rsidRPr="00930F7E">
              <w:rPr>
                <w:b/>
                <w:bCs/>
                <w:szCs w:val="24"/>
                <w:lang w:val="fr-FR"/>
              </w:rPr>
              <w:t>Original:</w:t>
            </w:r>
            <w:proofErr w:type="gramEnd"/>
            <w:r w:rsidR="005543B5">
              <w:rPr>
                <w:b/>
                <w:bCs/>
                <w:szCs w:val="24"/>
                <w:lang w:val="fr-FR"/>
              </w:rPr>
              <w:t xml:space="preserve"> </w:t>
            </w:r>
            <w:bookmarkStart w:id="7" w:name="Original"/>
            <w:bookmarkEnd w:id="7"/>
            <w:r w:rsidR="00464051">
              <w:rPr>
                <w:b/>
                <w:bCs/>
                <w:szCs w:val="24"/>
                <w:lang w:val="fr-FR"/>
              </w:rPr>
              <w:t>anglais</w:t>
            </w:r>
          </w:p>
        </w:tc>
      </w:tr>
      <w:tr w:rsidR="0070796E" w:rsidRPr="004E09B1" w14:paraId="655B5FD0" w14:textId="77777777" w:rsidTr="00504609">
        <w:trPr>
          <w:cantSplit/>
          <w:trHeight w:val="23"/>
        </w:trPr>
        <w:tc>
          <w:tcPr>
            <w:tcW w:w="9641" w:type="dxa"/>
            <w:gridSpan w:val="4"/>
          </w:tcPr>
          <w:p w14:paraId="438BCD9A" w14:textId="38450881" w:rsidR="0070796E" w:rsidRPr="00875786" w:rsidRDefault="000D5661" w:rsidP="00875786">
            <w:pPr>
              <w:pStyle w:val="Source"/>
              <w:jc w:val="center"/>
              <w:rPr>
                <w:sz w:val="28"/>
                <w:szCs w:val="28"/>
                <w:lang w:val="fr-FR"/>
              </w:rPr>
            </w:pPr>
            <w:r w:rsidRPr="00875786">
              <w:rPr>
                <w:sz w:val="28"/>
                <w:szCs w:val="28"/>
                <w:lang w:val="fr-FR"/>
              </w:rPr>
              <w:t>Directrice</w:t>
            </w:r>
            <w:r w:rsidR="00C85C6C" w:rsidRPr="00875786">
              <w:rPr>
                <w:sz w:val="28"/>
                <w:szCs w:val="28"/>
                <w:lang w:val="fr-FR"/>
              </w:rPr>
              <w:t xml:space="preserve"> du </w:t>
            </w:r>
            <w:r w:rsidRPr="00875786">
              <w:rPr>
                <w:sz w:val="28"/>
                <w:szCs w:val="28"/>
                <w:lang w:val="fr-FR"/>
              </w:rPr>
              <w:t xml:space="preserve">Bureau </w:t>
            </w:r>
            <w:r w:rsidR="000E23F1" w:rsidRPr="00875786">
              <w:rPr>
                <w:sz w:val="28"/>
                <w:szCs w:val="28"/>
                <w:lang w:val="fr-FR"/>
              </w:rPr>
              <w:t>de</w:t>
            </w:r>
            <w:r w:rsidRPr="00875786">
              <w:rPr>
                <w:sz w:val="28"/>
                <w:szCs w:val="28"/>
                <w:lang w:val="fr-FR"/>
              </w:rPr>
              <w:t xml:space="preserve"> développement des télécommunications</w:t>
            </w:r>
          </w:p>
        </w:tc>
      </w:tr>
      <w:tr w:rsidR="00421F93" w:rsidRPr="004E09B1" w14:paraId="72DD2DDB" w14:textId="77777777" w:rsidTr="00504609">
        <w:trPr>
          <w:cantSplit/>
          <w:trHeight w:val="23"/>
        </w:trPr>
        <w:tc>
          <w:tcPr>
            <w:tcW w:w="9641" w:type="dxa"/>
            <w:gridSpan w:val="4"/>
          </w:tcPr>
          <w:p w14:paraId="7D77AAB7" w14:textId="27E87793" w:rsidR="00421F93" w:rsidRPr="00F4250E" w:rsidRDefault="000D5661" w:rsidP="00875786">
            <w:pPr>
              <w:pStyle w:val="Title1"/>
              <w:jc w:val="center"/>
              <w:rPr>
                <w:b w:val="0"/>
                <w:bCs/>
                <w:sz w:val="28"/>
                <w:szCs w:val="28"/>
                <w:lang w:val="fr-FR"/>
              </w:rPr>
            </w:pPr>
            <w:r w:rsidRPr="00F4250E">
              <w:rPr>
                <w:b w:val="0"/>
                <w:bCs/>
                <w:sz w:val="28"/>
                <w:szCs w:val="28"/>
                <w:lang w:val="fr-FR"/>
              </w:rPr>
              <w:t>Base</w:t>
            </w:r>
            <w:r w:rsidR="00C85C6C" w:rsidRPr="00F4250E">
              <w:rPr>
                <w:b w:val="0"/>
                <w:bCs/>
                <w:sz w:val="28"/>
                <w:szCs w:val="28"/>
                <w:lang w:val="fr-FR"/>
              </w:rPr>
              <w:t>s</w:t>
            </w:r>
            <w:r w:rsidRPr="00F4250E">
              <w:rPr>
                <w:b w:val="0"/>
                <w:bCs/>
                <w:sz w:val="28"/>
                <w:szCs w:val="28"/>
                <w:lang w:val="fr-FR"/>
              </w:rPr>
              <w:t xml:space="preserve"> </w:t>
            </w:r>
            <w:r w:rsidR="00161B5B" w:rsidRPr="00F4250E">
              <w:rPr>
                <w:b w:val="0"/>
                <w:bCs/>
                <w:sz w:val="28"/>
                <w:szCs w:val="28"/>
                <w:lang w:val="fr-FR"/>
              </w:rPr>
              <w:t xml:space="preserve">à prendre en compte </w:t>
            </w:r>
            <w:r w:rsidR="00C85C6C" w:rsidRPr="00F4250E">
              <w:rPr>
                <w:b w:val="0"/>
                <w:bCs/>
                <w:sz w:val="28"/>
                <w:szCs w:val="28"/>
                <w:lang w:val="fr-FR"/>
              </w:rPr>
              <w:t>pour</w:t>
            </w:r>
            <w:r w:rsidRPr="00F4250E">
              <w:rPr>
                <w:b w:val="0"/>
                <w:bCs/>
                <w:sz w:val="28"/>
                <w:szCs w:val="28"/>
                <w:lang w:val="fr-FR"/>
              </w:rPr>
              <w:t xml:space="preserve"> la répartition des documents</w:t>
            </w:r>
            <w:r w:rsidR="00875786" w:rsidRPr="00F4250E">
              <w:rPr>
                <w:b w:val="0"/>
                <w:bCs/>
                <w:sz w:val="28"/>
                <w:szCs w:val="28"/>
                <w:lang w:val="fr-FR"/>
              </w:rPr>
              <w:br/>
            </w:r>
            <w:r w:rsidRPr="00F4250E">
              <w:rPr>
                <w:b w:val="0"/>
                <w:bCs/>
                <w:sz w:val="28"/>
                <w:szCs w:val="28"/>
                <w:lang w:val="fr-FR"/>
              </w:rPr>
              <w:t>et</w:t>
            </w:r>
            <w:r w:rsidR="00875786" w:rsidRPr="00F4250E">
              <w:rPr>
                <w:b w:val="0"/>
                <w:bCs/>
                <w:sz w:val="28"/>
                <w:szCs w:val="28"/>
                <w:lang w:val="fr-FR"/>
              </w:rPr>
              <w:t xml:space="preserve"> </w:t>
            </w:r>
            <w:r w:rsidR="003918D0" w:rsidRPr="00F4250E">
              <w:rPr>
                <w:b w:val="0"/>
                <w:bCs/>
                <w:sz w:val="28"/>
                <w:szCs w:val="28"/>
                <w:lang w:val="fr-FR"/>
              </w:rPr>
              <w:t xml:space="preserve">de </w:t>
            </w:r>
            <w:r w:rsidRPr="00F4250E">
              <w:rPr>
                <w:b w:val="0"/>
                <w:bCs/>
                <w:sz w:val="28"/>
                <w:szCs w:val="28"/>
                <w:lang w:val="fr-FR"/>
              </w:rPr>
              <w:t>la charge</w:t>
            </w:r>
            <w:r w:rsidR="00875786" w:rsidRPr="00F4250E">
              <w:rPr>
                <w:b w:val="0"/>
                <w:bCs/>
                <w:sz w:val="28"/>
                <w:szCs w:val="28"/>
                <w:lang w:val="fr-FR"/>
              </w:rPr>
              <w:t xml:space="preserve"> </w:t>
            </w:r>
            <w:r w:rsidRPr="00F4250E">
              <w:rPr>
                <w:b w:val="0"/>
                <w:bCs/>
                <w:sz w:val="28"/>
                <w:szCs w:val="28"/>
                <w:lang w:val="fr-FR"/>
              </w:rPr>
              <w:t xml:space="preserve">de travail </w:t>
            </w:r>
            <w:r w:rsidR="001D13E0" w:rsidRPr="00F4250E">
              <w:rPr>
                <w:b w:val="0"/>
                <w:bCs/>
                <w:sz w:val="28"/>
                <w:szCs w:val="28"/>
                <w:lang w:val="fr-FR"/>
              </w:rPr>
              <w:t>entre les commissions</w:t>
            </w:r>
            <w:r w:rsidR="00464051" w:rsidRPr="00F4250E">
              <w:rPr>
                <w:b w:val="0"/>
                <w:bCs/>
                <w:sz w:val="28"/>
                <w:szCs w:val="28"/>
                <w:lang w:val="fr-FR"/>
              </w:rPr>
              <w:t xml:space="preserve"> </w:t>
            </w:r>
            <w:r w:rsidRPr="00F4250E">
              <w:rPr>
                <w:b w:val="0"/>
                <w:bCs/>
                <w:sz w:val="28"/>
                <w:szCs w:val="28"/>
                <w:lang w:val="fr-FR"/>
              </w:rPr>
              <w:t>à la CMDT</w:t>
            </w:r>
            <w:r w:rsidR="00464051" w:rsidRPr="00F4250E">
              <w:rPr>
                <w:b w:val="0"/>
                <w:bCs/>
                <w:sz w:val="28"/>
                <w:szCs w:val="28"/>
                <w:lang w:val="fr-FR"/>
              </w:rPr>
              <w:t>-21</w:t>
            </w:r>
          </w:p>
        </w:tc>
      </w:tr>
      <w:tr w:rsidR="00504609" w:rsidRPr="004E09B1" w14:paraId="3FF473AE" w14:textId="77777777" w:rsidTr="00504609">
        <w:trPr>
          <w:cantSplit/>
          <w:trHeight w:val="23"/>
        </w:trPr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14:paraId="414CF233" w14:textId="77777777" w:rsidR="00504609" w:rsidRPr="000D5661" w:rsidRDefault="00504609" w:rsidP="00875786">
            <w:pPr>
              <w:tabs>
                <w:tab w:val="left" w:pos="1928"/>
              </w:tabs>
              <w:spacing w:after="120"/>
              <w:ind w:left="1928" w:hanging="1928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504609" w:rsidRPr="00AE2BCA" w14:paraId="4D5D2375" w14:textId="77777777" w:rsidTr="00504609">
        <w:trPr>
          <w:cantSplit/>
          <w:trHeight w:val="23"/>
        </w:trPr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0E5D" w14:textId="52194C6A" w:rsidR="001525AB" w:rsidRDefault="00132B90" w:rsidP="00CB4258">
            <w:pPr>
              <w:rPr>
                <w:b/>
                <w:bCs/>
                <w:lang w:val="fr-CH"/>
              </w:rPr>
            </w:pPr>
            <w:r w:rsidRPr="00CB4258">
              <w:rPr>
                <w:b/>
                <w:bCs/>
                <w:lang w:val="fr-FR"/>
              </w:rPr>
              <w:t xml:space="preserve">Domaine </w:t>
            </w:r>
            <w:proofErr w:type="gramStart"/>
            <w:r w:rsidRPr="00CB4258">
              <w:rPr>
                <w:b/>
                <w:bCs/>
                <w:lang w:val="fr-FR"/>
              </w:rPr>
              <w:t>prioritaire:</w:t>
            </w:r>
            <w:proofErr w:type="gramEnd"/>
          </w:p>
          <w:p w14:paraId="60DEC770" w14:textId="2F9563E3" w:rsidR="00132B90" w:rsidRPr="00CB4258" w:rsidRDefault="000D5661" w:rsidP="00CB4258">
            <w:pPr>
              <w:rPr>
                <w:lang w:val="fr-CH"/>
              </w:rPr>
            </w:pPr>
            <w:r w:rsidRPr="00CB4258">
              <w:rPr>
                <w:lang w:val="fr-FR"/>
              </w:rPr>
              <w:t>Sans objet</w:t>
            </w:r>
            <w:r w:rsidR="001525AB">
              <w:rPr>
                <w:lang w:val="fr-FR"/>
              </w:rPr>
              <w:t>.</w:t>
            </w:r>
          </w:p>
          <w:p w14:paraId="5D960ECB" w14:textId="77777777" w:rsidR="00132B90" w:rsidRPr="00C1192C" w:rsidRDefault="00132B90" w:rsidP="00875786">
            <w:pPr>
              <w:pStyle w:val="Headingb"/>
              <w:rPr>
                <w:lang w:val="fr-CH"/>
              </w:rPr>
            </w:pPr>
            <w:proofErr w:type="gramStart"/>
            <w:r w:rsidRPr="00C766A2">
              <w:rPr>
                <w:lang w:val="fr-CH"/>
              </w:rPr>
              <w:t>Résumé:</w:t>
            </w:r>
            <w:proofErr w:type="gramEnd"/>
          </w:p>
          <w:p w14:paraId="60C26C4B" w14:textId="6A60BC90" w:rsidR="00132B90" w:rsidRPr="000D5661" w:rsidRDefault="000D5661" w:rsidP="00875786">
            <w:pPr>
              <w:rPr>
                <w:lang w:val="fr-FR"/>
              </w:rPr>
            </w:pPr>
            <w:r w:rsidRPr="000D5661">
              <w:rPr>
                <w:lang w:val="fr-FR"/>
              </w:rPr>
              <w:t>On trouvera dans le présent</w:t>
            </w:r>
            <w:r w:rsidR="00464051" w:rsidRPr="000D5661">
              <w:rPr>
                <w:lang w:val="fr-FR"/>
              </w:rPr>
              <w:t xml:space="preserve"> document </w:t>
            </w:r>
            <w:r w:rsidRPr="000D5661">
              <w:rPr>
                <w:lang w:val="fr-FR"/>
              </w:rPr>
              <w:t xml:space="preserve">une proposition </w:t>
            </w:r>
            <w:r w:rsidR="00C85C6C">
              <w:rPr>
                <w:lang w:val="fr-FR"/>
              </w:rPr>
              <w:t>concernant les</w:t>
            </w:r>
            <w:r w:rsidR="00C85C6C" w:rsidRPr="000D5661">
              <w:rPr>
                <w:lang w:val="fr-FR"/>
              </w:rPr>
              <w:t xml:space="preserve"> </w:t>
            </w:r>
            <w:r w:rsidRPr="00875786">
              <w:rPr>
                <w:lang w:val="fr-FR"/>
              </w:rPr>
              <w:t>base</w:t>
            </w:r>
            <w:r w:rsidR="00C85C6C" w:rsidRPr="00875786">
              <w:rPr>
                <w:lang w:val="fr-FR"/>
              </w:rPr>
              <w:t>s</w:t>
            </w:r>
            <w:r w:rsidRPr="00875786">
              <w:rPr>
                <w:lang w:val="fr-FR"/>
              </w:rPr>
              <w:t xml:space="preserve"> </w:t>
            </w:r>
            <w:r w:rsidR="00161B5B" w:rsidRPr="00875786">
              <w:rPr>
                <w:lang w:val="fr-FR"/>
              </w:rPr>
              <w:t>à prendre en compte</w:t>
            </w:r>
            <w:r w:rsidR="00161B5B">
              <w:rPr>
                <w:lang w:val="fr-FR"/>
              </w:rPr>
              <w:t xml:space="preserve"> pour</w:t>
            </w:r>
            <w:r w:rsidRPr="000D5661">
              <w:rPr>
                <w:lang w:val="fr-FR"/>
              </w:rPr>
              <w:t xml:space="preserve"> la </w:t>
            </w:r>
            <w:r w:rsidR="00FF1B8E">
              <w:rPr>
                <w:lang w:val="fr-FR"/>
              </w:rPr>
              <w:t>ré</w:t>
            </w:r>
            <w:r w:rsidRPr="000D5661">
              <w:rPr>
                <w:lang w:val="fr-FR"/>
              </w:rPr>
              <w:t>partition des documents</w:t>
            </w:r>
            <w:r w:rsidR="00161B5B">
              <w:rPr>
                <w:lang w:val="fr-FR"/>
              </w:rPr>
              <w:t xml:space="preserve"> lors de</w:t>
            </w:r>
            <w:r w:rsidR="00161B5B" w:rsidRPr="000D5661">
              <w:rPr>
                <w:lang w:val="fr-FR"/>
              </w:rPr>
              <w:t xml:space="preserve"> </w:t>
            </w:r>
            <w:r w:rsidRPr="000D5661">
              <w:rPr>
                <w:lang w:val="fr-FR"/>
              </w:rPr>
              <w:t>la CMDT-21,</w:t>
            </w:r>
            <w:r w:rsidR="00464051" w:rsidRPr="000D5661">
              <w:rPr>
                <w:lang w:val="fr-FR"/>
              </w:rPr>
              <w:t xml:space="preserve"> </w:t>
            </w:r>
            <w:r w:rsidR="00161B5B">
              <w:rPr>
                <w:lang w:val="fr-FR"/>
              </w:rPr>
              <w:t xml:space="preserve">qui est </w:t>
            </w:r>
            <w:r>
              <w:rPr>
                <w:lang w:val="fr-FR"/>
              </w:rPr>
              <w:t xml:space="preserve">soumise pour examen </w:t>
            </w:r>
            <w:r w:rsidR="00161B5B">
              <w:rPr>
                <w:lang w:val="fr-FR"/>
              </w:rPr>
              <w:t>compte tenu</w:t>
            </w:r>
            <w:r>
              <w:rPr>
                <w:lang w:val="fr-FR"/>
              </w:rPr>
              <w:t xml:space="preserve"> de la structure </w:t>
            </w:r>
            <w:r w:rsidR="00161B5B">
              <w:rPr>
                <w:lang w:val="fr-FR"/>
              </w:rPr>
              <w:t xml:space="preserve">proposée pour </w:t>
            </w:r>
            <w:r>
              <w:rPr>
                <w:lang w:val="fr-FR"/>
              </w:rPr>
              <w:t xml:space="preserve">la CMDT-21 </w:t>
            </w:r>
            <w:r w:rsidR="000E23F1">
              <w:rPr>
                <w:lang w:val="fr-FR"/>
              </w:rPr>
              <w:t>approuvée</w:t>
            </w:r>
            <w:r w:rsidR="00464051" w:rsidRPr="000D5661">
              <w:rPr>
                <w:lang w:val="fr-FR"/>
              </w:rPr>
              <w:t xml:space="preserve"> </w:t>
            </w:r>
            <w:r w:rsidR="00476CAE">
              <w:rPr>
                <w:lang w:val="fr-FR"/>
              </w:rPr>
              <w:t>par le GCDT à sa</w:t>
            </w:r>
            <w:r w:rsidR="001525AB">
              <w:rPr>
                <w:lang w:val="fr-FR"/>
              </w:rPr>
              <w:t xml:space="preserve"> réunion de </w:t>
            </w:r>
            <w:r>
              <w:rPr>
                <w:lang w:val="fr-FR"/>
              </w:rPr>
              <w:t>2021</w:t>
            </w:r>
            <w:r w:rsidR="00464051" w:rsidRPr="000D5661">
              <w:rPr>
                <w:lang w:val="fr-FR"/>
              </w:rPr>
              <w:t>.</w:t>
            </w:r>
          </w:p>
          <w:p w14:paraId="1DC15E54" w14:textId="77777777" w:rsidR="00132B90" w:rsidRPr="00656EAA" w:rsidRDefault="00132B90" w:rsidP="00875786">
            <w:pPr>
              <w:pStyle w:val="Headingb"/>
              <w:rPr>
                <w:lang w:val="fr-FR"/>
              </w:rPr>
            </w:pPr>
            <w:r w:rsidRPr="00656EAA">
              <w:rPr>
                <w:lang w:val="fr-FR"/>
              </w:rPr>
              <w:t xml:space="preserve">Résultats </w:t>
            </w:r>
            <w:proofErr w:type="gramStart"/>
            <w:r w:rsidRPr="00656EAA">
              <w:rPr>
                <w:lang w:val="fr-FR"/>
              </w:rPr>
              <w:t>attendus:</w:t>
            </w:r>
            <w:proofErr w:type="gramEnd"/>
          </w:p>
          <w:p w14:paraId="1E4C7144" w14:textId="76D792AE" w:rsidR="00132B90" w:rsidRPr="000D5661" w:rsidRDefault="000D5661" w:rsidP="00875786">
            <w:pPr>
              <w:spacing w:after="120"/>
              <w:rPr>
                <w:szCs w:val="24"/>
                <w:lang w:val="fr-FR"/>
              </w:rPr>
            </w:pPr>
            <w:r w:rsidRPr="000D5661">
              <w:rPr>
                <w:szCs w:val="24"/>
                <w:lang w:val="fr-FR"/>
              </w:rPr>
              <w:t xml:space="preserve">Les participants à la réunion </w:t>
            </w:r>
            <w:r w:rsidR="00464051" w:rsidRPr="000D5661">
              <w:rPr>
                <w:szCs w:val="24"/>
                <w:lang w:val="fr-FR"/>
              </w:rPr>
              <w:t xml:space="preserve">IRM-3 </w:t>
            </w:r>
            <w:r>
              <w:rPr>
                <w:szCs w:val="24"/>
                <w:lang w:val="fr-FR"/>
              </w:rPr>
              <w:t>sont invités à prendre note du présent document</w:t>
            </w:r>
            <w:r w:rsidR="00464051" w:rsidRPr="000D5661">
              <w:rPr>
                <w:szCs w:val="24"/>
                <w:lang w:val="fr-FR"/>
              </w:rPr>
              <w:t>.</w:t>
            </w:r>
          </w:p>
          <w:p w14:paraId="75A212BE" w14:textId="77777777" w:rsidR="00132B90" w:rsidRPr="00C1192C" w:rsidRDefault="00132B90" w:rsidP="00875786">
            <w:pPr>
              <w:pStyle w:val="Headingb"/>
              <w:rPr>
                <w:lang w:val="fr-CH"/>
              </w:rPr>
            </w:pPr>
            <w:proofErr w:type="gramStart"/>
            <w:r w:rsidRPr="00C1192C">
              <w:rPr>
                <w:lang w:val="fr-CH"/>
              </w:rPr>
              <w:t>Références:</w:t>
            </w:r>
            <w:proofErr w:type="gramEnd"/>
          </w:p>
          <w:p w14:paraId="51A1F5BD" w14:textId="44CF6336" w:rsidR="00504609" w:rsidRPr="00504609" w:rsidRDefault="004E09B1" w:rsidP="00875786">
            <w:pPr>
              <w:tabs>
                <w:tab w:val="left" w:pos="1928"/>
              </w:tabs>
              <w:spacing w:after="120"/>
              <w:ind w:left="1928" w:hanging="1928"/>
              <w:rPr>
                <w:szCs w:val="24"/>
              </w:rPr>
            </w:pPr>
            <w:hyperlink r:id="rId9" w:history="1">
              <w:r w:rsidR="00464051" w:rsidRPr="00464051">
                <w:rPr>
                  <w:rStyle w:val="Hyperlink"/>
                  <w:szCs w:val="24"/>
                </w:rPr>
                <w:t>TDAG-21/17</w:t>
              </w:r>
            </w:hyperlink>
          </w:p>
        </w:tc>
      </w:tr>
    </w:tbl>
    <w:p w14:paraId="4067F804" w14:textId="2A9209A7" w:rsidR="00464051" w:rsidRPr="003918D0" w:rsidRDefault="00BB69FD" w:rsidP="00875786">
      <w:pPr>
        <w:spacing w:before="240" w:after="120"/>
        <w:rPr>
          <w:bCs/>
          <w:szCs w:val="24"/>
          <w:lang w:val="fr-FR"/>
        </w:rPr>
      </w:pPr>
      <w:bookmarkStart w:id="8" w:name="Results"/>
      <w:bookmarkStart w:id="9" w:name="References"/>
      <w:bookmarkEnd w:id="8"/>
      <w:bookmarkEnd w:id="9"/>
      <w:r w:rsidRPr="00BB69FD">
        <w:rPr>
          <w:bCs/>
          <w:szCs w:val="24"/>
          <w:lang w:val="fr-FR"/>
        </w:rPr>
        <w:t xml:space="preserve">Afin </w:t>
      </w:r>
      <w:r w:rsidR="00F07550">
        <w:rPr>
          <w:bCs/>
          <w:szCs w:val="24"/>
          <w:lang w:val="fr-FR"/>
        </w:rPr>
        <w:t>de répartir</w:t>
      </w:r>
      <w:r>
        <w:rPr>
          <w:bCs/>
          <w:szCs w:val="24"/>
          <w:lang w:val="fr-FR"/>
        </w:rPr>
        <w:t xml:space="preserve"> </w:t>
      </w:r>
      <w:r w:rsidR="00161B5B">
        <w:rPr>
          <w:bCs/>
          <w:szCs w:val="24"/>
          <w:lang w:val="fr-FR"/>
        </w:rPr>
        <w:t xml:space="preserve">le </w:t>
      </w:r>
      <w:r w:rsidRPr="00BB69FD">
        <w:rPr>
          <w:bCs/>
          <w:szCs w:val="24"/>
          <w:lang w:val="fr-FR"/>
        </w:rPr>
        <w:t>mieux possible la charge de travail</w:t>
      </w:r>
      <w:r w:rsidR="00464051" w:rsidRPr="00BB69FD">
        <w:rPr>
          <w:bCs/>
          <w:szCs w:val="24"/>
          <w:lang w:val="fr-FR"/>
        </w:rPr>
        <w:t xml:space="preserve"> </w:t>
      </w:r>
      <w:r w:rsidRPr="00BB69FD">
        <w:rPr>
          <w:bCs/>
          <w:szCs w:val="24"/>
          <w:lang w:val="fr-FR"/>
        </w:rPr>
        <w:t xml:space="preserve">entre les commissions </w:t>
      </w:r>
      <w:r w:rsidR="007D7512">
        <w:rPr>
          <w:bCs/>
          <w:szCs w:val="24"/>
          <w:lang w:val="fr-FR"/>
        </w:rPr>
        <w:t xml:space="preserve">de la CMDT-21 </w:t>
      </w:r>
      <w:r w:rsidR="00A9464C">
        <w:rPr>
          <w:bCs/>
          <w:szCs w:val="24"/>
          <w:lang w:val="fr-FR"/>
        </w:rPr>
        <w:t>responsables</w:t>
      </w:r>
      <w:r w:rsidRPr="00BB69FD">
        <w:rPr>
          <w:bCs/>
          <w:szCs w:val="24"/>
          <w:lang w:val="fr-FR"/>
        </w:rPr>
        <w:t xml:space="preserve"> des questions de fond</w:t>
      </w:r>
      <w:r w:rsidR="00464051" w:rsidRPr="00BB69FD">
        <w:rPr>
          <w:bCs/>
          <w:szCs w:val="24"/>
          <w:lang w:val="fr-FR"/>
        </w:rPr>
        <w:t xml:space="preserve">, </w:t>
      </w:r>
      <w:r w:rsidRPr="00BB69FD">
        <w:rPr>
          <w:bCs/>
          <w:szCs w:val="24"/>
          <w:lang w:val="fr-FR"/>
        </w:rPr>
        <w:t xml:space="preserve">la proposition de </w:t>
      </w:r>
      <w:r>
        <w:rPr>
          <w:bCs/>
          <w:szCs w:val="24"/>
          <w:lang w:val="fr-FR"/>
        </w:rPr>
        <w:t>répartition</w:t>
      </w:r>
      <w:r w:rsidRPr="00BB69FD">
        <w:rPr>
          <w:bCs/>
          <w:szCs w:val="24"/>
          <w:lang w:val="fr-FR"/>
        </w:rPr>
        <w:t xml:space="preserve"> suivante est soumise aux participants </w:t>
      </w:r>
      <w:r w:rsidR="00161B5B">
        <w:rPr>
          <w:bCs/>
          <w:szCs w:val="24"/>
          <w:lang w:val="fr-FR"/>
        </w:rPr>
        <w:t xml:space="preserve">à </w:t>
      </w:r>
      <w:r w:rsidRPr="00BB69FD">
        <w:rPr>
          <w:bCs/>
          <w:szCs w:val="24"/>
          <w:lang w:val="fr-FR"/>
        </w:rPr>
        <w:t xml:space="preserve">la </w:t>
      </w:r>
      <w:r>
        <w:rPr>
          <w:bCs/>
          <w:szCs w:val="24"/>
          <w:lang w:val="fr-FR"/>
        </w:rPr>
        <w:t>ré</w:t>
      </w:r>
      <w:r w:rsidRPr="00BB69FD">
        <w:rPr>
          <w:bCs/>
          <w:szCs w:val="24"/>
          <w:lang w:val="fr-FR"/>
        </w:rPr>
        <w:t>union IRM-3 pour examen,</w:t>
      </w:r>
      <w:r w:rsidR="00464051" w:rsidRPr="00BB69FD">
        <w:rPr>
          <w:bCs/>
          <w:szCs w:val="24"/>
          <w:lang w:val="fr-FR"/>
        </w:rPr>
        <w:t xml:space="preserve"> </w:t>
      </w:r>
      <w:r w:rsidR="00F07550">
        <w:rPr>
          <w:bCs/>
          <w:szCs w:val="24"/>
          <w:lang w:val="fr-FR"/>
        </w:rPr>
        <w:t xml:space="preserve">afin </w:t>
      </w:r>
      <w:r w:rsidR="00161B5B">
        <w:rPr>
          <w:bCs/>
          <w:szCs w:val="24"/>
          <w:lang w:val="fr-FR"/>
        </w:rPr>
        <w:t>qu</w:t>
      </w:r>
      <w:r w:rsidR="00970CC6">
        <w:rPr>
          <w:bCs/>
          <w:szCs w:val="24"/>
          <w:lang w:val="fr-FR"/>
        </w:rPr>
        <w:t>'</w:t>
      </w:r>
      <w:r w:rsidR="00161B5B">
        <w:rPr>
          <w:bCs/>
          <w:szCs w:val="24"/>
          <w:lang w:val="fr-FR"/>
        </w:rPr>
        <w:t xml:space="preserve">ils </w:t>
      </w:r>
      <w:r w:rsidR="00F07550">
        <w:rPr>
          <w:bCs/>
          <w:szCs w:val="24"/>
          <w:lang w:val="fr-FR"/>
        </w:rPr>
        <w:t>fourni</w:t>
      </w:r>
      <w:r w:rsidR="00161B5B">
        <w:rPr>
          <w:bCs/>
          <w:szCs w:val="24"/>
          <w:lang w:val="fr-FR"/>
        </w:rPr>
        <w:t xml:space="preserve">ssent </w:t>
      </w:r>
      <w:r w:rsidR="00F07550">
        <w:rPr>
          <w:bCs/>
          <w:szCs w:val="24"/>
          <w:lang w:val="fr-FR"/>
        </w:rPr>
        <w:t xml:space="preserve">d'éventuelles orientations à la Directrice du BDT </w:t>
      </w:r>
      <w:r w:rsidR="00A9464C">
        <w:rPr>
          <w:bCs/>
          <w:szCs w:val="24"/>
          <w:lang w:val="fr-FR"/>
        </w:rPr>
        <w:t>concernant</w:t>
      </w:r>
      <w:r w:rsidR="00F07550">
        <w:rPr>
          <w:bCs/>
          <w:szCs w:val="24"/>
          <w:lang w:val="fr-FR"/>
        </w:rPr>
        <w:t xml:space="preserve"> l'organisation de la Conférence</w:t>
      </w:r>
      <w:r w:rsidR="00A9464C">
        <w:rPr>
          <w:bCs/>
          <w:szCs w:val="24"/>
          <w:lang w:val="fr-FR"/>
        </w:rPr>
        <w:t xml:space="preserve">. </w:t>
      </w:r>
      <w:r w:rsidRPr="003918D0">
        <w:rPr>
          <w:bCs/>
          <w:szCs w:val="24"/>
          <w:lang w:val="fr-FR"/>
        </w:rPr>
        <w:t xml:space="preserve">La proposition de répartition </w:t>
      </w:r>
      <w:r w:rsidR="003918D0" w:rsidRPr="003918D0">
        <w:rPr>
          <w:bCs/>
          <w:szCs w:val="24"/>
          <w:lang w:val="fr-FR"/>
        </w:rPr>
        <w:t xml:space="preserve">des documents </w:t>
      </w:r>
      <w:r w:rsidR="00A9464C">
        <w:rPr>
          <w:bCs/>
          <w:szCs w:val="24"/>
          <w:lang w:val="fr-FR"/>
        </w:rPr>
        <w:t>est fondée sur le</w:t>
      </w:r>
      <w:r w:rsidRPr="003918D0">
        <w:rPr>
          <w:bCs/>
          <w:szCs w:val="24"/>
          <w:lang w:val="fr-FR"/>
        </w:rPr>
        <w:t xml:space="preserve"> mandat de chaque commission et</w:t>
      </w:r>
      <w:r w:rsidR="00464051" w:rsidRPr="003918D0">
        <w:rPr>
          <w:bCs/>
          <w:szCs w:val="24"/>
          <w:lang w:val="fr-FR"/>
        </w:rPr>
        <w:t xml:space="preserve"> </w:t>
      </w:r>
      <w:r w:rsidR="00A9464C">
        <w:rPr>
          <w:bCs/>
          <w:szCs w:val="24"/>
          <w:lang w:val="fr-FR"/>
        </w:rPr>
        <w:t>sur la</w:t>
      </w:r>
      <w:r w:rsidR="000A7F15">
        <w:rPr>
          <w:bCs/>
          <w:szCs w:val="24"/>
          <w:lang w:val="fr-FR"/>
        </w:rPr>
        <w:t xml:space="preserve"> nécessité d</w:t>
      </w:r>
      <w:r w:rsidR="00970CC6">
        <w:rPr>
          <w:bCs/>
          <w:szCs w:val="24"/>
          <w:lang w:val="fr-FR"/>
        </w:rPr>
        <w:t>'</w:t>
      </w:r>
      <w:r w:rsidR="000A7F15">
        <w:rPr>
          <w:bCs/>
          <w:szCs w:val="24"/>
          <w:lang w:val="fr-FR"/>
        </w:rPr>
        <w:t>équilibrer</w:t>
      </w:r>
      <w:r w:rsidR="00A9464C">
        <w:rPr>
          <w:bCs/>
          <w:szCs w:val="24"/>
          <w:lang w:val="fr-FR"/>
        </w:rPr>
        <w:t xml:space="preserve"> la charge de travail</w:t>
      </w:r>
      <w:r w:rsidRPr="003918D0">
        <w:rPr>
          <w:bCs/>
          <w:szCs w:val="24"/>
          <w:lang w:val="fr-FR"/>
        </w:rPr>
        <w:t xml:space="preserve">, </w:t>
      </w:r>
      <w:r w:rsidR="003A0786">
        <w:rPr>
          <w:bCs/>
          <w:szCs w:val="24"/>
          <w:lang w:val="fr-FR"/>
        </w:rPr>
        <w:t>afin</w:t>
      </w:r>
      <w:r w:rsidR="00A9464C">
        <w:rPr>
          <w:bCs/>
          <w:szCs w:val="24"/>
          <w:lang w:val="fr-FR"/>
        </w:rPr>
        <w:t xml:space="preserve"> </w:t>
      </w:r>
      <w:r w:rsidR="003A0786">
        <w:rPr>
          <w:bCs/>
          <w:szCs w:val="24"/>
          <w:lang w:val="fr-FR"/>
        </w:rPr>
        <w:t xml:space="preserve">d'éviter </w:t>
      </w:r>
      <w:r w:rsidR="00656EAA">
        <w:rPr>
          <w:bCs/>
          <w:szCs w:val="24"/>
          <w:lang w:val="fr-FR"/>
        </w:rPr>
        <w:t>les goul</w:t>
      </w:r>
      <w:r w:rsidR="000A7F15">
        <w:rPr>
          <w:bCs/>
          <w:szCs w:val="24"/>
          <w:lang w:val="fr-FR"/>
        </w:rPr>
        <w:t>e</w:t>
      </w:r>
      <w:r w:rsidR="00656EAA">
        <w:rPr>
          <w:bCs/>
          <w:szCs w:val="24"/>
          <w:lang w:val="fr-FR"/>
        </w:rPr>
        <w:t>ts d'étranglement au niveau des commissions</w:t>
      </w:r>
      <w:r w:rsidR="006C0352">
        <w:rPr>
          <w:bCs/>
          <w:szCs w:val="24"/>
          <w:lang w:val="fr-FR"/>
        </w:rPr>
        <w:t xml:space="preserve"> et de </w:t>
      </w:r>
      <w:proofErr w:type="gramStart"/>
      <w:r w:rsidR="005E6E10">
        <w:rPr>
          <w:bCs/>
          <w:szCs w:val="24"/>
          <w:lang w:val="fr-FR"/>
        </w:rPr>
        <w:t>garantir</w:t>
      </w:r>
      <w:proofErr w:type="gramEnd"/>
      <w:r w:rsidR="005E6E10">
        <w:rPr>
          <w:bCs/>
          <w:szCs w:val="24"/>
          <w:lang w:val="fr-FR"/>
        </w:rPr>
        <w:t xml:space="preserve"> </w:t>
      </w:r>
      <w:r w:rsidR="00A9464C">
        <w:rPr>
          <w:bCs/>
          <w:szCs w:val="24"/>
          <w:lang w:val="fr-FR"/>
        </w:rPr>
        <w:t>le bon déroulement des travaux de la Conférence</w:t>
      </w:r>
      <w:r w:rsidR="00464051" w:rsidRPr="003918D0">
        <w:rPr>
          <w:bCs/>
          <w:szCs w:val="24"/>
          <w:lang w:val="fr-FR"/>
        </w:rPr>
        <w:t>.</w:t>
      </w:r>
    </w:p>
    <w:p w14:paraId="6FA2769C" w14:textId="2B2C1165" w:rsidR="00464051" w:rsidRPr="00BB69FD" w:rsidRDefault="00BB69FD" w:rsidP="00875786">
      <w:pPr>
        <w:spacing w:after="120"/>
        <w:rPr>
          <w:bCs/>
          <w:szCs w:val="24"/>
          <w:lang w:val="fr-FR"/>
        </w:rPr>
      </w:pPr>
      <w:r w:rsidRPr="00BB69FD">
        <w:rPr>
          <w:bCs/>
          <w:szCs w:val="24"/>
          <w:lang w:val="fr-FR"/>
        </w:rPr>
        <w:t>À toutes fins utiles</w:t>
      </w:r>
      <w:r w:rsidR="00464051" w:rsidRPr="00BB69FD">
        <w:rPr>
          <w:bCs/>
          <w:szCs w:val="24"/>
          <w:lang w:val="fr-FR"/>
        </w:rPr>
        <w:t xml:space="preserve">, </w:t>
      </w:r>
      <w:r w:rsidRPr="00BB69FD">
        <w:rPr>
          <w:bCs/>
          <w:szCs w:val="24"/>
          <w:lang w:val="fr-FR"/>
        </w:rPr>
        <w:t xml:space="preserve">le projet de structure de la Conférence </w:t>
      </w:r>
      <w:r w:rsidR="000A7F15">
        <w:rPr>
          <w:bCs/>
          <w:szCs w:val="24"/>
          <w:lang w:val="fr-FR"/>
        </w:rPr>
        <w:t xml:space="preserve">approuvé </w:t>
      </w:r>
      <w:r w:rsidRPr="00BB69FD">
        <w:rPr>
          <w:bCs/>
          <w:szCs w:val="24"/>
          <w:lang w:val="fr-FR"/>
        </w:rPr>
        <w:t xml:space="preserve">par le GCDT à sa </w:t>
      </w:r>
      <w:r>
        <w:rPr>
          <w:bCs/>
          <w:szCs w:val="24"/>
          <w:lang w:val="fr-FR"/>
        </w:rPr>
        <w:t>ré</w:t>
      </w:r>
      <w:r w:rsidRPr="00BB69FD">
        <w:rPr>
          <w:bCs/>
          <w:szCs w:val="24"/>
          <w:lang w:val="fr-FR"/>
        </w:rPr>
        <w:t xml:space="preserve">union </w:t>
      </w:r>
      <w:r w:rsidR="00BF5E68">
        <w:rPr>
          <w:bCs/>
          <w:szCs w:val="24"/>
          <w:lang w:val="fr-FR"/>
        </w:rPr>
        <w:t xml:space="preserve">tenue </w:t>
      </w:r>
      <w:r w:rsidRPr="00BB69FD">
        <w:rPr>
          <w:bCs/>
          <w:szCs w:val="24"/>
          <w:lang w:val="fr-FR"/>
        </w:rPr>
        <w:t>du 24 au 28 mai 2021</w:t>
      </w:r>
      <w:r w:rsidR="00464051" w:rsidRPr="00BB69FD">
        <w:rPr>
          <w:bCs/>
          <w:szCs w:val="24"/>
          <w:lang w:val="fr-FR"/>
        </w:rPr>
        <w:t xml:space="preserve"> </w:t>
      </w:r>
      <w:r>
        <w:rPr>
          <w:bCs/>
          <w:szCs w:val="24"/>
          <w:lang w:val="fr-FR"/>
        </w:rPr>
        <w:t>est reproduit dans le Document</w:t>
      </w:r>
      <w:r w:rsidR="00464051" w:rsidRPr="00BB69FD">
        <w:rPr>
          <w:bCs/>
          <w:szCs w:val="24"/>
          <w:lang w:val="fr-FR"/>
        </w:rPr>
        <w:t xml:space="preserve"> </w:t>
      </w:r>
      <w:hyperlink r:id="rId10" w:history="1">
        <w:r w:rsidR="00464051" w:rsidRPr="00BB69FD">
          <w:rPr>
            <w:rStyle w:val="Hyperlink"/>
            <w:bCs/>
            <w:szCs w:val="24"/>
            <w:lang w:val="fr-FR"/>
          </w:rPr>
          <w:t>TDAG-21/17</w:t>
        </w:r>
      </w:hyperlink>
      <w:r w:rsidR="00464051" w:rsidRPr="00BB69FD">
        <w:rPr>
          <w:bCs/>
          <w:szCs w:val="24"/>
          <w:lang w:val="fr-FR"/>
        </w:rPr>
        <w:t>.</w:t>
      </w:r>
    </w:p>
    <w:p w14:paraId="46AD319D" w14:textId="77777777" w:rsidR="00464051" w:rsidRPr="00BB69FD" w:rsidRDefault="00464051" w:rsidP="00875786">
      <w:pPr>
        <w:overflowPunct/>
        <w:autoSpaceDE/>
        <w:autoSpaceDN/>
        <w:adjustRightInd/>
        <w:spacing w:before="0"/>
        <w:textAlignment w:val="auto"/>
        <w:rPr>
          <w:bCs/>
          <w:szCs w:val="24"/>
          <w:lang w:val="fr-FR"/>
        </w:rPr>
      </w:pPr>
      <w:r w:rsidRPr="00BB69FD">
        <w:rPr>
          <w:bCs/>
          <w:szCs w:val="24"/>
          <w:lang w:val="fr-FR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64051" w14:paraId="43F93BBA" w14:textId="77777777" w:rsidTr="00A239CB">
        <w:tc>
          <w:tcPr>
            <w:tcW w:w="9629" w:type="dxa"/>
            <w:shd w:val="clear" w:color="auto" w:fill="BDD6EE" w:themeFill="accent1" w:themeFillTint="66"/>
          </w:tcPr>
          <w:p w14:paraId="417BC31E" w14:textId="0FB5F969" w:rsidR="00464051" w:rsidRPr="00464051" w:rsidRDefault="00464051" w:rsidP="004E09B1">
            <w:pPr>
              <w:pStyle w:val="Tablehead"/>
              <w:jc w:val="left"/>
              <w:rPr>
                <w:sz w:val="24"/>
                <w:szCs w:val="24"/>
              </w:rPr>
            </w:pPr>
            <w:r w:rsidRPr="00464051">
              <w:rPr>
                <w:sz w:val="24"/>
                <w:szCs w:val="24"/>
                <w:lang w:val="fr-FR"/>
              </w:rPr>
              <w:lastRenderedPageBreak/>
              <w:t xml:space="preserve">Commission </w:t>
            </w:r>
            <w:proofErr w:type="gramStart"/>
            <w:r w:rsidRPr="00464051">
              <w:rPr>
                <w:sz w:val="24"/>
                <w:szCs w:val="24"/>
                <w:lang w:val="fr-FR"/>
              </w:rPr>
              <w:t>3:</w:t>
            </w:r>
            <w:proofErr w:type="gramEnd"/>
            <w:r w:rsidRPr="00464051">
              <w:rPr>
                <w:sz w:val="24"/>
                <w:szCs w:val="24"/>
                <w:lang w:val="fr-FR"/>
              </w:rPr>
              <w:t xml:space="preserve"> Objectifs</w:t>
            </w:r>
          </w:p>
        </w:tc>
      </w:tr>
      <w:tr w:rsidR="00464051" w:rsidRPr="004E09B1" w14:paraId="67BEBFC6" w14:textId="77777777" w:rsidTr="00A239CB">
        <w:tc>
          <w:tcPr>
            <w:tcW w:w="9629" w:type="dxa"/>
            <w:tcBorders>
              <w:bottom w:val="single" w:sz="4" w:space="0" w:color="auto"/>
            </w:tcBorders>
          </w:tcPr>
          <w:p w14:paraId="4B7522A4" w14:textId="27DB01A3" w:rsidR="00464051" w:rsidRPr="00464051" w:rsidRDefault="00464051" w:rsidP="007B6AC5">
            <w:pPr>
              <w:pStyle w:val="Tabletext"/>
              <w:spacing w:before="120" w:after="120"/>
              <w:rPr>
                <w:lang w:val="fr-FR"/>
              </w:rPr>
            </w:pPr>
            <w:r w:rsidRPr="00464051">
              <w:rPr>
                <w:b/>
                <w:bCs/>
                <w:lang w:val="fr-FR"/>
              </w:rPr>
              <w:t>Mandat</w:t>
            </w:r>
            <w:r w:rsidRPr="00464051">
              <w:rPr>
                <w:lang w:val="fr-FR"/>
              </w:rPr>
              <w:t>: examiner et adopter l'ordre du jour et formuler des propositions concernant l'organisation des travaux; examiner et approuver les produits et les résultats correspondant aux différents objectifs; examiner et approuver les Questions confiées aux commissions d'études et les initiatives régionales connexes et élaborer des lignes directrices pour leur mise en œuvre; examiner et approuver les résolutions pertinentes; et veiller à ce que les produits soient conformes à la méthode de gestion axée sur les résultats, qui vise à améliorer l'efficacité de la gestion et la responsabilité.</w:t>
            </w:r>
          </w:p>
        </w:tc>
      </w:tr>
      <w:tr w:rsidR="00464051" w:rsidRPr="004E09B1" w14:paraId="60687EAE" w14:textId="77777777" w:rsidTr="00A239CB">
        <w:tc>
          <w:tcPr>
            <w:tcW w:w="9629" w:type="dxa"/>
            <w:tcBorders>
              <w:bottom w:val="single" w:sz="4" w:space="0" w:color="auto"/>
            </w:tcBorders>
          </w:tcPr>
          <w:p w14:paraId="1BCFF2BD" w14:textId="16388C6F" w:rsidR="00464051" w:rsidRPr="00BB69FD" w:rsidRDefault="00464051" w:rsidP="007B6AC5">
            <w:pPr>
              <w:pStyle w:val="Tabletext"/>
              <w:spacing w:before="120"/>
              <w:rPr>
                <w:b/>
                <w:bCs/>
                <w:szCs w:val="24"/>
                <w:lang w:val="fr-FR"/>
              </w:rPr>
            </w:pPr>
            <w:r w:rsidRPr="00BB69FD">
              <w:rPr>
                <w:szCs w:val="24"/>
                <w:lang w:val="fr-FR"/>
              </w:rPr>
              <w:t>•</w:t>
            </w:r>
            <w:r w:rsidRPr="00BB69FD">
              <w:rPr>
                <w:szCs w:val="24"/>
                <w:lang w:val="fr-FR"/>
              </w:rPr>
              <w:tab/>
            </w:r>
            <w:r w:rsidR="00BB69FD" w:rsidRPr="00BB69FD">
              <w:rPr>
                <w:b/>
                <w:bCs/>
                <w:szCs w:val="24"/>
                <w:lang w:val="fr-FR"/>
              </w:rPr>
              <w:t>Mandat de toutes les Questions confiées aux commissions d'études</w:t>
            </w:r>
          </w:p>
          <w:p w14:paraId="139FEE0A" w14:textId="7FD244B0" w:rsidR="00464051" w:rsidRPr="000D5661" w:rsidRDefault="00464051" w:rsidP="00875786">
            <w:pPr>
              <w:pStyle w:val="Tabletext"/>
              <w:rPr>
                <w:szCs w:val="24"/>
                <w:lang w:val="fr-FR"/>
              </w:rPr>
            </w:pPr>
            <w:r w:rsidRPr="000D5661">
              <w:rPr>
                <w:szCs w:val="24"/>
                <w:lang w:val="fr-FR"/>
              </w:rPr>
              <w:t>•</w:t>
            </w:r>
            <w:r w:rsidRPr="000D5661">
              <w:rPr>
                <w:b/>
                <w:bCs/>
                <w:szCs w:val="24"/>
                <w:lang w:val="fr-FR"/>
              </w:rPr>
              <w:tab/>
            </w:r>
            <w:r w:rsidR="00BB69FD">
              <w:rPr>
                <w:b/>
                <w:bCs/>
                <w:szCs w:val="24"/>
                <w:lang w:val="fr-FR"/>
              </w:rPr>
              <w:t>Plan d'action de la CMDT</w:t>
            </w:r>
          </w:p>
          <w:p w14:paraId="797BC401" w14:textId="2D9E5615" w:rsidR="00464051" w:rsidRPr="004E09B1" w:rsidRDefault="00464051" w:rsidP="004E09B1">
            <w:pPr>
              <w:pStyle w:val="Tabletext"/>
              <w:ind w:left="284" w:hanging="284"/>
              <w:rPr>
                <w:szCs w:val="24"/>
                <w:lang w:val="fr-CH"/>
              </w:rPr>
            </w:pPr>
            <w:r w:rsidRPr="00464051">
              <w:rPr>
                <w:szCs w:val="24"/>
                <w:lang w:val="fr-FR"/>
              </w:rPr>
              <w:t>•</w:t>
            </w:r>
            <w:r w:rsidRPr="00464051">
              <w:rPr>
                <w:szCs w:val="24"/>
                <w:lang w:val="fr-FR"/>
              </w:rPr>
              <w:tab/>
            </w:r>
            <w:r w:rsidRPr="00464051">
              <w:rPr>
                <w:b/>
                <w:bCs/>
                <w:szCs w:val="24"/>
                <w:lang w:val="fr-FR"/>
              </w:rPr>
              <w:t>R</w:t>
            </w:r>
            <w:r>
              <w:rPr>
                <w:b/>
                <w:bCs/>
                <w:szCs w:val="24"/>
                <w:lang w:val="fr-FR"/>
              </w:rPr>
              <w:t>é</w:t>
            </w:r>
            <w:r w:rsidRPr="00464051">
              <w:rPr>
                <w:b/>
                <w:bCs/>
                <w:szCs w:val="24"/>
                <w:lang w:val="fr-FR"/>
              </w:rPr>
              <w:t>solution 17</w:t>
            </w:r>
            <w:r w:rsidRPr="00464051">
              <w:rPr>
                <w:szCs w:val="24"/>
                <w:lang w:val="fr-FR"/>
              </w:rPr>
              <w:t xml:space="preserve"> – </w:t>
            </w:r>
            <w:r w:rsidRPr="00464051">
              <w:rPr>
                <w:i/>
                <w:iCs/>
                <w:szCs w:val="24"/>
                <w:lang w:val="fr-FR"/>
              </w:rPr>
              <w:t xml:space="preserve">Mise en </w:t>
            </w:r>
            <w:r w:rsidR="00441C9C" w:rsidRPr="00464051">
              <w:rPr>
                <w:i/>
                <w:iCs/>
                <w:szCs w:val="24"/>
                <w:lang w:val="fr-FR"/>
              </w:rPr>
              <w:t>œuvre</w:t>
            </w:r>
            <w:r w:rsidRPr="00464051">
              <w:rPr>
                <w:i/>
                <w:iCs/>
                <w:szCs w:val="24"/>
                <w:lang w:val="fr-FR"/>
              </w:rPr>
              <w:t xml:space="preserve"> aux niveaux national, régional, interrégional et mondial des initiatives régionales approuvées par les </w:t>
            </w:r>
            <w:r w:rsidRPr="006B009C">
              <w:rPr>
                <w:i/>
                <w:iCs/>
                <w:szCs w:val="24"/>
                <w:lang w:val="fr-FR"/>
              </w:rPr>
              <w:t>régions</w:t>
            </w:r>
            <w:r w:rsidR="000A7F15" w:rsidRPr="004E09B1">
              <w:rPr>
                <w:i/>
                <w:iCs/>
                <w:color w:val="000000"/>
                <w:lang w:val="fr-CH"/>
              </w:rPr>
              <w:t xml:space="preserve"> et coopération en la matière</w:t>
            </w:r>
          </w:p>
          <w:p w14:paraId="1C1B5A6B" w14:textId="4039774D" w:rsidR="00464051" w:rsidRPr="001118C4" w:rsidRDefault="00464051" w:rsidP="007B6AC5">
            <w:pPr>
              <w:pStyle w:val="Tabletext"/>
              <w:spacing w:after="120"/>
              <w:ind w:left="284" w:hanging="284"/>
              <w:rPr>
                <w:szCs w:val="24"/>
                <w:lang w:val="fr-FR"/>
              </w:rPr>
            </w:pPr>
            <w:r w:rsidRPr="001118C4">
              <w:rPr>
                <w:szCs w:val="24"/>
                <w:lang w:val="fr-FR"/>
              </w:rPr>
              <w:t>•</w:t>
            </w:r>
            <w:r w:rsidRPr="001118C4">
              <w:rPr>
                <w:szCs w:val="24"/>
                <w:lang w:val="fr-FR"/>
              </w:rPr>
              <w:tab/>
            </w:r>
            <w:r w:rsidR="00BB69FD" w:rsidRPr="001118C4">
              <w:rPr>
                <w:b/>
                <w:bCs/>
                <w:szCs w:val="24"/>
                <w:lang w:val="fr-FR"/>
              </w:rPr>
              <w:t>Toute</w:t>
            </w:r>
            <w:r w:rsidR="000A7F15">
              <w:rPr>
                <w:b/>
                <w:bCs/>
                <w:szCs w:val="24"/>
                <w:lang w:val="fr-FR"/>
              </w:rPr>
              <w:t>s les</w:t>
            </w:r>
            <w:r w:rsidR="00BB69FD" w:rsidRPr="001118C4">
              <w:rPr>
                <w:b/>
                <w:bCs/>
                <w:szCs w:val="24"/>
                <w:lang w:val="fr-FR"/>
              </w:rPr>
              <w:t xml:space="preserve"> autre</w:t>
            </w:r>
            <w:r w:rsidR="000A7F15">
              <w:rPr>
                <w:b/>
                <w:bCs/>
                <w:szCs w:val="24"/>
                <w:lang w:val="fr-FR"/>
              </w:rPr>
              <w:t>s</w:t>
            </w:r>
            <w:r w:rsidR="00BB69FD" w:rsidRPr="001118C4">
              <w:rPr>
                <w:b/>
                <w:bCs/>
                <w:szCs w:val="24"/>
                <w:lang w:val="fr-FR"/>
              </w:rPr>
              <w:t xml:space="preserve"> résolution</w:t>
            </w:r>
            <w:r w:rsidR="000A7F15">
              <w:rPr>
                <w:b/>
                <w:bCs/>
                <w:szCs w:val="24"/>
                <w:lang w:val="fr-FR"/>
              </w:rPr>
              <w:t>s</w:t>
            </w:r>
            <w:r w:rsidR="00BB69FD" w:rsidRPr="001118C4">
              <w:rPr>
                <w:b/>
                <w:bCs/>
                <w:szCs w:val="24"/>
                <w:lang w:val="fr-FR"/>
              </w:rPr>
              <w:t xml:space="preserve"> ou recommandation</w:t>
            </w:r>
            <w:r w:rsidR="000A7F15">
              <w:rPr>
                <w:b/>
                <w:bCs/>
                <w:szCs w:val="24"/>
                <w:lang w:val="fr-FR"/>
              </w:rPr>
              <w:t>s</w:t>
            </w:r>
            <w:r w:rsidRPr="001118C4">
              <w:rPr>
                <w:b/>
                <w:bCs/>
                <w:szCs w:val="24"/>
                <w:lang w:val="fr-FR"/>
              </w:rPr>
              <w:t xml:space="preserve"> </w:t>
            </w:r>
            <w:r w:rsidR="001118C4">
              <w:rPr>
                <w:szCs w:val="24"/>
                <w:lang w:val="fr-FR"/>
              </w:rPr>
              <w:t xml:space="preserve">ne </w:t>
            </w:r>
            <w:r w:rsidR="00EE6EBD">
              <w:rPr>
                <w:szCs w:val="24"/>
                <w:lang w:val="fr-FR"/>
              </w:rPr>
              <w:t>figurant pas dans</w:t>
            </w:r>
            <w:r w:rsidR="001118C4">
              <w:rPr>
                <w:szCs w:val="24"/>
                <w:lang w:val="fr-FR"/>
              </w:rPr>
              <w:t xml:space="preserve"> la liste de</w:t>
            </w:r>
            <w:r w:rsidR="00B42313">
              <w:rPr>
                <w:szCs w:val="24"/>
                <w:lang w:val="fr-FR"/>
              </w:rPr>
              <w:t xml:space="preserve">s </w:t>
            </w:r>
            <w:r w:rsidR="00B42313" w:rsidRPr="001118C4">
              <w:rPr>
                <w:b/>
                <w:bCs/>
                <w:szCs w:val="24"/>
                <w:lang w:val="fr-FR"/>
              </w:rPr>
              <w:t>résolution</w:t>
            </w:r>
            <w:r w:rsidR="00B42313">
              <w:rPr>
                <w:b/>
                <w:bCs/>
                <w:szCs w:val="24"/>
                <w:lang w:val="fr-FR"/>
              </w:rPr>
              <w:t>s</w:t>
            </w:r>
            <w:r w:rsidR="00B42313" w:rsidRPr="001118C4">
              <w:rPr>
                <w:b/>
                <w:bCs/>
                <w:szCs w:val="24"/>
                <w:lang w:val="fr-FR"/>
              </w:rPr>
              <w:t xml:space="preserve"> ou recommandation</w:t>
            </w:r>
            <w:r w:rsidR="00B42313">
              <w:rPr>
                <w:b/>
                <w:bCs/>
                <w:szCs w:val="24"/>
                <w:lang w:val="fr-FR"/>
              </w:rPr>
              <w:t>s</w:t>
            </w:r>
            <w:r w:rsidR="00B42313" w:rsidRPr="001118C4">
              <w:rPr>
                <w:b/>
                <w:bCs/>
                <w:szCs w:val="24"/>
                <w:lang w:val="fr-FR"/>
              </w:rPr>
              <w:t xml:space="preserve"> </w:t>
            </w:r>
            <w:r w:rsidR="00B42313">
              <w:rPr>
                <w:szCs w:val="24"/>
                <w:lang w:val="fr-FR"/>
              </w:rPr>
              <w:t xml:space="preserve">examinées par </w:t>
            </w:r>
            <w:r w:rsidR="001118C4">
              <w:rPr>
                <w:szCs w:val="24"/>
                <w:lang w:val="fr-FR"/>
              </w:rPr>
              <w:t>la</w:t>
            </w:r>
            <w:r w:rsidRPr="001118C4">
              <w:rPr>
                <w:szCs w:val="24"/>
                <w:lang w:val="fr-FR"/>
              </w:rPr>
              <w:t xml:space="preserve"> </w:t>
            </w:r>
            <w:r w:rsidR="001118C4" w:rsidRPr="001118C4">
              <w:rPr>
                <w:szCs w:val="24"/>
                <w:lang w:val="fr-FR"/>
              </w:rPr>
              <w:t>Commission</w:t>
            </w:r>
            <w:r w:rsidRPr="001118C4">
              <w:rPr>
                <w:szCs w:val="24"/>
                <w:lang w:val="fr-FR"/>
              </w:rPr>
              <w:t xml:space="preserve"> 4 </w:t>
            </w:r>
            <w:r w:rsidR="00586A6F">
              <w:rPr>
                <w:szCs w:val="24"/>
                <w:lang w:val="fr-FR"/>
              </w:rPr>
              <w:t>ou</w:t>
            </w:r>
            <w:r w:rsidR="001118C4">
              <w:rPr>
                <w:szCs w:val="24"/>
                <w:lang w:val="fr-FR"/>
              </w:rPr>
              <w:t xml:space="preserve"> </w:t>
            </w:r>
            <w:r w:rsidR="00B42313">
              <w:rPr>
                <w:szCs w:val="24"/>
                <w:lang w:val="fr-FR"/>
              </w:rPr>
              <w:t xml:space="preserve">le </w:t>
            </w:r>
            <w:r w:rsidR="001118C4">
              <w:rPr>
                <w:szCs w:val="24"/>
                <w:lang w:val="fr-FR"/>
              </w:rPr>
              <w:t>Groupe de travail de la plénière</w:t>
            </w:r>
          </w:p>
        </w:tc>
      </w:tr>
      <w:tr w:rsidR="00464051" w:rsidRPr="004E09B1" w14:paraId="1AA811EB" w14:textId="77777777" w:rsidTr="00A239CB">
        <w:tc>
          <w:tcPr>
            <w:tcW w:w="9629" w:type="dxa"/>
            <w:tcBorders>
              <w:left w:val="nil"/>
              <w:right w:val="nil"/>
            </w:tcBorders>
          </w:tcPr>
          <w:p w14:paraId="23D0C1D0" w14:textId="77777777" w:rsidR="00464051" w:rsidRPr="001118C4" w:rsidRDefault="00464051" w:rsidP="00464051">
            <w:pPr>
              <w:pStyle w:val="Tabletext"/>
              <w:rPr>
                <w:szCs w:val="24"/>
                <w:lang w:val="fr-FR"/>
              </w:rPr>
            </w:pPr>
          </w:p>
        </w:tc>
      </w:tr>
      <w:tr w:rsidR="00464051" w:rsidRPr="004E09B1" w14:paraId="4E939ACC" w14:textId="77777777" w:rsidTr="00A239CB">
        <w:tc>
          <w:tcPr>
            <w:tcW w:w="9629" w:type="dxa"/>
            <w:shd w:val="clear" w:color="auto" w:fill="BDD6EE" w:themeFill="accent1" w:themeFillTint="66"/>
          </w:tcPr>
          <w:p w14:paraId="3CC4378B" w14:textId="17BCA0CC" w:rsidR="00464051" w:rsidRPr="002A3921" w:rsidRDefault="00464051" w:rsidP="004E09B1">
            <w:pPr>
              <w:pStyle w:val="Tablehead"/>
              <w:jc w:val="left"/>
              <w:rPr>
                <w:sz w:val="24"/>
                <w:szCs w:val="24"/>
                <w:lang w:val="fr-FR"/>
              </w:rPr>
            </w:pPr>
            <w:r w:rsidRPr="002A3921">
              <w:rPr>
                <w:sz w:val="24"/>
                <w:szCs w:val="24"/>
                <w:lang w:val="fr-FR"/>
              </w:rPr>
              <w:t xml:space="preserve">Commission </w:t>
            </w:r>
            <w:proofErr w:type="gramStart"/>
            <w:r w:rsidRPr="002A3921">
              <w:rPr>
                <w:sz w:val="24"/>
                <w:szCs w:val="24"/>
                <w:lang w:val="fr-FR"/>
              </w:rPr>
              <w:t>4:</w:t>
            </w:r>
            <w:proofErr w:type="gramEnd"/>
            <w:r w:rsidRPr="002A3921">
              <w:rPr>
                <w:sz w:val="24"/>
                <w:szCs w:val="24"/>
                <w:lang w:val="fr-FR"/>
              </w:rPr>
              <w:t xml:space="preserve"> Méthodes de travail de l'UIT-D</w:t>
            </w:r>
          </w:p>
        </w:tc>
      </w:tr>
      <w:tr w:rsidR="00464051" w:rsidRPr="004E09B1" w14:paraId="7F96C09B" w14:textId="77777777" w:rsidTr="00A239CB">
        <w:tc>
          <w:tcPr>
            <w:tcW w:w="9629" w:type="dxa"/>
            <w:tcBorders>
              <w:bottom w:val="single" w:sz="4" w:space="0" w:color="auto"/>
            </w:tcBorders>
          </w:tcPr>
          <w:p w14:paraId="0FA67302" w14:textId="4AD15867" w:rsidR="00464051" w:rsidRPr="00464051" w:rsidRDefault="00464051" w:rsidP="007B6AC5">
            <w:pPr>
              <w:pStyle w:val="Tabletext"/>
              <w:spacing w:before="120" w:after="120"/>
              <w:rPr>
                <w:lang w:val="fr-FR"/>
              </w:rPr>
            </w:pPr>
            <w:r w:rsidRPr="00464051">
              <w:rPr>
                <w:b/>
                <w:bCs/>
                <w:lang w:val="fr-FR"/>
              </w:rPr>
              <w:t>Mandat</w:t>
            </w:r>
            <w:r w:rsidRPr="00464051">
              <w:rPr>
                <w:lang w:val="fr-FR"/>
              </w:rPr>
              <w:t>: examiner et adopter l'ordre du jour et formuler des propositions concernant l'organisation des travaux; examiner les propositions et les contributions se rapportant à la coopération entre les membres; évaluer les méthodes de travail ainsi que le fonctionnement des Commissions d'études de l'UIT-D et du Groupe consultatif pour le développement des télécommunications (GCDT); évaluer et déterminer les options possibles pour optimiser l'exécution des programmes et approuver les modifications à apporter à ces programmes dans le but de renforcer les synergies entre les Questions confiées aux commissions d'études, les programmes et les initiatives régionales; et soumettre à la plénière des rapports, notamment des propositions sur les méthodes de travail de l'UIT-D pour mettre en œuvre le programme de travail de ce Secteur, sur la base des rapports du GCDT et des commissions d'études soumis à la conférence ainsi que des propositions des États Membres de l'UIT, des Membres du Secteur de l'UIT-D et des établissements universitaires participant aux travaux de ce Secteur.</w:t>
            </w:r>
          </w:p>
        </w:tc>
      </w:tr>
      <w:tr w:rsidR="00464051" w:rsidRPr="004E09B1" w14:paraId="2691F5D6" w14:textId="77777777" w:rsidTr="00A239CB">
        <w:tc>
          <w:tcPr>
            <w:tcW w:w="9629" w:type="dxa"/>
            <w:tcBorders>
              <w:bottom w:val="single" w:sz="4" w:space="0" w:color="auto"/>
            </w:tcBorders>
          </w:tcPr>
          <w:p w14:paraId="5567F2F1" w14:textId="762ACB3A" w:rsidR="00464051" w:rsidRPr="0012401D" w:rsidRDefault="00464051" w:rsidP="004E09B1">
            <w:pPr>
              <w:pStyle w:val="Tabletext"/>
              <w:spacing w:before="120"/>
              <w:ind w:left="567" w:hanging="567"/>
              <w:rPr>
                <w:i/>
                <w:iCs/>
                <w:szCs w:val="24"/>
                <w:lang w:val="fr-FR"/>
              </w:rPr>
            </w:pPr>
            <w:r w:rsidRPr="0012401D">
              <w:rPr>
                <w:szCs w:val="24"/>
                <w:lang w:val="fr-FR"/>
              </w:rPr>
              <w:t>•</w:t>
            </w:r>
            <w:r w:rsidRPr="0012401D">
              <w:rPr>
                <w:szCs w:val="24"/>
                <w:lang w:val="fr-FR"/>
              </w:rPr>
              <w:tab/>
            </w:r>
            <w:r w:rsidR="0012401D" w:rsidRPr="0012401D">
              <w:rPr>
                <w:b/>
                <w:bCs/>
                <w:szCs w:val="24"/>
                <w:lang w:val="fr-FR"/>
              </w:rPr>
              <w:t>Résolution</w:t>
            </w:r>
            <w:r w:rsidRPr="0012401D">
              <w:rPr>
                <w:b/>
                <w:bCs/>
                <w:szCs w:val="24"/>
                <w:lang w:val="fr-FR"/>
              </w:rPr>
              <w:t xml:space="preserve"> 1</w:t>
            </w:r>
            <w:r w:rsidRPr="006B009C">
              <w:rPr>
                <w:szCs w:val="24"/>
                <w:lang w:val="fr-FR"/>
              </w:rPr>
              <w:t xml:space="preserve"> – </w:t>
            </w:r>
            <w:r w:rsidR="0012401D" w:rsidRPr="0012401D">
              <w:rPr>
                <w:i/>
                <w:iCs/>
                <w:szCs w:val="24"/>
                <w:lang w:val="fr-FR"/>
              </w:rPr>
              <w:t>Règlement intérieur du Secteur du développement des télécommunications de l'UIT</w:t>
            </w:r>
          </w:p>
          <w:p w14:paraId="0FDFF27A" w14:textId="397EB461" w:rsidR="00464051" w:rsidRPr="0012401D" w:rsidRDefault="00464051" w:rsidP="004E09B1">
            <w:pPr>
              <w:pStyle w:val="Tabletext"/>
              <w:ind w:left="567" w:hanging="567"/>
              <w:rPr>
                <w:b/>
                <w:bCs/>
                <w:szCs w:val="24"/>
                <w:lang w:val="fr-FR"/>
              </w:rPr>
            </w:pPr>
            <w:r w:rsidRPr="0012401D">
              <w:rPr>
                <w:szCs w:val="24"/>
                <w:lang w:val="fr-FR"/>
              </w:rPr>
              <w:t>•</w:t>
            </w:r>
            <w:r w:rsidRPr="0012401D">
              <w:rPr>
                <w:szCs w:val="24"/>
                <w:lang w:val="fr-FR"/>
              </w:rPr>
              <w:tab/>
            </w:r>
            <w:r w:rsidR="0012401D" w:rsidRPr="0012401D">
              <w:rPr>
                <w:b/>
                <w:bCs/>
                <w:szCs w:val="24"/>
                <w:lang w:val="fr-FR"/>
              </w:rPr>
              <w:t>Résolution</w:t>
            </w:r>
            <w:r w:rsidRPr="0012401D">
              <w:rPr>
                <w:b/>
                <w:bCs/>
                <w:szCs w:val="24"/>
                <w:lang w:val="fr-FR"/>
              </w:rPr>
              <w:t xml:space="preserve"> 2</w:t>
            </w:r>
            <w:r w:rsidRPr="006B009C">
              <w:rPr>
                <w:szCs w:val="24"/>
                <w:lang w:val="fr-FR"/>
              </w:rPr>
              <w:t xml:space="preserve"> –</w:t>
            </w:r>
            <w:r w:rsidRPr="0012401D">
              <w:rPr>
                <w:b/>
                <w:bCs/>
                <w:szCs w:val="24"/>
                <w:lang w:val="fr-FR"/>
              </w:rPr>
              <w:t xml:space="preserve"> </w:t>
            </w:r>
            <w:r w:rsidR="0012401D" w:rsidRPr="0012401D">
              <w:rPr>
                <w:i/>
                <w:iCs/>
                <w:szCs w:val="24"/>
                <w:lang w:val="fr-FR"/>
              </w:rPr>
              <w:t>Établissement de commissions d'études</w:t>
            </w:r>
          </w:p>
          <w:p w14:paraId="1D65ED84" w14:textId="6E138A20" w:rsidR="00464051" w:rsidRPr="0012401D" w:rsidRDefault="00464051" w:rsidP="004E09B1">
            <w:pPr>
              <w:pStyle w:val="Tabletext"/>
              <w:ind w:left="567" w:hanging="567"/>
              <w:rPr>
                <w:b/>
                <w:bCs/>
                <w:szCs w:val="24"/>
                <w:lang w:val="fr-FR"/>
              </w:rPr>
            </w:pPr>
            <w:r w:rsidRPr="0012401D">
              <w:rPr>
                <w:szCs w:val="24"/>
                <w:lang w:val="fr-FR"/>
              </w:rPr>
              <w:t>•</w:t>
            </w:r>
            <w:r w:rsidRPr="0012401D">
              <w:rPr>
                <w:szCs w:val="24"/>
                <w:lang w:val="fr-FR"/>
              </w:rPr>
              <w:tab/>
            </w:r>
            <w:r w:rsidR="0012401D" w:rsidRPr="0012401D">
              <w:rPr>
                <w:b/>
                <w:bCs/>
                <w:szCs w:val="24"/>
                <w:lang w:val="fr-FR"/>
              </w:rPr>
              <w:t>Résolution</w:t>
            </w:r>
            <w:r w:rsidRPr="0012401D">
              <w:rPr>
                <w:b/>
                <w:bCs/>
                <w:szCs w:val="24"/>
                <w:lang w:val="fr-FR"/>
              </w:rPr>
              <w:t xml:space="preserve"> 5</w:t>
            </w:r>
            <w:r w:rsidRPr="006B009C">
              <w:rPr>
                <w:szCs w:val="24"/>
                <w:lang w:val="fr-FR"/>
              </w:rPr>
              <w:t xml:space="preserve"> –</w:t>
            </w:r>
            <w:r w:rsidRPr="0012401D">
              <w:rPr>
                <w:b/>
                <w:bCs/>
                <w:szCs w:val="24"/>
                <w:lang w:val="fr-FR"/>
              </w:rPr>
              <w:t xml:space="preserve"> </w:t>
            </w:r>
            <w:bookmarkStart w:id="10" w:name="_Toc401906713"/>
            <w:bookmarkStart w:id="11" w:name="_Toc506198221"/>
            <w:r w:rsidR="0012401D" w:rsidRPr="0012401D">
              <w:rPr>
                <w:i/>
                <w:iCs/>
                <w:lang w:val="fr-FR"/>
              </w:rPr>
              <w:t>Renforcement de la participation des pays en développement</w:t>
            </w:r>
            <w:r w:rsidR="0012401D">
              <w:rPr>
                <w:i/>
                <w:iCs/>
                <w:lang w:val="fr-FR"/>
              </w:rPr>
              <w:t xml:space="preserve"> </w:t>
            </w:r>
            <w:r w:rsidR="0012401D" w:rsidRPr="0012401D">
              <w:rPr>
                <w:i/>
                <w:iCs/>
                <w:lang w:val="fr-FR"/>
              </w:rPr>
              <w:t>aux activités de l'UIT</w:t>
            </w:r>
            <w:bookmarkEnd w:id="10"/>
            <w:bookmarkEnd w:id="11"/>
          </w:p>
          <w:p w14:paraId="6A55A775" w14:textId="7EA6DD7D" w:rsidR="00464051" w:rsidRPr="0012401D" w:rsidRDefault="00464051" w:rsidP="004E09B1">
            <w:pPr>
              <w:pStyle w:val="Tabletext"/>
              <w:ind w:left="567" w:hanging="567"/>
              <w:rPr>
                <w:b/>
                <w:bCs/>
                <w:szCs w:val="24"/>
                <w:lang w:val="fr-FR"/>
              </w:rPr>
            </w:pPr>
            <w:r w:rsidRPr="0012401D">
              <w:rPr>
                <w:szCs w:val="24"/>
                <w:lang w:val="fr-FR"/>
              </w:rPr>
              <w:t>•</w:t>
            </w:r>
            <w:r w:rsidRPr="0012401D">
              <w:rPr>
                <w:szCs w:val="24"/>
                <w:lang w:val="fr-FR"/>
              </w:rPr>
              <w:tab/>
            </w:r>
            <w:r w:rsidR="0012401D" w:rsidRPr="0012401D">
              <w:rPr>
                <w:b/>
                <w:bCs/>
                <w:szCs w:val="24"/>
                <w:lang w:val="fr-FR"/>
              </w:rPr>
              <w:t>Résolution</w:t>
            </w:r>
            <w:r w:rsidRPr="0012401D">
              <w:rPr>
                <w:b/>
                <w:bCs/>
                <w:szCs w:val="24"/>
                <w:lang w:val="fr-FR"/>
              </w:rPr>
              <w:t xml:space="preserve"> 21</w:t>
            </w:r>
            <w:r w:rsidRPr="006B009C">
              <w:rPr>
                <w:szCs w:val="24"/>
                <w:lang w:val="fr-FR"/>
              </w:rPr>
              <w:t xml:space="preserve"> –</w:t>
            </w:r>
            <w:r w:rsidRPr="0012401D">
              <w:rPr>
                <w:b/>
                <w:bCs/>
                <w:szCs w:val="24"/>
                <w:lang w:val="fr-FR"/>
              </w:rPr>
              <w:t xml:space="preserve"> </w:t>
            </w:r>
            <w:bookmarkStart w:id="12" w:name="_Toc20190436"/>
            <w:bookmarkStart w:id="13" w:name="_Toc20190676"/>
            <w:bookmarkStart w:id="14" w:name="_Toc266951867"/>
            <w:bookmarkStart w:id="15" w:name="_Toc401906735"/>
            <w:bookmarkStart w:id="16" w:name="_Toc506198241"/>
            <w:r w:rsidR="0012401D" w:rsidRPr="0012401D">
              <w:rPr>
                <w:i/>
                <w:iCs/>
                <w:szCs w:val="24"/>
                <w:lang w:val="fr-FR"/>
              </w:rPr>
              <w:t>Coordination et collaboration avec les organisations régionales</w:t>
            </w:r>
            <w:bookmarkEnd w:id="12"/>
            <w:bookmarkEnd w:id="13"/>
            <w:bookmarkEnd w:id="14"/>
            <w:bookmarkEnd w:id="15"/>
            <w:r w:rsidR="0012401D" w:rsidRPr="0012401D">
              <w:rPr>
                <w:i/>
                <w:iCs/>
                <w:szCs w:val="24"/>
                <w:lang w:val="fr-FR"/>
              </w:rPr>
              <w:t xml:space="preserve"> et sous-régionales</w:t>
            </w:r>
            <w:bookmarkEnd w:id="16"/>
          </w:p>
          <w:p w14:paraId="730630C8" w14:textId="15A79214" w:rsidR="00464051" w:rsidRPr="0012401D" w:rsidRDefault="00464051" w:rsidP="004E09B1">
            <w:pPr>
              <w:pStyle w:val="Tabletext"/>
              <w:tabs>
                <w:tab w:val="clear" w:pos="567"/>
              </w:tabs>
              <w:ind w:left="306" w:hanging="306"/>
              <w:rPr>
                <w:b/>
                <w:bCs/>
                <w:szCs w:val="24"/>
                <w:lang w:val="fr-FR"/>
              </w:rPr>
            </w:pPr>
            <w:r w:rsidRPr="0012401D">
              <w:rPr>
                <w:szCs w:val="24"/>
                <w:lang w:val="fr-FR"/>
              </w:rPr>
              <w:t>•</w:t>
            </w:r>
            <w:r w:rsidRPr="0012401D">
              <w:rPr>
                <w:szCs w:val="24"/>
                <w:lang w:val="fr-FR"/>
              </w:rPr>
              <w:tab/>
            </w:r>
            <w:r w:rsidR="0012401D" w:rsidRPr="0012401D">
              <w:rPr>
                <w:b/>
                <w:bCs/>
                <w:szCs w:val="24"/>
                <w:lang w:val="fr-FR"/>
              </w:rPr>
              <w:t>Résolution</w:t>
            </w:r>
            <w:r w:rsidRPr="0012401D">
              <w:rPr>
                <w:b/>
                <w:bCs/>
                <w:szCs w:val="24"/>
                <w:lang w:val="fr-FR"/>
              </w:rPr>
              <w:t xml:space="preserve"> 24</w:t>
            </w:r>
            <w:r w:rsidRPr="006B009C">
              <w:rPr>
                <w:szCs w:val="24"/>
                <w:lang w:val="fr-FR"/>
              </w:rPr>
              <w:t xml:space="preserve"> –</w:t>
            </w:r>
            <w:r w:rsidRPr="0012401D">
              <w:rPr>
                <w:b/>
                <w:bCs/>
                <w:szCs w:val="24"/>
                <w:lang w:val="fr-FR"/>
              </w:rPr>
              <w:t xml:space="preserve"> </w:t>
            </w:r>
            <w:bookmarkStart w:id="17" w:name="_Toc266951874"/>
            <w:bookmarkStart w:id="18" w:name="_Toc401906741"/>
            <w:bookmarkStart w:id="19" w:name="_Toc506198247"/>
            <w:r w:rsidR="0012401D" w:rsidRPr="0012401D">
              <w:rPr>
                <w:i/>
                <w:iCs/>
                <w:szCs w:val="24"/>
                <w:lang w:val="fr-FR"/>
              </w:rPr>
              <w:t>Pouvoir conféré au Groupe consultatif pour le développement des télécommunications d'agir entre les Conférences mondiales de développement des télécommunications</w:t>
            </w:r>
            <w:bookmarkEnd w:id="17"/>
            <w:bookmarkEnd w:id="18"/>
            <w:bookmarkEnd w:id="19"/>
          </w:p>
          <w:p w14:paraId="4F8A5D78" w14:textId="5D1D5851" w:rsidR="00464051" w:rsidRPr="0012401D" w:rsidRDefault="00464051" w:rsidP="004E09B1">
            <w:pPr>
              <w:pStyle w:val="Tabletext"/>
              <w:tabs>
                <w:tab w:val="clear" w:pos="567"/>
              </w:tabs>
              <w:ind w:left="306" w:hanging="306"/>
              <w:rPr>
                <w:b/>
                <w:bCs/>
                <w:szCs w:val="24"/>
                <w:lang w:val="fr-FR"/>
              </w:rPr>
            </w:pPr>
            <w:r w:rsidRPr="0012401D">
              <w:rPr>
                <w:szCs w:val="24"/>
                <w:lang w:val="fr-FR"/>
              </w:rPr>
              <w:t>•</w:t>
            </w:r>
            <w:r w:rsidRPr="0012401D">
              <w:rPr>
                <w:szCs w:val="24"/>
                <w:lang w:val="fr-FR"/>
              </w:rPr>
              <w:tab/>
            </w:r>
            <w:r w:rsidR="0012401D" w:rsidRPr="0012401D">
              <w:rPr>
                <w:b/>
                <w:bCs/>
                <w:szCs w:val="24"/>
                <w:lang w:val="fr-FR"/>
              </w:rPr>
              <w:t>Résolution</w:t>
            </w:r>
            <w:r w:rsidRPr="0012401D">
              <w:rPr>
                <w:b/>
                <w:bCs/>
                <w:szCs w:val="24"/>
                <w:lang w:val="fr-FR"/>
              </w:rPr>
              <w:t xml:space="preserve"> 27</w:t>
            </w:r>
            <w:r w:rsidRPr="006B009C">
              <w:rPr>
                <w:szCs w:val="24"/>
                <w:lang w:val="fr-FR"/>
              </w:rPr>
              <w:t xml:space="preserve"> –</w:t>
            </w:r>
            <w:r w:rsidRPr="0012401D">
              <w:rPr>
                <w:b/>
                <w:bCs/>
                <w:szCs w:val="24"/>
                <w:lang w:val="fr-FR"/>
              </w:rPr>
              <w:t xml:space="preserve"> </w:t>
            </w:r>
            <w:r w:rsidR="0012401D" w:rsidRPr="0012401D">
              <w:rPr>
                <w:i/>
                <w:iCs/>
                <w:szCs w:val="24"/>
                <w:lang w:val="fr-FR"/>
              </w:rPr>
              <w:t>Admission d'entités ou d'organisations à participer comme Associés aux travaux du Secteur du développement des télécommunications de l'UIT</w:t>
            </w:r>
          </w:p>
          <w:p w14:paraId="0A30A554" w14:textId="22FAFFEA" w:rsidR="00464051" w:rsidRPr="0012401D" w:rsidRDefault="00464051" w:rsidP="004E09B1">
            <w:pPr>
              <w:pStyle w:val="Tabletext"/>
              <w:tabs>
                <w:tab w:val="clear" w:pos="567"/>
              </w:tabs>
              <w:ind w:left="306" w:hanging="306"/>
              <w:rPr>
                <w:i/>
                <w:iCs/>
                <w:szCs w:val="24"/>
                <w:lang w:val="fr-FR"/>
              </w:rPr>
            </w:pPr>
            <w:r w:rsidRPr="0012401D">
              <w:rPr>
                <w:szCs w:val="24"/>
                <w:lang w:val="fr-FR"/>
              </w:rPr>
              <w:t>•</w:t>
            </w:r>
            <w:r w:rsidRPr="0012401D">
              <w:rPr>
                <w:szCs w:val="24"/>
                <w:lang w:val="fr-FR"/>
              </w:rPr>
              <w:tab/>
            </w:r>
            <w:r w:rsidR="0012401D" w:rsidRPr="0012401D">
              <w:rPr>
                <w:b/>
                <w:bCs/>
                <w:szCs w:val="24"/>
                <w:lang w:val="fr-FR"/>
              </w:rPr>
              <w:t>Résolution</w:t>
            </w:r>
            <w:r w:rsidRPr="0012401D">
              <w:rPr>
                <w:b/>
                <w:bCs/>
                <w:szCs w:val="24"/>
                <w:lang w:val="fr-FR"/>
              </w:rPr>
              <w:t xml:space="preserve"> 31</w:t>
            </w:r>
            <w:r w:rsidRPr="006B009C">
              <w:rPr>
                <w:szCs w:val="24"/>
                <w:lang w:val="fr-FR"/>
              </w:rPr>
              <w:t xml:space="preserve"> –</w:t>
            </w:r>
            <w:r w:rsidRPr="0012401D">
              <w:rPr>
                <w:b/>
                <w:bCs/>
                <w:szCs w:val="24"/>
                <w:lang w:val="fr-FR"/>
              </w:rPr>
              <w:t xml:space="preserve"> </w:t>
            </w:r>
            <w:r w:rsidR="0012401D" w:rsidRPr="0012401D">
              <w:rPr>
                <w:i/>
                <w:iCs/>
                <w:szCs w:val="24"/>
                <w:lang w:val="fr-FR"/>
              </w:rPr>
              <w:t>Travaux préparatoires régionaux pour les conférences mondiales</w:t>
            </w:r>
            <w:r w:rsidR="0012401D">
              <w:rPr>
                <w:i/>
                <w:iCs/>
                <w:szCs w:val="24"/>
                <w:lang w:val="fr-FR"/>
              </w:rPr>
              <w:t xml:space="preserve"> </w:t>
            </w:r>
            <w:r w:rsidR="0012401D" w:rsidRPr="0012401D">
              <w:rPr>
                <w:i/>
                <w:iCs/>
                <w:szCs w:val="24"/>
                <w:lang w:val="fr-FR"/>
              </w:rPr>
              <w:t>de développement des télécommunications</w:t>
            </w:r>
          </w:p>
          <w:p w14:paraId="07434E1A" w14:textId="66E46CF5" w:rsidR="00464051" w:rsidRPr="0012401D" w:rsidRDefault="00464051" w:rsidP="004E09B1">
            <w:pPr>
              <w:pStyle w:val="Tabletext"/>
              <w:tabs>
                <w:tab w:val="clear" w:pos="567"/>
              </w:tabs>
              <w:ind w:left="306" w:hanging="306"/>
              <w:rPr>
                <w:b/>
                <w:bCs/>
                <w:szCs w:val="24"/>
                <w:lang w:val="fr-FR"/>
              </w:rPr>
            </w:pPr>
            <w:r w:rsidRPr="0012401D">
              <w:rPr>
                <w:szCs w:val="24"/>
                <w:lang w:val="fr-FR"/>
              </w:rPr>
              <w:t>•</w:t>
            </w:r>
            <w:r w:rsidRPr="0012401D">
              <w:rPr>
                <w:szCs w:val="24"/>
                <w:lang w:val="fr-FR"/>
              </w:rPr>
              <w:tab/>
            </w:r>
            <w:r w:rsidR="0012401D" w:rsidRPr="0012401D">
              <w:rPr>
                <w:b/>
                <w:bCs/>
                <w:szCs w:val="24"/>
                <w:lang w:val="fr-FR"/>
              </w:rPr>
              <w:t>Résolution</w:t>
            </w:r>
            <w:r w:rsidRPr="0012401D">
              <w:rPr>
                <w:b/>
                <w:bCs/>
                <w:szCs w:val="24"/>
                <w:lang w:val="fr-FR"/>
              </w:rPr>
              <w:t xml:space="preserve"> 53</w:t>
            </w:r>
            <w:r w:rsidRPr="006B009C">
              <w:rPr>
                <w:szCs w:val="24"/>
                <w:lang w:val="fr-FR"/>
              </w:rPr>
              <w:t xml:space="preserve"> –</w:t>
            </w:r>
            <w:r w:rsidRPr="0012401D">
              <w:rPr>
                <w:b/>
                <w:bCs/>
                <w:szCs w:val="24"/>
                <w:lang w:val="fr-FR"/>
              </w:rPr>
              <w:t xml:space="preserve"> </w:t>
            </w:r>
            <w:bookmarkStart w:id="20" w:name="_Toc266951919"/>
            <w:bookmarkStart w:id="21" w:name="_Toc401906786"/>
            <w:bookmarkStart w:id="22" w:name="_Toc506198291"/>
            <w:r w:rsidR="0012401D" w:rsidRPr="0012401D">
              <w:rPr>
                <w:i/>
                <w:iCs/>
                <w:szCs w:val="24"/>
                <w:lang w:val="fr-FR"/>
              </w:rPr>
              <w:t xml:space="preserve">Cadre stratégique et financier pour l'élaboration et la mise en œuvre du Plan d'action </w:t>
            </w:r>
            <w:bookmarkEnd w:id="20"/>
            <w:r w:rsidR="0012401D" w:rsidRPr="0012401D">
              <w:rPr>
                <w:i/>
                <w:iCs/>
                <w:szCs w:val="24"/>
                <w:lang w:val="fr-FR"/>
              </w:rPr>
              <w:t>de Dubaï</w:t>
            </w:r>
            <w:bookmarkEnd w:id="21"/>
            <w:bookmarkEnd w:id="22"/>
          </w:p>
          <w:p w14:paraId="3C17F2F8" w14:textId="154F2B8B" w:rsidR="00464051" w:rsidRPr="0012401D" w:rsidRDefault="00464051" w:rsidP="004E09B1">
            <w:pPr>
              <w:pStyle w:val="Tabletext"/>
              <w:tabs>
                <w:tab w:val="clear" w:pos="567"/>
              </w:tabs>
              <w:ind w:left="306" w:hanging="306"/>
              <w:rPr>
                <w:b/>
                <w:bCs/>
                <w:szCs w:val="24"/>
                <w:lang w:val="fr-FR"/>
              </w:rPr>
            </w:pPr>
            <w:r w:rsidRPr="0012401D">
              <w:rPr>
                <w:szCs w:val="24"/>
                <w:lang w:val="fr-FR"/>
              </w:rPr>
              <w:t>•</w:t>
            </w:r>
            <w:r w:rsidRPr="0012401D">
              <w:rPr>
                <w:szCs w:val="24"/>
                <w:lang w:val="fr-FR"/>
              </w:rPr>
              <w:tab/>
            </w:r>
            <w:r w:rsidR="0012401D" w:rsidRPr="0012401D">
              <w:rPr>
                <w:b/>
                <w:bCs/>
                <w:szCs w:val="24"/>
                <w:lang w:val="fr-FR"/>
              </w:rPr>
              <w:t>Résolution</w:t>
            </w:r>
            <w:r w:rsidRPr="0012401D">
              <w:rPr>
                <w:b/>
                <w:bCs/>
                <w:szCs w:val="24"/>
                <w:lang w:val="fr-FR"/>
              </w:rPr>
              <w:t xml:space="preserve"> 59</w:t>
            </w:r>
            <w:r w:rsidRPr="006B009C">
              <w:rPr>
                <w:szCs w:val="24"/>
                <w:lang w:val="fr-FR"/>
              </w:rPr>
              <w:t xml:space="preserve"> –</w:t>
            </w:r>
            <w:r w:rsidRPr="0012401D">
              <w:rPr>
                <w:b/>
                <w:bCs/>
                <w:szCs w:val="24"/>
                <w:lang w:val="fr-FR"/>
              </w:rPr>
              <w:t xml:space="preserve"> </w:t>
            </w:r>
            <w:bookmarkStart w:id="23" w:name="_Toc401906796"/>
            <w:bookmarkStart w:id="24" w:name="_Toc506198301"/>
            <w:r w:rsidR="0012401D" w:rsidRPr="0012401D">
              <w:rPr>
                <w:i/>
                <w:iCs/>
                <w:szCs w:val="24"/>
                <w:lang w:val="fr-FR"/>
              </w:rPr>
              <w:t>Renforcer la coordination et la coopération entre les trois Secteurs</w:t>
            </w:r>
            <w:r w:rsidR="00705737">
              <w:rPr>
                <w:i/>
                <w:iCs/>
                <w:szCs w:val="24"/>
                <w:lang w:val="fr-FR"/>
              </w:rPr>
              <w:t xml:space="preserve"> </w:t>
            </w:r>
            <w:r w:rsidR="0012401D" w:rsidRPr="0012401D">
              <w:rPr>
                <w:i/>
                <w:iCs/>
                <w:szCs w:val="24"/>
                <w:lang w:val="fr-FR"/>
              </w:rPr>
              <w:t>sur des questions d'intérêt mutuel</w:t>
            </w:r>
            <w:bookmarkEnd w:id="23"/>
            <w:bookmarkEnd w:id="24"/>
          </w:p>
          <w:p w14:paraId="7DD0DE6B" w14:textId="5247818B" w:rsidR="00464051" w:rsidRPr="0012401D" w:rsidRDefault="00464051" w:rsidP="004E09B1">
            <w:pPr>
              <w:pStyle w:val="Tabletext"/>
              <w:tabs>
                <w:tab w:val="clear" w:pos="567"/>
              </w:tabs>
              <w:ind w:left="306" w:hanging="306"/>
              <w:rPr>
                <w:b/>
                <w:bCs/>
                <w:szCs w:val="24"/>
                <w:lang w:val="fr-FR"/>
              </w:rPr>
            </w:pPr>
            <w:r w:rsidRPr="0012401D">
              <w:rPr>
                <w:szCs w:val="24"/>
                <w:lang w:val="fr-FR"/>
              </w:rPr>
              <w:t>•</w:t>
            </w:r>
            <w:r w:rsidRPr="0012401D">
              <w:rPr>
                <w:szCs w:val="24"/>
                <w:lang w:val="fr-FR"/>
              </w:rPr>
              <w:tab/>
            </w:r>
            <w:r w:rsidR="0012401D" w:rsidRPr="0012401D">
              <w:rPr>
                <w:b/>
                <w:bCs/>
                <w:szCs w:val="24"/>
                <w:lang w:val="fr-FR"/>
              </w:rPr>
              <w:t>Résolution</w:t>
            </w:r>
            <w:r w:rsidRPr="0012401D">
              <w:rPr>
                <w:b/>
                <w:bCs/>
                <w:szCs w:val="24"/>
                <w:lang w:val="fr-FR"/>
              </w:rPr>
              <w:t xml:space="preserve"> 61</w:t>
            </w:r>
            <w:r w:rsidRPr="006B009C">
              <w:rPr>
                <w:szCs w:val="24"/>
                <w:lang w:val="fr-FR"/>
              </w:rPr>
              <w:t xml:space="preserve"> –</w:t>
            </w:r>
            <w:r w:rsidRPr="0012401D">
              <w:rPr>
                <w:b/>
                <w:bCs/>
                <w:szCs w:val="24"/>
                <w:lang w:val="fr-FR"/>
              </w:rPr>
              <w:t xml:space="preserve"> </w:t>
            </w:r>
            <w:bookmarkStart w:id="25" w:name="_Toc266951934"/>
            <w:bookmarkStart w:id="26" w:name="_Toc401906800"/>
            <w:bookmarkStart w:id="27" w:name="_Toc506198305"/>
            <w:r w:rsidR="0012401D" w:rsidRPr="0012401D">
              <w:rPr>
                <w:i/>
                <w:iCs/>
                <w:szCs w:val="24"/>
                <w:lang w:val="fr-FR"/>
              </w:rPr>
              <w:t>Nomination et durée maximale du mandat des présidents et vice-présidents des commissions d'études du Secteur du développement des télécommunications de l'UIT et du Groupe consultatif pour le développement des télécommunications</w:t>
            </w:r>
            <w:bookmarkEnd w:id="25"/>
            <w:bookmarkEnd w:id="26"/>
            <w:bookmarkEnd w:id="27"/>
          </w:p>
          <w:p w14:paraId="50F1B644" w14:textId="238B6F01" w:rsidR="00464051" w:rsidRPr="0012401D" w:rsidRDefault="00464051" w:rsidP="004E09B1">
            <w:pPr>
              <w:pStyle w:val="Tabletext"/>
              <w:keepNext/>
              <w:keepLines/>
              <w:tabs>
                <w:tab w:val="clear" w:pos="567"/>
              </w:tabs>
              <w:ind w:left="306" w:hanging="306"/>
              <w:rPr>
                <w:b/>
                <w:bCs/>
                <w:szCs w:val="24"/>
                <w:lang w:val="fr-FR"/>
              </w:rPr>
            </w:pPr>
            <w:r w:rsidRPr="0012401D">
              <w:rPr>
                <w:szCs w:val="24"/>
                <w:lang w:val="fr-FR"/>
              </w:rPr>
              <w:lastRenderedPageBreak/>
              <w:t>•</w:t>
            </w:r>
            <w:r w:rsidRPr="0012401D">
              <w:rPr>
                <w:szCs w:val="24"/>
                <w:lang w:val="fr-FR"/>
              </w:rPr>
              <w:tab/>
            </w:r>
            <w:r w:rsidR="0012401D" w:rsidRPr="0012401D">
              <w:rPr>
                <w:b/>
                <w:bCs/>
                <w:szCs w:val="24"/>
                <w:lang w:val="fr-FR"/>
              </w:rPr>
              <w:t>Résolution</w:t>
            </w:r>
            <w:r w:rsidRPr="0012401D">
              <w:rPr>
                <w:b/>
                <w:bCs/>
                <w:szCs w:val="24"/>
                <w:lang w:val="fr-FR"/>
              </w:rPr>
              <w:t xml:space="preserve"> 71</w:t>
            </w:r>
            <w:r w:rsidRPr="006B009C">
              <w:rPr>
                <w:szCs w:val="24"/>
                <w:lang w:val="fr-FR"/>
              </w:rPr>
              <w:t xml:space="preserve"> –</w:t>
            </w:r>
            <w:r w:rsidRPr="0012401D">
              <w:rPr>
                <w:b/>
                <w:bCs/>
                <w:szCs w:val="24"/>
                <w:lang w:val="fr-FR"/>
              </w:rPr>
              <w:t xml:space="preserve"> </w:t>
            </w:r>
            <w:bookmarkStart w:id="28" w:name="_Toc401906820"/>
            <w:bookmarkStart w:id="29" w:name="_Toc506198320"/>
            <w:r w:rsidR="0012401D" w:rsidRPr="0012401D">
              <w:rPr>
                <w:i/>
                <w:iCs/>
                <w:szCs w:val="24"/>
                <w:lang w:val="fr-FR"/>
              </w:rPr>
              <w:t xml:space="preserve">Renforcement de la coopération entre les </w:t>
            </w:r>
            <w:r w:rsidR="00EE0368">
              <w:rPr>
                <w:i/>
                <w:iCs/>
                <w:szCs w:val="24"/>
                <w:lang w:val="fr-FR"/>
              </w:rPr>
              <w:t>É</w:t>
            </w:r>
            <w:r w:rsidR="0012401D" w:rsidRPr="0012401D">
              <w:rPr>
                <w:i/>
                <w:iCs/>
                <w:szCs w:val="24"/>
                <w:lang w:val="fr-FR"/>
              </w:rPr>
              <w:t>tats Membres, les Membres de Secteur, les Associés et les établissements universitaires participant aux travaux du Secteur du développement des télécommunications de l'UIT et évolution du rôle du secteur privé</w:t>
            </w:r>
            <w:bookmarkEnd w:id="28"/>
            <w:r w:rsidR="0012401D" w:rsidRPr="0012401D">
              <w:rPr>
                <w:i/>
                <w:iCs/>
                <w:szCs w:val="24"/>
                <w:lang w:val="fr-FR"/>
              </w:rPr>
              <w:t xml:space="preserve"> au sein du Secteur du développement des télécommunications de l'UIT</w:t>
            </w:r>
            <w:bookmarkEnd w:id="29"/>
          </w:p>
          <w:p w14:paraId="63EA313B" w14:textId="555E550B" w:rsidR="00464051" w:rsidRPr="0012401D" w:rsidRDefault="00464051" w:rsidP="004E09B1">
            <w:pPr>
              <w:pStyle w:val="Tabletext"/>
              <w:tabs>
                <w:tab w:val="clear" w:pos="567"/>
              </w:tabs>
              <w:ind w:left="306" w:hanging="306"/>
              <w:rPr>
                <w:b/>
                <w:bCs/>
                <w:szCs w:val="24"/>
                <w:lang w:val="fr-FR"/>
              </w:rPr>
            </w:pPr>
            <w:r w:rsidRPr="0012401D">
              <w:rPr>
                <w:szCs w:val="24"/>
                <w:lang w:val="fr-FR"/>
              </w:rPr>
              <w:t>•</w:t>
            </w:r>
            <w:r w:rsidRPr="0012401D">
              <w:rPr>
                <w:szCs w:val="24"/>
                <w:lang w:val="fr-FR"/>
              </w:rPr>
              <w:tab/>
            </w:r>
            <w:r w:rsidR="0012401D" w:rsidRPr="0012401D">
              <w:rPr>
                <w:b/>
                <w:bCs/>
                <w:szCs w:val="24"/>
                <w:lang w:val="fr-FR"/>
              </w:rPr>
              <w:t>Résolution</w:t>
            </w:r>
            <w:r w:rsidRPr="0012401D">
              <w:rPr>
                <w:b/>
                <w:bCs/>
                <w:szCs w:val="24"/>
                <w:lang w:val="fr-FR"/>
              </w:rPr>
              <w:t xml:space="preserve"> 81</w:t>
            </w:r>
            <w:r w:rsidRPr="006B009C">
              <w:rPr>
                <w:szCs w:val="24"/>
                <w:lang w:val="fr-FR"/>
              </w:rPr>
              <w:t xml:space="preserve"> –</w:t>
            </w:r>
            <w:r w:rsidRPr="0012401D">
              <w:rPr>
                <w:b/>
                <w:bCs/>
                <w:szCs w:val="24"/>
                <w:lang w:val="fr-FR"/>
              </w:rPr>
              <w:t xml:space="preserve"> </w:t>
            </w:r>
            <w:bookmarkStart w:id="30" w:name="_Toc401906840"/>
            <w:bookmarkStart w:id="31" w:name="_Toc506198336"/>
            <w:r w:rsidR="0012401D" w:rsidRPr="0012401D">
              <w:rPr>
                <w:i/>
                <w:iCs/>
                <w:szCs w:val="24"/>
                <w:lang w:val="fr-FR"/>
              </w:rPr>
              <w:t>Perfectionnement des méthodes de travail électroniques pour les travaux du Secteur du développement des télécommunications de l'UIT</w:t>
            </w:r>
            <w:bookmarkEnd w:id="30"/>
            <w:bookmarkEnd w:id="31"/>
          </w:p>
          <w:p w14:paraId="2A6F9F2B" w14:textId="519E8E82" w:rsidR="00464051" w:rsidRPr="0012401D" w:rsidRDefault="00464051" w:rsidP="004E09B1">
            <w:pPr>
              <w:pStyle w:val="Tabletext"/>
              <w:tabs>
                <w:tab w:val="clear" w:pos="567"/>
              </w:tabs>
              <w:ind w:left="306" w:hanging="306"/>
              <w:rPr>
                <w:b/>
                <w:bCs/>
                <w:szCs w:val="24"/>
                <w:lang w:val="fr-FR"/>
              </w:rPr>
            </w:pPr>
            <w:r w:rsidRPr="0012401D">
              <w:rPr>
                <w:szCs w:val="24"/>
                <w:lang w:val="fr-FR"/>
              </w:rPr>
              <w:t>•</w:t>
            </w:r>
            <w:r w:rsidRPr="0012401D">
              <w:rPr>
                <w:szCs w:val="24"/>
                <w:lang w:val="fr-FR"/>
              </w:rPr>
              <w:tab/>
            </w:r>
            <w:r w:rsidR="0012401D" w:rsidRPr="0012401D">
              <w:rPr>
                <w:b/>
                <w:bCs/>
                <w:szCs w:val="24"/>
                <w:lang w:val="fr-FR"/>
              </w:rPr>
              <w:t>Résolution</w:t>
            </w:r>
            <w:r w:rsidRPr="0012401D">
              <w:rPr>
                <w:b/>
                <w:bCs/>
                <w:szCs w:val="24"/>
                <w:lang w:val="fr-FR"/>
              </w:rPr>
              <w:t xml:space="preserve"> 82</w:t>
            </w:r>
            <w:r w:rsidRPr="006B009C">
              <w:rPr>
                <w:szCs w:val="24"/>
                <w:lang w:val="fr-FR"/>
              </w:rPr>
              <w:t xml:space="preserve"> –</w:t>
            </w:r>
            <w:r w:rsidRPr="0012401D">
              <w:rPr>
                <w:b/>
                <w:bCs/>
                <w:szCs w:val="24"/>
                <w:lang w:val="fr-FR"/>
              </w:rPr>
              <w:t xml:space="preserve"> </w:t>
            </w:r>
            <w:bookmarkStart w:id="32" w:name="_Toc401906842"/>
            <w:bookmarkStart w:id="33" w:name="_Toc506198338"/>
            <w:r w:rsidR="0012401D" w:rsidRPr="0012401D">
              <w:rPr>
                <w:i/>
                <w:iCs/>
                <w:szCs w:val="24"/>
                <w:lang w:val="fr-FR"/>
              </w:rPr>
              <w:t>Préserver et promouvoir le multilinguisme sur l'Internet en faveur d'une société de l'information inclusive</w:t>
            </w:r>
            <w:bookmarkEnd w:id="32"/>
            <w:bookmarkEnd w:id="33"/>
          </w:p>
          <w:p w14:paraId="1739FC55" w14:textId="08F1648A" w:rsidR="00464051" w:rsidRPr="0012401D" w:rsidRDefault="00464051" w:rsidP="004E09B1">
            <w:pPr>
              <w:pStyle w:val="Tabletext"/>
              <w:tabs>
                <w:tab w:val="clear" w:pos="567"/>
              </w:tabs>
              <w:spacing w:after="120"/>
              <w:ind w:left="306" w:hanging="306"/>
              <w:rPr>
                <w:szCs w:val="24"/>
                <w:lang w:val="fr-FR"/>
              </w:rPr>
            </w:pPr>
            <w:r w:rsidRPr="0012401D">
              <w:rPr>
                <w:szCs w:val="24"/>
                <w:lang w:val="fr-FR"/>
              </w:rPr>
              <w:t>•</w:t>
            </w:r>
            <w:r w:rsidRPr="0012401D">
              <w:rPr>
                <w:szCs w:val="24"/>
                <w:lang w:val="fr-FR"/>
              </w:rPr>
              <w:tab/>
            </w:r>
            <w:r w:rsidR="0012401D" w:rsidRPr="0012401D">
              <w:rPr>
                <w:b/>
                <w:bCs/>
                <w:szCs w:val="24"/>
                <w:lang w:val="fr-FR"/>
              </w:rPr>
              <w:t>Résolution</w:t>
            </w:r>
            <w:r w:rsidRPr="0012401D">
              <w:rPr>
                <w:b/>
                <w:bCs/>
                <w:szCs w:val="24"/>
                <w:lang w:val="fr-FR"/>
              </w:rPr>
              <w:t xml:space="preserve"> 86 – </w:t>
            </w:r>
            <w:bookmarkStart w:id="34" w:name="_Toc475539610"/>
            <w:bookmarkStart w:id="35" w:name="_Toc475542319"/>
            <w:bookmarkStart w:id="36" w:name="_Toc476211423"/>
            <w:bookmarkStart w:id="37" w:name="_Toc476213360"/>
            <w:bookmarkStart w:id="38" w:name="_Toc506198346"/>
            <w:r w:rsidR="0012401D" w:rsidRPr="0012401D">
              <w:rPr>
                <w:i/>
                <w:iCs/>
                <w:szCs w:val="24"/>
                <w:lang w:val="fr-FR"/>
              </w:rPr>
              <w:t>Utilisation au sein du Secteur du développement des télécommunications de l'UIT des langues de l'Union sur un pied d'égalité</w:t>
            </w:r>
            <w:bookmarkEnd w:id="34"/>
            <w:bookmarkEnd w:id="35"/>
            <w:bookmarkEnd w:id="36"/>
            <w:bookmarkEnd w:id="37"/>
            <w:bookmarkEnd w:id="38"/>
          </w:p>
        </w:tc>
      </w:tr>
      <w:tr w:rsidR="00464051" w:rsidRPr="004E09B1" w14:paraId="7AB9E2D5" w14:textId="77777777" w:rsidTr="00A239CB">
        <w:tc>
          <w:tcPr>
            <w:tcW w:w="9629" w:type="dxa"/>
            <w:tcBorders>
              <w:left w:val="nil"/>
              <w:right w:val="nil"/>
            </w:tcBorders>
          </w:tcPr>
          <w:p w14:paraId="4890EBFB" w14:textId="77777777" w:rsidR="00464051" w:rsidRPr="0012401D" w:rsidRDefault="00464051" w:rsidP="00875786">
            <w:pPr>
              <w:pStyle w:val="Tabletext"/>
              <w:rPr>
                <w:szCs w:val="24"/>
                <w:lang w:val="fr-FR"/>
              </w:rPr>
            </w:pPr>
          </w:p>
        </w:tc>
      </w:tr>
      <w:tr w:rsidR="00464051" w:rsidRPr="004E09B1" w14:paraId="5A42C0F6" w14:textId="77777777" w:rsidTr="00A239CB">
        <w:tc>
          <w:tcPr>
            <w:tcW w:w="9629" w:type="dxa"/>
            <w:shd w:val="clear" w:color="auto" w:fill="BDD6EE" w:themeFill="accent1" w:themeFillTint="66"/>
          </w:tcPr>
          <w:p w14:paraId="483FFFBD" w14:textId="0FC972DA" w:rsidR="00464051" w:rsidRPr="002A3921" w:rsidRDefault="002A3921" w:rsidP="00875786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sz w:val="24"/>
                <w:szCs w:val="24"/>
                <w:lang w:val="fr-FR"/>
              </w:rPr>
            </w:pPr>
            <w:r w:rsidRPr="002A3921">
              <w:rPr>
                <w:sz w:val="24"/>
                <w:szCs w:val="24"/>
                <w:lang w:val="fr-FR"/>
              </w:rPr>
              <w:t xml:space="preserve">Groupe de travail de la </w:t>
            </w:r>
            <w:proofErr w:type="gramStart"/>
            <w:r w:rsidRPr="002A3921">
              <w:rPr>
                <w:sz w:val="24"/>
                <w:szCs w:val="24"/>
                <w:lang w:val="fr-FR"/>
              </w:rPr>
              <w:t>plénière:</w:t>
            </w:r>
            <w:proofErr w:type="gramEnd"/>
            <w:r w:rsidRPr="002A3921">
              <w:rPr>
                <w:sz w:val="24"/>
                <w:szCs w:val="24"/>
                <w:lang w:val="fr-FR"/>
              </w:rPr>
              <w:t xml:space="preserve"> </w:t>
            </w:r>
            <w:r w:rsidRPr="004E09B1">
              <w:rPr>
                <w:sz w:val="24"/>
                <w:szCs w:val="24"/>
                <w:lang w:val="fr-FR"/>
              </w:rPr>
              <w:t>Contribution de l'UIT</w:t>
            </w:r>
            <w:r w:rsidRPr="004E09B1">
              <w:rPr>
                <w:sz w:val="24"/>
                <w:szCs w:val="24"/>
                <w:lang w:val="fr-FR"/>
              </w:rPr>
              <w:noBreakHyphen/>
              <w:t>D au Plan stratégique de l'UIT pour la période</w:t>
            </w:r>
            <w:r w:rsidRPr="002A3921">
              <w:rPr>
                <w:sz w:val="24"/>
                <w:szCs w:val="24"/>
                <w:lang w:val="fr-FR"/>
              </w:rPr>
              <w:t> 2024-2027 et Déclaration de la CMDT</w:t>
            </w:r>
          </w:p>
        </w:tc>
      </w:tr>
      <w:tr w:rsidR="00464051" w:rsidRPr="004E09B1" w14:paraId="469EB996" w14:textId="77777777" w:rsidTr="00A239CB">
        <w:tc>
          <w:tcPr>
            <w:tcW w:w="9629" w:type="dxa"/>
          </w:tcPr>
          <w:p w14:paraId="4DF18C43" w14:textId="2FB3683E" w:rsidR="00464051" w:rsidRPr="002A3921" w:rsidRDefault="002A3921" w:rsidP="007B6AC5">
            <w:pPr>
              <w:pStyle w:val="Tabletext"/>
              <w:spacing w:before="120" w:after="120"/>
              <w:rPr>
                <w:lang w:val="fr-FR"/>
              </w:rPr>
            </w:pPr>
            <w:proofErr w:type="gramStart"/>
            <w:r w:rsidRPr="002A3921">
              <w:rPr>
                <w:b/>
                <w:bCs/>
                <w:lang w:val="fr-FR"/>
              </w:rPr>
              <w:t>Mandat</w:t>
            </w:r>
            <w:r w:rsidRPr="002A3921">
              <w:rPr>
                <w:lang w:val="fr-FR"/>
              </w:rPr>
              <w:t>:</w:t>
            </w:r>
            <w:proofErr w:type="gramEnd"/>
            <w:r w:rsidRPr="002A3921">
              <w:rPr>
                <w:lang w:val="fr-FR"/>
              </w:rPr>
              <w:t xml:space="preserve"> élaborer un projet de Déclaration de la CMDT </w:t>
            </w:r>
            <w:r w:rsidRPr="004E09B1">
              <w:rPr>
                <w:lang w:val="fr-FR"/>
              </w:rPr>
              <w:t>et la contribution du Secteur de l'UIT-D au Plan stratégique de l'Union qui sera adopté par la prochaine Conférence de plénipotentiaires</w:t>
            </w:r>
            <w:r w:rsidRPr="002A3921">
              <w:rPr>
                <w:lang w:val="fr-FR"/>
              </w:rPr>
              <w:t>.</w:t>
            </w:r>
          </w:p>
        </w:tc>
      </w:tr>
      <w:tr w:rsidR="00464051" w:rsidRPr="004E09B1" w14:paraId="4CB7ADC8" w14:textId="77777777" w:rsidTr="00A239CB">
        <w:tc>
          <w:tcPr>
            <w:tcW w:w="9629" w:type="dxa"/>
          </w:tcPr>
          <w:p w14:paraId="524281C3" w14:textId="09FBF85D" w:rsidR="00464051" w:rsidRPr="001118C4" w:rsidRDefault="002A3921" w:rsidP="007B6AC5">
            <w:pPr>
              <w:pStyle w:val="Tabletext"/>
              <w:spacing w:before="120"/>
              <w:rPr>
                <w:b/>
                <w:bCs/>
                <w:szCs w:val="24"/>
                <w:lang w:val="fr-FR"/>
              </w:rPr>
            </w:pPr>
            <w:bookmarkStart w:id="39" w:name="_GoBack" w:colFirst="0" w:colLast="1"/>
            <w:r w:rsidRPr="001118C4">
              <w:rPr>
                <w:szCs w:val="24"/>
                <w:lang w:val="fr-FR"/>
              </w:rPr>
              <w:t>•</w:t>
            </w:r>
            <w:r w:rsidRPr="001118C4">
              <w:rPr>
                <w:szCs w:val="24"/>
                <w:lang w:val="fr-FR"/>
              </w:rPr>
              <w:tab/>
            </w:r>
            <w:r w:rsidR="001118C4" w:rsidRPr="001118C4">
              <w:rPr>
                <w:b/>
                <w:bCs/>
                <w:szCs w:val="24"/>
                <w:lang w:val="fr-FR"/>
              </w:rPr>
              <w:t>Déclaration de la CMDT</w:t>
            </w:r>
          </w:p>
          <w:p w14:paraId="5C79009C" w14:textId="150807B3" w:rsidR="00464051" w:rsidRPr="001118C4" w:rsidRDefault="002A3921" w:rsidP="00875786">
            <w:pPr>
              <w:pStyle w:val="Tabletext"/>
              <w:rPr>
                <w:szCs w:val="24"/>
                <w:lang w:val="fr-FR"/>
              </w:rPr>
            </w:pPr>
            <w:r w:rsidRPr="001118C4">
              <w:rPr>
                <w:szCs w:val="24"/>
                <w:lang w:val="fr-FR"/>
              </w:rPr>
              <w:t>•</w:t>
            </w:r>
            <w:r w:rsidRPr="001118C4">
              <w:rPr>
                <w:szCs w:val="24"/>
                <w:lang w:val="fr-FR"/>
              </w:rPr>
              <w:tab/>
            </w:r>
            <w:r w:rsidR="001118C4" w:rsidRPr="001118C4">
              <w:rPr>
                <w:b/>
                <w:bCs/>
                <w:szCs w:val="24"/>
                <w:lang w:val="fr-FR"/>
              </w:rPr>
              <w:t>Contrib</w:t>
            </w:r>
            <w:r w:rsidR="00EE6EBD">
              <w:rPr>
                <w:b/>
                <w:bCs/>
                <w:szCs w:val="24"/>
                <w:lang w:val="fr-FR"/>
              </w:rPr>
              <w:t xml:space="preserve">ution de l'UIT-D </w:t>
            </w:r>
            <w:proofErr w:type="gramStart"/>
            <w:r w:rsidR="00EE6EBD">
              <w:rPr>
                <w:b/>
                <w:bCs/>
                <w:szCs w:val="24"/>
                <w:lang w:val="fr-FR"/>
              </w:rPr>
              <w:t>au</w:t>
            </w:r>
            <w:proofErr w:type="gramEnd"/>
            <w:r w:rsidR="00EE6EBD">
              <w:rPr>
                <w:b/>
                <w:bCs/>
                <w:szCs w:val="24"/>
                <w:lang w:val="fr-FR"/>
              </w:rPr>
              <w:t xml:space="preserve"> P</w:t>
            </w:r>
            <w:r w:rsidR="001118C4" w:rsidRPr="001118C4">
              <w:rPr>
                <w:b/>
                <w:bCs/>
                <w:szCs w:val="24"/>
                <w:lang w:val="fr-FR"/>
              </w:rPr>
              <w:t>lan stratégique de l'UIT</w:t>
            </w:r>
          </w:p>
          <w:p w14:paraId="29195AA8" w14:textId="29EF6E30" w:rsidR="00464051" w:rsidRPr="002A3921" w:rsidRDefault="002A3921" w:rsidP="004E09B1">
            <w:pPr>
              <w:pStyle w:val="Tabletext"/>
              <w:spacing w:after="120"/>
              <w:ind w:left="284" w:hanging="284"/>
              <w:rPr>
                <w:szCs w:val="24"/>
                <w:lang w:val="fr-FR"/>
              </w:rPr>
            </w:pPr>
            <w:r w:rsidRPr="002A3921">
              <w:rPr>
                <w:szCs w:val="24"/>
                <w:lang w:val="fr-FR"/>
              </w:rPr>
              <w:t>•</w:t>
            </w:r>
            <w:r w:rsidRPr="002A3921">
              <w:rPr>
                <w:szCs w:val="24"/>
                <w:lang w:val="fr-FR"/>
              </w:rPr>
              <w:tab/>
            </w:r>
            <w:r w:rsidR="00464051" w:rsidRPr="002A3921">
              <w:rPr>
                <w:b/>
                <w:bCs/>
                <w:szCs w:val="24"/>
                <w:lang w:val="fr-FR"/>
              </w:rPr>
              <w:t>R</w:t>
            </w:r>
            <w:r w:rsidRPr="002A3921">
              <w:rPr>
                <w:b/>
                <w:bCs/>
                <w:szCs w:val="24"/>
                <w:lang w:val="fr-FR"/>
              </w:rPr>
              <w:t>é</w:t>
            </w:r>
            <w:r w:rsidR="00464051" w:rsidRPr="002A3921">
              <w:rPr>
                <w:b/>
                <w:bCs/>
                <w:szCs w:val="24"/>
                <w:lang w:val="fr-FR"/>
              </w:rPr>
              <w:t>solution 30</w:t>
            </w:r>
            <w:r w:rsidR="00464051" w:rsidRPr="002A3921">
              <w:rPr>
                <w:szCs w:val="24"/>
                <w:lang w:val="fr-FR"/>
              </w:rPr>
              <w:t xml:space="preserve"> </w:t>
            </w:r>
            <w:r w:rsidRPr="002A3921">
              <w:rPr>
                <w:szCs w:val="24"/>
                <w:lang w:val="fr-FR"/>
              </w:rPr>
              <w:t>–</w:t>
            </w:r>
            <w:r w:rsidR="00464051" w:rsidRPr="002A3921">
              <w:rPr>
                <w:szCs w:val="24"/>
                <w:lang w:val="fr-FR"/>
              </w:rPr>
              <w:t xml:space="preserve"> </w:t>
            </w:r>
            <w:bookmarkStart w:id="40" w:name="_Toc266951884"/>
            <w:bookmarkStart w:id="41" w:name="_Toc401906749"/>
            <w:bookmarkStart w:id="42" w:name="_Toc506198255"/>
            <w:r w:rsidRPr="002A3921">
              <w:rPr>
                <w:i/>
                <w:iCs/>
                <w:szCs w:val="24"/>
                <w:lang w:val="fr-FR"/>
              </w:rPr>
              <w:t xml:space="preserve">Rôle du Secteur du développement des télécommunications de l'UIT dans la mise en </w:t>
            </w:r>
            <w:r w:rsidR="00441C9C" w:rsidRPr="002A3921">
              <w:rPr>
                <w:i/>
                <w:iCs/>
                <w:szCs w:val="24"/>
                <w:lang w:val="fr-FR"/>
              </w:rPr>
              <w:t>œuvre</w:t>
            </w:r>
            <w:r w:rsidRPr="002A3921">
              <w:rPr>
                <w:i/>
                <w:iCs/>
                <w:szCs w:val="24"/>
                <w:lang w:val="fr-FR"/>
              </w:rPr>
              <w:t xml:space="preserve"> des résultats du Sommet mondial sur la société de l'information</w:t>
            </w:r>
            <w:bookmarkEnd w:id="40"/>
            <w:bookmarkEnd w:id="41"/>
            <w:r w:rsidRPr="002A3921">
              <w:rPr>
                <w:i/>
                <w:iCs/>
                <w:szCs w:val="24"/>
                <w:lang w:val="fr-FR"/>
              </w:rPr>
              <w:t>, compte tenu du Programme de développement durable à l'horizon 2030</w:t>
            </w:r>
            <w:bookmarkEnd w:id="42"/>
          </w:p>
        </w:tc>
      </w:tr>
    </w:tbl>
    <w:bookmarkEnd w:id="39"/>
    <w:p w14:paraId="37771B7F" w14:textId="77777777" w:rsidR="002A3921" w:rsidRDefault="002A3921" w:rsidP="002A3921">
      <w:pPr>
        <w:spacing w:before="360"/>
        <w:jc w:val="center"/>
      </w:pPr>
      <w:r>
        <w:t>______________</w:t>
      </w:r>
    </w:p>
    <w:sectPr w:rsidR="002A3921" w:rsidSect="00504609">
      <w:headerReference w:type="default" r:id="rId11"/>
      <w:footerReference w:type="default" r:id="rId12"/>
      <w:footerReference w:type="first" r:id="rId13"/>
      <w:pgSz w:w="11909" w:h="16834" w:code="9"/>
      <w:pgMar w:top="1418" w:right="1134" w:bottom="1418" w:left="1134" w:header="720" w:footer="6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7811D" w14:textId="77777777" w:rsidR="0092342C" w:rsidRDefault="0092342C">
      <w:r>
        <w:separator/>
      </w:r>
    </w:p>
  </w:endnote>
  <w:endnote w:type="continuationSeparator" w:id="0">
    <w:p w14:paraId="43F257F5" w14:textId="77777777" w:rsidR="0092342C" w:rsidRDefault="0092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1F806" w14:textId="0338402D" w:rsidR="002A3921" w:rsidRPr="001525AB" w:rsidRDefault="001525AB" w:rsidP="001525AB">
    <w:pPr>
      <w:pStyle w:val="Footer"/>
      <w:rPr>
        <w:lang w:val="en-US"/>
      </w:rPr>
    </w:pPr>
    <w:r>
      <w:fldChar w:fldCharType="begin"/>
    </w:r>
    <w:r w:rsidRPr="001525AB">
      <w:rPr>
        <w:lang w:val="en-US"/>
      </w:rPr>
      <w:instrText xml:space="preserve"> FILENAME \p  \* MERGEFORMAT </w:instrText>
    </w:r>
    <w:r>
      <w:fldChar w:fldCharType="separate"/>
    </w:r>
    <w:r w:rsidR="007B6AC5">
      <w:rPr>
        <w:lang w:val="en-US"/>
      </w:rPr>
      <w:t>P:\FRA\ITU-D\CONF-D\IRM21\000\069F.docx</w:t>
    </w:r>
    <w:r>
      <w:fldChar w:fldCharType="end"/>
    </w:r>
    <w:r w:rsidR="002A3921" w:rsidRPr="001525AB">
      <w:rPr>
        <w:lang w:val="en-US"/>
      </w:rPr>
      <w:t xml:space="preserve"> (502288)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99" w:type="pct"/>
      <w:tblLayout w:type="fixed"/>
      <w:tblLook w:val="04A0" w:firstRow="1" w:lastRow="0" w:firstColumn="1" w:lastColumn="0" w:noHBand="0" w:noVBand="1"/>
    </w:tblPr>
    <w:tblGrid>
      <w:gridCol w:w="1430"/>
      <w:gridCol w:w="2251"/>
      <w:gridCol w:w="5958"/>
    </w:tblGrid>
    <w:tr w:rsidR="00464051" w:rsidRPr="004E09B1" w14:paraId="38041CC2" w14:textId="77777777" w:rsidTr="00464051">
      <w:tc>
        <w:tcPr>
          <w:tcW w:w="1430" w:type="dxa"/>
          <w:tcBorders>
            <w:top w:val="single" w:sz="4" w:space="0" w:color="000000"/>
          </w:tcBorders>
          <w:shd w:val="clear" w:color="auto" w:fill="auto"/>
        </w:tcPr>
        <w:p w14:paraId="2D3EB904" w14:textId="77777777" w:rsidR="00464051" w:rsidRPr="004D495C" w:rsidRDefault="00464051" w:rsidP="0046405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2251" w:type="dxa"/>
          <w:tcBorders>
            <w:top w:val="single" w:sz="4" w:space="0" w:color="000000"/>
          </w:tcBorders>
        </w:tcPr>
        <w:p w14:paraId="5A4C9EB3" w14:textId="77777777" w:rsidR="00464051" w:rsidRPr="004D495C" w:rsidRDefault="00464051" w:rsidP="0046405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Nom/Organisation/</w:t>
          </w:r>
          <w:proofErr w:type="gramStart"/>
          <w:r w:rsidRPr="00C100BE">
            <w:rPr>
              <w:sz w:val="18"/>
              <w:szCs w:val="18"/>
              <w:lang w:val="fr-CH"/>
            </w:rPr>
            <w:t>Entité</w:t>
          </w:r>
          <w:r>
            <w:rPr>
              <w:sz w:val="18"/>
              <w:szCs w:val="18"/>
              <w:lang w:val="fr-CH"/>
            </w:rPr>
            <w:t>:</w:t>
          </w:r>
          <w:proofErr w:type="gramEnd"/>
        </w:p>
      </w:tc>
      <w:tc>
        <w:tcPr>
          <w:tcW w:w="5958" w:type="dxa"/>
          <w:tcBorders>
            <w:top w:val="single" w:sz="4" w:space="0" w:color="000000"/>
          </w:tcBorders>
        </w:tcPr>
        <w:p w14:paraId="73367514" w14:textId="46FBB297" w:rsidR="00464051" w:rsidRPr="00464051" w:rsidRDefault="00464051" w:rsidP="00464051">
          <w:pPr>
            <w:pStyle w:val="FirstFooter"/>
            <w:rPr>
              <w:sz w:val="18"/>
              <w:szCs w:val="18"/>
            </w:rPr>
          </w:pPr>
          <w:r w:rsidRPr="00F520A4">
            <w:rPr>
              <w:sz w:val="18"/>
              <w:szCs w:val="18"/>
            </w:rPr>
            <w:t xml:space="preserve">M. Stephen Bereaux, </w:t>
          </w:r>
          <w:r>
            <w:rPr>
              <w:sz w:val="18"/>
              <w:szCs w:val="18"/>
            </w:rPr>
            <w:t>Adjoint à la Directrice</w:t>
          </w:r>
          <w:r w:rsidR="001525AB">
            <w:rPr>
              <w:sz w:val="18"/>
              <w:szCs w:val="18"/>
            </w:rPr>
            <w:t>, Bureau de développement des </w:t>
          </w:r>
          <w:r w:rsidRPr="00F520A4">
            <w:rPr>
              <w:sz w:val="18"/>
              <w:szCs w:val="18"/>
            </w:rPr>
            <w:t>télécommunications</w:t>
          </w:r>
        </w:p>
      </w:tc>
      <w:bookmarkStart w:id="45" w:name="OrgName"/>
      <w:bookmarkEnd w:id="45"/>
    </w:tr>
    <w:tr w:rsidR="00464051" w:rsidRPr="004D495C" w14:paraId="6EA353CC" w14:textId="77777777" w:rsidTr="00464051">
      <w:tc>
        <w:tcPr>
          <w:tcW w:w="1430" w:type="dxa"/>
          <w:shd w:val="clear" w:color="auto" w:fill="auto"/>
        </w:tcPr>
        <w:p w14:paraId="10D0031D" w14:textId="77777777" w:rsidR="00464051" w:rsidRPr="000D5661" w:rsidRDefault="00464051" w:rsidP="00464051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251" w:type="dxa"/>
        </w:tcPr>
        <w:p w14:paraId="171431B3" w14:textId="77777777" w:rsidR="00464051" w:rsidRPr="004D495C" w:rsidRDefault="00464051" w:rsidP="0046405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 xml:space="preserve">Numéro de </w:t>
          </w:r>
          <w:proofErr w:type="gramStart"/>
          <w:r w:rsidRPr="00C100BE">
            <w:rPr>
              <w:sz w:val="18"/>
              <w:szCs w:val="18"/>
              <w:lang w:val="fr-CH"/>
            </w:rPr>
            <w:t>téléphone</w:t>
          </w:r>
          <w:r>
            <w:rPr>
              <w:sz w:val="18"/>
              <w:szCs w:val="18"/>
              <w:lang w:val="fr-CH"/>
            </w:rPr>
            <w:t>:</w:t>
          </w:r>
          <w:proofErr w:type="gramEnd"/>
        </w:p>
      </w:tc>
      <w:tc>
        <w:tcPr>
          <w:tcW w:w="5958" w:type="dxa"/>
        </w:tcPr>
        <w:p w14:paraId="43AC3B9F" w14:textId="0EDCA681" w:rsidR="00464051" w:rsidRPr="00523FA7" w:rsidRDefault="00464051" w:rsidP="0046405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46" w:name="PhoneNo"/>
      <w:bookmarkEnd w:id="46"/>
    </w:tr>
    <w:tr w:rsidR="00464051" w:rsidRPr="004D495C" w14:paraId="0B41BBE9" w14:textId="77777777" w:rsidTr="00464051">
      <w:tc>
        <w:tcPr>
          <w:tcW w:w="1430" w:type="dxa"/>
          <w:shd w:val="clear" w:color="auto" w:fill="auto"/>
        </w:tcPr>
        <w:p w14:paraId="0AD2AA7B" w14:textId="77777777" w:rsidR="00464051" w:rsidRPr="004D495C" w:rsidRDefault="00464051" w:rsidP="0046405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1" w:type="dxa"/>
        </w:tcPr>
        <w:p w14:paraId="4EE2DD6A" w14:textId="77777777" w:rsidR="00464051" w:rsidRPr="004D495C" w:rsidRDefault="00464051" w:rsidP="0046405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gramStart"/>
          <w:r w:rsidRPr="00C100BE">
            <w:rPr>
              <w:sz w:val="18"/>
              <w:szCs w:val="18"/>
              <w:lang w:val="fr-CH"/>
            </w:rPr>
            <w:t>Courriel</w:t>
          </w:r>
          <w:r w:rsidRPr="00944D8C">
            <w:rPr>
              <w:sz w:val="18"/>
              <w:szCs w:val="18"/>
              <w:lang w:val="fr-CH"/>
            </w:rPr>
            <w:t>:</w:t>
          </w:r>
          <w:proofErr w:type="gramEnd"/>
        </w:p>
      </w:tc>
      <w:tc>
        <w:tcPr>
          <w:tcW w:w="5958" w:type="dxa"/>
        </w:tcPr>
        <w:p w14:paraId="376CB770" w14:textId="1CF2C46B" w:rsidR="00464051" w:rsidRDefault="004E09B1" w:rsidP="00464051">
          <w:pPr>
            <w:pStyle w:val="FirstFooter"/>
            <w:tabs>
              <w:tab w:val="left" w:pos="2302"/>
            </w:tabs>
          </w:pPr>
          <w:hyperlink r:id="rId1" w:history="1">
            <w:r w:rsidR="00464051" w:rsidRPr="00F520A4">
              <w:rPr>
                <w:rStyle w:val="Hyperlink"/>
                <w:sz w:val="18"/>
                <w:szCs w:val="22"/>
                <w:lang w:val="en-US"/>
              </w:rPr>
              <w:t>stephen.bereaux@itu.int</w:t>
            </w:r>
          </w:hyperlink>
        </w:p>
      </w:tc>
      <w:bookmarkStart w:id="47" w:name="Email"/>
      <w:bookmarkEnd w:id="47"/>
    </w:tr>
  </w:tbl>
  <w:p w14:paraId="73D28639" w14:textId="6A56A081" w:rsidR="00E2379D" w:rsidRPr="001525AB" w:rsidRDefault="00E2379D" w:rsidP="001525AB">
    <w:pP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35F27" w14:textId="77777777" w:rsidR="0092342C" w:rsidRDefault="0092342C">
      <w:r>
        <w:separator/>
      </w:r>
    </w:p>
  </w:footnote>
  <w:footnote w:type="continuationSeparator" w:id="0">
    <w:p w14:paraId="15FF2A78" w14:textId="77777777" w:rsidR="0092342C" w:rsidRDefault="00923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3869D" w14:textId="4CE1D01E" w:rsidR="00E2379D" w:rsidRPr="00FF089C" w:rsidRDefault="00E2379D" w:rsidP="0015147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43" w:name="DocRef2"/>
    <w:bookmarkEnd w:id="43"/>
    <w:r w:rsidR="006661C3">
      <w:rPr>
        <w:sz w:val="22"/>
        <w:szCs w:val="22"/>
        <w:lang w:val="es-ES_tradnl"/>
      </w:rPr>
      <w:t>IRM21</w:t>
    </w:r>
    <w:r w:rsidR="00464051">
      <w:rPr>
        <w:sz w:val="22"/>
        <w:szCs w:val="22"/>
        <w:lang w:val="es-ES_tradnl"/>
      </w:rPr>
      <w:t>-3</w:t>
    </w:r>
    <w:r w:rsidRPr="00FF089C">
      <w:rPr>
        <w:sz w:val="22"/>
        <w:szCs w:val="22"/>
        <w:lang w:val="es-ES_tradnl"/>
      </w:rPr>
      <w:t>/</w:t>
    </w:r>
    <w:bookmarkStart w:id="44" w:name="DocNo2"/>
    <w:bookmarkEnd w:id="44"/>
    <w:r w:rsidR="00464051">
      <w:rPr>
        <w:sz w:val="22"/>
        <w:szCs w:val="22"/>
        <w:lang w:val="es-ES_tradnl"/>
      </w:rPr>
      <w:t>69</w:t>
    </w:r>
    <w:r w:rsidR="00FF089C" w:rsidRPr="00FF089C">
      <w:rPr>
        <w:sz w:val="22"/>
        <w:szCs w:val="22"/>
        <w:lang w:val="es-ES_tradnl"/>
      </w:rPr>
      <w:t>-</w:t>
    </w:r>
    <w:r w:rsidR="00923456">
      <w:rPr>
        <w:sz w:val="22"/>
        <w:szCs w:val="22"/>
        <w:lang w:val="es-ES_tradnl"/>
      </w:rPr>
      <w:t>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7B6AC5">
      <w:rPr>
        <w:noProof/>
        <w:sz w:val="22"/>
        <w:szCs w:val="22"/>
        <w:lang w:val="es-ES_tradnl"/>
      </w:rPr>
      <w:t>3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4pt;height:9.4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6E6ECA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18AF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7E84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2A8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BF8CD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A855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D439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D2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BE7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BE8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45F16A42"/>
    <w:multiLevelType w:val="hybridMultilevel"/>
    <w:tmpl w:val="7528FE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D611E5"/>
    <w:multiLevelType w:val="hybridMultilevel"/>
    <w:tmpl w:val="53F08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21BCA"/>
    <w:multiLevelType w:val="hybridMultilevel"/>
    <w:tmpl w:val="718218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30"/>
  </w:num>
  <w:num w:numId="14">
    <w:abstractNumId w:val="12"/>
  </w:num>
  <w:num w:numId="15">
    <w:abstractNumId w:val="16"/>
  </w:num>
  <w:num w:numId="16">
    <w:abstractNumId w:val="33"/>
  </w:num>
  <w:num w:numId="17">
    <w:abstractNumId w:val="27"/>
  </w:num>
  <w:num w:numId="18">
    <w:abstractNumId w:val="13"/>
  </w:num>
  <w:num w:numId="19">
    <w:abstractNumId w:val="17"/>
  </w:num>
  <w:num w:numId="20">
    <w:abstractNumId w:val="22"/>
  </w:num>
  <w:num w:numId="21">
    <w:abstractNumId w:val="29"/>
  </w:num>
  <w:num w:numId="22">
    <w:abstractNumId w:val="15"/>
  </w:num>
  <w:num w:numId="23">
    <w:abstractNumId w:val="18"/>
  </w:num>
  <w:num w:numId="24">
    <w:abstractNumId w:val="26"/>
  </w:num>
  <w:num w:numId="25">
    <w:abstractNumId w:val="26"/>
  </w:num>
  <w:num w:numId="26">
    <w:abstractNumId w:val="19"/>
  </w:num>
  <w:num w:numId="27">
    <w:abstractNumId w:val="14"/>
  </w:num>
  <w:num w:numId="28">
    <w:abstractNumId w:val="31"/>
  </w:num>
  <w:num w:numId="29">
    <w:abstractNumId w:val="11"/>
  </w:num>
  <w:num w:numId="30">
    <w:abstractNumId w:val="21"/>
  </w:num>
  <w:num w:numId="31">
    <w:abstractNumId w:val="32"/>
  </w:num>
  <w:num w:numId="32">
    <w:abstractNumId w:val="25"/>
  </w:num>
  <w:num w:numId="33">
    <w:abstractNumId w:val="24"/>
  </w:num>
  <w:num w:numId="34">
    <w:abstractNumId w:val="28"/>
  </w:num>
  <w:num w:numId="35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96E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6050B"/>
    <w:rsid w:val="00080665"/>
    <w:rsid w:val="00085784"/>
    <w:rsid w:val="0009676A"/>
    <w:rsid w:val="000A0187"/>
    <w:rsid w:val="000A3328"/>
    <w:rsid w:val="000A7F15"/>
    <w:rsid w:val="000C624C"/>
    <w:rsid w:val="000D0403"/>
    <w:rsid w:val="000D5661"/>
    <w:rsid w:val="000D61A2"/>
    <w:rsid w:val="000D7961"/>
    <w:rsid w:val="000E23F1"/>
    <w:rsid w:val="000E397B"/>
    <w:rsid w:val="000F1580"/>
    <w:rsid w:val="001118C4"/>
    <w:rsid w:val="001229F6"/>
    <w:rsid w:val="0012401D"/>
    <w:rsid w:val="00132B90"/>
    <w:rsid w:val="00151478"/>
    <w:rsid w:val="0015200D"/>
    <w:rsid w:val="001525AB"/>
    <w:rsid w:val="0015553B"/>
    <w:rsid w:val="00161A5A"/>
    <w:rsid w:val="00161B5B"/>
    <w:rsid w:val="00170AB9"/>
    <w:rsid w:val="00181928"/>
    <w:rsid w:val="001856D7"/>
    <w:rsid w:val="00187E51"/>
    <w:rsid w:val="00192DBD"/>
    <w:rsid w:val="0019399A"/>
    <w:rsid w:val="001A52E9"/>
    <w:rsid w:val="001B4B9B"/>
    <w:rsid w:val="001D13E0"/>
    <w:rsid w:val="001D3694"/>
    <w:rsid w:val="001E33AB"/>
    <w:rsid w:val="001E3BCF"/>
    <w:rsid w:val="002066B3"/>
    <w:rsid w:val="0021427F"/>
    <w:rsid w:val="00235915"/>
    <w:rsid w:val="0024574C"/>
    <w:rsid w:val="00252877"/>
    <w:rsid w:val="00262B06"/>
    <w:rsid w:val="00270C45"/>
    <w:rsid w:val="002748B0"/>
    <w:rsid w:val="00275198"/>
    <w:rsid w:val="0028054C"/>
    <w:rsid w:val="002869AF"/>
    <w:rsid w:val="00286A28"/>
    <w:rsid w:val="002900F9"/>
    <w:rsid w:val="00295878"/>
    <w:rsid w:val="002A3921"/>
    <w:rsid w:val="002A3A4E"/>
    <w:rsid w:val="002B02FE"/>
    <w:rsid w:val="002B1A8F"/>
    <w:rsid w:val="002B2265"/>
    <w:rsid w:val="002C67D8"/>
    <w:rsid w:val="002D0049"/>
    <w:rsid w:val="00303EAD"/>
    <w:rsid w:val="003058DA"/>
    <w:rsid w:val="0030762F"/>
    <w:rsid w:val="00311BD3"/>
    <w:rsid w:val="00312685"/>
    <w:rsid w:val="00334C18"/>
    <w:rsid w:val="003513DB"/>
    <w:rsid w:val="0036243F"/>
    <w:rsid w:val="00364F89"/>
    <w:rsid w:val="00385ABF"/>
    <w:rsid w:val="003918D0"/>
    <w:rsid w:val="00392AF3"/>
    <w:rsid w:val="003A0786"/>
    <w:rsid w:val="003A6A11"/>
    <w:rsid w:val="003B75F4"/>
    <w:rsid w:val="003C78E4"/>
    <w:rsid w:val="003E20FF"/>
    <w:rsid w:val="003F4987"/>
    <w:rsid w:val="00406F1F"/>
    <w:rsid w:val="004077C9"/>
    <w:rsid w:val="00414E6F"/>
    <w:rsid w:val="00415F06"/>
    <w:rsid w:val="00416D38"/>
    <w:rsid w:val="00421F93"/>
    <w:rsid w:val="004331DF"/>
    <w:rsid w:val="0043566B"/>
    <w:rsid w:val="00441C9C"/>
    <w:rsid w:val="004430CE"/>
    <w:rsid w:val="00457453"/>
    <w:rsid w:val="0046327F"/>
    <w:rsid w:val="00464051"/>
    <w:rsid w:val="00472A03"/>
    <w:rsid w:val="00475A24"/>
    <w:rsid w:val="00476CAE"/>
    <w:rsid w:val="00483313"/>
    <w:rsid w:val="00487A55"/>
    <w:rsid w:val="00496015"/>
    <w:rsid w:val="004A0340"/>
    <w:rsid w:val="004A28F0"/>
    <w:rsid w:val="004A34DD"/>
    <w:rsid w:val="004A564F"/>
    <w:rsid w:val="004C4C2E"/>
    <w:rsid w:val="004C4E14"/>
    <w:rsid w:val="004D0AC9"/>
    <w:rsid w:val="004D2D58"/>
    <w:rsid w:val="004D3DC4"/>
    <w:rsid w:val="004D495C"/>
    <w:rsid w:val="004E09B1"/>
    <w:rsid w:val="004E3824"/>
    <w:rsid w:val="004F09F8"/>
    <w:rsid w:val="00502BFC"/>
    <w:rsid w:val="00504609"/>
    <w:rsid w:val="00511EDF"/>
    <w:rsid w:val="00523157"/>
    <w:rsid w:val="00523237"/>
    <w:rsid w:val="00523E05"/>
    <w:rsid w:val="005302F6"/>
    <w:rsid w:val="00542D84"/>
    <w:rsid w:val="00546F06"/>
    <w:rsid w:val="005543B5"/>
    <w:rsid w:val="0058604B"/>
    <w:rsid w:val="00586A6F"/>
    <w:rsid w:val="005B37AF"/>
    <w:rsid w:val="005B45E9"/>
    <w:rsid w:val="005B5914"/>
    <w:rsid w:val="005C0E75"/>
    <w:rsid w:val="005C3233"/>
    <w:rsid w:val="005C33BC"/>
    <w:rsid w:val="005D12FD"/>
    <w:rsid w:val="005E07F1"/>
    <w:rsid w:val="005E6E10"/>
    <w:rsid w:val="00607915"/>
    <w:rsid w:val="00622A8F"/>
    <w:rsid w:val="006354E9"/>
    <w:rsid w:val="0064011F"/>
    <w:rsid w:val="00641CA0"/>
    <w:rsid w:val="006444D5"/>
    <w:rsid w:val="00646ECA"/>
    <w:rsid w:val="0065094C"/>
    <w:rsid w:val="006527BD"/>
    <w:rsid w:val="00656EAA"/>
    <w:rsid w:val="00663234"/>
    <w:rsid w:val="006661C3"/>
    <w:rsid w:val="00667E12"/>
    <w:rsid w:val="00676C62"/>
    <w:rsid w:val="00677A58"/>
    <w:rsid w:val="00685848"/>
    <w:rsid w:val="006A6F8F"/>
    <w:rsid w:val="006B009C"/>
    <w:rsid w:val="006C0352"/>
    <w:rsid w:val="006C0E12"/>
    <w:rsid w:val="006C7A7B"/>
    <w:rsid w:val="006D0B95"/>
    <w:rsid w:val="006D1217"/>
    <w:rsid w:val="006F1CE9"/>
    <w:rsid w:val="0070090A"/>
    <w:rsid w:val="00705737"/>
    <w:rsid w:val="0070796E"/>
    <w:rsid w:val="007274B6"/>
    <w:rsid w:val="00735AC3"/>
    <w:rsid w:val="00735B54"/>
    <w:rsid w:val="00755605"/>
    <w:rsid w:val="00762A1E"/>
    <w:rsid w:val="007679D2"/>
    <w:rsid w:val="00770299"/>
    <w:rsid w:val="00781933"/>
    <w:rsid w:val="00785979"/>
    <w:rsid w:val="00791D56"/>
    <w:rsid w:val="00794FF3"/>
    <w:rsid w:val="00795647"/>
    <w:rsid w:val="00797056"/>
    <w:rsid w:val="007B145B"/>
    <w:rsid w:val="007B5E61"/>
    <w:rsid w:val="007B6AC5"/>
    <w:rsid w:val="007B7C19"/>
    <w:rsid w:val="007D7512"/>
    <w:rsid w:val="00800D40"/>
    <w:rsid w:val="00810A21"/>
    <w:rsid w:val="00811068"/>
    <w:rsid w:val="00813980"/>
    <w:rsid w:val="00817846"/>
    <w:rsid w:val="00831C97"/>
    <w:rsid w:val="00833A72"/>
    <w:rsid w:val="00833F2B"/>
    <w:rsid w:val="008340D6"/>
    <w:rsid w:val="0083540C"/>
    <w:rsid w:val="00835BBF"/>
    <w:rsid w:val="0084734D"/>
    <w:rsid w:val="00852CC6"/>
    <w:rsid w:val="00870D98"/>
    <w:rsid w:val="008740CF"/>
    <w:rsid w:val="00875786"/>
    <w:rsid w:val="00882AA1"/>
    <w:rsid w:val="00883EFF"/>
    <w:rsid w:val="00885734"/>
    <w:rsid w:val="00891809"/>
    <w:rsid w:val="008A357D"/>
    <w:rsid w:val="008B1483"/>
    <w:rsid w:val="008D7F5D"/>
    <w:rsid w:val="008F2196"/>
    <w:rsid w:val="009043C2"/>
    <w:rsid w:val="009074FD"/>
    <w:rsid w:val="00912887"/>
    <w:rsid w:val="00915921"/>
    <w:rsid w:val="0092342C"/>
    <w:rsid w:val="00923456"/>
    <w:rsid w:val="0093043A"/>
    <w:rsid w:val="00930F7E"/>
    <w:rsid w:val="00941145"/>
    <w:rsid w:val="0094145C"/>
    <w:rsid w:val="00942ED4"/>
    <w:rsid w:val="00947092"/>
    <w:rsid w:val="00951378"/>
    <w:rsid w:val="00953C7D"/>
    <w:rsid w:val="00960CD9"/>
    <w:rsid w:val="0096235E"/>
    <w:rsid w:val="0097038C"/>
    <w:rsid w:val="00970CC6"/>
    <w:rsid w:val="00980EB0"/>
    <w:rsid w:val="009A6FD6"/>
    <w:rsid w:val="009A7184"/>
    <w:rsid w:val="009B17EA"/>
    <w:rsid w:val="009B6F98"/>
    <w:rsid w:val="009D7B40"/>
    <w:rsid w:val="009E3FEB"/>
    <w:rsid w:val="009E50D3"/>
    <w:rsid w:val="009F680F"/>
    <w:rsid w:val="00A13179"/>
    <w:rsid w:val="00A140EB"/>
    <w:rsid w:val="00A16064"/>
    <w:rsid w:val="00A54CA6"/>
    <w:rsid w:val="00A61E15"/>
    <w:rsid w:val="00A65745"/>
    <w:rsid w:val="00A70F94"/>
    <w:rsid w:val="00A824E0"/>
    <w:rsid w:val="00A840C6"/>
    <w:rsid w:val="00A9132B"/>
    <w:rsid w:val="00A9464C"/>
    <w:rsid w:val="00AB4706"/>
    <w:rsid w:val="00AC3A1D"/>
    <w:rsid w:val="00AC7AC6"/>
    <w:rsid w:val="00AD2FB3"/>
    <w:rsid w:val="00AD799C"/>
    <w:rsid w:val="00AE1C97"/>
    <w:rsid w:val="00AE2BCA"/>
    <w:rsid w:val="00AE777B"/>
    <w:rsid w:val="00AF0A2E"/>
    <w:rsid w:val="00AF4619"/>
    <w:rsid w:val="00B055E8"/>
    <w:rsid w:val="00B13550"/>
    <w:rsid w:val="00B154AD"/>
    <w:rsid w:val="00B2033A"/>
    <w:rsid w:val="00B20B08"/>
    <w:rsid w:val="00B24401"/>
    <w:rsid w:val="00B34B6C"/>
    <w:rsid w:val="00B402E3"/>
    <w:rsid w:val="00B4143C"/>
    <w:rsid w:val="00B41935"/>
    <w:rsid w:val="00B42313"/>
    <w:rsid w:val="00B46EC5"/>
    <w:rsid w:val="00B50E11"/>
    <w:rsid w:val="00B528E2"/>
    <w:rsid w:val="00B532C0"/>
    <w:rsid w:val="00B53C8D"/>
    <w:rsid w:val="00B60B80"/>
    <w:rsid w:val="00B830A9"/>
    <w:rsid w:val="00B8577A"/>
    <w:rsid w:val="00B8609C"/>
    <w:rsid w:val="00BA2A7B"/>
    <w:rsid w:val="00BB67AF"/>
    <w:rsid w:val="00BB69FD"/>
    <w:rsid w:val="00BC1350"/>
    <w:rsid w:val="00BC6A2F"/>
    <w:rsid w:val="00BE77DE"/>
    <w:rsid w:val="00BF1682"/>
    <w:rsid w:val="00BF5E68"/>
    <w:rsid w:val="00C26729"/>
    <w:rsid w:val="00C37B27"/>
    <w:rsid w:val="00C53CE6"/>
    <w:rsid w:val="00C551FC"/>
    <w:rsid w:val="00C615E5"/>
    <w:rsid w:val="00C62651"/>
    <w:rsid w:val="00C648E4"/>
    <w:rsid w:val="00C75AE4"/>
    <w:rsid w:val="00C75DBB"/>
    <w:rsid w:val="00C837F9"/>
    <w:rsid w:val="00C84158"/>
    <w:rsid w:val="00C84E60"/>
    <w:rsid w:val="00C85C6C"/>
    <w:rsid w:val="00CB4258"/>
    <w:rsid w:val="00CF63E1"/>
    <w:rsid w:val="00D00614"/>
    <w:rsid w:val="00D17DC5"/>
    <w:rsid w:val="00D27001"/>
    <w:rsid w:val="00D35307"/>
    <w:rsid w:val="00D4563B"/>
    <w:rsid w:val="00D80072"/>
    <w:rsid w:val="00D839D8"/>
    <w:rsid w:val="00D92439"/>
    <w:rsid w:val="00DA1664"/>
    <w:rsid w:val="00DA2F6F"/>
    <w:rsid w:val="00DA3130"/>
    <w:rsid w:val="00DB5B1B"/>
    <w:rsid w:val="00DB6C98"/>
    <w:rsid w:val="00DD05EF"/>
    <w:rsid w:val="00DD5A07"/>
    <w:rsid w:val="00DE3F2D"/>
    <w:rsid w:val="00DE460C"/>
    <w:rsid w:val="00E207C7"/>
    <w:rsid w:val="00E2379D"/>
    <w:rsid w:val="00E244D1"/>
    <w:rsid w:val="00E45EB4"/>
    <w:rsid w:val="00E7476B"/>
    <w:rsid w:val="00E74841"/>
    <w:rsid w:val="00E84413"/>
    <w:rsid w:val="00E97390"/>
    <w:rsid w:val="00E97800"/>
    <w:rsid w:val="00EA3797"/>
    <w:rsid w:val="00EA467D"/>
    <w:rsid w:val="00EA6520"/>
    <w:rsid w:val="00EA72D0"/>
    <w:rsid w:val="00EE0368"/>
    <w:rsid w:val="00EE6EBD"/>
    <w:rsid w:val="00EF62C8"/>
    <w:rsid w:val="00F07550"/>
    <w:rsid w:val="00F2422E"/>
    <w:rsid w:val="00F35A0C"/>
    <w:rsid w:val="00F40E2E"/>
    <w:rsid w:val="00F4250E"/>
    <w:rsid w:val="00F529F1"/>
    <w:rsid w:val="00F52DB1"/>
    <w:rsid w:val="00F620CA"/>
    <w:rsid w:val="00F73F8A"/>
    <w:rsid w:val="00F74154"/>
    <w:rsid w:val="00F842D3"/>
    <w:rsid w:val="00F87092"/>
    <w:rsid w:val="00FC045D"/>
    <w:rsid w:val="00FC0BB0"/>
    <w:rsid w:val="00FD281F"/>
    <w:rsid w:val="00FE64B2"/>
    <w:rsid w:val="00FF089C"/>
    <w:rsid w:val="00FF1B8E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234BC8"/>
  <w15:chartTrackingRefBased/>
  <w15:docId w15:val="{C787C2E9-B3DE-449C-9ABE-F4612F34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"/>
    <w:uiPriority w:val="99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  <w:style w:type="paragraph" w:styleId="ListParagraph">
    <w:name w:val="List Paragraph"/>
    <w:basedOn w:val="Normal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60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64051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2A392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https://view.officeapps.live.com/op/view.aspx?src=https%3A%2F%2Fwww.itu.int%2Fdms_pub%2Fitu-d%2Fmd%2F18%2Ftdag28%2Fc%2FD18-TDAG28-C-0017!!MSW-E.docx&amp;wdOrigin=BROWSE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meetingdoc.asp?lang=en&amp;parent=D18-TDAG28-C-0017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941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F. Lambert</dc:creator>
  <cp:keywords/>
  <cp:lastModifiedBy>BDT-nd</cp:lastModifiedBy>
  <cp:revision>12</cp:revision>
  <cp:lastPrinted>2016-05-13T07:33:00Z</cp:lastPrinted>
  <dcterms:created xsi:type="dcterms:W3CDTF">2022-03-03T13:07:00Z</dcterms:created>
  <dcterms:modified xsi:type="dcterms:W3CDTF">2022-03-09T19:54:00Z</dcterms:modified>
</cp:coreProperties>
</file>