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1843"/>
        <w:gridCol w:w="1417"/>
      </w:tblGrid>
      <w:tr w:rsidR="00ED64CE" w:rsidRPr="00674952" w14:paraId="5A4FDABF" w14:textId="77777777" w:rsidTr="005E7F1C">
        <w:trPr>
          <w:cantSplit/>
        </w:trPr>
        <w:tc>
          <w:tcPr>
            <w:tcW w:w="2127" w:type="dxa"/>
          </w:tcPr>
          <w:p w14:paraId="2FEB3411" w14:textId="6253803A" w:rsidR="00ED64CE" w:rsidRPr="00A96DFE" w:rsidRDefault="00211F84" w:rsidP="00211F84">
            <w:pPr>
              <w:spacing w:before="600" w:after="120"/>
              <w:rPr>
                <w:rFonts w:cstheme="minorHAnsi"/>
                <w:b/>
                <w:bCs/>
                <w:sz w:val="32"/>
                <w:szCs w:val="32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86B09B6" wp14:editId="7D606062">
                  <wp:extent cx="1213485" cy="21526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095" w:type="dxa"/>
            <w:gridSpan w:val="2"/>
          </w:tcPr>
          <w:p w14:paraId="23657FEB" w14:textId="1EF78315" w:rsidR="00ED64CE" w:rsidRDefault="000A48B6" w:rsidP="00CF0676">
            <w:pPr>
              <w:spacing w:before="280" w:after="120"/>
              <w:rPr>
                <w:rFonts w:cstheme="minorHAnsi"/>
                <w:b/>
                <w:bCs/>
                <w:sz w:val="32"/>
                <w:szCs w:val="32"/>
              </w:rPr>
            </w:pPr>
            <w:r w:rsidRPr="000A48B6">
              <w:rPr>
                <w:rFonts w:cstheme="minorHAnsi"/>
                <w:b/>
                <w:bCs/>
                <w:sz w:val="32"/>
                <w:szCs w:val="32"/>
              </w:rPr>
              <w:t xml:space="preserve">Third </w:t>
            </w:r>
            <w:r w:rsidR="007D6E4F" w:rsidRPr="000A48B6">
              <w:rPr>
                <w:rFonts w:cstheme="minorHAnsi"/>
                <w:b/>
                <w:bCs/>
                <w:sz w:val="32"/>
                <w:szCs w:val="32"/>
              </w:rPr>
              <w:t>Inter-Regional Meeting</w:t>
            </w:r>
            <w:r w:rsidR="00B05B45" w:rsidRPr="000A48B6">
              <w:rPr>
                <w:rFonts w:cstheme="minorHAnsi"/>
                <w:b/>
                <w:bCs/>
                <w:sz w:val="32"/>
                <w:szCs w:val="32"/>
              </w:rPr>
              <w:t>s</w:t>
            </w:r>
            <w:r w:rsidR="007D6E4F" w:rsidRPr="000A48B6">
              <w:rPr>
                <w:rFonts w:cstheme="minorHAnsi"/>
                <w:b/>
                <w:bCs/>
                <w:sz w:val="32"/>
                <w:szCs w:val="32"/>
              </w:rPr>
              <w:t xml:space="preserve"> (IRM</w:t>
            </w:r>
            <w:r>
              <w:rPr>
                <w:rFonts w:cstheme="minorHAnsi"/>
                <w:b/>
                <w:bCs/>
                <w:sz w:val="32"/>
                <w:szCs w:val="32"/>
              </w:rPr>
              <w:t>-3</w:t>
            </w:r>
            <w:r w:rsidR="00932355" w:rsidRPr="000A48B6">
              <w:rPr>
                <w:rFonts w:cstheme="minorHAnsi"/>
                <w:b/>
                <w:bCs/>
                <w:sz w:val="32"/>
                <w:szCs w:val="32"/>
              </w:rPr>
              <w:t>)</w:t>
            </w:r>
            <w:r w:rsidR="007D6E4F" w:rsidRPr="000A48B6">
              <w:rPr>
                <w:rFonts w:cstheme="minorHAnsi"/>
                <w:b/>
                <w:bCs/>
                <w:sz w:val="32"/>
                <w:szCs w:val="32"/>
              </w:rPr>
              <w:t xml:space="preserve"> to prepare for WTDC</w:t>
            </w:r>
          </w:p>
          <w:p w14:paraId="2C5307A5" w14:textId="344D3A44" w:rsidR="000A48B6" w:rsidRPr="00A96DFE" w:rsidRDefault="000A48B6" w:rsidP="000A48B6">
            <w:pPr>
              <w:spacing w:after="12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Geneva, </w:t>
            </w:r>
            <w:r w:rsidR="00CF0676">
              <w:rPr>
                <w:rFonts w:cstheme="minorHAnsi"/>
                <w:b/>
                <w:bCs/>
                <w:szCs w:val="24"/>
              </w:rPr>
              <w:t xml:space="preserve">Switzerland, </w:t>
            </w:r>
            <w:r>
              <w:rPr>
                <w:rFonts w:cstheme="minorHAnsi"/>
                <w:b/>
                <w:bCs/>
                <w:szCs w:val="24"/>
              </w:rPr>
              <w:t>10</w:t>
            </w:r>
            <w:r w:rsidRPr="000A48B6">
              <w:rPr>
                <w:rFonts w:cstheme="minorHAnsi"/>
                <w:b/>
                <w:bCs/>
                <w:szCs w:val="24"/>
              </w:rPr>
              <w:t>-1</w:t>
            </w:r>
            <w:r>
              <w:rPr>
                <w:rFonts w:cstheme="minorHAnsi"/>
                <w:b/>
                <w:bCs/>
                <w:szCs w:val="24"/>
              </w:rPr>
              <w:t>1</w:t>
            </w:r>
            <w:r w:rsidRPr="000A48B6">
              <w:rPr>
                <w:rFonts w:cstheme="minorHAnsi"/>
                <w:b/>
                <w:bCs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Cs w:val="24"/>
              </w:rPr>
              <w:t>March</w:t>
            </w:r>
            <w:r w:rsidRPr="000A48B6">
              <w:rPr>
                <w:rFonts w:cstheme="minorHAnsi"/>
                <w:b/>
                <w:bCs/>
                <w:szCs w:val="24"/>
              </w:rPr>
              <w:t xml:space="preserve"> 202</w:t>
            </w: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1417" w:type="dxa"/>
          </w:tcPr>
          <w:p w14:paraId="08590635" w14:textId="3E0052EE" w:rsidR="00ED64CE" w:rsidRPr="00674952" w:rsidRDefault="00ED64CE" w:rsidP="005E7F1C">
            <w:pPr>
              <w:spacing w:before="240" w:line="240" w:lineRule="atLeast"/>
              <w:jc w:val="right"/>
              <w:rPr>
                <w:rFonts w:cstheme="minorHAnsi"/>
              </w:rPr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2D7A4503" wp14:editId="46B641A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74952" w14:paraId="49A9DD1C" w14:textId="77777777" w:rsidTr="00A96DFE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74952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10DB571E" w14:textId="77777777" w:rsidR="00C64B30" w:rsidRPr="00674952" w:rsidRDefault="00C64B30" w:rsidP="00C64B30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64B30" w:rsidRPr="00674952" w14:paraId="69AB090E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14945264" w14:textId="77777777" w:rsidR="00C64B30" w:rsidRPr="00674952" w:rsidRDefault="00C64B30" w:rsidP="00C64B30">
            <w:pPr>
              <w:pStyle w:val="Committee"/>
              <w:framePr w:hSpace="0" w:wrap="auto" w:hAnchor="text" w:yAlign="inline"/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260" w:type="dxa"/>
            <w:gridSpan w:val="2"/>
          </w:tcPr>
          <w:p w14:paraId="19298A4A" w14:textId="3DF662D5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 xml:space="preserve">Document </w:t>
            </w:r>
            <w:bookmarkStart w:id="5" w:name="DocRef1"/>
            <w:bookmarkEnd w:id="5"/>
            <w:r w:rsidR="0069749B">
              <w:rPr>
                <w:rFonts w:cstheme="minorHAnsi"/>
                <w:b/>
                <w:bCs/>
                <w:szCs w:val="24"/>
                <w:lang w:val="es-ES_tradnl"/>
              </w:rPr>
              <w:t>IRM21</w:t>
            </w:r>
            <w:r w:rsidR="000A48B6">
              <w:rPr>
                <w:rFonts w:cstheme="minorHAnsi"/>
                <w:b/>
                <w:bCs/>
                <w:szCs w:val="24"/>
                <w:lang w:val="es-ES_tradnl"/>
              </w:rPr>
              <w:t>-3</w:t>
            </w: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>/</w:t>
            </w:r>
            <w:r w:rsidR="007065C2">
              <w:rPr>
                <w:rFonts w:cstheme="minorHAnsi"/>
                <w:b/>
                <w:bCs/>
                <w:szCs w:val="24"/>
                <w:lang w:val="es-ES_tradnl"/>
              </w:rPr>
              <w:t>69</w:t>
            </w:r>
            <w:r w:rsidRPr="00674952">
              <w:rPr>
                <w:rFonts w:cstheme="minorHAnsi"/>
                <w:b/>
                <w:bCs/>
                <w:szCs w:val="24"/>
                <w:lang w:val="es-ES_tradnl"/>
              </w:rPr>
              <w:t>-E</w:t>
            </w:r>
          </w:p>
        </w:tc>
      </w:tr>
      <w:tr w:rsidR="00C64B30" w:rsidRPr="00674952" w14:paraId="7E2BB70E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187458F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6" w:name="ddate" w:colFirst="1" w:colLast="1"/>
            <w:bookmarkStart w:id="7" w:name="dblank" w:colFirst="0" w:colLast="0"/>
            <w:bookmarkEnd w:id="3"/>
            <w:bookmarkEnd w:id="4"/>
          </w:p>
        </w:tc>
        <w:tc>
          <w:tcPr>
            <w:tcW w:w="3260" w:type="dxa"/>
            <w:gridSpan w:val="2"/>
          </w:tcPr>
          <w:p w14:paraId="1D84793C" w14:textId="2D5F9288" w:rsidR="00C64B30" w:rsidRPr="00674952" w:rsidRDefault="007065C2" w:rsidP="00C64B30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>3</w:t>
            </w:r>
            <w:r w:rsidR="00663583">
              <w:rPr>
                <w:rFonts w:cstheme="minorHAnsi"/>
                <w:b/>
                <w:bCs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b/>
                <w:bCs/>
                <w:szCs w:val="24"/>
                <w:lang w:val="fr-FR"/>
              </w:rPr>
              <w:t>March</w:t>
            </w:r>
            <w:r w:rsidR="00663583">
              <w:rPr>
                <w:rFonts w:cstheme="minorHAnsi"/>
                <w:b/>
                <w:bCs/>
                <w:szCs w:val="24"/>
                <w:lang w:val="fr-FR"/>
              </w:rPr>
              <w:t xml:space="preserve"> 2022</w:t>
            </w:r>
          </w:p>
        </w:tc>
      </w:tr>
      <w:tr w:rsidR="00C64B30" w:rsidRPr="00674952" w14:paraId="1D6C1835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E1A8021" w14:textId="77777777" w:rsidR="00C64B30" w:rsidRPr="00674952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8" w:name="dbluepink" w:colFirst="0" w:colLast="0"/>
            <w:bookmarkStart w:id="9" w:name="dorlang" w:colFirst="1" w:colLast="1"/>
            <w:bookmarkEnd w:id="6"/>
            <w:bookmarkEnd w:id="7"/>
          </w:p>
        </w:tc>
        <w:tc>
          <w:tcPr>
            <w:tcW w:w="3260" w:type="dxa"/>
            <w:gridSpan w:val="2"/>
          </w:tcPr>
          <w:p w14:paraId="09B26F7F" w14:textId="77777777" w:rsidR="00C64B30" w:rsidRPr="00674952" w:rsidRDefault="00C64B30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674952">
              <w:rPr>
                <w:rFonts w:cstheme="minorHAnsi"/>
                <w:b/>
                <w:bCs/>
                <w:szCs w:val="24"/>
                <w:lang w:val="fr-FR"/>
              </w:rPr>
              <w:t>Original: English</w:t>
            </w:r>
          </w:p>
        </w:tc>
      </w:tr>
      <w:tr w:rsidR="00C64B30" w:rsidRPr="00674952" w14:paraId="51CDE126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3FD9EDED" w:rsidR="00C64B30" w:rsidRPr="00674952" w:rsidRDefault="00663583" w:rsidP="00C64B30">
            <w:pPr>
              <w:pStyle w:val="Source"/>
              <w:spacing w:before="240" w:after="240"/>
              <w:rPr>
                <w:rFonts w:cstheme="minorHAnsi"/>
              </w:rPr>
            </w:pPr>
            <w:r w:rsidRPr="00663583">
              <w:rPr>
                <w:rFonts w:cstheme="minorHAnsi"/>
              </w:rPr>
              <w:t>Director, Telecommunication Development Bureau</w:t>
            </w:r>
          </w:p>
        </w:tc>
      </w:tr>
      <w:tr w:rsidR="00C64B30" w:rsidRPr="00674952" w14:paraId="49F9171B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2082C9B8" w:rsidR="00C64B30" w:rsidRPr="00674952" w:rsidRDefault="00AD08B0" w:rsidP="00663583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>
              <w:rPr>
                <w:rFonts w:cstheme="minorHAnsi"/>
                <w:caps w:val="0"/>
                <w:szCs w:val="28"/>
              </w:rPr>
              <w:t>Basis for document allocation and committee w</w:t>
            </w:r>
            <w:r w:rsidR="009B51E3">
              <w:rPr>
                <w:rFonts w:cstheme="minorHAnsi"/>
                <w:caps w:val="0"/>
                <w:szCs w:val="28"/>
              </w:rPr>
              <w:t>orkload at WTDC-21</w:t>
            </w:r>
          </w:p>
        </w:tc>
      </w:tr>
      <w:tr w:rsidR="00C64B30" w:rsidRPr="00674952" w14:paraId="1531195A" w14:textId="77777777" w:rsidTr="00A96DFE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F83C60" w14:textId="77777777" w:rsidR="00C64B30" w:rsidRPr="00674952" w:rsidRDefault="00C64B30" w:rsidP="00C64B30">
            <w:pPr>
              <w:pStyle w:val="Title1"/>
              <w:rPr>
                <w:rFonts w:cstheme="minorHAnsi"/>
                <w:szCs w:val="28"/>
              </w:rPr>
            </w:pPr>
          </w:p>
        </w:tc>
      </w:tr>
      <w:tr w:rsidR="00C64B30" w:rsidRPr="00674952" w14:paraId="7D545550" w14:textId="77777777" w:rsidTr="00A96DFE">
        <w:trPr>
          <w:cantSplit/>
          <w:trHeight w:val="2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6785" w14:textId="2EDBFA3B" w:rsidR="00ED2DA4" w:rsidRPr="00FB034E" w:rsidRDefault="00ED2DA4" w:rsidP="007065C2">
            <w:pPr>
              <w:pStyle w:val="Title1"/>
              <w:tabs>
                <w:tab w:val="clear" w:pos="1134"/>
                <w:tab w:val="clear" w:pos="1871"/>
                <w:tab w:val="left" w:pos="1985"/>
              </w:tabs>
              <w:spacing w:before="120" w:after="120"/>
              <w:jc w:val="left"/>
              <w:rPr>
                <w:rFonts w:cs="Times New Roman Bold"/>
                <w:caps w:val="0"/>
                <w:sz w:val="24"/>
                <w:szCs w:val="24"/>
              </w:rPr>
            </w:pPr>
            <w:r w:rsidRPr="00FB034E">
              <w:rPr>
                <w:rFonts w:cs="Times New Roman Bold"/>
                <w:b/>
                <w:bCs/>
                <w:caps w:val="0"/>
                <w:sz w:val="24"/>
                <w:szCs w:val="24"/>
              </w:rPr>
              <w:t>Priority area:</w:t>
            </w:r>
            <w:r w:rsidRPr="00FB034E">
              <w:rPr>
                <w:rFonts w:cs="Times New Roman Bold"/>
                <w:caps w:val="0"/>
                <w:sz w:val="24"/>
                <w:szCs w:val="24"/>
              </w:rPr>
              <w:tab/>
            </w:r>
            <w:r w:rsidR="009B51E3">
              <w:rPr>
                <w:rFonts w:cs="Times New Roman Bold"/>
                <w:caps w:val="0"/>
                <w:sz w:val="24"/>
                <w:szCs w:val="24"/>
              </w:rPr>
              <w:t>N/A</w:t>
            </w:r>
          </w:p>
          <w:p w14:paraId="085FB24C" w14:textId="77777777" w:rsidR="00ED2DA4" w:rsidRPr="00663583" w:rsidRDefault="00ED2DA4" w:rsidP="007065C2">
            <w:pPr>
              <w:spacing w:after="120"/>
              <w:rPr>
                <w:b/>
                <w:bCs/>
                <w:szCs w:val="24"/>
              </w:rPr>
            </w:pPr>
            <w:r w:rsidRPr="00663583">
              <w:rPr>
                <w:b/>
                <w:bCs/>
                <w:szCs w:val="24"/>
              </w:rPr>
              <w:t>Summary:</w:t>
            </w:r>
          </w:p>
          <w:p w14:paraId="25FDA09A" w14:textId="3A45AE6A" w:rsidR="00663583" w:rsidRPr="00663583" w:rsidRDefault="006239B8" w:rsidP="007065C2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This document contains a proposed basis for document allocation at WTDC-21, submitted for discussion </w:t>
            </w:r>
            <w:r w:rsidR="00DD324E">
              <w:rPr>
                <w:szCs w:val="24"/>
              </w:rPr>
              <w:t>based on the</w:t>
            </w:r>
            <w:r>
              <w:rPr>
                <w:szCs w:val="24"/>
              </w:rPr>
              <w:t xml:space="preserve"> proposed structure for WTDC-21</w:t>
            </w:r>
            <w:r w:rsidR="00DD324E">
              <w:rPr>
                <w:szCs w:val="24"/>
              </w:rPr>
              <w:t xml:space="preserve"> endorsed at TDAG-21</w:t>
            </w:r>
            <w:r w:rsidR="009B51E3">
              <w:rPr>
                <w:szCs w:val="24"/>
              </w:rPr>
              <w:t>.</w:t>
            </w:r>
          </w:p>
          <w:p w14:paraId="1067DC68" w14:textId="07CEDCEA" w:rsidR="00ED2DA4" w:rsidRPr="00663583" w:rsidRDefault="00ED2DA4" w:rsidP="007065C2">
            <w:pPr>
              <w:spacing w:after="120"/>
              <w:rPr>
                <w:b/>
                <w:bCs/>
                <w:szCs w:val="24"/>
              </w:rPr>
            </w:pPr>
            <w:r w:rsidRPr="00663583">
              <w:rPr>
                <w:b/>
                <w:bCs/>
                <w:szCs w:val="24"/>
              </w:rPr>
              <w:t>Expected results:</w:t>
            </w:r>
          </w:p>
          <w:p w14:paraId="7B7F2F8F" w14:textId="3815CC70" w:rsidR="00ED2DA4" w:rsidRPr="00663583" w:rsidRDefault="00663583" w:rsidP="007065C2">
            <w:pPr>
              <w:spacing w:after="120"/>
              <w:rPr>
                <w:szCs w:val="24"/>
              </w:rPr>
            </w:pPr>
            <w:r w:rsidRPr="00663583">
              <w:rPr>
                <w:szCs w:val="24"/>
              </w:rPr>
              <w:t>IRM-3 is invited to note this document.</w:t>
            </w:r>
          </w:p>
          <w:p w14:paraId="5950807A" w14:textId="77777777" w:rsidR="00ED2DA4" w:rsidRPr="00663583" w:rsidRDefault="00ED2DA4" w:rsidP="007065C2">
            <w:pPr>
              <w:spacing w:after="120"/>
              <w:rPr>
                <w:b/>
                <w:bCs/>
                <w:szCs w:val="24"/>
              </w:rPr>
            </w:pPr>
            <w:r w:rsidRPr="00663583">
              <w:rPr>
                <w:b/>
                <w:bCs/>
                <w:szCs w:val="24"/>
              </w:rPr>
              <w:t>References:</w:t>
            </w:r>
          </w:p>
          <w:p w14:paraId="3D799BA1" w14:textId="40282525" w:rsidR="00C64B30" w:rsidRPr="00663583" w:rsidRDefault="00211F84" w:rsidP="007065C2">
            <w:pPr>
              <w:spacing w:after="120"/>
              <w:rPr>
                <w:highlight w:val="yellow"/>
              </w:rPr>
            </w:pPr>
            <w:hyperlink r:id="rId14" w:history="1">
              <w:r w:rsidR="00BF5755" w:rsidRPr="00BB4DC9">
                <w:rPr>
                  <w:rStyle w:val="Hyperlink"/>
                </w:rPr>
                <w:t>TDAG-21/17</w:t>
              </w:r>
            </w:hyperlink>
          </w:p>
        </w:tc>
      </w:tr>
      <w:bookmarkEnd w:id="8"/>
      <w:bookmarkEnd w:id="9"/>
    </w:tbl>
    <w:p w14:paraId="50B50B53" w14:textId="77777777" w:rsidR="00D83BF5" w:rsidRDefault="00D83BF5" w:rsidP="00674952">
      <w:pPr>
        <w:spacing w:after="120"/>
      </w:pPr>
    </w:p>
    <w:p w14:paraId="00F1ACC0" w14:textId="4EBB4BB1" w:rsidR="00663583" w:rsidRDefault="00CF0E69" w:rsidP="00663583">
      <w:pPr>
        <w:spacing w:after="120"/>
        <w:rPr>
          <w:bCs/>
          <w:szCs w:val="24"/>
          <w:lang w:val="en-US"/>
        </w:rPr>
      </w:pPr>
      <w:r>
        <w:rPr>
          <w:bCs/>
          <w:szCs w:val="24"/>
          <w:lang w:val="en-US"/>
        </w:rPr>
        <w:t>In order to ensure the best possible workload balance between the substantive committees of WTDC-21, the following split is proposed in order to spark discussion amongst membership attending IRM-3 that may provide guidance for the BDT Director’s arrangements of the Conference.</w:t>
      </w:r>
      <w:r w:rsidR="0092499A">
        <w:rPr>
          <w:bCs/>
          <w:szCs w:val="24"/>
          <w:lang w:val="en-US"/>
        </w:rPr>
        <w:t xml:space="preserve">  The </w:t>
      </w:r>
      <w:r w:rsidR="00DD324E">
        <w:rPr>
          <w:bCs/>
          <w:szCs w:val="24"/>
          <w:lang w:val="en-US"/>
        </w:rPr>
        <w:t xml:space="preserve">proposed allocation </w:t>
      </w:r>
      <w:r w:rsidR="00436965">
        <w:rPr>
          <w:bCs/>
          <w:szCs w:val="24"/>
          <w:lang w:val="en-US"/>
        </w:rPr>
        <w:t xml:space="preserve">is </w:t>
      </w:r>
      <w:r w:rsidR="00DD324E">
        <w:rPr>
          <w:bCs/>
          <w:szCs w:val="24"/>
          <w:lang w:val="en-US"/>
        </w:rPr>
        <w:t>based on the Terms of Reference for each Committee and the balancing of workload so as</w:t>
      </w:r>
      <w:r w:rsidR="0092499A">
        <w:rPr>
          <w:bCs/>
          <w:szCs w:val="24"/>
          <w:lang w:val="en-US"/>
        </w:rPr>
        <w:t xml:space="preserve"> to avoid bottlenecks at the committee level</w:t>
      </w:r>
      <w:r w:rsidR="00DD324E">
        <w:rPr>
          <w:bCs/>
          <w:szCs w:val="24"/>
          <w:lang w:val="en-US"/>
        </w:rPr>
        <w:t>, thereby ensuring smooth completion of the work of the Conference</w:t>
      </w:r>
      <w:r w:rsidR="0092499A">
        <w:rPr>
          <w:bCs/>
          <w:szCs w:val="24"/>
          <w:lang w:val="en-US"/>
        </w:rPr>
        <w:t>.</w:t>
      </w:r>
    </w:p>
    <w:p w14:paraId="6CF62071" w14:textId="60078CCF" w:rsidR="00CF0E69" w:rsidRDefault="00CF0E69" w:rsidP="00663583">
      <w:pPr>
        <w:spacing w:after="120"/>
        <w:rPr>
          <w:bCs/>
          <w:szCs w:val="24"/>
          <w:lang w:val="en-US"/>
        </w:rPr>
      </w:pPr>
      <w:r>
        <w:rPr>
          <w:bCs/>
          <w:szCs w:val="24"/>
          <w:lang w:val="en-US"/>
        </w:rPr>
        <w:t>For easy reference</w:t>
      </w:r>
      <w:r w:rsidR="00646859">
        <w:rPr>
          <w:bCs/>
          <w:szCs w:val="24"/>
          <w:lang w:val="en-US"/>
        </w:rPr>
        <w:t xml:space="preserve">, the draft structure of the Conference that was endorsed by TDAG at its session of 24-28 May 2021 </w:t>
      </w:r>
      <w:r w:rsidR="00DD324E">
        <w:rPr>
          <w:bCs/>
          <w:szCs w:val="24"/>
          <w:lang w:val="en-US"/>
        </w:rPr>
        <w:t xml:space="preserve">is contained in </w:t>
      </w:r>
      <w:r w:rsidR="00646859">
        <w:rPr>
          <w:bCs/>
          <w:szCs w:val="24"/>
          <w:lang w:val="en-US"/>
        </w:rPr>
        <w:t xml:space="preserve">document </w:t>
      </w:r>
      <w:hyperlink r:id="rId15" w:history="1">
        <w:r w:rsidR="00646859" w:rsidRPr="00646859">
          <w:rPr>
            <w:rStyle w:val="Hyperlink"/>
            <w:bCs/>
            <w:szCs w:val="24"/>
            <w:lang w:val="en-US"/>
          </w:rPr>
          <w:t>TDAG-21/17</w:t>
        </w:r>
      </w:hyperlink>
      <w:r w:rsidR="00646859">
        <w:rPr>
          <w:bCs/>
          <w:szCs w:val="24"/>
          <w:lang w:val="en-US"/>
        </w:rPr>
        <w:t>.</w:t>
      </w:r>
    </w:p>
    <w:p w14:paraId="78DCF01C" w14:textId="4EF468F8" w:rsidR="00646859" w:rsidRDefault="0064685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Cs/>
          <w:szCs w:val="24"/>
          <w:lang w:val="en-US"/>
        </w:rPr>
      </w:pPr>
      <w:r>
        <w:rPr>
          <w:bCs/>
          <w:szCs w:val="24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6859" w14:paraId="71F64F22" w14:textId="77777777" w:rsidTr="00B7249F">
        <w:tc>
          <w:tcPr>
            <w:tcW w:w="9629" w:type="dxa"/>
            <w:shd w:val="clear" w:color="auto" w:fill="B8CCE4" w:themeFill="accent1" w:themeFillTint="66"/>
          </w:tcPr>
          <w:p w14:paraId="37311B6F" w14:textId="1EC02EB4" w:rsidR="00646859" w:rsidRDefault="00646859" w:rsidP="007065C2">
            <w:pPr>
              <w:spacing w:after="120"/>
              <w:rPr>
                <w:bCs/>
                <w:szCs w:val="24"/>
              </w:rPr>
            </w:pPr>
            <w:r w:rsidRPr="00CF0E69">
              <w:rPr>
                <w:b/>
                <w:bCs/>
                <w:sz w:val="28"/>
                <w:szCs w:val="28"/>
              </w:rPr>
              <w:lastRenderedPageBreak/>
              <w:t>Committee 3: Objectives</w:t>
            </w:r>
          </w:p>
        </w:tc>
      </w:tr>
      <w:tr w:rsidR="009C6377" w14:paraId="725AB847" w14:textId="77777777" w:rsidTr="00646859">
        <w:tc>
          <w:tcPr>
            <w:tcW w:w="9629" w:type="dxa"/>
            <w:tcBorders>
              <w:bottom w:val="single" w:sz="4" w:space="0" w:color="auto"/>
            </w:tcBorders>
          </w:tcPr>
          <w:p w14:paraId="0CC4BB86" w14:textId="6DE5F08C" w:rsidR="009C6377" w:rsidRPr="00CF0E69" w:rsidRDefault="009C6377" w:rsidP="007065C2">
            <w:pPr>
              <w:spacing w:after="120"/>
              <w:rPr>
                <w:b/>
                <w:bCs/>
              </w:rPr>
            </w:pPr>
            <w:r w:rsidRPr="00CF0E69">
              <w:rPr>
                <w:b/>
                <w:bCs/>
              </w:rPr>
              <w:t>Terms of reference:</w:t>
            </w:r>
            <w:r w:rsidRPr="00CF0E69">
              <w:t xml:space="preserve"> to review and approve the agenda and make proposals for the organization of work; to review and approve the outputs and outcomes for the objectives; to review and agree on the related study group questions and related regional Initiatives and establish appropriate guidelines for their implementation; to review and agree on relevant resolutions; and to ensure that the output is in accordance with a results-based management approach aiming to improve management effectiveness and accountability.</w:t>
            </w:r>
          </w:p>
        </w:tc>
      </w:tr>
      <w:tr w:rsidR="00646859" w14:paraId="609D7F21" w14:textId="77777777" w:rsidTr="00646859">
        <w:tc>
          <w:tcPr>
            <w:tcW w:w="9629" w:type="dxa"/>
            <w:tcBorders>
              <w:bottom w:val="single" w:sz="4" w:space="0" w:color="auto"/>
            </w:tcBorders>
          </w:tcPr>
          <w:p w14:paraId="3948D5BF" w14:textId="2A891A53" w:rsidR="00377759" w:rsidRDefault="00377759" w:rsidP="007065C2">
            <w:pPr>
              <w:pStyle w:val="ListParagraph"/>
              <w:numPr>
                <w:ilvl w:val="0"/>
                <w:numId w:val="8"/>
              </w:numPr>
              <w:spacing w:after="120"/>
              <w:rPr>
                <w:bCs/>
                <w:szCs w:val="24"/>
              </w:rPr>
            </w:pPr>
            <w:proofErr w:type="spellStart"/>
            <w:r w:rsidRPr="0092499A">
              <w:rPr>
                <w:b/>
                <w:szCs w:val="24"/>
              </w:rPr>
              <w:t>ToR</w:t>
            </w:r>
            <w:proofErr w:type="spellEnd"/>
            <w:r w:rsidRPr="0092499A">
              <w:rPr>
                <w:b/>
                <w:szCs w:val="24"/>
              </w:rPr>
              <w:t xml:space="preserve"> of all Study Group Questions</w:t>
            </w:r>
            <w:r>
              <w:rPr>
                <w:bCs/>
                <w:szCs w:val="24"/>
              </w:rPr>
              <w:t>;</w:t>
            </w:r>
          </w:p>
          <w:p w14:paraId="3A3CD8CE" w14:textId="77777777" w:rsidR="00377759" w:rsidRDefault="00377759" w:rsidP="007065C2">
            <w:pPr>
              <w:pStyle w:val="ListParagraph"/>
              <w:numPr>
                <w:ilvl w:val="0"/>
                <w:numId w:val="8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WTDC Action Plan</w:t>
            </w:r>
            <w:r>
              <w:rPr>
                <w:bCs/>
                <w:szCs w:val="24"/>
              </w:rPr>
              <w:t>;</w:t>
            </w:r>
          </w:p>
          <w:p w14:paraId="4B561733" w14:textId="77777777" w:rsidR="00377759" w:rsidRDefault="00377759" w:rsidP="007065C2">
            <w:pPr>
              <w:pStyle w:val="ListParagraph"/>
              <w:numPr>
                <w:ilvl w:val="0"/>
                <w:numId w:val="8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17</w:t>
            </w:r>
            <w:r w:rsidRPr="00195268">
              <w:rPr>
                <w:bCs/>
                <w:szCs w:val="24"/>
              </w:rPr>
              <w:t xml:space="preserve"> – </w:t>
            </w:r>
            <w:r w:rsidRPr="00195268">
              <w:rPr>
                <w:bCs/>
                <w:i/>
                <w:iCs/>
                <w:szCs w:val="24"/>
              </w:rPr>
              <w:t>Implementation of and cooperation on regionally approved regional initiatives at the national, regional, interregional and global levels</w:t>
            </w:r>
          </w:p>
          <w:p w14:paraId="1146B514" w14:textId="2D03A325" w:rsidR="00AD08B0" w:rsidRPr="00195268" w:rsidRDefault="00377759" w:rsidP="007065C2">
            <w:pPr>
              <w:pStyle w:val="ListParagraph"/>
              <w:numPr>
                <w:ilvl w:val="0"/>
                <w:numId w:val="8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All other resolutions and recommendations</w:t>
            </w:r>
            <w:r>
              <w:rPr>
                <w:bCs/>
                <w:szCs w:val="24"/>
              </w:rPr>
              <w:t xml:space="preserve"> not listed under COM 4 and WG-PL</w:t>
            </w:r>
          </w:p>
        </w:tc>
      </w:tr>
      <w:tr w:rsidR="00646859" w14:paraId="7A78926E" w14:textId="77777777" w:rsidTr="00646859">
        <w:tc>
          <w:tcPr>
            <w:tcW w:w="9629" w:type="dxa"/>
            <w:tcBorders>
              <w:left w:val="nil"/>
              <w:right w:val="nil"/>
            </w:tcBorders>
          </w:tcPr>
          <w:p w14:paraId="1522FE0A" w14:textId="77777777" w:rsidR="00646859" w:rsidRDefault="00646859" w:rsidP="007065C2">
            <w:pPr>
              <w:spacing w:after="120"/>
              <w:rPr>
                <w:bCs/>
                <w:szCs w:val="24"/>
              </w:rPr>
            </w:pPr>
          </w:p>
        </w:tc>
      </w:tr>
      <w:tr w:rsidR="00646859" w14:paraId="70B11EE6" w14:textId="77777777" w:rsidTr="00B7249F">
        <w:tc>
          <w:tcPr>
            <w:tcW w:w="9629" w:type="dxa"/>
            <w:shd w:val="clear" w:color="auto" w:fill="B8CCE4" w:themeFill="accent1" w:themeFillTint="66"/>
          </w:tcPr>
          <w:p w14:paraId="7E968D21" w14:textId="392D39E3" w:rsidR="00646859" w:rsidRDefault="00646859" w:rsidP="007065C2">
            <w:pPr>
              <w:spacing w:after="120"/>
              <w:rPr>
                <w:bCs/>
                <w:szCs w:val="24"/>
              </w:rPr>
            </w:pPr>
            <w:r w:rsidRPr="00CF0E69">
              <w:rPr>
                <w:b/>
                <w:bCs/>
                <w:sz w:val="28"/>
                <w:szCs w:val="28"/>
              </w:rPr>
              <w:t>Committee 4: ITU-D Working Methods</w:t>
            </w:r>
          </w:p>
        </w:tc>
      </w:tr>
      <w:tr w:rsidR="009C6377" w14:paraId="228FC5BD" w14:textId="77777777" w:rsidTr="00646859">
        <w:tc>
          <w:tcPr>
            <w:tcW w:w="9629" w:type="dxa"/>
            <w:tcBorders>
              <w:bottom w:val="single" w:sz="4" w:space="0" w:color="auto"/>
            </w:tcBorders>
          </w:tcPr>
          <w:p w14:paraId="6BD341CA" w14:textId="7C1ECDF5" w:rsidR="009C6377" w:rsidRPr="00CF0E69" w:rsidRDefault="009C6377" w:rsidP="007065C2">
            <w:pPr>
              <w:spacing w:after="120"/>
              <w:rPr>
                <w:b/>
                <w:bCs/>
              </w:rPr>
            </w:pPr>
            <w:r w:rsidRPr="00CF0E69">
              <w:rPr>
                <w:b/>
                <w:bCs/>
              </w:rPr>
              <w:t>Terms of reference:</w:t>
            </w:r>
            <w:r w:rsidRPr="00CF0E69">
              <w:t xml:space="preserve"> to review and approve the agenda and make proposals for the organization of work; to examine proposals and contributions relating to cooperation among members; to evaluate the working methods and functioning of the ITU-D study groups and Telecommunication Development Advisory Group (TDAG); to assess and identify options for maximizing programme delivery and to approve appropriate changes thereto with a view to strengthening the synergies between study group questions, programmes and regional initiatives; and to submit to the plenary meeting reports, including proposals on the ITU-D working methods for implementation of the ITU-D work programme, on the basis of TDAG and study group reports submitted to the conference and the proposals of ITU Member States, ITU-D Sector Members and Academia.</w:t>
            </w:r>
          </w:p>
        </w:tc>
      </w:tr>
      <w:tr w:rsidR="00646859" w14:paraId="2748AD3A" w14:textId="77777777" w:rsidTr="00646859">
        <w:tc>
          <w:tcPr>
            <w:tcW w:w="9629" w:type="dxa"/>
            <w:tcBorders>
              <w:bottom w:val="single" w:sz="4" w:space="0" w:color="auto"/>
            </w:tcBorders>
          </w:tcPr>
          <w:p w14:paraId="248F0A5A" w14:textId="5D18659E" w:rsidR="00377759" w:rsidRPr="00AD08B0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1</w:t>
            </w:r>
            <w:r w:rsidRPr="00AD08B0">
              <w:rPr>
                <w:bCs/>
                <w:szCs w:val="24"/>
              </w:rPr>
              <w:t xml:space="preserve"> – </w:t>
            </w:r>
            <w:r w:rsidRPr="00AD08B0">
              <w:rPr>
                <w:bCs/>
                <w:i/>
                <w:iCs/>
                <w:szCs w:val="24"/>
              </w:rPr>
              <w:t>Rules of procedure of the ITU Telecommunication Development Sector</w:t>
            </w:r>
          </w:p>
          <w:p w14:paraId="1E8CECC6" w14:textId="77777777" w:rsidR="00377759" w:rsidRPr="00AD08B0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2</w:t>
            </w:r>
            <w:r w:rsidRPr="00AD08B0">
              <w:rPr>
                <w:bCs/>
                <w:szCs w:val="24"/>
              </w:rPr>
              <w:t xml:space="preserve"> – </w:t>
            </w:r>
            <w:r w:rsidRPr="00AD08B0">
              <w:rPr>
                <w:bCs/>
                <w:i/>
                <w:iCs/>
                <w:szCs w:val="24"/>
              </w:rPr>
              <w:t>Establishment of study groups</w:t>
            </w:r>
          </w:p>
          <w:p w14:paraId="1F643CC0" w14:textId="77777777" w:rsidR="00377759" w:rsidRPr="00AD08B0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5</w:t>
            </w:r>
            <w:r w:rsidRPr="00AD08B0">
              <w:rPr>
                <w:bCs/>
                <w:szCs w:val="24"/>
              </w:rPr>
              <w:t xml:space="preserve"> – </w:t>
            </w:r>
            <w:r w:rsidRPr="00AD08B0">
              <w:rPr>
                <w:bCs/>
                <w:i/>
                <w:iCs/>
                <w:szCs w:val="24"/>
              </w:rPr>
              <w:t>Enhanced participation by developing countries in the activities of the Union</w:t>
            </w:r>
          </w:p>
          <w:p w14:paraId="637B5CE7" w14:textId="77777777" w:rsidR="00377759" w:rsidRPr="00AD08B0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21</w:t>
            </w:r>
            <w:r w:rsidRPr="00AD08B0">
              <w:rPr>
                <w:bCs/>
                <w:szCs w:val="24"/>
              </w:rPr>
              <w:t xml:space="preserve"> – </w:t>
            </w:r>
            <w:r w:rsidRPr="00AD08B0">
              <w:rPr>
                <w:bCs/>
                <w:i/>
                <w:iCs/>
                <w:szCs w:val="24"/>
              </w:rPr>
              <w:t>Coordination and collaboration with regional and subregional organizations</w:t>
            </w:r>
          </w:p>
          <w:p w14:paraId="0EA7EAE1" w14:textId="77777777" w:rsidR="00377759" w:rsidRPr="00AD08B0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24</w:t>
            </w:r>
            <w:r w:rsidRPr="00AD08B0">
              <w:rPr>
                <w:bCs/>
                <w:szCs w:val="24"/>
              </w:rPr>
              <w:t xml:space="preserve"> – </w:t>
            </w:r>
            <w:r w:rsidRPr="00AD08B0">
              <w:rPr>
                <w:bCs/>
                <w:i/>
                <w:iCs/>
                <w:szCs w:val="24"/>
              </w:rPr>
              <w:t>Authorization for the Telecommunication Development Advisory Group to act between world telecommunication development conferences</w:t>
            </w:r>
          </w:p>
          <w:p w14:paraId="5AEA6EDC" w14:textId="77777777" w:rsidR="00377759" w:rsidRPr="00AD08B0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27</w:t>
            </w:r>
            <w:r w:rsidRPr="00AD08B0">
              <w:rPr>
                <w:bCs/>
                <w:szCs w:val="24"/>
              </w:rPr>
              <w:t xml:space="preserve"> – </w:t>
            </w:r>
            <w:r w:rsidRPr="00AD08B0">
              <w:rPr>
                <w:bCs/>
                <w:i/>
                <w:iCs/>
                <w:szCs w:val="24"/>
              </w:rPr>
              <w:t>Admission of entities or organizations to participate as Associates in the work of the ITU Telecommunication Development Sector</w:t>
            </w:r>
          </w:p>
          <w:p w14:paraId="6EABE5CE" w14:textId="77777777" w:rsidR="00377759" w:rsidRPr="00AD08B0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31</w:t>
            </w:r>
            <w:r w:rsidRPr="00AD08B0">
              <w:rPr>
                <w:bCs/>
                <w:szCs w:val="24"/>
              </w:rPr>
              <w:t xml:space="preserve"> – </w:t>
            </w:r>
            <w:r w:rsidRPr="00AD08B0">
              <w:rPr>
                <w:bCs/>
                <w:i/>
                <w:iCs/>
                <w:szCs w:val="24"/>
              </w:rPr>
              <w:t>Regional preparations for world telecommunication development conferences</w:t>
            </w:r>
          </w:p>
          <w:p w14:paraId="539C01A7" w14:textId="77777777" w:rsidR="00377759" w:rsidRPr="0092499A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53</w:t>
            </w:r>
            <w:r w:rsidRPr="0092499A">
              <w:rPr>
                <w:bCs/>
                <w:szCs w:val="24"/>
              </w:rPr>
              <w:t xml:space="preserve"> – </w:t>
            </w:r>
            <w:r w:rsidRPr="0092499A">
              <w:rPr>
                <w:bCs/>
                <w:i/>
                <w:iCs/>
                <w:szCs w:val="24"/>
              </w:rPr>
              <w:t>Strategic and financial framework for the elaboration and implementation of the Dubai Action Plan</w:t>
            </w:r>
          </w:p>
          <w:p w14:paraId="22F83A36" w14:textId="77777777" w:rsidR="00377759" w:rsidRPr="0092499A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59</w:t>
            </w:r>
            <w:r w:rsidRPr="0092499A">
              <w:rPr>
                <w:bCs/>
                <w:szCs w:val="24"/>
              </w:rPr>
              <w:t xml:space="preserve"> – </w:t>
            </w:r>
            <w:r w:rsidRPr="0092499A">
              <w:rPr>
                <w:bCs/>
                <w:i/>
                <w:iCs/>
                <w:szCs w:val="24"/>
              </w:rPr>
              <w:t>Strengthening coordination and cooperation among the three ITU Sectors on matters of mutual interest</w:t>
            </w:r>
          </w:p>
          <w:p w14:paraId="27DDFB97" w14:textId="77777777" w:rsidR="00377759" w:rsidRPr="0092499A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61</w:t>
            </w:r>
            <w:r w:rsidRPr="0092499A">
              <w:rPr>
                <w:bCs/>
                <w:szCs w:val="24"/>
              </w:rPr>
              <w:t xml:space="preserve"> – </w:t>
            </w:r>
            <w:r w:rsidRPr="0092499A">
              <w:rPr>
                <w:bCs/>
                <w:i/>
                <w:iCs/>
                <w:szCs w:val="24"/>
              </w:rPr>
              <w:t>Appointment and maximum term of office of chairmen and vice-chairmen of study groups in the ITU Telecommunication Development Sector and of the Telecommunication Development Advisory Group</w:t>
            </w:r>
          </w:p>
          <w:p w14:paraId="0A099EC2" w14:textId="77777777" w:rsidR="00377759" w:rsidRPr="0092499A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lastRenderedPageBreak/>
              <w:t>Resolution 71</w:t>
            </w:r>
            <w:r w:rsidRPr="0092499A">
              <w:rPr>
                <w:bCs/>
                <w:szCs w:val="24"/>
              </w:rPr>
              <w:t xml:space="preserve"> – </w:t>
            </w:r>
            <w:r w:rsidRPr="0092499A">
              <w:rPr>
                <w:bCs/>
                <w:i/>
                <w:iCs/>
                <w:szCs w:val="24"/>
              </w:rPr>
              <w:t>Strengthening cooperation between Member States, Sector Members, Associates and Academia of the ITU Telecommunication Development Sector and the evolving role of the private sector in the ITU Telecommunication Development Sector</w:t>
            </w:r>
          </w:p>
          <w:p w14:paraId="2E1C3638" w14:textId="77777777" w:rsidR="00377759" w:rsidRPr="0092499A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81</w:t>
            </w:r>
            <w:r w:rsidRPr="0092499A">
              <w:rPr>
                <w:bCs/>
                <w:szCs w:val="24"/>
              </w:rPr>
              <w:t xml:space="preserve"> – </w:t>
            </w:r>
            <w:r w:rsidRPr="0092499A">
              <w:rPr>
                <w:bCs/>
                <w:i/>
                <w:iCs/>
                <w:szCs w:val="24"/>
              </w:rPr>
              <w:t>Further development of electronic working methods for the work of the ITU Telecommunication Development Sector</w:t>
            </w:r>
          </w:p>
          <w:p w14:paraId="0B58CF99" w14:textId="77777777" w:rsidR="00377759" w:rsidRPr="0092499A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82</w:t>
            </w:r>
            <w:r w:rsidRPr="0092499A">
              <w:rPr>
                <w:bCs/>
                <w:szCs w:val="24"/>
              </w:rPr>
              <w:t xml:space="preserve"> – </w:t>
            </w:r>
            <w:r w:rsidRPr="0092499A">
              <w:rPr>
                <w:bCs/>
                <w:i/>
                <w:iCs/>
                <w:szCs w:val="24"/>
              </w:rPr>
              <w:t>Preserving and promoting multilingualism on the Internet for an inclusive information society</w:t>
            </w:r>
          </w:p>
          <w:p w14:paraId="55FB5DC2" w14:textId="6920DE78" w:rsidR="00195268" w:rsidRPr="00646859" w:rsidRDefault="00377759" w:rsidP="007065C2">
            <w:pPr>
              <w:pStyle w:val="ListParagraph"/>
              <w:numPr>
                <w:ilvl w:val="0"/>
                <w:numId w:val="7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86</w:t>
            </w:r>
            <w:r w:rsidRPr="0092499A">
              <w:rPr>
                <w:bCs/>
                <w:szCs w:val="24"/>
              </w:rPr>
              <w:t xml:space="preserve"> – </w:t>
            </w:r>
            <w:r w:rsidRPr="0092499A">
              <w:rPr>
                <w:bCs/>
                <w:i/>
                <w:iCs/>
                <w:szCs w:val="24"/>
              </w:rPr>
              <w:t>Use in the ITU Telecommunication Development Sector of the languages of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92499A">
              <w:rPr>
                <w:bCs/>
                <w:i/>
                <w:iCs/>
                <w:szCs w:val="24"/>
              </w:rPr>
              <w:t>the Union on an equal footing</w:t>
            </w:r>
          </w:p>
        </w:tc>
      </w:tr>
      <w:tr w:rsidR="00646859" w14:paraId="32820A48" w14:textId="77777777" w:rsidTr="00646859">
        <w:tc>
          <w:tcPr>
            <w:tcW w:w="9629" w:type="dxa"/>
            <w:tcBorders>
              <w:left w:val="nil"/>
              <w:right w:val="nil"/>
            </w:tcBorders>
          </w:tcPr>
          <w:p w14:paraId="2A2A4411" w14:textId="77777777" w:rsidR="00646859" w:rsidRDefault="00646859" w:rsidP="007065C2">
            <w:pPr>
              <w:spacing w:after="120"/>
              <w:rPr>
                <w:bCs/>
                <w:szCs w:val="24"/>
              </w:rPr>
            </w:pPr>
          </w:p>
        </w:tc>
      </w:tr>
      <w:tr w:rsidR="00646859" w14:paraId="126910FA" w14:textId="77777777" w:rsidTr="00B7249F">
        <w:tc>
          <w:tcPr>
            <w:tcW w:w="9629" w:type="dxa"/>
            <w:shd w:val="clear" w:color="auto" w:fill="B8CCE4" w:themeFill="accent1" w:themeFillTint="66"/>
          </w:tcPr>
          <w:p w14:paraId="41D13849" w14:textId="0A7ED763" w:rsidR="00646859" w:rsidRDefault="00646859" w:rsidP="007065C2">
            <w:pPr>
              <w:spacing w:after="120"/>
              <w:rPr>
                <w:bCs/>
                <w:szCs w:val="24"/>
              </w:rPr>
            </w:pPr>
            <w:r w:rsidRPr="00CF0E69">
              <w:rPr>
                <w:b/>
                <w:bCs/>
                <w:sz w:val="28"/>
                <w:szCs w:val="28"/>
              </w:rPr>
              <w:t>Working Group of Plenary: ITU-D contribution to the ITU Strategic Plan 2024-2027 and WTDC Declaration</w:t>
            </w:r>
          </w:p>
        </w:tc>
      </w:tr>
      <w:tr w:rsidR="009C6377" w14:paraId="14026EA1" w14:textId="77777777" w:rsidTr="00646859">
        <w:tc>
          <w:tcPr>
            <w:tcW w:w="9629" w:type="dxa"/>
          </w:tcPr>
          <w:p w14:paraId="1C5C179C" w14:textId="7320F7D8" w:rsidR="009C6377" w:rsidRPr="00CF0E69" w:rsidRDefault="009C6377" w:rsidP="007065C2">
            <w:pPr>
              <w:spacing w:after="120"/>
              <w:rPr>
                <w:b/>
                <w:bCs/>
              </w:rPr>
            </w:pPr>
            <w:r w:rsidRPr="00CF0E69">
              <w:rPr>
                <w:b/>
                <w:bCs/>
              </w:rPr>
              <w:t>Terms of reference:</w:t>
            </w:r>
            <w:r w:rsidRPr="00CF0E69">
              <w:t xml:space="preserve"> to draw up a draft WTDC Declaration and the input of the ITU-D Sector to the Union’s strategic plan to be adopted at the next Plenipotentiary Conference.</w:t>
            </w:r>
          </w:p>
        </w:tc>
      </w:tr>
      <w:tr w:rsidR="00646859" w14:paraId="67927C79" w14:textId="77777777" w:rsidTr="00646859">
        <w:tc>
          <w:tcPr>
            <w:tcW w:w="9629" w:type="dxa"/>
          </w:tcPr>
          <w:p w14:paraId="7431ECE5" w14:textId="36DC24D8" w:rsidR="00646859" w:rsidRPr="0092499A" w:rsidRDefault="00646859" w:rsidP="007065C2">
            <w:pPr>
              <w:pStyle w:val="ListParagraph"/>
              <w:numPr>
                <w:ilvl w:val="0"/>
                <w:numId w:val="6"/>
              </w:numPr>
              <w:spacing w:after="120"/>
              <w:rPr>
                <w:b/>
                <w:szCs w:val="24"/>
              </w:rPr>
            </w:pPr>
            <w:r w:rsidRPr="0092499A">
              <w:rPr>
                <w:b/>
                <w:szCs w:val="24"/>
              </w:rPr>
              <w:t>WTDC Declaration</w:t>
            </w:r>
          </w:p>
          <w:p w14:paraId="6DB68A13" w14:textId="77777777" w:rsidR="00646859" w:rsidRPr="0092499A" w:rsidRDefault="00646859" w:rsidP="007065C2">
            <w:pPr>
              <w:pStyle w:val="ListParagraph"/>
              <w:numPr>
                <w:ilvl w:val="0"/>
                <w:numId w:val="6"/>
              </w:numPr>
              <w:spacing w:after="120"/>
              <w:rPr>
                <w:b/>
                <w:szCs w:val="24"/>
              </w:rPr>
            </w:pPr>
            <w:r w:rsidRPr="0092499A">
              <w:rPr>
                <w:b/>
                <w:szCs w:val="24"/>
              </w:rPr>
              <w:t>ITU-D contribution to the ITU Strategic Plan</w:t>
            </w:r>
          </w:p>
          <w:p w14:paraId="63BD1318" w14:textId="15C96902" w:rsidR="00646859" w:rsidRPr="00646859" w:rsidRDefault="00646859" w:rsidP="007065C2">
            <w:pPr>
              <w:pStyle w:val="ListParagraph"/>
              <w:numPr>
                <w:ilvl w:val="0"/>
                <w:numId w:val="6"/>
              </w:numPr>
              <w:spacing w:after="120"/>
              <w:rPr>
                <w:bCs/>
                <w:szCs w:val="24"/>
              </w:rPr>
            </w:pPr>
            <w:r w:rsidRPr="0092499A">
              <w:rPr>
                <w:b/>
                <w:szCs w:val="24"/>
              </w:rPr>
              <w:t>Resolution 30</w:t>
            </w:r>
            <w:r w:rsidRPr="00646859">
              <w:rPr>
                <w:bCs/>
                <w:szCs w:val="24"/>
              </w:rPr>
              <w:t xml:space="preserve"> - </w:t>
            </w:r>
            <w:r w:rsidRPr="00646859">
              <w:rPr>
                <w:bCs/>
                <w:i/>
                <w:iCs/>
                <w:szCs w:val="24"/>
              </w:rPr>
              <w:t>Role of the ITU Telecommunication Development Sector in implementing the outcomes of the World Summit on the Information Society, taking into account the 2030 Agenda for Sustainable Development</w:t>
            </w:r>
          </w:p>
        </w:tc>
      </w:tr>
    </w:tbl>
    <w:p w14:paraId="7556F2DE" w14:textId="77777777" w:rsidR="009B51E3" w:rsidRDefault="009B51E3" w:rsidP="00674952">
      <w:pPr>
        <w:spacing w:after="120"/>
      </w:pPr>
    </w:p>
    <w:p w14:paraId="7572B8B5" w14:textId="77777777" w:rsidR="00D83BF5" w:rsidRPr="0084734D" w:rsidRDefault="00D83BF5" w:rsidP="00D83BF5">
      <w:pPr>
        <w:jc w:val="center"/>
        <w:rPr>
          <w:szCs w:val="24"/>
        </w:rPr>
      </w:pPr>
      <w:r>
        <w:rPr>
          <w:szCs w:val="24"/>
        </w:rPr>
        <w:t>_______________</w:t>
      </w:r>
    </w:p>
    <w:sectPr w:rsidR="00D83BF5" w:rsidRPr="0084734D" w:rsidSect="00674952">
      <w:headerReference w:type="default" r:id="rId16"/>
      <w:footerReference w:type="even" r:id="rId17"/>
      <w:footerReference w:type="first" r:id="rId18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72C2A" w14:textId="77777777" w:rsidR="00C14C9F" w:rsidRDefault="00C14C9F">
      <w:r>
        <w:separator/>
      </w:r>
    </w:p>
  </w:endnote>
  <w:endnote w:type="continuationSeparator" w:id="0">
    <w:p w14:paraId="1EABD12D" w14:textId="77777777" w:rsidR="00C14C9F" w:rsidRDefault="00C1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099ACFED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1F84">
      <w:rPr>
        <w:noProof/>
      </w:rPr>
      <w:t>03.03.22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EC22D" w14:textId="77777777" w:rsidR="008008BC" w:rsidRPr="008008BC" w:rsidRDefault="008008BC" w:rsidP="008008BC">
    <w:pPr>
      <w:spacing w:before="0"/>
      <w:rPr>
        <w:sz w:val="18"/>
        <w:szCs w:val="18"/>
      </w:rPr>
    </w:pPr>
  </w:p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250"/>
      <w:gridCol w:w="5959"/>
    </w:tblGrid>
    <w:tr w:rsidR="00663583" w:rsidRPr="004D495C" w14:paraId="2405CDF7" w14:textId="77777777" w:rsidTr="008008BC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069CC8A3" w14:textId="77777777" w:rsidR="00663583" w:rsidRPr="004D495C" w:rsidRDefault="00663583" w:rsidP="00663583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250" w:type="dxa"/>
          <w:tcBorders>
            <w:top w:val="single" w:sz="4" w:space="0" w:color="000000"/>
          </w:tcBorders>
          <w:shd w:val="clear" w:color="auto" w:fill="auto"/>
        </w:tcPr>
        <w:p w14:paraId="47C9D700" w14:textId="77777777" w:rsidR="00663583" w:rsidRPr="004D495C" w:rsidRDefault="00663583" w:rsidP="00663583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59" w:type="dxa"/>
          <w:tcBorders>
            <w:top w:val="single" w:sz="4" w:space="0" w:color="000000"/>
          </w:tcBorders>
        </w:tcPr>
        <w:p w14:paraId="225B9A27" w14:textId="2A4E23DC" w:rsidR="00663583" w:rsidRPr="004D495C" w:rsidRDefault="00663583" w:rsidP="00663583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proofErr w:type="spellStart"/>
          <w:r w:rsidRPr="00D8064E">
            <w:rPr>
              <w:sz w:val="18"/>
              <w:szCs w:val="18"/>
              <w:lang w:val="en-US"/>
            </w:rPr>
            <w:t>M</w:t>
          </w:r>
          <w:r>
            <w:rPr>
              <w:sz w:val="18"/>
              <w:szCs w:val="18"/>
              <w:lang w:val="en-US"/>
            </w:rPr>
            <w:t>r</w:t>
          </w:r>
          <w:proofErr w:type="spellEnd"/>
          <w:r w:rsidRPr="00D8064E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  <w:lang w:val="en-US"/>
            </w:rPr>
            <w:t>Stephen Bereaux</w:t>
          </w:r>
          <w:r w:rsidRPr="00D8064E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</w:t>
          </w:r>
          <w:r w:rsidRPr="006554AC">
            <w:rPr>
              <w:sz w:val="18"/>
              <w:szCs w:val="18"/>
              <w:lang w:val="en-US"/>
            </w:rPr>
            <w:t>Deputy to the Director</w:t>
          </w:r>
          <w:r w:rsidRPr="00D8064E">
            <w:rPr>
              <w:sz w:val="18"/>
              <w:szCs w:val="18"/>
              <w:lang w:val="en-US"/>
            </w:rPr>
            <w:t xml:space="preserve">, </w:t>
          </w:r>
          <w:r w:rsidRPr="00D8064E">
            <w:rPr>
              <w:sz w:val="18"/>
              <w:szCs w:val="18"/>
            </w:rPr>
            <w:t>Telecommunication Development Bureau</w:t>
          </w:r>
        </w:p>
      </w:tc>
      <w:bookmarkStart w:id="12" w:name="OrgName"/>
      <w:bookmarkEnd w:id="12"/>
    </w:tr>
    <w:tr w:rsidR="00663583" w:rsidRPr="004D495C" w14:paraId="4607CF08" w14:textId="77777777" w:rsidTr="008008BC">
      <w:tc>
        <w:tcPr>
          <w:tcW w:w="1432" w:type="dxa"/>
          <w:shd w:val="clear" w:color="auto" w:fill="auto"/>
        </w:tcPr>
        <w:p w14:paraId="0DBB45CA" w14:textId="77777777" w:rsidR="00663583" w:rsidRPr="004D495C" w:rsidRDefault="00663583" w:rsidP="00663583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64710DAE" w14:textId="77777777" w:rsidR="00663583" w:rsidRPr="004D495C" w:rsidRDefault="00663583" w:rsidP="0066358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59" w:type="dxa"/>
        </w:tcPr>
        <w:p w14:paraId="33DF8092" w14:textId="12C27415" w:rsidR="00663583" w:rsidRPr="004D495C" w:rsidRDefault="00663583" w:rsidP="00663583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13" w:name="PhoneNo"/>
      <w:bookmarkEnd w:id="13"/>
    </w:tr>
    <w:tr w:rsidR="00663583" w:rsidRPr="004D495C" w14:paraId="474E069B" w14:textId="77777777" w:rsidTr="008008BC">
      <w:tc>
        <w:tcPr>
          <w:tcW w:w="1432" w:type="dxa"/>
          <w:shd w:val="clear" w:color="auto" w:fill="auto"/>
        </w:tcPr>
        <w:p w14:paraId="349E473D" w14:textId="77777777" w:rsidR="00663583" w:rsidRPr="004D495C" w:rsidRDefault="00663583" w:rsidP="00663583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371FC720" w14:textId="77777777" w:rsidR="00663583" w:rsidRPr="004D495C" w:rsidRDefault="00663583" w:rsidP="0066358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59" w:type="dxa"/>
        </w:tcPr>
        <w:p w14:paraId="56952740" w14:textId="48EC1635" w:rsidR="00663583" w:rsidRPr="004D495C" w:rsidRDefault="00211F84" w:rsidP="00663583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663583" w:rsidRPr="00D934D7">
              <w:rPr>
                <w:rStyle w:val="Hyperlink"/>
                <w:sz w:val="18"/>
                <w:szCs w:val="22"/>
              </w:rPr>
              <w:t>stephen.bereaux@itu.int</w:t>
            </w:r>
          </w:hyperlink>
          <w:r w:rsidR="00663583" w:rsidRPr="00D934D7">
            <w:rPr>
              <w:sz w:val="18"/>
              <w:szCs w:val="22"/>
            </w:rPr>
            <w:t xml:space="preserve"> </w:t>
          </w:r>
        </w:p>
      </w:tc>
      <w:bookmarkStart w:id="14" w:name="Email"/>
      <w:bookmarkEnd w:id="14"/>
    </w:tr>
  </w:tbl>
  <w:p w14:paraId="65715F79" w14:textId="0356C352" w:rsidR="00E45D05" w:rsidRPr="00F80F88" w:rsidRDefault="00E45D05" w:rsidP="0069749B">
    <w:pPr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1AC29" w14:textId="77777777" w:rsidR="00C14C9F" w:rsidRDefault="00C14C9F">
      <w:r>
        <w:rPr>
          <w:b/>
        </w:rPr>
        <w:t>_______________</w:t>
      </w:r>
    </w:p>
  </w:footnote>
  <w:footnote w:type="continuationSeparator" w:id="0">
    <w:p w14:paraId="1C1147A3" w14:textId="77777777" w:rsidR="00C14C9F" w:rsidRDefault="00C14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233B5" w14:textId="5944E97D" w:rsidR="00A066F1" w:rsidRPr="00D83BF5" w:rsidRDefault="00D83BF5" w:rsidP="000D41C5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Pr="00FF089C">
      <w:rPr>
        <w:sz w:val="22"/>
        <w:szCs w:val="22"/>
        <w:lang w:val="es-ES_tradnl"/>
      </w:rPr>
      <w:t>ITU-D/</w:t>
    </w:r>
    <w:bookmarkStart w:id="10" w:name="DocRef2"/>
    <w:bookmarkEnd w:id="10"/>
    <w:r w:rsidR="0069749B">
      <w:rPr>
        <w:sz w:val="22"/>
        <w:szCs w:val="22"/>
        <w:lang w:val="es-ES_tradnl"/>
      </w:rPr>
      <w:t>IRM21</w:t>
    </w:r>
    <w:r w:rsidR="000A48B6">
      <w:rPr>
        <w:sz w:val="22"/>
        <w:szCs w:val="22"/>
        <w:lang w:val="es-ES_tradnl"/>
      </w:rPr>
      <w:t>-3</w:t>
    </w:r>
    <w:r w:rsidRPr="00FF089C">
      <w:rPr>
        <w:sz w:val="22"/>
        <w:szCs w:val="22"/>
        <w:lang w:val="es-ES_tradnl"/>
      </w:rPr>
      <w:t>/</w:t>
    </w:r>
    <w:bookmarkStart w:id="11" w:name="DocNo2"/>
    <w:bookmarkEnd w:id="11"/>
    <w:r w:rsidR="00656D95">
      <w:rPr>
        <w:sz w:val="22"/>
        <w:szCs w:val="22"/>
        <w:lang w:val="es-ES_tradnl"/>
      </w:rPr>
      <w:t>69</w:t>
    </w:r>
    <w:r w:rsidRPr="00FF089C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490830">
      <w:rPr>
        <w:noProof/>
        <w:sz w:val="22"/>
        <w:szCs w:val="22"/>
        <w:lang w:val="es-ES_tradnl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5F16A42"/>
    <w:multiLevelType w:val="hybridMultilevel"/>
    <w:tmpl w:val="7528F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D611E5"/>
    <w:multiLevelType w:val="hybridMultilevel"/>
    <w:tmpl w:val="53F08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5BA21BCA"/>
    <w:multiLevelType w:val="hybridMultilevel"/>
    <w:tmpl w:val="71821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5C63"/>
    <w:rsid w:val="00077239"/>
    <w:rsid w:val="000822BE"/>
    <w:rsid w:val="00086491"/>
    <w:rsid w:val="00091346"/>
    <w:rsid w:val="000A48B6"/>
    <w:rsid w:val="000D41C5"/>
    <w:rsid w:val="000F73FF"/>
    <w:rsid w:val="00114CF7"/>
    <w:rsid w:val="00123B68"/>
    <w:rsid w:val="00124A96"/>
    <w:rsid w:val="00126F2E"/>
    <w:rsid w:val="00146F6F"/>
    <w:rsid w:val="00152957"/>
    <w:rsid w:val="00187BD9"/>
    <w:rsid w:val="00190B55"/>
    <w:rsid w:val="00194CFB"/>
    <w:rsid w:val="00195268"/>
    <w:rsid w:val="001B2ED3"/>
    <w:rsid w:val="001C3B5F"/>
    <w:rsid w:val="001D058F"/>
    <w:rsid w:val="002009EA"/>
    <w:rsid w:val="00202CA0"/>
    <w:rsid w:val="00211F84"/>
    <w:rsid w:val="00212EBB"/>
    <w:rsid w:val="002154A6"/>
    <w:rsid w:val="002255B3"/>
    <w:rsid w:val="00271316"/>
    <w:rsid w:val="002D58BE"/>
    <w:rsid w:val="002D732A"/>
    <w:rsid w:val="003013EE"/>
    <w:rsid w:val="00311D16"/>
    <w:rsid w:val="00377759"/>
    <w:rsid w:val="00377BD3"/>
    <w:rsid w:val="00384088"/>
    <w:rsid w:val="0039169B"/>
    <w:rsid w:val="003A7F8C"/>
    <w:rsid w:val="003B532E"/>
    <w:rsid w:val="003B6F14"/>
    <w:rsid w:val="003D0F8B"/>
    <w:rsid w:val="004131D4"/>
    <w:rsid w:val="0041348E"/>
    <w:rsid w:val="00435D62"/>
    <w:rsid w:val="00436965"/>
    <w:rsid w:val="00447308"/>
    <w:rsid w:val="004753DD"/>
    <w:rsid w:val="004765FF"/>
    <w:rsid w:val="00490830"/>
    <w:rsid w:val="00492075"/>
    <w:rsid w:val="004969AD"/>
    <w:rsid w:val="004B13CB"/>
    <w:rsid w:val="004B4FDF"/>
    <w:rsid w:val="004D5D5C"/>
    <w:rsid w:val="0050139F"/>
    <w:rsid w:val="00515E90"/>
    <w:rsid w:val="00521223"/>
    <w:rsid w:val="0055118B"/>
    <w:rsid w:val="0055140B"/>
    <w:rsid w:val="00585074"/>
    <w:rsid w:val="005964AB"/>
    <w:rsid w:val="005B3735"/>
    <w:rsid w:val="005C099A"/>
    <w:rsid w:val="005C31A5"/>
    <w:rsid w:val="005D0ED3"/>
    <w:rsid w:val="005E10C9"/>
    <w:rsid w:val="005E61DD"/>
    <w:rsid w:val="005E6321"/>
    <w:rsid w:val="005E7F1C"/>
    <w:rsid w:val="006023DF"/>
    <w:rsid w:val="006239B8"/>
    <w:rsid w:val="00646859"/>
    <w:rsid w:val="00655097"/>
    <w:rsid w:val="00656D95"/>
    <w:rsid w:val="00657DE0"/>
    <w:rsid w:val="00663583"/>
    <w:rsid w:val="0067199F"/>
    <w:rsid w:val="00674952"/>
    <w:rsid w:val="006766AB"/>
    <w:rsid w:val="006848DD"/>
    <w:rsid w:val="00685313"/>
    <w:rsid w:val="00687800"/>
    <w:rsid w:val="0069749B"/>
    <w:rsid w:val="006A6E9B"/>
    <w:rsid w:val="006B7C2A"/>
    <w:rsid w:val="006C23DA"/>
    <w:rsid w:val="006D5C31"/>
    <w:rsid w:val="006E3D45"/>
    <w:rsid w:val="007065C2"/>
    <w:rsid w:val="007149F9"/>
    <w:rsid w:val="00733A30"/>
    <w:rsid w:val="00740B1E"/>
    <w:rsid w:val="00745AEE"/>
    <w:rsid w:val="007479EA"/>
    <w:rsid w:val="00750F10"/>
    <w:rsid w:val="007742CA"/>
    <w:rsid w:val="007D06F0"/>
    <w:rsid w:val="007D45E3"/>
    <w:rsid w:val="007D5320"/>
    <w:rsid w:val="007D6E4F"/>
    <w:rsid w:val="008008BC"/>
    <w:rsid w:val="00800972"/>
    <w:rsid w:val="00804475"/>
    <w:rsid w:val="00811633"/>
    <w:rsid w:val="00821CEF"/>
    <w:rsid w:val="00832828"/>
    <w:rsid w:val="0083645A"/>
    <w:rsid w:val="00855428"/>
    <w:rsid w:val="00872FC8"/>
    <w:rsid w:val="008801D3"/>
    <w:rsid w:val="008845D0"/>
    <w:rsid w:val="00885D3E"/>
    <w:rsid w:val="008B43F2"/>
    <w:rsid w:val="008B6CFF"/>
    <w:rsid w:val="008F422A"/>
    <w:rsid w:val="00910B26"/>
    <w:rsid w:val="00916FC8"/>
    <w:rsid w:val="0092499A"/>
    <w:rsid w:val="009274B4"/>
    <w:rsid w:val="00932355"/>
    <w:rsid w:val="00934EA2"/>
    <w:rsid w:val="00944A5C"/>
    <w:rsid w:val="00952A66"/>
    <w:rsid w:val="009B51E3"/>
    <w:rsid w:val="009C56E5"/>
    <w:rsid w:val="009C6377"/>
    <w:rsid w:val="009E5FC8"/>
    <w:rsid w:val="009E687A"/>
    <w:rsid w:val="00A03C5C"/>
    <w:rsid w:val="00A066F1"/>
    <w:rsid w:val="00A141AF"/>
    <w:rsid w:val="00A16D29"/>
    <w:rsid w:val="00A20E5E"/>
    <w:rsid w:val="00A30305"/>
    <w:rsid w:val="00A31D2D"/>
    <w:rsid w:val="00A4600A"/>
    <w:rsid w:val="00A538A6"/>
    <w:rsid w:val="00A54C25"/>
    <w:rsid w:val="00A710E7"/>
    <w:rsid w:val="00A71114"/>
    <w:rsid w:val="00A7372E"/>
    <w:rsid w:val="00A93B85"/>
    <w:rsid w:val="00A96DFE"/>
    <w:rsid w:val="00AA0B18"/>
    <w:rsid w:val="00AA2B39"/>
    <w:rsid w:val="00AA666F"/>
    <w:rsid w:val="00AD08B0"/>
    <w:rsid w:val="00B004E5"/>
    <w:rsid w:val="00B05B45"/>
    <w:rsid w:val="00B63782"/>
    <w:rsid w:val="00B639E9"/>
    <w:rsid w:val="00B7249F"/>
    <w:rsid w:val="00B817CD"/>
    <w:rsid w:val="00BA65F3"/>
    <w:rsid w:val="00BB29C8"/>
    <w:rsid w:val="00BB3A95"/>
    <w:rsid w:val="00BB4DC9"/>
    <w:rsid w:val="00BF5755"/>
    <w:rsid w:val="00C0018F"/>
    <w:rsid w:val="00C14C9F"/>
    <w:rsid w:val="00C20466"/>
    <w:rsid w:val="00C214ED"/>
    <w:rsid w:val="00C234E6"/>
    <w:rsid w:val="00C324A8"/>
    <w:rsid w:val="00C52D8E"/>
    <w:rsid w:val="00C54517"/>
    <w:rsid w:val="00C64B30"/>
    <w:rsid w:val="00C64CD8"/>
    <w:rsid w:val="00C97C68"/>
    <w:rsid w:val="00CA1A47"/>
    <w:rsid w:val="00CC247A"/>
    <w:rsid w:val="00CE4B5E"/>
    <w:rsid w:val="00CE5E47"/>
    <w:rsid w:val="00CF020F"/>
    <w:rsid w:val="00CF0676"/>
    <w:rsid w:val="00CF0E69"/>
    <w:rsid w:val="00CF2B5B"/>
    <w:rsid w:val="00D14CE0"/>
    <w:rsid w:val="00D5651D"/>
    <w:rsid w:val="00D74898"/>
    <w:rsid w:val="00D801ED"/>
    <w:rsid w:val="00D83BF5"/>
    <w:rsid w:val="00D925C2"/>
    <w:rsid w:val="00D936BC"/>
    <w:rsid w:val="00D96530"/>
    <w:rsid w:val="00D96B4B"/>
    <w:rsid w:val="00DA7078"/>
    <w:rsid w:val="00DD08B4"/>
    <w:rsid w:val="00DD324E"/>
    <w:rsid w:val="00DD44AF"/>
    <w:rsid w:val="00DE2AC3"/>
    <w:rsid w:val="00DE434C"/>
    <w:rsid w:val="00DE5692"/>
    <w:rsid w:val="00DF6F8E"/>
    <w:rsid w:val="00E03C94"/>
    <w:rsid w:val="00E07105"/>
    <w:rsid w:val="00E26226"/>
    <w:rsid w:val="00E45D05"/>
    <w:rsid w:val="00E55816"/>
    <w:rsid w:val="00E55AEF"/>
    <w:rsid w:val="00E928A1"/>
    <w:rsid w:val="00E976C1"/>
    <w:rsid w:val="00EA12E5"/>
    <w:rsid w:val="00ED2DA4"/>
    <w:rsid w:val="00ED64CE"/>
    <w:rsid w:val="00F02766"/>
    <w:rsid w:val="00F04067"/>
    <w:rsid w:val="00F05BD4"/>
    <w:rsid w:val="00F21A1D"/>
    <w:rsid w:val="00F65C19"/>
    <w:rsid w:val="00F80F88"/>
    <w:rsid w:val="00FB034E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52D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2D8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2D8E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2D8E"/>
    <w:rPr>
      <w:rFonts w:asciiTheme="minorHAnsi" w:hAnsiTheme="minorHAns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6859"/>
    <w:rPr>
      <w:color w:val="605E5C"/>
      <w:shd w:val="clear" w:color="auto" w:fill="E1DFDD"/>
    </w:rPr>
  </w:style>
  <w:style w:type="table" w:styleId="TableGrid">
    <w:name w:val="Table Grid"/>
    <w:basedOn w:val="TableNormal"/>
    <w:rsid w:val="00646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53DD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view.officeapps.live.com/op/view.aspx?src=https%3A%2F%2Fwww.itu.int%2Fdms_pub%2Fitu-d%2Fmd%2F18%2Ftdag28%2Fc%2FD18-TDAG28-C-0017!!MSW-E.docx&amp;wdOrigin=BROWSELIN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meetingdoc.asp?lang=en&amp;parent=D18-TDAG28-C-001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3BB3EB-5FF1-42AC-B0E1-2098CBF8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736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5460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9</cp:revision>
  <cp:lastPrinted>2011-08-24T07:41:00Z</cp:lastPrinted>
  <dcterms:created xsi:type="dcterms:W3CDTF">2022-03-03T07:26:00Z</dcterms:created>
  <dcterms:modified xsi:type="dcterms:W3CDTF">2022-03-09T19:53:00Z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