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985"/>
        <w:gridCol w:w="1275"/>
      </w:tblGrid>
      <w:tr w:rsidR="00C358A0" w:rsidRPr="00674952" w14:paraId="5A4FDABF" w14:textId="77777777" w:rsidTr="00BC2C89">
        <w:trPr>
          <w:cantSplit/>
          <w:trHeight w:val="1560"/>
        </w:trPr>
        <w:tc>
          <w:tcPr>
            <w:tcW w:w="2127" w:type="dxa"/>
          </w:tcPr>
          <w:p w14:paraId="7CE832B9" w14:textId="7A8F2ECA" w:rsidR="00C358A0" w:rsidRPr="00A96DFE" w:rsidRDefault="00BC2C89" w:rsidP="00BC2C89">
            <w:pPr>
              <w:spacing w:before="600" w:after="120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6202F49D" wp14:editId="266F2758">
                  <wp:extent cx="1213485" cy="21526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C5307A5" w14:textId="2F94115F" w:rsidR="00C358A0" w:rsidRPr="008651C3" w:rsidRDefault="00461103" w:rsidP="00BC2C89">
            <w:pPr>
              <w:spacing w:before="240" w:after="120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2277B">
              <w:rPr>
                <w:rFonts w:ascii="SimSun" w:hAnsi="SimSun" w:cstheme="minorHAnsi" w:hint="eastAsia"/>
                <w:b/>
                <w:bCs/>
                <w:sz w:val="36"/>
                <w:szCs w:val="36"/>
                <w:lang w:eastAsia="zh-CN"/>
              </w:rPr>
              <w:t>筹备</w:t>
            </w:r>
            <w:bookmarkStart w:id="0" w:name="_GoBack"/>
            <w:bookmarkEnd w:id="0"/>
            <w:r w:rsidRPr="00302BBF">
              <w:rPr>
                <w:rFonts w:cstheme="minorHAnsi"/>
                <w:b/>
                <w:bCs/>
                <w:sz w:val="36"/>
                <w:szCs w:val="36"/>
                <w:lang w:eastAsia="zh-CN"/>
              </w:rPr>
              <w:t>WTDC</w:t>
            </w:r>
            <w:r w:rsidRPr="00C2277B">
              <w:rPr>
                <w:rFonts w:ascii="SimSun" w:hAnsi="SimSun" w:cstheme="minorHAnsi" w:hint="eastAsia"/>
                <w:b/>
                <w:bCs/>
                <w:sz w:val="36"/>
                <w:szCs w:val="36"/>
                <w:lang w:eastAsia="zh-CN"/>
              </w:rPr>
              <w:t>的</w:t>
            </w:r>
            <w:r w:rsidR="001C6B05">
              <w:rPr>
                <w:rFonts w:ascii="SimSun" w:hAnsi="SimSun" w:cstheme="minorHAnsi" w:hint="eastAsia"/>
                <w:b/>
                <w:bCs/>
                <w:sz w:val="36"/>
                <w:szCs w:val="36"/>
                <w:lang w:eastAsia="zh-CN"/>
              </w:rPr>
              <w:t>第三次</w:t>
            </w:r>
            <w:r w:rsidRPr="00C2277B">
              <w:rPr>
                <w:rFonts w:ascii="SimSun" w:hAnsi="SimSun" w:cstheme="minorHAnsi" w:hint="eastAsia"/>
                <w:b/>
                <w:bCs/>
                <w:sz w:val="36"/>
                <w:szCs w:val="36"/>
                <w:lang w:eastAsia="zh-CN"/>
              </w:rPr>
              <w:t>跨区域会议</w:t>
            </w:r>
            <w:r w:rsidR="008A33B9">
              <w:rPr>
                <w:rFonts w:ascii="SimSun" w:hAnsi="SimSun" w:cstheme="minorHAnsi"/>
                <w:b/>
                <w:bCs/>
                <w:sz w:val="36"/>
                <w:szCs w:val="36"/>
                <w:lang w:eastAsia="zh-CN"/>
              </w:rPr>
              <w:br/>
            </w:r>
            <w:r>
              <w:rPr>
                <w:rFonts w:ascii="SimSun" w:hAnsi="SimSun" w:cstheme="minorHAnsi" w:hint="eastAsia"/>
                <w:b/>
                <w:bCs/>
                <w:sz w:val="36"/>
                <w:szCs w:val="36"/>
                <w:lang w:eastAsia="zh-CN"/>
              </w:rPr>
              <w:t>（</w:t>
            </w:r>
            <w:r w:rsidRPr="00ED4EA8">
              <w:rPr>
                <w:rFonts w:cstheme="minorHAnsi"/>
                <w:b/>
                <w:bCs/>
                <w:sz w:val="36"/>
                <w:szCs w:val="36"/>
                <w:lang w:eastAsia="zh-CN"/>
              </w:rPr>
              <w:t>IRM</w:t>
            </w:r>
            <w:r w:rsidR="001C6B05">
              <w:rPr>
                <w:rFonts w:cstheme="minorHAnsi"/>
                <w:b/>
                <w:bCs/>
                <w:sz w:val="36"/>
                <w:szCs w:val="36"/>
                <w:lang w:eastAsia="zh-CN"/>
              </w:rPr>
              <w:t>-3</w:t>
            </w:r>
            <w:r w:rsidRPr="00ED4EA8">
              <w:rPr>
                <w:rFonts w:ascii="SimSun" w:hAnsi="SimSun" w:cstheme="minorHAnsi" w:hint="eastAsia"/>
                <w:b/>
                <w:bCs/>
                <w:sz w:val="36"/>
                <w:szCs w:val="36"/>
                <w:lang w:eastAsia="zh-CN"/>
              </w:rPr>
              <w:t>）</w:t>
            </w:r>
            <w:r w:rsidR="00A645AE">
              <w:rPr>
                <w:rFonts w:cstheme="minorHAnsi"/>
                <w:b/>
                <w:bCs/>
                <w:lang w:eastAsia="zh-CN"/>
              </w:rPr>
              <w:br/>
            </w:r>
            <w:bookmarkStart w:id="1" w:name="lt_pId010"/>
            <w:r w:rsidRPr="00D644B9">
              <w:rPr>
                <w:rFonts w:cstheme="minorHAnsi"/>
                <w:b/>
                <w:bCs/>
                <w:szCs w:val="24"/>
                <w:lang w:eastAsia="zh-CN"/>
              </w:rPr>
              <w:t>2022</w:t>
            </w:r>
            <w:bookmarkEnd w:id="1"/>
            <w:r w:rsidR="008651C3" w:rsidRPr="008651C3">
              <w:rPr>
                <w:rFonts w:cstheme="minorHAnsi" w:hint="eastAsia"/>
                <w:b/>
                <w:bCs/>
                <w:szCs w:val="24"/>
                <w:lang w:eastAsia="zh-CN"/>
              </w:rPr>
              <w:t>年</w:t>
            </w:r>
            <w:r w:rsidR="008651C3" w:rsidRPr="008651C3">
              <w:rPr>
                <w:rFonts w:cstheme="minorHAnsi" w:hint="eastAsia"/>
                <w:b/>
                <w:bCs/>
                <w:szCs w:val="24"/>
                <w:lang w:eastAsia="zh-CN"/>
              </w:rPr>
              <w:t>3</w:t>
            </w:r>
            <w:r w:rsidR="008651C3" w:rsidRPr="008651C3">
              <w:rPr>
                <w:rFonts w:cstheme="minorHAnsi" w:hint="eastAsia"/>
                <w:b/>
                <w:bCs/>
                <w:szCs w:val="24"/>
                <w:lang w:eastAsia="zh-CN"/>
              </w:rPr>
              <w:t>月</w:t>
            </w:r>
            <w:r w:rsidR="008651C3">
              <w:rPr>
                <w:rFonts w:cstheme="minorHAnsi"/>
                <w:b/>
                <w:bCs/>
                <w:szCs w:val="24"/>
                <w:lang w:eastAsia="zh-CN"/>
              </w:rPr>
              <w:t>10</w:t>
            </w:r>
            <w:r w:rsidR="008651C3" w:rsidRPr="008651C3">
              <w:rPr>
                <w:rFonts w:cstheme="minorHAnsi" w:hint="eastAsia"/>
                <w:b/>
                <w:bCs/>
                <w:szCs w:val="24"/>
                <w:lang w:eastAsia="zh-CN"/>
              </w:rPr>
              <w:t>–</w:t>
            </w:r>
            <w:r w:rsidR="008651C3">
              <w:rPr>
                <w:rFonts w:cstheme="minorHAnsi"/>
                <w:b/>
                <w:bCs/>
                <w:szCs w:val="24"/>
                <w:lang w:eastAsia="zh-CN"/>
              </w:rPr>
              <w:t>1</w:t>
            </w:r>
            <w:r w:rsidR="008651C3" w:rsidRPr="008651C3">
              <w:rPr>
                <w:rFonts w:cstheme="minorHAnsi" w:hint="eastAsia"/>
                <w:b/>
                <w:bCs/>
                <w:szCs w:val="24"/>
                <w:lang w:eastAsia="zh-CN"/>
              </w:rPr>
              <w:t>1</w:t>
            </w:r>
            <w:r w:rsidR="008651C3" w:rsidRPr="008651C3">
              <w:rPr>
                <w:rFonts w:cstheme="minorHAnsi" w:hint="eastAsia"/>
                <w:b/>
                <w:bCs/>
                <w:szCs w:val="24"/>
                <w:lang w:eastAsia="zh-CN"/>
              </w:rPr>
              <w:t>日，瑞士日内瓦</w:t>
            </w:r>
          </w:p>
        </w:tc>
        <w:tc>
          <w:tcPr>
            <w:tcW w:w="1275" w:type="dxa"/>
          </w:tcPr>
          <w:p w14:paraId="08590635" w14:textId="3E0052EE" w:rsidR="00C358A0" w:rsidRPr="00674952" w:rsidRDefault="00C358A0" w:rsidP="00C358A0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06086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3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74952" w14:paraId="69AB09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4" w:name="dnum" w:colFirst="1" w:colLast="1"/>
            <w:bookmarkStart w:id="5" w:name="dmeeting" w:colFirst="0" w:colLast="0"/>
            <w:bookmarkEnd w:id="3"/>
          </w:p>
        </w:tc>
        <w:tc>
          <w:tcPr>
            <w:tcW w:w="3260" w:type="dxa"/>
            <w:gridSpan w:val="2"/>
          </w:tcPr>
          <w:p w14:paraId="19298A4A" w14:textId="5F146FF5" w:rsidR="00C64B30" w:rsidRPr="00705896" w:rsidRDefault="003C1B00" w:rsidP="00C64B30">
            <w:pPr>
              <w:tabs>
                <w:tab w:val="left" w:pos="851"/>
              </w:tabs>
              <w:spacing w:before="0" w:line="240" w:lineRule="atLeast"/>
              <w:rPr>
                <w:rFonts w:eastAsiaTheme="minorEastAsia" w:cstheme="minorHAnsi"/>
                <w:szCs w:val="24"/>
                <w:lang w:val="es-ES_tradnl"/>
              </w:rPr>
            </w:pPr>
            <w:proofErr w:type="spellStart"/>
            <w:r w:rsidRPr="00705896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文件</w:t>
            </w:r>
            <w:bookmarkStart w:id="6" w:name="DocRef1"/>
            <w:bookmarkEnd w:id="6"/>
            <w:proofErr w:type="spellEnd"/>
            <w:r w:rsidR="00A645AE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 xml:space="preserve"> </w:t>
            </w:r>
            <w:r w:rsidR="00A645AE" w:rsidRPr="00A645AE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IRM21-</w:t>
            </w:r>
            <w:r w:rsidR="0034178A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3</w:t>
            </w:r>
            <w:r w:rsidR="00A645AE" w:rsidRPr="00A645AE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/6</w:t>
            </w:r>
            <w:r w:rsidR="0034178A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9</w:t>
            </w:r>
            <w:r w:rsidR="00A645AE" w:rsidRPr="00A645AE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-</w:t>
            </w:r>
            <w:r w:rsidR="00A645AE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C</w:t>
            </w:r>
          </w:p>
        </w:tc>
      </w:tr>
      <w:tr w:rsidR="00C64B30" w:rsidRPr="00674952" w14:paraId="7E2BB7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7" w:name="ddate" w:colFirst="1" w:colLast="1"/>
            <w:bookmarkStart w:id="8" w:name="dblank" w:colFirst="0" w:colLast="0"/>
            <w:bookmarkEnd w:id="4"/>
            <w:bookmarkEnd w:id="5"/>
          </w:p>
        </w:tc>
        <w:tc>
          <w:tcPr>
            <w:tcW w:w="3260" w:type="dxa"/>
            <w:gridSpan w:val="2"/>
          </w:tcPr>
          <w:p w14:paraId="1D84793C" w14:textId="3D2CB968" w:rsidR="00C64B30" w:rsidRPr="00705896" w:rsidRDefault="00A645AE" w:rsidP="00C64B30">
            <w:pPr>
              <w:spacing w:before="0" w:line="240" w:lineRule="atLeast"/>
              <w:rPr>
                <w:rFonts w:eastAsiaTheme="minorEastAsia" w:cstheme="minorHAnsi"/>
                <w:szCs w:val="24"/>
                <w:lang w:eastAsia="zh-CN"/>
              </w:rPr>
            </w:pPr>
            <w:r>
              <w:rPr>
                <w:rFonts w:eastAsiaTheme="minorEastAsia" w:cstheme="minorHAnsi" w:hint="eastAsia"/>
                <w:b/>
                <w:bCs/>
                <w:szCs w:val="24"/>
                <w:lang w:val="fr-FR" w:eastAsia="zh-CN"/>
              </w:rPr>
              <w:t>2022</w:t>
            </w:r>
            <w:r w:rsidR="00705896">
              <w:rPr>
                <w:rFonts w:eastAsiaTheme="minorEastAsia" w:cstheme="minorHAnsi" w:hint="eastAsia"/>
                <w:b/>
                <w:bCs/>
                <w:szCs w:val="24"/>
                <w:lang w:val="fr-FR" w:eastAsia="zh-CN"/>
              </w:rPr>
              <w:t>年</w:t>
            </w:r>
            <w:r w:rsidR="0034178A">
              <w:rPr>
                <w:rFonts w:eastAsiaTheme="minorEastAsia" w:cstheme="minorHAnsi"/>
                <w:b/>
                <w:bCs/>
                <w:szCs w:val="24"/>
                <w:lang w:val="fr-FR" w:eastAsia="zh-CN"/>
              </w:rPr>
              <w:t>3</w:t>
            </w:r>
            <w:r w:rsidR="00705896">
              <w:rPr>
                <w:rFonts w:eastAsiaTheme="minorEastAsia" w:cstheme="minorHAnsi" w:hint="eastAsia"/>
                <w:b/>
                <w:bCs/>
                <w:szCs w:val="24"/>
                <w:lang w:val="fr-FR" w:eastAsia="zh-CN"/>
              </w:rPr>
              <w:t>月</w:t>
            </w:r>
            <w:r w:rsidR="0034178A">
              <w:rPr>
                <w:rFonts w:eastAsiaTheme="minorEastAsia" w:cstheme="minorHAnsi"/>
                <w:b/>
                <w:bCs/>
                <w:szCs w:val="24"/>
                <w:lang w:val="fr-FR" w:eastAsia="zh-CN"/>
              </w:rPr>
              <w:t>3</w:t>
            </w:r>
            <w:r w:rsidR="00705896">
              <w:rPr>
                <w:rFonts w:eastAsiaTheme="minorEastAsia" w:cstheme="minorHAnsi" w:hint="eastAsia"/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C64B30" w:rsidRPr="00674952" w14:paraId="1D6C1835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9" w:name="dbluepink" w:colFirst="0" w:colLast="0"/>
            <w:bookmarkStart w:id="10" w:name="dorlang" w:colFirst="1" w:colLast="1"/>
            <w:bookmarkEnd w:id="7"/>
            <w:bookmarkEnd w:id="8"/>
          </w:p>
        </w:tc>
        <w:tc>
          <w:tcPr>
            <w:tcW w:w="3260" w:type="dxa"/>
            <w:gridSpan w:val="2"/>
          </w:tcPr>
          <w:p w14:paraId="09B26F7F" w14:textId="5114C276" w:rsidR="00C64B30" w:rsidRPr="00705896" w:rsidRDefault="003C1B00" w:rsidP="00C64B30">
            <w:pPr>
              <w:tabs>
                <w:tab w:val="left" w:pos="993"/>
              </w:tabs>
              <w:spacing w:before="0"/>
              <w:rPr>
                <w:rFonts w:eastAsiaTheme="minorEastAsia" w:cstheme="minorHAnsi"/>
                <w:b/>
                <w:szCs w:val="24"/>
              </w:rPr>
            </w:pPr>
            <w:proofErr w:type="spellStart"/>
            <w:r w:rsidRPr="00705896">
              <w:rPr>
                <w:rFonts w:eastAsiaTheme="minorEastAsia" w:cstheme="minorHAnsi"/>
                <w:b/>
                <w:bCs/>
                <w:szCs w:val="24"/>
                <w:lang w:val="fr-FR"/>
              </w:rPr>
              <w:t>原文：英文</w:t>
            </w:r>
            <w:proofErr w:type="spellEnd"/>
          </w:p>
        </w:tc>
      </w:tr>
      <w:tr w:rsidR="00C64B30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14761A1B" w:rsidR="00C64B30" w:rsidRPr="00705896" w:rsidRDefault="00FF1CB7" w:rsidP="00C64B30">
            <w:pPr>
              <w:pStyle w:val="Source"/>
              <w:spacing w:before="240" w:after="240"/>
              <w:rPr>
                <w:rFonts w:asciiTheme="minorEastAsia" w:eastAsiaTheme="minorEastAsia" w:hAnsiTheme="minorEastAsia" w:cstheme="minorHAnsi"/>
              </w:rPr>
            </w:pPr>
            <w:proofErr w:type="spellStart"/>
            <w:r w:rsidRPr="00FF1CB7">
              <w:rPr>
                <w:rFonts w:cstheme="minorHAnsi" w:hint="eastAsia"/>
              </w:rPr>
              <w:t>电信发展局主任</w:t>
            </w:r>
            <w:proofErr w:type="spellEnd"/>
          </w:p>
        </w:tc>
      </w:tr>
      <w:tr w:rsidR="0034178A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1C8F3B90" w:rsidR="0034178A" w:rsidRPr="00705896" w:rsidRDefault="006C1EDB" w:rsidP="0034178A">
            <w:pPr>
              <w:pStyle w:val="Title1"/>
              <w:spacing w:before="120" w:after="120"/>
              <w:rPr>
                <w:rFonts w:asciiTheme="minorEastAsia" w:eastAsiaTheme="minorEastAsia" w:hAnsiTheme="minorEastAsia" w:cstheme="minorHAnsi"/>
                <w:caps w:val="0"/>
                <w:lang w:eastAsia="zh-CN"/>
              </w:rPr>
            </w:pPr>
            <w:r w:rsidRPr="006C1EDB">
              <w:rPr>
                <w:rFonts w:cstheme="minorHAnsi" w:hint="eastAsia"/>
                <w:caps w:val="0"/>
                <w:szCs w:val="28"/>
                <w:lang w:eastAsia="zh-CN"/>
              </w:rPr>
              <w:t>2021</w:t>
            </w:r>
            <w:r w:rsidRPr="006C1EDB">
              <w:rPr>
                <w:rFonts w:cstheme="minorHAnsi" w:hint="eastAsia"/>
                <w:caps w:val="0"/>
                <w:szCs w:val="28"/>
                <w:lang w:eastAsia="zh-CN"/>
              </w:rPr>
              <w:t>年世界电信发展大会</w:t>
            </w:r>
            <w:r w:rsidR="00FF1CB7">
              <w:rPr>
                <w:rFonts w:cstheme="minorHAnsi" w:hint="eastAsia"/>
                <w:caps w:val="0"/>
                <w:szCs w:val="28"/>
                <w:lang w:eastAsia="zh-CN"/>
              </w:rPr>
              <w:t>文件分配基础和委员会工作量</w:t>
            </w:r>
          </w:p>
        </w:tc>
      </w:tr>
      <w:tr w:rsidR="0034178A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34178A" w:rsidRPr="00674952" w:rsidRDefault="0034178A" w:rsidP="0034178A">
            <w:pPr>
              <w:pStyle w:val="Title1"/>
              <w:rPr>
                <w:rFonts w:cstheme="minorHAnsi"/>
                <w:szCs w:val="28"/>
                <w:lang w:eastAsia="zh-CN"/>
              </w:rPr>
            </w:pPr>
          </w:p>
        </w:tc>
      </w:tr>
      <w:bookmarkEnd w:id="9"/>
      <w:bookmarkEnd w:id="10"/>
      <w:tr w:rsidR="0034178A" w:rsidRPr="00674952" w14:paraId="5F4F172B" w14:textId="77777777" w:rsidTr="00D03D5A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9386" w14:textId="406B2777" w:rsidR="0034178A" w:rsidRPr="00FB034E" w:rsidRDefault="00461103" w:rsidP="00D03D5A">
            <w:pPr>
              <w:pStyle w:val="Title1"/>
              <w:tabs>
                <w:tab w:val="clear" w:pos="1134"/>
                <w:tab w:val="clear" w:pos="1871"/>
                <w:tab w:val="left" w:pos="1985"/>
              </w:tabs>
              <w:spacing w:before="120" w:after="120"/>
              <w:jc w:val="left"/>
              <w:rPr>
                <w:rFonts w:cs="Times New Roman Bold"/>
                <w:caps w:val="0"/>
                <w:sz w:val="24"/>
                <w:szCs w:val="24"/>
                <w:lang w:eastAsia="zh-CN"/>
              </w:rPr>
            </w:pPr>
            <w:r w:rsidRPr="00C63427">
              <w:rPr>
                <w:rFonts w:asciiTheme="minorEastAsia" w:hAnsiTheme="minorEastAsia" w:cs="Microsoft YaHei" w:hint="eastAsia"/>
                <w:b/>
                <w:bCs/>
                <w:caps w:val="0"/>
                <w:sz w:val="24"/>
                <w:szCs w:val="24"/>
                <w:lang w:eastAsia="zh-CN"/>
              </w:rPr>
              <w:t>重点领域</w:t>
            </w:r>
            <w:r w:rsidRPr="00C63427">
              <w:rPr>
                <w:rFonts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34178A" w:rsidRPr="00FB034E">
              <w:rPr>
                <w:rFonts w:cs="Times New Roman Bold"/>
                <w:caps w:val="0"/>
                <w:sz w:val="24"/>
                <w:szCs w:val="24"/>
                <w:lang w:eastAsia="zh-CN"/>
              </w:rPr>
              <w:tab/>
            </w:r>
            <w:r w:rsidR="00B85829">
              <w:rPr>
                <w:rFonts w:cs="Times New Roman Bold" w:hint="eastAsia"/>
                <w:caps w:val="0"/>
                <w:sz w:val="24"/>
                <w:szCs w:val="24"/>
                <w:lang w:eastAsia="zh-CN"/>
              </w:rPr>
              <w:t>不适用</w:t>
            </w:r>
          </w:p>
          <w:p w14:paraId="59946627" w14:textId="4348437B" w:rsidR="0034178A" w:rsidRPr="00FA5915" w:rsidRDefault="00461103" w:rsidP="007D34EE">
            <w:pPr>
              <w:pStyle w:val="Headingb"/>
              <w:rPr>
                <w:lang w:val="en-GB" w:eastAsia="zh-CN"/>
              </w:rPr>
            </w:pPr>
            <w:r w:rsidRPr="00461103">
              <w:rPr>
                <w:rFonts w:hint="eastAsia"/>
                <w:lang w:eastAsia="zh-CN"/>
              </w:rPr>
              <w:t>摘要</w:t>
            </w:r>
            <w:r w:rsidRPr="00FA5915">
              <w:rPr>
                <w:rFonts w:hint="eastAsia"/>
                <w:lang w:val="en-GB" w:eastAsia="zh-CN"/>
              </w:rPr>
              <w:t>：</w:t>
            </w:r>
          </w:p>
          <w:p w14:paraId="2D1FC45B" w14:textId="392A88C5" w:rsidR="0034178A" w:rsidRPr="00663583" w:rsidRDefault="00B2115E" w:rsidP="008A33B9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本文件载有</w:t>
            </w:r>
            <w:r w:rsidR="00496C58" w:rsidRPr="00496C58">
              <w:rPr>
                <w:rFonts w:hint="eastAsia"/>
                <w:szCs w:val="24"/>
                <w:lang w:eastAsia="zh-CN"/>
              </w:rPr>
              <w:t>2021</w:t>
            </w:r>
            <w:r w:rsidR="00496C58" w:rsidRPr="00496C58">
              <w:rPr>
                <w:rFonts w:hint="eastAsia"/>
                <w:szCs w:val="24"/>
                <w:lang w:eastAsia="zh-CN"/>
              </w:rPr>
              <w:t>年世界电信发展大会</w:t>
            </w:r>
            <w:r w:rsidR="00496C58">
              <w:rPr>
                <w:rFonts w:hint="eastAsia"/>
                <w:szCs w:val="24"/>
                <w:lang w:eastAsia="zh-CN"/>
              </w:rPr>
              <w:t>（</w:t>
            </w:r>
            <w:r w:rsidRPr="00B2115E">
              <w:rPr>
                <w:rFonts w:hint="eastAsia"/>
                <w:szCs w:val="24"/>
                <w:lang w:eastAsia="zh-CN"/>
              </w:rPr>
              <w:t>WTDC-21</w:t>
            </w:r>
            <w:r w:rsidR="00496C58">
              <w:rPr>
                <w:rFonts w:hint="eastAsia"/>
                <w:szCs w:val="24"/>
                <w:lang w:eastAsia="zh-CN"/>
              </w:rPr>
              <w:t>）</w:t>
            </w:r>
            <w:r w:rsidRPr="00B2115E">
              <w:rPr>
                <w:rFonts w:hint="eastAsia"/>
                <w:szCs w:val="24"/>
                <w:lang w:eastAsia="zh-CN"/>
              </w:rPr>
              <w:t>文件分配的</w:t>
            </w:r>
            <w:r>
              <w:rPr>
                <w:rFonts w:hint="eastAsia"/>
                <w:szCs w:val="24"/>
                <w:lang w:eastAsia="zh-CN"/>
              </w:rPr>
              <w:t>拟议</w:t>
            </w:r>
            <w:r w:rsidRPr="00B2115E">
              <w:rPr>
                <w:rFonts w:hint="eastAsia"/>
                <w:szCs w:val="24"/>
                <w:lang w:eastAsia="zh-CN"/>
              </w:rPr>
              <w:t>基础，</w:t>
            </w:r>
            <w:r w:rsidR="009C3018">
              <w:rPr>
                <w:rFonts w:hint="eastAsia"/>
                <w:szCs w:val="24"/>
                <w:lang w:eastAsia="zh-CN"/>
              </w:rPr>
              <w:t>根据</w:t>
            </w:r>
            <w:r w:rsidR="00AA2C57" w:rsidRPr="00AA2C57">
              <w:rPr>
                <w:rFonts w:hint="eastAsia"/>
                <w:szCs w:val="24"/>
                <w:lang w:eastAsia="zh-CN"/>
              </w:rPr>
              <w:t>电信发展顾问组</w:t>
            </w:r>
            <w:r w:rsidR="00AA2C57">
              <w:rPr>
                <w:rFonts w:hint="eastAsia"/>
                <w:szCs w:val="24"/>
                <w:lang w:eastAsia="zh-CN"/>
              </w:rPr>
              <w:t>2</w:t>
            </w:r>
            <w:r w:rsidR="00AA2C57">
              <w:rPr>
                <w:szCs w:val="24"/>
                <w:lang w:eastAsia="zh-CN"/>
              </w:rPr>
              <w:t>021</w:t>
            </w:r>
            <w:r w:rsidR="00AA2C57">
              <w:rPr>
                <w:rFonts w:hint="eastAsia"/>
                <w:szCs w:val="24"/>
                <w:lang w:eastAsia="zh-CN"/>
              </w:rPr>
              <w:t>年会议（</w:t>
            </w:r>
            <w:r w:rsidR="00D178E3">
              <w:rPr>
                <w:rFonts w:hint="eastAsia"/>
                <w:szCs w:val="24"/>
                <w:lang w:eastAsia="zh-CN"/>
              </w:rPr>
              <w:t>T</w:t>
            </w:r>
            <w:r w:rsidRPr="00B2115E">
              <w:rPr>
                <w:rFonts w:hint="eastAsia"/>
                <w:szCs w:val="24"/>
                <w:lang w:eastAsia="zh-CN"/>
              </w:rPr>
              <w:t>DAG-21</w:t>
            </w:r>
            <w:r w:rsidR="00AA2C57">
              <w:rPr>
                <w:rFonts w:hint="eastAsia"/>
                <w:szCs w:val="24"/>
                <w:lang w:eastAsia="zh-CN"/>
              </w:rPr>
              <w:t>）</w:t>
            </w:r>
            <w:r w:rsidRPr="00B2115E">
              <w:rPr>
                <w:rFonts w:hint="eastAsia"/>
                <w:szCs w:val="24"/>
                <w:lang w:eastAsia="zh-CN"/>
              </w:rPr>
              <w:t>认可的</w:t>
            </w:r>
            <w:r w:rsidRPr="00B2115E">
              <w:rPr>
                <w:rFonts w:hint="eastAsia"/>
                <w:szCs w:val="24"/>
                <w:lang w:eastAsia="zh-CN"/>
              </w:rPr>
              <w:t>WTDC-21</w:t>
            </w:r>
            <w:r w:rsidRPr="00B2115E">
              <w:rPr>
                <w:rFonts w:hint="eastAsia"/>
                <w:szCs w:val="24"/>
                <w:lang w:eastAsia="zh-CN"/>
              </w:rPr>
              <w:t>拟议结构提交讨论。</w:t>
            </w:r>
          </w:p>
          <w:p w14:paraId="36BC96E6" w14:textId="4B42C6C5" w:rsidR="0034178A" w:rsidRPr="00BC2C89" w:rsidRDefault="00461103" w:rsidP="007D34EE">
            <w:pPr>
              <w:pStyle w:val="Headingb"/>
              <w:rPr>
                <w:bCs/>
                <w:lang w:val="en-GB" w:eastAsia="zh-CN"/>
              </w:rPr>
            </w:pPr>
            <w:r w:rsidRPr="00461103">
              <w:rPr>
                <w:rFonts w:hint="eastAsia"/>
                <w:lang w:eastAsia="zh-CN"/>
              </w:rPr>
              <w:t>预期结果</w:t>
            </w:r>
            <w:r w:rsidRPr="00BC2C89">
              <w:rPr>
                <w:rFonts w:hint="eastAsia"/>
                <w:bCs/>
                <w:lang w:val="en-GB" w:eastAsia="zh-CN"/>
              </w:rPr>
              <w:t>：</w:t>
            </w:r>
          </w:p>
          <w:p w14:paraId="7BF5C619" w14:textId="29D336C7" w:rsidR="0034178A" w:rsidRPr="00663583" w:rsidRDefault="007146FC" w:rsidP="008A33B9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请</w:t>
            </w:r>
            <w:r w:rsidR="00EA6D4A" w:rsidRPr="00EA6D4A">
              <w:rPr>
                <w:rFonts w:hint="eastAsia"/>
                <w:szCs w:val="24"/>
                <w:lang w:eastAsia="zh-CN"/>
              </w:rPr>
              <w:t>第三次跨区域会议</w:t>
            </w:r>
            <w:r w:rsidR="00EA6D4A">
              <w:rPr>
                <w:rFonts w:hint="eastAsia"/>
                <w:szCs w:val="24"/>
                <w:lang w:eastAsia="zh-CN"/>
              </w:rPr>
              <w:t>（</w:t>
            </w:r>
            <w:r>
              <w:rPr>
                <w:rFonts w:hint="eastAsia"/>
                <w:szCs w:val="24"/>
                <w:lang w:eastAsia="zh-CN"/>
              </w:rPr>
              <w:t>IRM-3</w:t>
            </w:r>
            <w:r w:rsidR="00EA6D4A">
              <w:rPr>
                <w:rFonts w:hint="eastAsia"/>
                <w:szCs w:val="24"/>
                <w:lang w:eastAsia="zh-CN"/>
              </w:rPr>
              <w:t>）</w:t>
            </w:r>
            <w:r>
              <w:rPr>
                <w:rFonts w:hint="eastAsia"/>
                <w:szCs w:val="24"/>
                <w:lang w:eastAsia="zh-CN"/>
              </w:rPr>
              <w:t>将本</w:t>
            </w:r>
            <w:r w:rsidRPr="007146FC">
              <w:rPr>
                <w:rFonts w:hint="eastAsia"/>
                <w:szCs w:val="24"/>
                <w:lang w:eastAsia="zh-CN"/>
              </w:rPr>
              <w:t>文件记录在案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1EBDB767" w14:textId="3FF1BEF3" w:rsidR="0034178A" w:rsidRPr="00663583" w:rsidRDefault="00764A38" w:rsidP="007D34EE">
            <w:pPr>
              <w:pStyle w:val="Headingb"/>
              <w:rPr>
                <w:bCs/>
                <w:lang w:eastAsia="zh-CN"/>
              </w:rPr>
            </w:pPr>
            <w:r w:rsidRPr="00764A38">
              <w:rPr>
                <w:rFonts w:hint="eastAsia"/>
                <w:lang w:eastAsia="zh-CN"/>
              </w:rPr>
              <w:t>参考文件</w:t>
            </w:r>
            <w:r>
              <w:rPr>
                <w:rFonts w:hint="eastAsia"/>
                <w:bCs/>
                <w:lang w:eastAsia="zh-CN"/>
              </w:rPr>
              <w:t>：</w:t>
            </w:r>
          </w:p>
          <w:p w14:paraId="6F31A9E1" w14:textId="77777777" w:rsidR="0034178A" w:rsidRPr="00663583" w:rsidRDefault="00BC2C89" w:rsidP="00D03D5A">
            <w:pPr>
              <w:spacing w:after="120"/>
              <w:rPr>
                <w:highlight w:val="yellow"/>
                <w:lang w:eastAsia="zh-CN"/>
              </w:rPr>
            </w:pPr>
            <w:hyperlink r:id="rId14" w:history="1">
              <w:r w:rsidR="0034178A" w:rsidRPr="00BB4DC9">
                <w:rPr>
                  <w:rStyle w:val="Hyperlink"/>
                  <w:lang w:eastAsia="zh-CN"/>
                </w:rPr>
                <w:t>TDAG-21/17</w:t>
              </w:r>
            </w:hyperlink>
          </w:p>
        </w:tc>
      </w:tr>
    </w:tbl>
    <w:p w14:paraId="7838C554" w14:textId="77777777" w:rsidR="0034178A" w:rsidRDefault="0034178A" w:rsidP="0034178A">
      <w:pPr>
        <w:spacing w:after="120"/>
        <w:rPr>
          <w:lang w:eastAsia="zh-CN"/>
        </w:rPr>
      </w:pPr>
    </w:p>
    <w:p w14:paraId="34F71942" w14:textId="72FECD9D" w:rsidR="0034178A" w:rsidRDefault="00152F2C" w:rsidP="008A33B9">
      <w:pPr>
        <w:spacing w:after="120"/>
        <w:ind w:firstLineChars="200" w:firstLine="480"/>
        <w:rPr>
          <w:bCs/>
          <w:szCs w:val="24"/>
          <w:lang w:val="en-US" w:eastAsia="zh-CN"/>
        </w:rPr>
      </w:pPr>
      <w:r>
        <w:rPr>
          <w:rFonts w:hint="eastAsia"/>
          <w:bCs/>
          <w:szCs w:val="24"/>
          <w:lang w:val="en-US" w:eastAsia="zh-CN"/>
        </w:rPr>
        <w:t>为确保</w:t>
      </w:r>
      <w:r w:rsidR="003D0D54" w:rsidRPr="00496C58">
        <w:rPr>
          <w:rFonts w:hint="eastAsia"/>
          <w:szCs w:val="24"/>
          <w:lang w:eastAsia="zh-CN"/>
        </w:rPr>
        <w:t>2021</w:t>
      </w:r>
      <w:r w:rsidR="003D0D54" w:rsidRPr="00496C58">
        <w:rPr>
          <w:rFonts w:hint="eastAsia"/>
          <w:szCs w:val="24"/>
          <w:lang w:eastAsia="zh-CN"/>
        </w:rPr>
        <w:t>年世界电信发展大会</w:t>
      </w:r>
      <w:r w:rsidR="003D0D54">
        <w:rPr>
          <w:rFonts w:hint="eastAsia"/>
          <w:szCs w:val="24"/>
          <w:lang w:eastAsia="zh-CN"/>
        </w:rPr>
        <w:t>（</w:t>
      </w:r>
      <w:r>
        <w:rPr>
          <w:rFonts w:hint="eastAsia"/>
          <w:bCs/>
          <w:szCs w:val="24"/>
          <w:lang w:val="en-US" w:eastAsia="zh-CN"/>
        </w:rPr>
        <w:t>WTDC</w:t>
      </w:r>
      <w:r>
        <w:rPr>
          <w:bCs/>
          <w:szCs w:val="24"/>
          <w:lang w:val="en-US" w:eastAsia="zh-CN"/>
        </w:rPr>
        <w:t>-</w:t>
      </w:r>
      <w:r w:rsidRPr="00152F2C">
        <w:rPr>
          <w:rFonts w:hint="eastAsia"/>
          <w:bCs/>
          <w:szCs w:val="24"/>
          <w:lang w:val="en-US" w:eastAsia="zh-CN"/>
        </w:rPr>
        <w:t>21</w:t>
      </w:r>
      <w:r w:rsidR="003D0D54">
        <w:rPr>
          <w:rFonts w:hint="eastAsia"/>
          <w:bCs/>
          <w:szCs w:val="24"/>
          <w:lang w:val="en-US" w:eastAsia="zh-CN"/>
        </w:rPr>
        <w:t>）</w:t>
      </w:r>
      <w:r w:rsidR="005771FA">
        <w:rPr>
          <w:rFonts w:hint="eastAsia"/>
          <w:bCs/>
          <w:szCs w:val="24"/>
          <w:lang w:val="en-US" w:eastAsia="zh-CN"/>
        </w:rPr>
        <w:t>各实质性委员会</w:t>
      </w:r>
      <w:r w:rsidRPr="00152F2C">
        <w:rPr>
          <w:rFonts w:hint="eastAsia"/>
          <w:bCs/>
          <w:szCs w:val="24"/>
          <w:lang w:val="en-US" w:eastAsia="zh-CN"/>
        </w:rPr>
        <w:t>之间</w:t>
      </w:r>
      <w:r w:rsidR="00631371">
        <w:rPr>
          <w:rFonts w:hint="eastAsia"/>
          <w:bCs/>
          <w:szCs w:val="24"/>
          <w:lang w:val="en-US" w:eastAsia="zh-CN"/>
        </w:rPr>
        <w:t>的</w:t>
      </w:r>
      <w:r w:rsidRPr="00152F2C">
        <w:rPr>
          <w:rFonts w:hint="eastAsia"/>
          <w:bCs/>
          <w:szCs w:val="24"/>
          <w:lang w:val="en-US" w:eastAsia="zh-CN"/>
        </w:rPr>
        <w:t>工作量</w:t>
      </w:r>
      <w:r w:rsidR="000D4CCE">
        <w:rPr>
          <w:rFonts w:hint="eastAsia"/>
          <w:bCs/>
          <w:szCs w:val="24"/>
          <w:lang w:val="en-US" w:eastAsia="zh-CN"/>
        </w:rPr>
        <w:t>尽可能</w:t>
      </w:r>
      <w:r w:rsidR="006B083F">
        <w:rPr>
          <w:rFonts w:hint="eastAsia"/>
          <w:bCs/>
          <w:szCs w:val="24"/>
          <w:lang w:val="en-US" w:eastAsia="zh-CN"/>
        </w:rPr>
        <w:t>达到</w:t>
      </w:r>
      <w:r w:rsidR="008246A2">
        <w:rPr>
          <w:rFonts w:hint="eastAsia"/>
          <w:bCs/>
          <w:szCs w:val="24"/>
          <w:lang w:val="en-US" w:eastAsia="zh-CN"/>
        </w:rPr>
        <w:t>最佳</w:t>
      </w:r>
      <w:r w:rsidRPr="00152F2C">
        <w:rPr>
          <w:rFonts w:hint="eastAsia"/>
          <w:bCs/>
          <w:szCs w:val="24"/>
          <w:lang w:val="en-US" w:eastAsia="zh-CN"/>
        </w:rPr>
        <w:t>平衡，</w:t>
      </w:r>
      <w:r w:rsidR="00397A4B">
        <w:rPr>
          <w:rFonts w:hint="eastAsia"/>
          <w:bCs/>
          <w:szCs w:val="24"/>
          <w:lang w:val="en-US" w:eastAsia="zh-CN"/>
        </w:rPr>
        <w:t>提议</w:t>
      </w:r>
      <w:r w:rsidRPr="00152F2C">
        <w:rPr>
          <w:rFonts w:hint="eastAsia"/>
          <w:bCs/>
          <w:szCs w:val="24"/>
          <w:lang w:val="en-US" w:eastAsia="zh-CN"/>
        </w:rPr>
        <w:t>以下分工</w:t>
      </w:r>
      <w:r w:rsidR="00DD5FCE">
        <w:rPr>
          <w:rFonts w:hint="eastAsia"/>
          <w:bCs/>
          <w:szCs w:val="24"/>
          <w:lang w:val="en-US" w:eastAsia="zh-CN"/>
        </w:rPr>
        <w:t>以</w:t>
      </w:r>
      <w:r w:rsidR="00506F4E">
        <w:rPr>
          <w:rFonts w:hint="eastAsia"/>
          <w:bCs/>
          <w:szCs w:val="24"/>
          <w:lang w:val="en-US" w:eastAsia="zh-CN"/>
        </w:rPr>
        <w:t>激发参加</w:t>
      </w:r>
      <w:r w:rsidR="00650DDD">
        <w:rPr>
          <w:rFonts w:hint="eastAsia"/>
          <w:bCs/>
          <w:szCs w:val="24"/>
          <w:lang w:val="en-US" w:eastAsia="zh-CN"/>
        </w:rPr>
        <w:t>第</w:t>
      </w:r>
      <w:r w:rsidR="00650DDD" w:rsidRPr="00EA6D4A">
        <w:rPr>
          <w:rFonts w:hint="eastAsia"/>
          <w:szCs w:val="24"/>
          <w:lang w:eastAsia="zh-CN"/>
        </w:rPr>
        <w:t>三次跨区域会议</w:t>
      </w:r>
      <w:r w:rsidR="00650DDD">
        <w:rPr>
          <w:rFonts w:hint="eastAsia"/>
          <w:szCs w:val="24"/>
          <w:lang w:eastAsia="zh-CN"/>
        </w:rPr>
        <w:t>（</w:t>
      </w:r>
      <w:r w:rsidRPr="00152F2C">
        <w:rPr>
          <w:rFonts w:hint="eastAsia"/>
          <w:bCs/>
          <w:szCs w:val="24"/>
          <w:lang w:val="en-US" w:eastAsia="zh-CN"/>
        </w:rPr>
        <w:t>IRM-3</w:t>
      </w:r>
      <w:r w:rsidR="00650DDD">
        <w:rPr>
          <w:rFonts w:hint="eastAsia"/>
          <w:bCs/>
          <w:szCs w:val="24"/>
          <w:lang w:val="en-US" w:eastAsia="zh-CN"/>
        </w:rPr>
        <w:t>）</w:t>
      </w:r>
      <w:r w:rsidRPr="00152F2C">
        <w:rPr>
          <w:rFonts w:hint="eastAsia"/>
          <w:bCs/>
          <w:szCs w:val="24"/>
          <w:lang w:val="en-US" w:eastAsia="zh-CN"/>
        </w:rPr>
        <w:t>的成员</w:t>
      </w:r>
      <w:r w:rsidR="00CE1DFD">
        <w:rPr>
          <w:rFonts w:hint="eastAsia"/>
          <w:bCs/>
          <w:szCs w:val="24"/>
          <w:lang w:val="en-US" w:eastAsia="zh-CN"/>
        </w:rPr>
        <w:t>开展</w:t>
      </w:r>
      <w:r w:rsidRPr="00152F2C">
        <w:rPr>
          <w:rFonts w:hint="eastAsia"/>
          <w:bCs/>
          <w:szCs w:val="24"/>
          <w:lang w:val="en-US" w:eastAsia="zh-CN"/>
        </w:rPr>
        <w:t>讨论，为</w:t>
      </w:r>
      <w:r w:rsidR="00CD3C02" w:rsidRPr="00CD3C02">
        <w:rPr>
          <w:rFonts w:hint="eastAsia"/>
          <w:bCs/>
          <w:szCs w:val="24"/>
          <w:lang w:val="en-US" w:eastAsia="zh-CN"/>
        </w:rPr>
        <w:t>电信发展局</w:t>
      </w:r>
      <w:r w:rsidR="00CD3C02">
        <w:rPr>
          <w:rFonts w:hint="eastAsia"/>
          <w:bCs/>
          <w:szCs w:val="24"/>
          <w:lang w:val="en-US" w:eastAsia="zh-CN"/>
        </w:rPr>
        <w:t>（</w:t>
      </w:r>
      <w:r w:rsidRPr="00152F2C">
        <w:rPr>
          <w:rFonts w:hint="eastAsia"/>
          <w:bCs/>
          <w:szCs w:val="24"/>
          <w:lang w:val="en-US" w:eastAsia="zh-CN"/>
        </w:rPr>
        <w:t>BDT</w:t>
      </w:r>
      <w:r w:rsidR="00CD3C02">
        <w:rPr>
          <w:rFonts w:hint="eastAsia"/>
          <w:bCs/>
          <w:szCs w:val="24"/>
          <w:lang w:val="en-US" w:eastAsia="zh-CN"/>
        </w:rPr>
        <w:t>）</w:t>
      </w:r>
      <w:r w:rsidRPr="00152F2C">
        <w:rPr>
          <w:rFonts w:hint="eastAsia"/>
          <w:bCs/>
          <w:szCs w:val="24"/>
          <w:lang w:val="en-US" w:eastAsia="zh-CN"/>
        </w:rPr>
        <w:t>主任安排</w:t>
      </w:r>
      <w:r w:rsidR="004810AA">
        <w:rPr>
          <w:rFonts w:hint="eastAsia"/>
          <w:bCs/>
          <w:szCs w:val="24"/>
          <w:lang w:val="en-US" w:eastAsia="zh-CN"/>
        </w:rPr>
        <w:t>大会</w:t>
      </w:r>
      <w:r w:rsidRPr="00152F2C">
        <w:rPr>
          <w:rFonts w:hint="eastAsia"/>
          <w:bCs/>
          <w:szCs w:val="24"/>
          <w:lang w:val="en-US" w:eastAsia="zh-CN"/>
        </w:rPr>
        <w:t>提供指导。</w:t>
      </w:r>
      <w:r w:rsidR="00704C68">
        <w:rPr>
          <w:rFonts w:hint="eastAsia"/>
          <w:bCs/>
          <w:szCs w:val="24"/>
          <w:lang w:val="en-US" w:eastAsia="zh-CN"/>
        </w:rPr>
        <w:t>拟议</w:t>
      </w:r>
      <w:r w:rsidRPr="00152F2C">
        <w:rPr>
          <w:rFonts w:hint="eastAsia"/>
          <w:bCs/>
          <w:szCs w:val="24"/>
          <w:lang w:val="en-US" w:eastAsia="zh-CN"/>
        </w:rPr>
        <w:t>分配</w:t>
      </w:r>
      <w:r w:rsidR="00704C68">
        <w:rPr>
          <w:rFonts w:hint="eastAsia"/>
          <w:bCs/>
          <w:szCs w:val="24"/>
          <w:lang w:val="en-US" w:eastAsia="zh-CN"/>
        </w:rPr>
        <w:t>以</w:t>
      </w:r>
      <w:r w:rsidRPr="00152F2C">
        <w:rPr>
          <w:rFonts w:hint="eastAsia"/>
          <w:bCs/>
          <w:szCs w:val="24"/>
          <w:lang w:val="en-US" w:eastAsia="zh-CN"/>
        </w:rPr>
        <w:t>每个委员会的</w:t>
      </w:r>
      <w:r w:rsidR="000606B7">
        <w:rPr>
          <w:rFonts w:hint="eastAsia"/>
          <w:bCs/>
          <w:szCs w:val="24"/>
          <w:lang w:val="en-US" w:eastAsia="zh-CN"/>
        </w:rPr>
        <w:t>职责</w:t>
      </w:r>
      <w:r w:rsidRPr="00152F2C">
        <w:rPr>
          <w:rFonts w:hint="eastAsia"/>
          <w:bCs/>
          <w:szCs w:val="24"/>
          <w:lang w:val="en-US" w:eastAsia="zh-CN"/>
        </w:rPr>
        <w:t>范围和工作量平衡</w:t>
      </w:r>
      <w:r w:rsidR="009D0045">
        <w:rPr>
          <w:rFonts w:hint="eastAsia"/>
          <w:bCs/>
          <w:szCs w:val="24"/>
          <w:lang w:val="en-US" w:eastAsia="zh-CN"/>
        </w:rPr>
        <w:t>为基础</w:t>
      </w:r>
      <w:r w:rsidRPr="00152F2C">
        <w:rPr>
          <w:rFonts w:hint="eastAsia"/>
          <w:bCs/>
          <w:szCs w:val="24"/>
          <w:lang w:val="en-US" w:eastAsia="zh-CN"/>
        </w:rPr>
        <w:t>，以避免在委员会层面出现瓶颈，从而确保</w:t>
      </w:r>
      <w:r w:rsidR="00072F40">
        <w:rPr>
          <w:rFonts w:hint="eastAsia"/>
          <w:bCs/>
          <w:szCs w:val="24"/>
          <w:lang w:val="en-US" w:eastAsia="zh-CN"/>
        </w:rPr>
        <w:t>大会</w:t>
      </w:r>
      <w:r w:rsidRPr="00152F2C">
        <w:rPr>
          <w:rFonts w:hint="eastAsia"/>
          <w:bCs/>
          <w:szCs w:val="24"/>
          <w:lang w:val="en-US" w:eastAsia="zh-CN"/>
        </w:rPr>
        <w:t>工作顺利完成。</w:t>
      </w:r>
    </w:p>
    <w:p w14:paraId="0690C8A1" w14:textId="0D44A130" w:rsidR="0034178A" w:rsidRPr="009F172D" w:rsidRDefault="00825E12" w:rsidP="008A33B9">
      <w:pPr>
        <w:spacing w:after="120"/>
        <w:ind w:firstLineChars="200" w:firstLine="480"/>
        <w:rPr>
          <w:bCs/>
          <w:szCs w:val="24"/>
          <w:lang w:eastAsia="zh-CN"/>
        </w:rPr>
      </w:pPr>
      <w:r>
        <w:rPr>
          <w:rFonts w:hint="eastAsia"/>
          <w:bCs/>
          <w:szCs w:val="24"/>
          <w:lang w:val="en-US" w:eastAsia="zh-CN"/>
        </w:rPr>
        <w:t>为便于参考，</w:t>
      </w:r>
      <w:r w:rsidR="009F172D">
        <w:rPr>
          <w:rFonts w:hint="eastAsia"/>
          <w:bCs/>
          <w:szCs w:val="24"/>
          <w:lang w:val="en-US" w:eastAsia="zh-CN"/>
        </w:rPr>
        <w:t>经</w:t>
      </w:r>
      <w:r w:rsidR="001E3563" w:rsidRPr="001E3563">
        <w:rPr>
          <w:rFonts w:hint="eastAsia"/>
          <w:bCs/>
          <w:szCs w:val="24"/>
          <w:lang w:val="en-US" w:eastAsia="zh-CN"/>
        </w:rPr>
        <w:t>电信发展顾问组</w:t>
      </w:r>
      <w:r w:rsidR="001E3563">
        <w:rPr>
          <w:rFonts w:hint="eastAsia"/>
          <w:bCs/>
          <w:szCs w:val="24"/>
          <w:lang w:val="en-US" w:eastAsia="zh-CN"/>
        </w:rPr>
        <w:t>（</w:t>
      </w:r>
      <w:r w:rsidR="009F172D">
        <w:rPr>
          <w:rFonts w:hint="eastAsia"/>
          <w:bCs/>
          <w:szCs w:val="24"/>
          <w:lang w:val="en-US" w:eastAsia="zh-CN"/>
        </w:rPr>
        <w:t>TDAG</w:t>
      </w:r>
      <w:r w:rsidR="001E3563">
        <w:rPr>
          <w:rFonts w:hint="eastAsia"/>
          <w:bCs/>
          <w:szCs w:val="24"/>
          <w:lang w:val="en-US" w:eastAsia="zh-CN"/>
        </w:rPr>
        <w:t>）</w:t>
      </w:r>
      <w:r w:rsidR="009F172D">
        <w:rPr>
          <w:rFonts w:hint="eastAsia"/>
          <w:bCs/>
          <w:szCs w:val="24"/>
          <w:lang w:val="en-US" w:eastAsia="zh-CN"/>
        </w:rPr>
        <w:t>在</w:t>
      </w:r>
      <w:r w:rsidR="009F172D">
        <w:rPr>
          <w:rFonts w:hint="eastAsia"/>
          <w:bCs/>
          <w:szCs w:val="24"/>
          <w:lang w:val="en-US" w:eastAsia="zh-CN"/>
        </w:rPr>
        <w:t>2</w:t>
      </w:r>
      <w:r w:rsidR="009F172D">
        <w:rPr>
          <w:bCs/>
          <w:szCs w:val="24"/>
          <w:lang w:val="en-US" w:eastAsia="zh-CN"/>
        </w:rPr>
        <w:t>021</w:t>
      </w:r>
      <w:r w:rsidR="009F172D">
        <w:rPr>
          <w:rFonts w:hint="eastAsia"/>
          <w:bCs/>
          <w:szCs w:val="24"/>
          <w:lang w:val="en-US" w:eastAsia="zh-CN"/>
        </w:rPr>
        <w:t>年</w:t>
      </w:r>
      <w:r w:rsidR="009F172D">
        <w:rPr>
          <w:rFonts w:hint="eastAsia"/>
          <w:bCs/>
          <w:szCs w:val="24"/>
          <w:lang w:val="en-US" w:eastAsia="zh-CN"/>
        </w:rPr>
        <w:t>5</w:t>
      </w:r>
      <w:r w:rsidR="009F172D">
        <w:rPr>
          <w:rFonts w:hint="eastAsia"/>
          <w:bCs/>
          <w:szCs w:val="24"/>
          <w:lang w:val="en-US" w:eastAsia="zh-CN"/>
        </w:rPr>
        <w:t>月</w:t>
      </w:r>
      <w:r w:rsidR="009F172D">
        <w:rPr>
          <w:rFonts w:hint="eastAsia"/>
          <w:bCs/>
          <w:szCs w:val="24"/>
          <w:lang w:val="en-US" w:eastAsia="zh-CN"/>
        </w:rPr>
        <w:t>2</w:t>
      </w:r>
      <w:r w:rsidR="009F172D">
        <w:rPr>
          <w:bCs/>
          <w:szCs w:val="24"/>
          <w:lang w:val="en-US" w:eastAsia="zh-CN"/>
        </w:rPr>
        <w:t>4-28</w:t>
      </w:r>
      <w:r w:rsidR="009F172D">
        <w:rPr>
          <w:rFonts w:hint="eastAsia"/>
          <w:bCs/>
          <w:szCs w:val="24"/>
          <w:lang w:val="en-US" w:eastAsia="zh-CN"/>
        </w:rPr>
        <w:t>日会议上认可的</w:t>
      </w:r>
      <w:r w:rsidR="009F172D" w:rsidRPr="009F172D">
        <w:rPr>
          <w:rFonts w:hint="eastAsia"/>
          <w:bCs/>
          <w:szCs w:val="24"/>
          <w:lang w:val="en-US" w:eastAsia="zh-CN"/>
        </w:rPr>
        <w:t>大会结构草案</w:t>
      </w:r>
      <w:r w:rsidR="00D24193">
        <w:rPr>
          <w:rFonts w:hint="eastAsia"/>
          <w:bCs/>
          <w:szCs w:val="24"/>
          <w:lang w:val="en-US" w:eastAsia="zh-CN"/>
        </w:rPr>
        <w:t>载于</w:t>
      </w:r>
      <w:hyperlink r:id="rId15" w:history="1">
        <w:r w:rsidR="00CD39D0" w:rsidRPr="00646859">
          <w:rPr>
            <w:rStyle w:val="Hyperlink"/>
            <w:bCs/>
            <w:szCs w:val="24"/>
            <w:lang w:val="en-US" w:eastAsia="zh-CN"/>
          </w:rPr>
          <w:t>TDAG-21/17</w:t>
        </w:r>
      </w:hyperlink>
      <w:r w:rsidR="00D24193">
        <w:rPr>
          <w:rFonts w:hint="eastAsia"/>
          <w:bCs/>
          <w:szCs w:val="24"/>
          <w:lang w:val="en-US" w:eastAsia="zh-CN"/>
        </w:rPr>
        <w:t>号文件。</w:t>
      </w:r>
    </w:p>
    <w:p w14:paraId="7B6D7F2F" w14:textId="742292A4" w:rsidR="0034178A" w:rsidRDefault="0034178A" w:rsidP="0034178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Cs/>
          <w:szCs w:val="24"/>
          <w:lang w:val="en-US" w:eastAsia="zh-CN"/>
        </w:rPr>
      </w:pPr>
      <w:r>
        <w:rPr>
          <w:rFonts w:hint="eastAsia"/>
          <w:bCs/>
          <w:szCs w:val="24"/>
          <w:lang w:val="en-US" w:eastAsia="zh-C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D03F3" w14:paraId="266F7117" w14:textId="77777777" w:rsidTr="00D03D5A">
        <w:tc>
          <w:tcPr>
            <w:tcW w:w="9629" w:type="dxa"/>
            <w:shd w:val="clear" w:color="auto" w:fill="B8CCE4" w:themeFill="accent1" w:themeFillTint="66"/>
          </w:tcPr>
          <w:p w14:paraId="63B4B422" w14:textId="48B0F4B4" w:rsidR="00AD03F3" w:rsidRPr="00D644B9" w:rsidRDefault="00AD03F3" w:rsidP="00D03D5A">
            <w:pPr>
              <w:spacing w:after="120"/>
              <w:rPr>
                <w:bCs/>
                <w:szCs w:val="24"/>
                <w:highlight w:val="green"/>
              </w:rPr>
            </w:pPr>
            <w:r w:rsidRPr="00AD03F3">
              <w:rPr>
                <w:rFonts w:hint="eastAsia"/>
                <w:b/>
                <w:bCs/>
                <w:lang w:eastAsia="zh-CN"/>
              </w:rPr>
              <w:lastRenderedPageBreak/>
              <w:t>第</w:t>
            </w:r>
            <w:r w:rsidRPr="00AD03F3">
              <w:rPr>
                <w:b/>
                <w:bCs/>
                <w:lang w:eastAsia="zh-CN"/>
              </w:rPr>
              <w:t>3</w:t>
            </w:r>
            <w:r w:rsidRPr="00AD03F3">
              <w:rPr>
                <w:rFonts w:hint="eastAsia"/>
                <w:b/>
                <w:bCs/>
                <w:lang w:eastAsia="zh-CN"/>
              </w:rPr>
              <w:t>委员会：部门目标</w:t>
            </w:r>
          </w:p>
        </w:tc>
      </w:tr>
      <w:tr w:rsidR="00AD03F3" w14:paraId="1E2EE519" w14:textId="77777777" w:rsidTr="00D03D5A">
        <w:tc>
          <w:tcPr>
            <w:tcW w:w="9629" w:type="dxa"/>
            <w:tcBorders>
              <w:bottom w:val="single" w:sz="4" w:space="0" w:color="auto"/>
            </w:tcBorders>
          </w:tcPr>
          <w:p w14:paraId="6D35E4AD" w14:textId="77777777" w:rsidR="00AD03F3" w:rsidRPr="00FA53F7" w:rsidRDefault="00AD03F3" w:rsidP="00AD03F3">
            <w:pPr>
              <w:ind w:leftChars="-6" w:hangingChars="6" w:hanging="14"/>
              <w:rPr>
                <w:rFonts w:cstheme="minorHAnsi"/>
                <w:lang w:eastAsia="zh-CN"/>
              </w:rPr>
            </w:pPr>
            <w:r w:rsidRPr="00FA53F7">
              <w:rPr>
                <w:rFonts w:cstheme="minorHAnsi"/>
                <w:b/>
                <w:bCs/>
                <w:lang w:eastAsia="zh-CN"/>
              </w:rPr>
              <w:t>职责范围：</w:t>
            </w:r>
            <w:r w:rsidRPr="00FA53F7">
              <w:rPr>
                <w:rFonts w:cstheme="minorHAnsi"/>
                <w:lang w:eastAsia="zh-CN"/>
              </w:rPr>
              <w:t>审议和批准议程，并对工作的组织提出建议；审议和批准有关目标的输出成果；审议并就相关研究组课题和相关区域性举措达成一致，并为其实施制定适当的指导原则；审议并就相关决议达成一致，同时确保输出成果符合旨在提高管理有效性和</w:t>
            </w:r>
            <w:proofErr w:type="gramStart"/>
            <w:r w:rsidRPr="00FA53F7">
              <w:rPr>
                <w:rFonts w:cstheme="minorHAnsi"/>
                <w:lang w:eastAsia="zh-CN"/>
              </w:rPr>
              <w:t>完善问</w:t>
            </w:r>
            <w:proofErr w:type="gramEnd"/>
            <w:r w:rsidRPr="00FA53F7">
              <w:rPr>
                <w:rFonts w:cstheme="minorHAnsi"/>
                <w:lang w:eastAsia="zh-CN"/>
              </w:rPr>
              <w:t>责制的、基于结果的管理方式。</w:t>
            </w:r>
          </w:p>
          <w:p w14:paraId="1C52590C" w14:textId="33A572E7" w:rsidR="00AD03F3" w:rsidRPr="00B315BE" w:rsidRDefault="00AD03F3" w:rsidP="00D03D5A">
            <w:pPr>
              <w:spacing w:after="120"/>
              <w:rPr>
                <w:rFonts w:ascii="Calibri" w:hAnsi="Calibri" w:cs="Calibri"/>
                <w:b/>
                <w:bCs/>
                <w:color w:val="800000"/>
                <w:sz w:val="22"/>
                <w:highlight w:val="yellow"/>
                <w:lang w:eastAsia="zh-CN"/>
              </w:rPr>
            </w:pPr>
          </w:p>
        </w:tc>
      </w:tr>
      <w:tr w:rsidR="00AD03F3" w14:paraId="1126DDD3" w14:textId="77777777" w:rsidTr="00D03D5A">
        <w:tc>
          <w:tcPr>
            <w:tcW w:w="9629" w:type="dxa"/>
            <w:tcBorders>
              <w:bottom w:val="single" w:sz="4" w:space="0" w:color="auto"/>
            </w:tcBorders>
          </w:tcPr>
          <w:p w14:paraId="0817AB5B" w14:textId="5F09CA7E" w:rsidR="00AD03F3" w:rsidRPr="00B315BE" w:rsidRDefault="00B7792C" w:rsidP="00AD03F3">
            <w:pPr>
              <w:pStyle w:val="ListParagraph"/>
              <w:numPr>
                <w:ilvl w:val="0"/>
                <w:numId w:val="10"/>
              </w:numPr>
              <w:spacing w:after="120"/>
              <w:rPr>
                <w:bCs/>
                <w:szCs w:val="24"/>
                <w:lang w:eastAsia="zh-CN"/>
              </w:rPr>
            </w:pPr>
            <w:r w:rsidRPr="00B62BB3">
              <w:rPr>
                <w:rFonts w:hint="eastAsia"/>
                <w:b/>
                <w:szCs w:val="24"/>
                <w:lang w:eastAsia="zh-CN"/>
              </w:rPr>
              <w:t>所有研究组课题的职责范围；</w:t>
            </w:r>
          </w:p>
          <w:p w14:paraId="0F15692D" w14:textId="4A59F068" w:rsidR="00AD03F3" w:rsidRPr="00B315BE" w:rsidRDefault="00B7792C" w:rsidP="00AD03F3">
            <w:pPr>
              <w:pStyle w:val="ListParagraph"/>
              <w:numPr>
                <w:ilvl w:val="0"/>
                <w:numId w:val="10"/>
              </w:numPr>
              <w:spacing w:after="120"/>
              <w:rPr>
                <w:bCs/>
                <w:szCs w:val="24"/>
              </w:rPr>
            </w:pPr>
            <w:r w:rsidRPr="00B62BB3">
              <w:rPr>
                <w:rFonts w:hint="eastAsia"/>
                <w:b/>
                <w:szCs w:val="24"/>
                <w:lang w:eastAsia="zh-CN"/>
              </w:rPr>
              <w:t>WTDC</w:t>
            </w:r>
            <w:r w:rsidRPr="00B62BB3">
              <w:rPr>
                <w:rFonts w:hint="eastAsia"/>
                <w:b/>
                <w:szCs w:val="24"/>
                <w:lang w:eastAsia="zh-CN"/>
              </w:rPr>
              <w:t>行动计划；</w:t>
            </w:r>
          </w:p>
          <w:p w14:paraId="43708FC8" w14:textId="7B4AEAF3" w:rsidR="00AD03F3" w:rsidRDefault="00AD03F3" w:rsidP="00AD03F3">
            <w:pPr>
              <w:pStyle w:val="ListParagraph"/>
              <w:numPr>
                <w:ilvl w:val="0"/>
                <w:numId w:val="10"/>
              </w:numPr>
              <w:spacing w:after="120"/>
              <w:rPr>
                <w:bCs/>
                <w:szCs w:val="24"/>
                <w:lang w:eastAsia="zh-CN"/>
              </w:rPr>
            </w:pPr>
            <w:r w:rsidRPr="00AD03F3">
              <w:rPr>
                <w:b/>
                <w:bCs/>
                <w:lang w:eastAsia="zh-CN"/>
              </w:rPr>
              <w:t>第</w:t>
            </w:r>
            <w:r w:rsidRPr="00AD03F3">
              <w:rPr>
                <w:rStyle w:val="href"/>
                <w:b/>
                <w:bCs/>
                <w:lang w:eastAsia="zh-CN"/>
              </w:rPr>
              <w:t>17</w:t>
            </w:r>
            <w:r w:rsidRPr="00AD03F3">
              <w:rPr>
                <w:b/>
                <w:bCs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 xml:space="preserve"> </w:t>
            </w:r>
            <w:r w:rsidRPr="00AD03F3">
              <w:rPr>
                <w:lang w:eastAsia="zh-CN"/>
              </w:rPr>
              <w:t>–</w:t>
            </w:r>
            <w:r>
              <w:rPr>
                <w:lang w:eastAsia="zh-CN"/>
              </w:rPr>
              <w:t xml:space="preserve"> </w:t>
            </w:r>
            <w:r w:rsidRPr="0049716B">
              <w:rPr>
                <w:rFonts w:ascii="STKaiti" w:eastAsia="STKaiti" w:hAnsi="STKaiti" w:cstheme="minorHAnsi"/>
                <w:lang w:eastAsia="zh-CN"/>
              </w:rPr>
              <w:t>各区域批准的</w:t>
            </w:r>
            <w:r w:rsidRPr="0049716B">
              <w:rPr>
                <w:rFonts w:ascii="STKaiti" w:eastAsia="STKaiti" w:hAnsi="STKaiti" w:cstheme="minorHAnsi" w:hint="eastAsia"/>
                <w:lang w:val="en-US" w:eastAsia="zh-CN"/>
              </w:rPr>
              <w:t>区域性</w:t>
            </w:r>
            <w:r w:rsidRPr="0049716B">
              <w:rPr>
                <w:rFonts w:ascii="STKaiti" w:eastAsia="STKaiti" w:hAnsi="STKaiti" w:cstheme="minorHAnsi"/>
                <w:lang w:eastAsia="zh-CN"/>
              </w:rPr>
              <w:t>举措在国家、区域、区域间和全球范围内的实施</w:t>
            </w:r>
            <w:r w:rsidRPr="0049716B">
              <w:rPr>
                <w:rFonts w:ascii="STKaiti" w:eastAsia="STKaiti" w:hAnsi="STKaiti" w:cstheme="minorHAnsi" w:hint="eastAsia"/>
                <w:lang w:eastAsia="zh-CN"/>
              </w:rPr>
              <w:t>和</w:t>
            </w:r>
            <w:r w:rsidRPr="0049716B">
              <w:rPr>
                <w:rFonts w:ascii="STKaiti" w:eastAsia="STKaiti" w:hAnsi="STKaiti" w:cstheme="minorHAnsi"/>
                <w:lang w:eastAsia="zh-CN"/>
              </w:rPr>
              <w:t>合作</w:t>
            </w:r>
            <w:r w:rsidRPr="0049716B">
              <w:rPr>
                <w:rFonts w:ascii="STKaiti" w:eastAsia="STKaiti" w:hAnsi="STKaiti" w:cs="Calibri"/>
                <w:b/>
                <w:bCs/>
                <w:i/>
                <w:iCs/>
                <w:color w:val="800000"/>
                <w:sz w:val="22"/>
                <w:szCs w:val="24"/>
                <w:lang w:eastAsia="zh-CN"/>
              </w:rPr>
              <w:t xml:space="preserve"> </w:t>
            </w:r>
          </w:p>
          <w:p w14:paraId="5048BA7B" w14:textId="6A3FB994" w:rsidR="00AD03F3" w:rsidRPr="00195268" w:rsidRDefault="007640C8" w:rsidP="00AD03F3">
            <w:pPr>
              <w:pStyle w:val="ListParagraph"/>
              <w:numPr>
                <w:ilvl w:val="0"/>
                <w:numId w:val="10"/>
              </w:numPr>
              <w:spacing w:after="120"/>
              <w:rPr>
                <w:bCs/>
                <w:szCs w:val="24"/>
                <w:lang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未列入第</w:t>
            </w:r>
            <w:r>
              <w:rPr>
                <w:rFonts w:hint="eastAsia"/>
                <w:bCs/>
                <w:szCs w:val="24"/>
                <w:lang w:eastAsia="zh-CN"/>
              </w:rPr>
              <w:t>4</w:t>
            </w:r>
            <w:r>
              <w:rPr>
                <w:rFonts w:hint="eastAsia"/>
                <w:bCs/>
                <w:szCs w:val="24"/>
                <w:lang w:eastAsia="zh-CN"/>
              </w:rPr>
              <w:t>委员会（</w:t>
            </w:r>
            <w:r>
              <w:rPr>
                <w:bCs/>
                <w:szCs w:val="24"/>
                <w:lang w:eastAsia="zh-CN"/>
              </w:rPr>
              <w:t>COM 4</w:t>
            </w:r>
            <w:r>
              <w:rPr>
                <w:rFonts w:hint="eastAsia"/>
                <w:bCs/>
                <w:szCs w:val="24"/>
                <w:lang w:eastAsia="zh-CN"/>
              </w:rPr>
              <w:t>）和</w:t>
            </w:r>
            <w:r w:rsidR="003A14D8">
              <w:rPr>
                <w:rFonts w:hint="eastAsia"/>
                <w:bCs/>
                <w:szCs w:val="24"/>
                <w:lang w:eastAsia="zh-CN"/>
              </w:rPr>
              <w:t>全体会议</w:t>
            </w:r>
            <w:r w:rsidRPr="007640C8">
              <w:rPr>
                <w:rFonts w:hint="eastAsia"/>
                <w:bCs/>
                <w:szCs w:val="24"/>
                <w:lang w:eastAsia="zh-CN"/>
              </w:rPr>
              <w:t>工作组（</w:t>
            </w:r>
            <w:r w:rsidRPr="007640C8">
              <w:rPr>
                <w:rFonts w:hint="eastAsia"/>
                <w:bCs/>
                <w:szCs w:val="24"/>
                <w:lang w:eastAsia="zh-CN"/>
              </w:rPr>
              <w:t>WG-PLEN</w:t>
            </w:r>
            <w:r w:rsidRPr="007640C8">
              <w:rPr>
                <w:rFonts w:hint="eastAsia"/>
                <w:bCs/>
                <w:szCs w:val="24"/>
                <w:lang w:eastAsia="zh-CN"/>
              </w:rPr>
              <w:t>）</w:t>
            </w:r>
            <w:r>
              <w:rPr>
                <w:rFonts w:hint="eastAsia"/>
                <w:bCs/>
                <w:szCs w:val="24"/>
                <w:lang w:eastAsia="zh-CN"/>
              </w:rPr>
              <w:t>的</w:t>
            </w:r>
            <w:r w:rsidRPr="00ED4F34">
              <w:rPr>
                <w:rFonts w:hint="eastAsia"/>
                <w:b/>
                <w:szCs w:val="24"/>
                <w:lang w:eastAsia="zh-CN"/>
              </w:rPr>
              <w:t>所有其他决议和建议书</w:t>
            </w:r>
          </w:p>
        </w:tc>
      </w:tr>
      <w:tr w:rsidR="00AD03F3" w14:paraId="18BF4147" w14:textId="77777777" w:rsidTr="00D03D5A">
        <w:tc>
          <w:tcPr>
            <w:tcW w:w="9629" w:type="dxa"/>
            <w:tcBorders>
              <w:left w:val="nil"/>
              <w:right w:val="nil"/>
            </w:tcBorders>
          </w:tcPr>
          <w:p w14:paraId="1B1892AA" w14:textId="77777777" w:rsidR="00AD03F3" w:rsidRDefault="00AD03F3" w:rsidP="00D03D5A">
            <w:pPr>
              <w:spacing w:after="120"/>
              <w:rPr>
                <w:bCs/>
                <w:szCs w:val="24"/>
                <w:lang w:eastAsia="zh-CN"/>
              </w:rPr>
            </w:pPr>
          </w:p>
        </w:tc>
      </w:tr>
      <w:tr w:rsidR="00AD03F3" w14:paraId="0A5DA456" w14:textId="77777777" w:rsidTr="00D03D5A">
        <w:tc>
          <w:tcPr>
            <w:tcW w:w="9629" w:type="dxa"/>
            <w:shd w:val="clear" w:color="auto" w:fill="B8CCE4" w:themeFill="accent1" w:themeFillTint="66"/>
          </w:tcPr>
          <w:p w14:paraId="7C37F923" w14:textId="07592B66" w:rsidR="00AD03F3" w:rsidRPr="007564F5" w:rsidRDefault="00AC6920" w:rsidP="00D03D5A">
            <w:pPr>
              <w:spacing w:after="120"/>
              <w:rPr>
                <w:bCs/>
                <w:szCs w:val="24"/>
                <w:highlight w:val="green"/>
                <w:lang w:eastAsia="zh-CN"/>
              </w:rPr>
            </w:pPr>
            <w:bookmarkStart w:id="11" w:name="_Toc496883640"/>
            <w:bookmarkStart w:id="12" w:name="_Toc496884128"/>
            <w:r w:rsidRPr="00AC6920">
              <w:rPr>
                <w:rFonts w:hint="eastAsia"/>
                <w:b/>
                <w:bCs/>
                <w:lang w:eastAsia="zh-CN"/>
              </w:rPr>
              <w:t>第</w:t>
            </w:r>
            <w:r w:rsidRPr="00AC6920">
              <w:rPr>
                <w:b/>
                <w:bCs/>
                <w:lang w:eastAsia="zh-CN"/>
              </w:rPr>
              <w:t>4</w:t>
            </w:r>
            <w:r w:rsidRPr="00AC6920">
              <w:rPr>
                <w:rFonts w:hint="eastAsia"/>
                <w:b/>
                <w:bCs/>
                <w:lang w:eastAsia="zh-CN"/>
              </w:rPr>
              <w:t>委员会：</w:t>
            </w:r>
            <w:r w:rsidRPr="00AC6920">
              <w:rPr>
                <w:b/>
                <w:bCs/>
                <w:lang w:eastAsia="zh-CN"/>
              </w:rPr>
              <w:t>ITU-D</w:t>
            </w:r>
            <w:r w:rsidRPr="00AC6920">
              <w:rPr>
                <w:rFonts w:hint="eastAsia"/>
                <w:b/>
                <w:bCs/>
                <w:lang w:eastAsia="zh-CN"/>
              </w:rPr>
              <w:t>的工作方法</w:t>
            </w:r>
            <w:bookmarkEnd w:id="11"/>
            <w:bookmarkEnd w:id="12"/>
          </w:p>
        </w:tc>
      </w:tr>
      <w:tr w:rsidR="00AD03F3" w14:paraId="615D25FF" w14:textId="77777777" w:rsidTr="00D03D5A">
        <w:tc>
          <w:tcPr>
            <w:tcW w:w="9629" w:type="dxa"/>
            <w:tcBorders>
              <w:bottom w:val="single" w:sz="4" w:space="0" w:color="auto"/>
            </w:tcBorders>
          </w:tcPr>
          <w:p w14:paraId="19B8EC1C" w14:textId="27F5817A" w:rsidR="00AC6920" w:rsidRPr="00316E20" w:rsidRDefault="00AC6920" w:rsidP="00AC6920">
            <w:pPr>
              <w:rPr>
                <w:rFonts w:cstheme="minorHAnsi"/>
                <w:lang w:eastAsia="zh-CN"/>
              </w:rPr>
            </w:pPr>
            <w:bookmarkStart w:id="13" w:name="_Hlk97192836"/>
            <w:r w:rsidRPr="00316E20">
              <w:rPr>
                <w:rFonts w:cstheme="minorHAnsi"/>
                <w:b/>
                <w:bCs/>
                <w:lang w:eastAsia="zh-CN"/>
              </w:rPr>
              <w:t>职责范围：</w:t>
            </w:r>
            <w:r w:rsidRPr="00316E20">
              <w:rPr>
                <w:rFonts w:cstheme="minorHAnsi"/>
                <w:lang w:eastAsia="zh-CN"/>
              </w:rPr>
              <w:t>审查和批准议程，并对工作的组织提出建议；审议有关成员间合作的提案和文稿；评估</w:t>
            </w:r>
            <w:r w:rsidRPr="00316E20">
              <w:rPr>
                <w:rFonts w:cstheme="minorHAnsi"/>
                <w:lang w:eastAsia="zh-CN"/>
              </w:rPr>
              <w:t>ITU-D</w:t>
            </w:r>
            <w:r w:rsidRPr="00316E20">
              <w:rPr>
                <w:rFonts w:cstheme="minorHAnsi"/>
                <w:lang w:eastAsia="zh-CN"/>
              </w:rPr>
              <w:t>研究组和电信发展顾问组（</w:t>
            </w:r>
            <w:r w:rsidRPr="00316E20">
              <w:rPr>
                <w:rFonts w:cstheme="minorHAnsi"/>
                <w:lang w:eastAsia="zh-CN"/>
              </w:rPr>
              <w:t>TDAG</w:t>
            </w:r>
            <w:r w:rsidRPr="00316E20">
              <w:rPr>
                <w:rFonts w:cstheme="minorHAnsi"/>
                <w:lang w:eastAsia="zh-CN"/>
              </w:rPr>
              <w:t>）的工作方法和职能；评估并确定完成工作项目的最佳方案并批准项目的适度修改，以便加强各研究组课题、项目和区域性举措之间的合力</w:t>
            </w:r>
            <w:r w:rsidR="001879DF" w:rsidRPr="00316E20">
              <w:rPr>
                <w:rFonts w:cstheme="minorHAnsi" w:hint="eastAsia"/>
                <w:lang w:eastAsia="zh-CN"/>
              </w:rPr>
              <w:t>；</w:t>
            </w:r>
            <w:r w:rsidRPr="00316E20">
              <w:rPr>
                <w:rFonts w:cstheme="minorHAnsi"/>
                <w:lang w:eastAsia="zh-CN"/>
              </w:rPr>
              <w:t>并根据</w:t>
            </w:r>
            <w:r w:rsidRPr="00316E20">
              <w:rPr>
                <w:rFonts w:cstheme="minorHAnsi"/>
                <w:lang w:eastAsia="zh-CN"/>
              </w:rPr>
              <w:t>TDAG</w:t>
            </w:r>
            <w:r w:rsidRPr="00316E20">
              <w:rPr>
                <w:rFonts w:cstheme="minorHAnsi"/>
                <w:lang w:eastAsia="zh-CN"/>
              </w:rPr>
              <w:t>和研究组提交大会的报告以及国际电联成员国、</w:t>
            </w:r>
            <w:r w:rsidRPr="00316E20">
              <w:rPr>
                <w:rFonts w:cstheme="minorHAnsi"/>
                <w:lang w:eastAsia="zh-CN"/>
              </w:rPr>
              <w:t>ITU-D</w:t>
            </w:r>
            <w:r w:rsidRPr="00316E20">
              <w:rPr>
                <w:rFonts w:cstheme="minorHAnsi"/>
                <w:lang w:eastAsia="zh-CN"/>
              </w:rPr>
              <w:t>部门成员和学术成员的建议，向全体会议提交报告，包括关于落实</w:t>
            </w:r>
            <w:r w:rsidRPr="00316E20">
              <w:rPr>
                <w:rFonts w:cstheme="minorHAnsi"/>
                <w:lang w:eastAsia="zh-CN"/>
              </w:rPr>
              <w:t>ITU-D</w:t>
            </w:r>
            <w:r w:rsidRPr="00316E20">
              <w:rPr>
                <w:rFonts w:cstheme="minorHAnsi"/>
                <w:lang w:eastAsia="zh-CN"/>
              </w:rPr>
              <w:t>工作项目的</w:t>
            </w:r>
            <w:r w:rsidRPr="00316E20">
              <w:rPr>
                <w:rFonts w:cstheme="minorHAnsi"/>
                <w:lang w:eastAsia="zh-CN"/>
              </w:rPr>
              <w:t>ITU-D</w:t>
            </w:r>
            <w:r w:rsidRPr="00316E20">
              <w:rPr>
                <w:rFonts w:cstheme="minorHAnsi"/>
                <w:lang w:eastAsia="zh-CN"/>
              </w:rPr>
              <w:t>工作方法的建议。</w:t>
            </w:r>
          </w:p>
          <w:p w14:paraId="45762B05" w14:textId="5FC167D3" w:rsidR="00AD03F3" w:rsidRPr="00316E20" w:rsidRDefault="00AD03F3" w:rsidP="00D03D5A">
            <w:pPr>
              <w:spacing w:after="120"/>
              <w:rPr>
                <w:b/>
                <w:bCs/>
                <w:lang w:eastAsia="zh-CN"/>
              </w:rPr>
            </w:pPr>
          </w:p>
        </w:tc>
      </w:tr>
      <w:bookmarkEnd w:id="13"/>
      <w:tr w:rsidR="00AD03F3" w14:paraId="7543197D" w14:textId="77777777" w:rsidTr="00D03D5A">
        <w:tc>
          <w:tcPr>
            <w:tcW w:w="9629" w:type="dxa"/>
            <w:tcBorders>
              <w:bottom w:val="single" w:sz="4" w:space="0" w:color="auto"/>
            </w:tcBorders>
          </w:tcPr>
          <w:p w14:paraId="4D8796E8" w14:textId="1074FC17" w:rsidR="00AD03F3" w:rsidRPr="00316E20" w:rsidRDefault="0049716B" w:rsidP="00056CC5">
            <w:pPr>
              <w:pStyle w:val="ListParagraph"/>
              <w:numPr>
                <w:ilvl w:val="0"/>
                <w:numId w:val="9"/>
              </w:numPr>
              <w:spacing w:after="120"/>
              <w:rPr>
                <w:bCs/>
                <w:szCs w:val="24"/>
                <w:lang w:eastAsia="zh-CN"/>
              </w:rPr>
            </w:pPr>
            <w:r w:rsidRPr="00316E20">
              <w:rPr>
                <w:rFonts w:hint="eastAsia"/>
                <w:b/>
                <w:szCs w:val="24"/>
                <w:lang w:eastAsia="zh-CN"/>
              </w:rPr>
              <w:t>第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1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号决议</w:t>
            </w:r>
            <w:r w:rsidRPr="00316E20">
              <w:rPr>
                <w:rFonts w:hint="eastAsia"/>
                <w:bCs/>
                <w:szCs w:val="24"/>
                <w:lang w:eastAsia="zh-CN"/>
              </w:rPr>
              <w:t xml:space="preserve"> </w:t>
            </w:r>
            <w:r w:rsidRPr="00316E20">
              <w:rPr>
                <w:bCs/>
                <w:szCs w:val="24"/>
                <w:lang w:eastAsia="zh-CN"/>
              </w:rPr>
              <w:t xml:space="preserve">– </w:t>
            </w:r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国际电</w:t>
            </w:r>
            <w:proofErr w:type="gramStart"/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联电信</w:t>
            </w:r>
            <w:proofErr w:type="gramEnd"/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发展部门的议事规则</w:t>
            </w:r>
          </w:p>
          <w:p w14:paraId="65B51201" w14:textId="72F7BEDE" w:rsidR="00AD03F3" w:rsidRPr="00316E20" w:rsidRDefault="0049716B" w:rsidP="00AD03F3">
            <w:pPr>
              <w:pStyle w:val="ListParagraph"/>
              <w:numPr>
                <w:ilvl w:val="0"/>
                <w:numId w:val="9"/>
              </w:numPr>
              <w:spacing w:after="120"/>
              <w:rPr>
                <w:bCs/>
                <w:szCs w:val="24"/>
                <w:lang w:eastAsia="zh-CN"/>
              </w:rPr>
            </w:pPr>
            <w:r w:rsidRPr="00316E20">
              <w:rPr>
                <w:rFonts w:hint="eastAsia"/>
                <w:b/>
                <w:szCs w:val="24"/>
                <w:lang w:eastAsia="zh-CN"/>
              </w:rPr>
              <w:t>第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2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号决议</w:t>
            </w:r>
            <w:r w:rsidRPr="00316E20">
              <w:rPr>
                <w:rFonts w:hint="eastAsia"/>
                <w:bCs/>
                <w:szCs w:val="24"/>
                <w:lang w:eastAsia="zh-CN"/>
              </w:rPr>
              <w:t xml:space="preserve"> </w:t>
            </w:r>
            <w:r w:rsidRPr="00316E20">
              <w:rPr>
                <w:bCs/>
                <w:szCs w:val="24"/>
                <w:lang w:eastAsia="zh-CN"/>
              </w:rPr>
              <w:t xml:space="preserve">– </w:t>
            </w:r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研究组的设立</w:t>
            </w:r>
          </w:p>
          <w:p w14:paraId="6E809464" w14:textId="44324E93" w:rsidR="00AD03F3" w:rsidRPr="00316E20" w:rsidRDefault="0049716B" w:rsidP="00AD03F3">
            <w:pPr>
              <w:pStyle w:val="ListParagraph"/>
              <w:numPr>
                <w:ilvl w:val="0"/>
                <w:numId w:val="9"/>
              </w:numPr>
              <w:spacing w:after="120"/>
              <w:rPr>
                <w:bCs/>
                <w:szCs w:val="24"/>
                <w:lang w:eastAsia="zh-CN"/>
              </w:rPr>
            </w:pPr>
            <w:r w:rsidRPr="00316E20">
              <w:rPr>
                <w:rFonts w:hint="eastAsia"/>
                <w:b/>
                <w:szCs w:val="24"/>
                <w:lang w:eastAsia="zh-CN"/>
              </w:rPr>
              <w:t>第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5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号决议</w:t>
            </w:r>
            <w:r w:rsidRPr="00316E20">
              <w:rPr>
                <w:rFonts w:hint="eastAsia"/>
                <w:bCs/>
                <w:szCs w:val="24"/>
                <w:lang w:eastAsia="zh-CN"/>
              </w:rPr>
              <w:t xml:space="preserve"> </w:t>
            </w:r>
            <w:r w:rsidRPr="00316E20">
              <w:rPr>
                <w:bCs/>
                <w:szCs w:val="24"/>
                <w:lang w:eastAsia="zh-CN"/>
              </w:rPr>
              <w:t>–</w:t>
            </w:r>
            <w:r w:rsidR="00BD249E" w:rsidRPr="00316E20">
              <w:rPr>
                <w:bCs/>
                <w:szCs w:val="24"/>
                <w:lang w:eastAsia="zh-CN"/>
              </w:rPr>
              <w:t xml:space="preserve"> </w:t>
            </w:r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加强发展中国家对国际电联活动的参与</w:t>
            </w:r>
          </w:p>
          <w:p w14:paraId="55C9ACF9" w14:textId="6AFC90B8" w:rsidR="00AD03F3" w:rsidRPr="00316E20" w:rsidRDefault="0049716B" w:rsidP="00AD03F3">
            <w:pPr>
              <w:pStyle w:val="ListParagraph"/>
              <w:numPr>
                <w:ilvl w:val="0"/>
                <w:numId w:val="9"/>
              </w:numPr>
              <w:spacing w:after="120"/>
              <w:rPr>
                <w:bCs/>
                <w:szCs w:val="24"/>
                <w:lang w:eastAsia="zh-CN"/>
              </w:rPr>
            </w:pPr>
            <w:r w:rsidRPr="00316E20">
              <w:rPr>
                <w:rFonts w:hint="eastAsia"/>
                <w:b/>
                <w:szCs w:val="24"/>
                <w:lang w:eastAsia="zh-CN"/>
              </w:rPr>
              <w:t>第</w:t>
            </w:r>
            <w:r w:rsidRPr="00316E20">
              <w:rPr>
                <w:b/>
                <w:szCs w:val="24"/>
                <w:lang w:eastAsia="zh-CN"/>
              </w:rPr>
              <w:t>21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号决议</w:t>
            </w:r>
            <w:r w:rsidRPr="00316E20">
              <w:rPr>
                <w:bCs/>
                <w:szCs w:val="24"/>
                <w:lang w:eastAsia="zh-CN"/>
              </w:rPr>
              <w:t xml:space="preserve"> –</w:t>
            </w:r>
            <w:r w:rsidR="00BD249E" w:rsidRPr="00316E20">
              <w:rPr>
                <w:bCs/>
                <w:szCs w:val="24"/>
                <w:lang w:eastAsia="zh-CN"/>
              </w:rPr>
              <w:t xml:space="preserve"> </w:t>
            </w:r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与区域性组织和次区域性组织的协调和协作</w:t>
            </w:r>
          </w:p>
          <w:p w14:paraId="34FDB4FC" w14:textId="070E5CDA" w:rsidR="00AD03F3" w:rsidRPr="00316E20" w:rsidRDefault="0049716B" w:rsidP="003D3FCE">
            <w:pPr>
              <w:pStyle w:val="ListParagraph"/>
              <w:numPr>
                <w:ilvl w:val="0"/>
                <w:numId w:val="9"/>
              </w:numPr>
              <w:spacing w:after="120"/>
              <w:rPr>
                <w:bCs/>
                <w:szCs w:val="24"/>
                <w:lang w:eastAsia="zh-CN"/>
              </w:rPr>
            </w:pPr>
            <w:r w:rsidRPr="00316E20">
              <w:rPr>
                <w:rFonts w:hint="eastAsia"/>
                <w:b/>
                <w:szCs w:val="24"/>
                <w:lang w:eastAsia="zh-CN"/>
              </w:rPr>
              <w:t>第</w:t>
            </w:r>
            <w:r w:rsidRPr="00316E20">
              <w:rPr>
                <w:b/>
                <w:szCs w:val="24"/>
                <w:lang w:eastAsia="zh-CN"/>
              </w:rPr>
              <w:t>24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号决议</w:t>
            </w:r>
            <w:r w:rsidRPr="00316E20">
              <w:rPr>
                <w:bCs/>
                <w:szCs w:val="24"/>
                <w:lang w:eastAsia="zh-CN"/>
              </w:rPr>
              <w:t xml:space="preserve"> –</w:t>
            </w:r>
            <w:r w:rsidR="00BD249E" w:rsidRPr="00316E20">
              <w:rPr>
                <w:bCs/>
                <w:szCs w:val="24"/>
                <w:lang w:eastAsia="zh-CN"/>
              </w:rPr>
              <w:t xml:space="preserve"> </w:t>
            </w:r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授权电信发展顾问组在世界电信发展大会之间采取行动</w:t>
            </w:r>
          </w:p>
          <w:p w14:paraId="0414E9F0" w14:textId="48BD49FA" w:rsidR="00AD03F3" w:rsidRPr="00316E20" w:rsidRDefault="0049716B" w:rsidP="00C75D7A">
            <w:pPr>
              <w:pStyle w:val="ListParagraph"/>
              <w:numPr>
                <w:ilvl w:val="0"/>
                <w:numId w:val="9"/>
              </w:numPr>
              <w:spacing w:after="120"/>
              <w:rPr>
                <w:bCs/>
                <w:szCs w:val="24"/>
                <w:lang w:eastAsia="zh-CN"/>
              </w:rPr>
            </w:pPr>
            <w:r w:rsidRPr="00316E20">
              <w:rPr>
                <w:rFonts w:hint="eastAsia"/>
                <w:b/>
                <w:szCs w:val="24"/>
                <w:lang w:eastAsia="zh-CN"/>
              </w:rPr>
              <w:t>第</w:t>
            </w:r>
            <w:r w:rsidRPr="00316E20">
              <w:rPr>
                <w:b/>
                <w:szCs w:val="24"/>
                <w:lang w:eastAsia="zh-CN"/>
              </w:rPr>
              <w:t>27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号决议</w:t>
            </w:r>
            <w:r w:rsidRPr="00316E20">
              <w:rPr>
                <w:bCs/>
                <w:szCs w:val="24"/>
                <w:lang w:eastAsia="zh-CN"/>
              </w:rPr>
              <w:t xml:space="preserve"> –</w:t>
            </w:r>
            <w:r w:rsidR="00BD249E" w:rsidRPr="00316E20">
              <w:rPr>
                <w:bCs/>
                <w:szCs w:val="24"/>
                <w:lang w:eastAsia="zh-CN"/>
              </w:rPr>
              <w:t xml:space="preserve"> </w:t>
            </w:r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允许实体或组织以部门准成员的身份参加国际电</w:t>
            </w:r>
            <w:proofErr w:type="gramStart"/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联电信</w:t>
            </w:r>
            <w:proofErr w:type="gramEnd"/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发展部门的工作</w:t>
            </w:r>
          </w:p>
          <w:p w14:paraId="315F4D1E" w14:textId="2ECCCA78" w:rsidR="00AD03F3" w:rsidRPr="00316E20" w:rsidRDefault="0049716B" w:rsidP="00AD03F3">
            <w:pPr>
              <w:pStyle w:val="ListParagraph"/>
              <w:numPr>
                <w:ilvl w:val="0"/>
                <w:numId w:val="9"/>
              </w:numPr>
              <w:spacing w:after="120"/>
              <w:rPr>
                <w:bCs/>
                <w:szCs w:val="24"/>
                <w:lang w:eastAsia="zh-CN"/>
              </w:rPr>
            </w:pPr>
            <w:r w:rsidRPr="00316E20">
              <w:rPr>
                <w:rFonts w:hint="eastAsia"/>
                <w:b/>
                <w:szCs w:val="24"/>
                <w:lang w:eastAsia="zh-CN"/>
              </w:rPr>
              <w:t>第</w:t>
            </w:r>
            <w:r w:rsidRPr="00316E20">
              <w:rPr>
                <w:b/>
                <w:szCs w:val="24"/>
                <w:lang w:eastAsia="zh-CN"/>
              </w:rPr>
              <w:t>31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号决议</w:t>
            </w:r>
            <w:r w:rsidRPr="00316E20">
              <w:rPr>
                <w:bCs/>
                <w:szCs w:val="24"/>
                <w:lang w:eastAsia="zh-CN"/>
              </w:rPr>
              <w:t xml:space="preserve"> –</w:t>
            </w:r>
            <w:r w:rsidR="00BD249E" w:rsidRPr="00316E20">
              <w:rPr>
                <w:bCs/>
                <w:szCs w:val="24"/>
                <w:lang w:eastAsia="zh-CN"/>
              </w:rPr>
              <w:t xml:space="preserve"> </w:t>
            </w:r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世界电信发展大会的区域性筹备工作</w:t>
            </w:r>
          </w:p>
          <w:p w14:paraId="301E42D4" w14:textId="0472A73D" w:rsidR="00AD03F3" w:rsidRPr="00316E20" w:rsidRDefault="0049716B" w:rsidP="00C13B98">
            <w:pPr>
              <w:pStyle w:val="ListParagraph"/>
              <w:numPr>
                <w:ilvl w:val="0"/>
                <w:numId w:val="9"/>
              </w:numPr>
              <w:spacing w:after="120"/>
              <w:rPr>
                <w:bCs/>
                <w:szCs w:val="24"/>
                <w:lang w:eastAsia="zh-CN"/>
              </w:rPr>
            </w:pPr>
            <w:r w:rsidRPr="00316E20">
              <w:rPr>
                <w:rFonts w:hint="eastAsia"/>
                <w:b/>
                <w:szCs w:val="24"/>
                <w:lang w:eastAsia="zh-CN"/>
              </w:rPr>
              <w:t>第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5</w:t>
            </w:r>
            <w:r w:rsidRPr="00316E20">
              <w:rPr>
                <w:b/>
                <w:szCs w:val="24"/>
                <w:lang w:eastAsia="zh-CN"/>
              </w:rPr>
              <w:t>3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号决议</w:t>
            </w:r>
            <w:r w:rsidRPr="00316E20">
              <w:rPr>
                <w:bCs/>
                <w:szCs w:val="24"/>
                <w:lang w:eastAsia="zh-CN"/>
              </w:rPr>
              <w:t xml:space="preserve"> –</w:t>
            </w:r>
            <w:r w:rsidR="00BD249E" w:rsidRPr="00316E20">
              <w:rPr>
                <w:bCs/>
                <w:szCs w:val="24"/>
                <w:lang w:eastAsia="zh-CN"/>
              </w:rPr>
              <w:t xml:space="preserve"> </w:t>
            </w:r>
            <w:r w:rsidR="00BD249E"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制定和落实《迪拜行动计划》的战略和财务框架</w:t>
            </w:r>
          </w:p>
          <w:p w14:paraId="13F68B12" w14:textId="6FF3CDAA" w:rsidR="00AD03F3" w:rsidRPr="00316E20" w:rsidRDefault="00BD249E" w:rsidP="00CD77C5">
            <w:pPr>
              <w:pStyle w:val="ListParagraph"/>
              <w:numPr>
                <w:ilvl w:val="0"/>
                <w:numId w:val="9"/>
              </w:numPr>
              <w:spacing w:after="120"/>
              <w:rPr>
                <w:bCs/>
                <w:szCs w:val="24"/>
                <w:lang w:eastAsia="zh-CN"/>
              </w:rPr>
            </w:pPr>
            <w:r w:rsidRPr="00316E20">
              <w:rPr>
                <w:rFonts w:hint="eastAsia"/>
                <w:b/>
                <w:szCs w:val="24"/>
                <w:lang w:eastAsia="zh-CN"/>
              </w:rPr>
              <w:t>第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5</w:t>
            </w:r>
            <w:r w:rsidRPr="00316E20">
              <w:rPr>
                <w:b/>
                <w:szCs w:val="24"/>
                <w:lang w:eastAsia="zh-CN"/>
              </w:rPr>
              <w:t>9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号决议</w:t>
            </w:r>
            <w:r w:rsidRPr="00316E20">
              <w:rPr>
                <w:bCs/>
                <w:szCs w:val="24"/>
                <w:lang w:eastAsia="zh-CN"/>
              </w:rPr>
              <w:t xml:space="preserve"> – </w:t>
            </w:r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加强国际电联三个部门之间在共同关心问题上的协调与合作</w:t>
            </w:r>
          </w:p>
          <w:p w14:paraId="7441F306" w14:textId="6AFCEA1B" w:rsidR="00AD03F3" w:rsidRPr="00316E20" w:rsidRDefault="00BD249E" w:rsidP="006C4A35">
            <w:pPr>
              <w:pStyle w:val="ListParagraph"/>
              <w:numPr>
                <w:ilvl w:val="0"/>
                <w:numId w:val="9"/>
              </w:numPr>
              <w:spacing w:after="120"/>
              <w:rPr>
                <w:bCs/>
                <w:szCs w:val="24"/>
                <w:lang w:eastAsia="zh-CN"/>
              </w:rPr>
            </w:pPr>
            <w:r w:rsidRPr="00316E20">
              <w:rPr>
                <w:rFonts w:hint="eastAsia"/>
                <w:b/>
                <w:szCs w:val="24"/>
                <w:lang w:eastAsia="zh-CN"/>
              </w:rPr>
              <w:t>第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6</w:t>
            </w:r>
            <w:r w:rsidRPr="00316E20">
              <w:rPr>
                <w:b/>
                <w:szCs w:val="24"/>
                <w:lang w:eastAsia="zh-CN"/>
              </w:rPr>
              <w:t>1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号决议</w:t>
            </w:r>
            <w:r w:rsidRPr="00316E20">
              <w:rPr>
                <w:bCs/>
                <w:szCs w:val="24"/>
                <w:lang w:eastAsia="zh-CN"/>
              </w:rPr>
              <w:t xml:space="preserve"> – </w:t>
            </w:r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国际电</w:t>
            </w:r>
            <w:proofErr w:type="gramStart"/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联电信</w:t>
            </w:r>
            <w:proofErr w:type="gramEnd"/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发展部门研究组和电信发展</w:t>
            </w:r>
            <w:proofErr w:type="gramStart"/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顾问组正副主席</w:t>
            </w:r>
            <w:proofErr w:type="gramEnd"/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的任命及最长任期</w:t>
            </w:r>
          </w:p>
          <w:p w14:paraId="211523F1" w14:textId="279CEF33" w:rsidR="00AD03F3" w:rsidRPr="00316E20" w:rsidRDefault="00BD249E" w:rsidP="00F52135">
            <w:pPr>
              <w:pStyle w:val="ListParagraph"/>
              <w:numPr>
                <w:ilvl w:val="0"/>
                <w:numId w:val="9"/>
              </w:numPr>
              <w:spacing w:after="120"/>
              <w:rPr>
                <w:bCs/>
                <w:szCs w:val="24"/>
                <w:lang w:eastAsia="zh-CN"/>
              </w:rPr>
            </w:pPr>
            <w:r w:rsidRPr="00316E20">
              <w:rPr>
                <w:rFonts w:hint="eastAsia"/>
                <w:b/>
                <w:szCs w:val="24"/>
                <w:lang w:eastAsia="zh-CN"/>
              </w:rPr>
              <w:t>第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7</w:t>
            </w:r>
            <w:r w:rsidRPr="00316E20">
              <w:rPr>
                <w:b/>
                <w:szCs w:val="24"/>
                <w:lang w:eastAsia="zh-CN"/>
              </w:rPr>
              <w:t>1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号决议</w:t>
            </w:r>
            <w:r w:rsidRPr="00316E20">
              <w:rPr>
                <w:bCs/>
                <w:szCs w:val="24"/>
                <w:lang w:eastAsia="zh-CN"/>
              </w:rPr>
              <w:t xml:space="preserve"> – </w:t>
            </w:r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加强成员国与国际电</w:t>
            </w:r>
            <w:proofErr w:type="gramStart"/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联电信</w:t>
            </w:r>
            <w:proofErr w:type="gramEnd"/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发展</w:t>
            </w:r>
            <w:proofErr w:type="gramStart"/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部门部门</w:t>
            </w:r>
            <w:proofErr w:type="gramEnd"/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成员、部门准成员和学术成员之间的合作和私营部门在国际电</w:t>
            </w:r>
            <w:proofErr w:type="gramStart"/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联电信</w:t>
            </w:r>
            <w:proofErr w:type="gramEnd"/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发展部门中不断变化的作用</w:t>
            </w:r>
          </w:p>
          <w:p w14:paraId="4310AAA5" w14:textId="100666FB" w:rsidR="00AD03F3" w:rsidRPr="00316E20" w:rsidRDefault="00BD249E" w:rsidP="00905B10">
            <w:pPr>
              <w:pStyle w:val="ListParagraph"/>
              <w:numPr>
                <w:ilvl w:val="0"/>
                <w:numId w:val="9"/>
              </w:numPr>
              <w:spacing w:after="120"/>
              <w:rPr>
                <w:bCs/>
                <w:szCs w:val="24"/>
                <w:lang w:eastAsia="zh-CN"/>
              </w:rPr>
            </w:pPr>
            <w:r w:rsidRPr="00316E20">
              <w:rPr>
                <w:rFonts w:hint="eastAsia"/>
                <w:b/>
                <w:szCs w:val="24"/>
                <w:lang w:eastAsia="zh-CN"/>
              </w:rPr>
              <w:t>第</w:t>
            </w:r>
            <w:r w:rsidRPr="00316E20">
              <w:rPr>
                <w:b/>
                <w:szCs w:val="24"/>
                <w:lang w:eastAsia="zh-CN"/>
              </w:rPr>
              <w:t>81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号决议</w:t>
            </w:r>
            <w:r w:rsidRPr="00316E20">
              <w:rPr>
                <w:bCs/>
                <w:szCs w:val="24"/>
                <w:lang w:eastAsia="zh-CN"/>
              </w:rPr>
              <w:t xml:space="preserve"> – </w:t>
            </w:r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在国际电</w:t>
            </w:r>
            <w:proofErr w:type="gramStart"/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联电信</w:t>
            </w:r>
            <w:proofErr w:type="gramEnd"/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发展部门的工作中进一步采用电子工作方法</w:t>
            </w:r>
          </w:p>
          <w:p w14:paraId="716F4A77" w14:textId="286C4670" w:rsidR="00AD03F3" w:rsidRPr="00316E20" w:rsidRDefault="00BD249E" w:rsidP="00CC4BEB">
            <w:pPr>
              <w:pStyle w:val="ListParagraph"/>
              <w:numPr>
                <w:ilvl w:val="0"/>
                <w:numId w:val="9"/>
              </w:numPr>
              <w:spacing w:after="120"/>
              <w:rPr>
                <w:bCs/>
                <w:szCs w:val="24"/>
                <w:lang w:eastAsia="zh-CN"/>
              </w:rPr>
            </w:pPr>
            <w:r w:rsidRPr="00316E20">
              <w:rPr>
                <w:rFonts w:hint="eastAsia"/>
                <w:b/>
                <w:szCs w:val="24"/>
                <w:lang w:eastAsia="zh-CN"/>
              </w:rPr>
              <w:t>第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8</w:t>
            </w:r>
            <w:r w:rsidRPr="00316E20">
              <w:rPr>
                <w:b/>
                <w:szCs w:val="24"/>
                <w:lang w:eastAsia="zh-CN"/>
              </w:rPr>
              <w:t>2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号决议</w:t>
            </w:r>
            <w:r w:rsidRPr="00316E20">
              <w:rPr>
                <w:bCs/>
                <w:szCs w:val="24"/>
                <w:lang w:eastAsia="zh-CN"/>
              </w:rPr>
              <w:t xml:space="preserve"> – </w:t>
            </w:r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为建设包容性信息社会而保护和加强互联网的多语文特性</w:t>
            </w:r>
          </w:p>
          <w:p w14:paraId="55889EDB" w14:textId="1D7516CA" w:rsidR="00AD03F3" w:rsidRPr="00316E20" w:rsidRDefault="00BD249E" w:rsidP="00BD249E">
            <w:pPr>
              <w:pStyle w:val="ListParagraph"/>
              <w:numPr>
                <w:ilvl w:val="0"/>
                <w:numId w:val="9"/>
              </w:numPr>
              <w:spacing w:after="120"/>
              <w:rPr>
                <w:bCs/>
                <w:szCs w:val="24"/>
                <w:lang w:eastAsia="zh-CN"/>
              </w:rPr>
            </w:pPr>
            <w:r w:rsidRPr="00316E20">
              <w:rPr>
                <w:rFonts w:hint="eastAsia"/>
                <w:b/>
                <w:szCs w:val="24"/>
                <w:lang w:eastAsia="zh-CN"/>
              </w:rPr>
              <w:t>第</w:t>
            </w:r>
            <w:r w:rsidRPr="00316E20">
              <w:rPr>
                <w:b/>
                <w:szCs w:val="24"/>
                <w:lang w:eastAsia="zh-CN"/>
              </w:rPr>
              <w:t>86</w:t>
            </w:r>
            <w:r w:rsidRPr="00316E20">
              <w:rPr>
                <w:rFonts w:hint="eastAsia"/>
                <w:b/>
                <w:szCs w:val="24"/>
                <w:lang w:eastAsia="zh-CN"/>
              </w:rPr>
              <w:t>号决议</w:t>
            </w:r>
            <w:r w:rsidRPr="00316E20">
              <w:rPr>
                <w:bCs/>
                <w:szCs w:val="24"/>
                <w:lang w:eastAsia="zh-CN"/>
              </w:rPr>
              <w:t xml:space="preserve"> – </w:t>
            </w:r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国际电</w:t>
            </w:r>
            <w:proofErr w:type="gramStart"/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联电信</w:t>
            </w:r>
            <w:proofErr w:type="gramEnd"/>
            <w:r w:rsidRPr="00316E20">
              <w:rPr>
                <w:rFonts w:ascii="STKaiti" w:eastAsia="STKaiti" w:hAnsi="STKaiti" w:hint="eastAsia"/>
                <w:bCs/>
                <w:szCs w:val="24"/>
                <w:lang w:eastAsia="zh-CN"/>
              </w:rPr>
              <w:t>发展部门在同等地位上使用国际电联的各种语文</w:t>
            </w:r>
            <w:r w:rsidR="00AD03F3" w:rsidRPr="00316E20">
              <w:rPr>
                <w:rFonts w:ascii="STKaiti" w:eastAsia="STKaiti" w:hAnsi="STKaiti" w:cs="Calibri"/>
                <w:b/>
                <w:bCs/>
                <w:i/>
                <w:iCs/>
                <w:color w:val="800000"/>
                <w:sz w:val="22"/>
                <w:szCs w:val="24"/>
                <w:lang w:eastAsia="zh-CN"/>
              </w:rPr>
              <w:t xml:space="preserve"> </w:t>
            </w:r>
          </w:p>
        </w:tc>
      </w:tr>
      <w:tr w:rsidR="00AD03F3" w14:paraId="6A24304D" w14:textId="77777777" w:rsidTr="00D03D5A">
        <w:tc>
          <w:tcPr>
            <w:tcW w:w="9629" w:type="dxa"/>
            <w:tcBorders>
              <w:left w:val="nil"/>
              <w:right w:val="nil"/>
            </w:tcBorders>
          </w:tcPr>
          <w:p w14:paraId="2A35B9C3" w14:textId="77777777" w:rsidR="00AD03F3" w:rsidRDefault="00AD03F3" w:rsidP="00D03D5A">
            <w:pPr>
              <w:spacing w:after="120"/>
              <w:rPr>
                <w:bCs/>
                <w:szCs w:val="24"/>
                <w:lang w:eastAsia="zh-CN"/>
              </w:rPr>
            </w:pPr>
          </w:p>
        </w:tc>
      </w:tr>
      <w:tr w:rsidR="00AD03F3" w14:paraId="703D3C9A" w14:textId="77777777" w:rsidTr="00D03D5A">
        <w:tc>
          <w:tcPr>
            <w:tcW w:w="9629" w:type="dxa"/>
            <w:shd w:val="clear" w:color="auto" w:fill="B8CCE4" w:themeFill="accent1" w:themeFillTint="66"/>
          </w:tcPr>
          <w:p w14:paraId="095DD83C" w14:textId="22CF0586" w:rsidR="00AD03F3" w:rsidRPr="00E64CF3" w:rsidRDefault="00447B77" w:rsidP="00D03D5A">
            <w:pPr>
              <w:spacing w:after="120"/>
              <w:rPr>
                <w:bCs/>
                <w:szCs w:val="24"/>
                <w:highlight w:val="yellow"/>
                <w:lang w:eastAsia="zh-CN"/>
              </w:rPr>
            </w:pPr>
            <w:r w:rsidRPr="00447B77">
              <w:rPr>
                <w:rFonts w:hint="eastAsia"/>
                <w:b/>
                <w:bCs/>
                <w:sz w:val="28"/>
                <w:szCs w:val="28"/>
                <w:lang w:eastAsia="zh-CN"/>
              </w:rPr>
              <w:t>全体会议工作组：</w:t>
            </w:r>
            <w:r w:rsidRPr="00447B77">
              <w:rPr>
                <w:rFonts w:hint="eastAsia"/>
                <w:b/>
                <w:bCs/>
                <w:sz w:val="28"/>
                <w:szCs w:val="28"/>
                <w:lang w:eastAsia="zh-CN"/>
              </w:rPr>
              <w:t>ITU-D</w:t>
            </w:r>
            <w:r w:rsidRPr="00447B77">
              <w:rPr>
                <w:rFonts w:hint="eastAsia"/>
                <w:b/>
                <w:bCs/>
                <w:sz w:val="28"/>
                <w:szCs w:val="28"/>
                <w:lang w:eastAsia="zh-CN"/>
              </w:rPr>
              <w:t>向国际电联</w:t>
            </w:r>
            <w:r w:rsidRPr="00447B77">
              <w:rPr>
                <w:rFonts w:hint="eastAsia"/>
                <w:b/>
                <w:bCs/>
                <w:sz w:val="28"/>
                <w:szCs w:val="28"/>
                <w:lang w:eastAsia="zh-CN"/>
              </w:rPr>
              <w:t>2024-2027</w:t>
            </w:r>
            <w:r w:rsidRPr="00447B77"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年战略规划提交的输入内容及</w:t>
            </w:r>
            <w:r w:rsidRPr="00447B77">
              <w:rPr>
                <w:rFonts w:hint="eastAsia"/>
                <w:b/>
                <w:bCs/>
                <w:sz w:val="28"/>
                <w:szCs w:val="28"/>
                <w:lang w:eastAsia="zh-CN"/>
              </w:rPr>
              <w:t>WTDC</w:t>
            </w:r>
            <w:r w:rsidRPr="00447B77">
              <w:rPr>
                <w:rFonts w:hint="eastAsia"/>
                <w:b/>
                <w:bCs/>
                <w:sz w:val="28"/>
                <w:szCs w:val="28"/>
                <w:lang w:eastAsia="zh-CN"/>
              </w:rPr>
              <w:t>宣言</w:t>
            </w:r>
          </w:p>
        </w:tc>
      </w:tr>
      <w:tr w:rsidR="00AD03F3" w14:paraId="69835AA0" w14:textId="77777777" w:rsidTr="00D03D5A">
        <w:tc>
          <w:tcPr>
            <w:tcW w:w="9629" w:type="dxa"/>
          </w:tcPr>
          <w:p w14:paraId="784AD2BB" w14:textId="425A2F5E" w:rsidR="00AD03F3" w:rsidRPr="00A33839" w:rsidRDefault="00447B77" w:rsidP="00D03D5A">
            <w:pPr>
              <w:spacing w:after="120"/>
              <w:rPr>
                <w:rFonts w:ascii="Calibri" w:hAnsi="Calibri" w:cs="Calibri"/>
                <w:b/>
                <w:bCs/>
                <w:color w:val="800000"/>
                <w:sz w:val="22"/>
                <w:lang w:eastAsia="zh-CN"/>
              </w:rPr>
            </w:pPr>
            <w:r w:rsidRPr="00A33839">
              <w:rPr>
                <w:rFonts w:cstheme="minorHAnsi"/>
                <w:b/>
                <w:bCs/>
                <w:lang w:eastAsia="zh-CN"/>
              </w:rPr>
              <w:t>职责范围：</w:t>
            </w:r>
            <w:r w:rsidRPr="00A33839">
              <w:rPr>
                <w:rFonts w:cstheme="minorHAnsi"/>
                <w:lang w:eastAsia="zh-CN"/>
              </w:rPr>
              <w:t>起草</w:t>
            </w:r>
            <w:r w:rsidRPr="00A33839">
              <w:rPr>
                <w:rFonts w:cstheme="minorHAnsi"/>
                <w:lang w:eastAsia="zh-CN"/>
              </w:rPr>
              <w:t>WTDC</w:t>
            </w:r>
            <w:r w:rsidRPr="00A33839">
              <w:rPr>
                <w:rFonts w:cstheme="minorHAnsi"/>
                <w:lang w:eastAsia="zh-CN"/>
              </w:rPr>
              <w:t>宣言草案和</w:t>
            </w:r>
            <w:r w:rsidRPr="00A33839">
              <w:rPr>
                <w:rFonts w:cstheme="minorHAnsi"/>
                <w:lang w:eastAsia="zh-CN"/>
              </w:rPr>
              <w:t>ITU-D</w:t>
            </w:r>
            <w:r w:rsidRPr="00A33839">
              <w:rPr>
                <w:rFonts w:cstheme="minorHAnsi"/>
                <w:lang w:eastAsia="zh-CN"/>
              </w:rPr>
              <w:t>部门提交国际电联战略规划的输入内容，后者有待下届全权代表大会通过。</w:t>
            </w:r>
          </w:p>
        </w:tc>
      </w:tr>
      <w:tr w:rsidR="00AD03F3" w14:paraId="1AEEA7E1" w14:textId="77777777" w:rsidTr="00D03D5A">
        <w:tc>
          <w:tcPr>
            <w:tcW w:w="9629" w:type="dxa"/>
          </w:tcPr>
          <w:p w14:paraId="6F388E5A" w14:textId="63FBE751" w:rsidR="00AD03F3" w:rsidRPr="00A33839" w:rsidRDefault="00C920CB" w:rsidP="00AD03F3">
            <w:pPr>
              <w:pStyle w:val="ListParagraph"/>
              <w:numPr>
                <w:ilvl w:val="0"/>
                <w:numId w:val="8"/>
              </w:numPr>
              <w:spacing w:after="120"/>
              <w:rPr>
                <w:b/>
                <w:szCs w:val="24"/>
              </w:rPr>
            </w:pPr>
            <w:r w:rsidRPr="00A33839">
              <w:rPr>
                <w:rFonts w:hint="eastAsia"/>
                <w:b/>
                <w:szCs w:val="24"/>
              </w:rPr>
              <w:t>WTDC</w:t>
            </w:r>
            <w:proofErr w:type="spellStart"/>
            <w:r w:rsidRPr="00A33839">
              <w:rPr>
                <w:rFonts w:hint="eastAsia"/>
                <w:b/>
                <w:szCs w:val="24"/>
              </w:rPr>
              <w:t>宣言</w:t>
            </w:r>
            <w:proofErr w:type="spellEnd"/>
          </w:p>
          <w:p w14:paraId="67BA17EA" w14:textId="3685EF87" w:rsidR="00AD03F3" w:rsidRPr="00A33839" w:rsidRDefault="00006A87" w:rsidP="00AD03F3">
            <w:pPr>
              <w:pStyle w:val="ListParagraph"/>
              <w:numPr>
                <w:ilvl w:val="0"/>
                <w:numId w:val="8"/>
              </w:numPr>
              <w:spacing w:after="120"/>
              <w:rPr>
                <w:b/>
                <w:szCs w:val="24"/>
                <w:lang w:eastAsia="zh-CN"/>
              </w:rPr>
            </w:pPr>
            <w:r w:rsidRPr="00A33839">
              <w:rPr>
                <w:rFonts w:hint="eastAsia"/>
                <w:b/>
                <w:szCs w:val="24"/>
                <w:lang w:eastAsia="zh-CN"/>
              </w:rPr>
              <w:t>ITU-D</w:t>
            </w:r>
            <w:r w:rsidRPr="00A33839">
              <w:rPr>
                <w:rFonts w:hint="eastAsia"/>
                <w:b/>
                <w:szCs w:val="24"/>
                <w:lang w:eastAsia="zh-CN"/>
              </w:rPr>
              <w:t>为国际电联《战略规划》提供的输入内容</w:t>
            </w:r>
          </w:p>
          <w:p w14:paraId="69346AB6" w14:textId="4B42CCAF" w:rsidR="00AD03F3" w:rsidRPr="00A33839" w:rsidRDefault="00F523FE" w:rsidP="00F523FE">
            <w:pPr>
              <w:pStyle w:val="ListParagraph"/>
              <w:numPr>
                <w:ilvl w:val="0"/>
                <w:numId w:val="8"/>
              </w:numPr>
              <w:spacing w:after="120"/>
              <w:rPr>
                <w:bCs/>
                <w:szCs w:val="24"/>
                <w:lang w:eastAsia="zh-CN"/>
              </w:rPr>
            </w:pPr>
            <w:r w:rsidRPr="00A33839">
              <w:rPr>
                <w:rFonts w:hint="eastAsia"/>
                <w:b/>
                <w:szCs w:val="24"/>
                <w:lang w:eastAsia="zh-CN"/>
              </w:rPr>
              <w:t>第</w:t>
            </w:r>
            <w:r w:rsidRPr="00A33839">
              <w:rPr>
                <w:b/>
                <w:szCs w:val="24"/>
                <w:lang w:eastAsia="zh-CN"/>
              </w:rPr>
              <w:t>30</w:t>
            </w:r>
            <w:r w:rsidRPr="00A33839">
              <w:rPr>
                <w:rFonts w:hint="eastAsia"/>
                <w:b/>
                <w:szCs w:val="24"/>
                <w:lang w:eastAsia="zh-CN"/>
              </w:rPr>
              <w:t>号决议</w:t>
            </w:r>
            <w:r w:rsidRPr="00A33839">
              <w:rPr>
                <w:bCs/>
                <w:szCs w:val="24"/>
                <w:lang w:eastAsia="zh-CN"/>
              </w:rPr>
              <w:t xml:space="preserve"> – </w:t>
            </w:r>
            <w:r w:rsidRPr="00A33839">
              <w:rPr>
                <w:rFonts w:ascii="STKaiti" w:eastAsia="STKaiti" w:hAnsi="STKaiti" w:cs="Calibri" w:hint="eastAsia"/>
                <w:sz w:val="22"/>
                <w:szCs w:val="24"/>
                <w:lang w:eastAsia="zh-CN"/>
              </w:rPr>
              <w:t>国际电</w:t>
            </w:r>
            <w:proofErr w:type="gramStart"/>
            <w:r w:rsidRPr="00A33839">
              <w:rPr>
                <w:rFonts w:ascii="STKaiti" w:eastAsia="STKaiti" w:hAnsi="STKaiti" w:cs="Calibri" w:hint="eastAsia"/>
                <w:sz w:val="22"/>
                <w:szCs w:val="24"/>
                <w:lang w:eastAsia="zh-CN"/>
              </w:rPr>
              <w:t>联电信</w:t>
            </w:r>
            <w:proofErr w:type="gramEnd"/>
            <w:r w:rsidRPr="00A33839">
              <w:rPr>
                <w:rFonts w:ascii="STKaiti" w:eastAsia="STKaiti" w:hAnsi="STKaiti" w:cs="Calibri" w:hint="eastAsia"/>
                <w:sz w:val="22"/>
                <w:szCs w:val="24"/>
                <w:lang w:eastAsia="zh-CN"/>
              </w:rPr>
              <w:t>发展部门在落实信息社会世界高峰会议各项成果方面的作用，同时顾及《2030年可持续发展议程》</w:t>
            </w:r>
          </w:p>
        </w:tc>
      </w:tr>
    </w:tbl>
    <w:p w14:paraId="50AB1B75" w14:textId="77777777" w:rsidR="00AD03F3" w:rsidRDefault="00AD03F3" w:rsidP="00AD03F3">
      <w:pPr>
        <w:spacing w:after="120"/>
        <w:rPr>
          <w:lang w:eastAsia="zh-CN"/>
        </w:rPr>
      </w:pPr>
    </w:p>
    <w:p w14:paraId="357F3EBB" w14:textId="77777777" w:rsidR="0034178A" w:rsidRPr="0084734D" w:rsidRDefault="0034178A" w:rsidP="0034178A">
      <w:pPr>
        <w:jc w:val="center"/>
        <w:rPr>
          <w:szCs w:val="24"/>
        </w:rPr>
      </w:pPr>
      <w:r>
        <w:rPr>
          <w:szCs w:val="24"/>
        </w:rPr>
        <w:t>_______________</w:t>
      </w:r>
    </w:p>
    <w:p w14:paraId="7572B8B5" w14:textId="27910F9F" w:rsidR="00D83BF5" w:rsidRPr="00731B81" w:rsidRDefault="00D83BF5" w:rsidP="0034178A">
      <w:pPr>
        <w:keepNext/>
        <w:widowControl w:val="0"/>
        <w:spacing w:after="120"/>
        <w:rPr>
          <w:rFonts w:eastAsia="Times New Roman" w:cstheme="minorHAnsi"/>
          <w:szCs w:val="24"/>
        </w:rPr>
      </w:pPr>
    </w:p>
    <w:sectPr w:rsidR="00D83BF5" w:rsidRPr="00731B81" w:rsidSect="00674952"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94F20" w14:textId="77777777" w:rsidR="00B9019D" w:rsidRDefault="00B9019D">
      <w:r>
        <w:separator/>
      </w:r>
    </w:p>
  </w:endnote>
  <w:endnote w:type="continuationSeparator" w:id="0">
    <w:p w14:paraId="1B711017" w14:textId="77777777" w:rsidR="00B9019D" w:rsidRDefault="00B9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526C2E" w:rsidRDefault="00526C2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1D419DBF" w:rsidR="00526C2E" w:rsidRPr="0041348E" w:rsidRDefault="00526C2E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378ED">
      <w:rPr>
        <w:noProof/>
        <w:lang w:val="en-US"/>
      </w:rPr>
      <w:t>/Users/xiaoming/Desktop/itu/202201-04/itu-d/irm/069/069C.docx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2C89">
      <w:rPr>
        <w:noProof/>
      </w:rPr>
      <w:t>07.03.22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378ED">
      <w:rPr>
        <w:noProof/>
      </w:rPr>
      <w:t>06.03.22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8E940" w14:textId="31DB9B3A" w:rsidR="00526C2E" w:rsidRDefault="00EB27FB" w:rsidP="00E26850">
    <w:pPr>
      <w:pStyle w:val="Footer"/>
    </w:pPr>
    <w:fldSimple w:instr=" FILENAME \p  \* MERGEFORMAT ">
      <w:r>
        <w:t>P:\CHI\ITU-D\CONF-D\IRM21\000\069C.docx</w:t>
      </w:r>
    </w:fldSimple>
    <w:r w:rsidR="00E26850">
      <w:t xml:space="preserve"> </w:t>
    </w:r>
    <w:r w:rsidR="00526C2E">
      <w:t>(</w:t>
    </w:r>
    <w:r w:rsidR="00461103">
      <w:rPr>
        <w:lang w:eastAsia="zh-CN"/>
      </w:rPr>
      <w:t>502288</w:t>
    </w:r>
    <w:r w:rsidR="00526C2E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9C2537" w:rsidRPr="00B07FFD" w14:paraId="14F3BEC1" w14:textId="77777777" w:rsidTr="0034178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3831A4A6" w14:textId="586AF2A2" w:rsidR="009C2537" w:rsidRPr="009C2537" w:rsidRDefault="009C2537" w:rsidP="009C253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9C2537">
            <w:rPr>
              <w:rFonts w:ascii="SimSun" w:hAnsi="SimSun" w:cs="Microsoft JhengHei" w:hint="eastAsia"/>
              <w:sz w:val="18"/>
              <w:szCs w:val="18"/>
              <w:lang w:val="en-US"/>
            </w:rPr>
            <w:t>联系人</w:t>
          </w:r>
          <w:proofErr w:type="spellEnd"/>
          <w:r w:rsidRPr="009C2537">
            <w:rPr>
              <w:rFonts w:ascii="SimSun" w:hAnsi="SimSun" w:cs="Microsoft JhengHei" w:hint="eastAsia"/>
              <w:sz w:val="18"/>
              <w:szCs w:val="18"/>
              <w:lang w:val="en-US"/>
            </w:rPr>
            <w:t>：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63864B85" w14:textId="6803459C" w:rsidR="009C2537" w:rsidRPr="009C2537" w:rsidRDefault="009C2537" w:rsidP="009C253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9C2537">
            <w:rPr>
              <w:rFonts w:ascii="SimSun" w:hAnsi="SimSun" w:cs="MS Mincho" w:hint="eastAsia"/>
              <w:sz w:val="18"/>
              <w:szCs w:val="18"/>
            </w:rPr>
            <w:t>姓名</w:t>
          </w:r>
          <w:proofErr w:type="spellEnd"/>
          <w:r w:rsidRPr="009C2537">
            <w:rPr>
              <w:rFonts w:ascii="SimSun" w:hAnsi="SimSun"/>
              <w:sz w:val="18"/>
              <w:szCs w:val="18"/>
            </w:rPr>
            <w:t>/</w:t>
          </w:r>
          <w:proofErr w:type="spellStart"/>
          <w:r w:rsidRPr="009C2537">
            <w:rPr>
              <w:rFonts w:ascii="SimSun" w:hAnsi="SimSun" w:cs="SimSun" w:hint="eastAsia"/>
              <w:sz w:val="18"/>
              <w:szCs w:val="18"/>
            </w:rPr>
            <w:t>组织</w:t>
          </w:r>
          <w:proofErr w:type="spellEnd"/>
          <w:r w:rsidRPr="009C2537">
            <w:rPr>
              <w:rFonts w:ascii="SimSun" w:hAnsi="SimSun"/>
              <w:sz w:val="18"/>
              <w:szCs w:val="18"/>
            </w:rPr>
            <w:t>/</w:t>
          </w:r>
          <w:proofErr w:type="spellStart"/>
          <w:r w:rsidRPr="009C2537">
            <w:rPr>
              <w:rFonts w:ascii="SimSun" w:hAnsi="SimSun" w:cs="SimSun" w:hint="eastAsia"/>
              <w:sz w:val="18"/>
              <w:szCs w:val="18"/>
            </w:rPr>
            <w:t>实体</w:t>
          </w:r>
          <w:proofErr w:type="spellEnd"/>
          <w:r w:rsidRPr="009C2537">
            <w:rPr>
              <w:rFonts w:ascii="SimSun" w:hAnsi="SimSun" w:cs="SimSun" w:hint="eastAsia"/>
              <w:sz w:val="18"/>
              <w:szCs w:val="18"/>
            </w:rPr>
            <w:t>：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320C17A4" w14:textId="4A53365C" w:rsidR="009C2537" w:rsidRPr="00B07FFD" w:rsidRDefault="00024B9E" w:rsidP="009C253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eastAsia="zh-CN"/>
            </w:rPr>
            <w:t>电信发展局</w:t>
          </w:r>
          <w:r w:rsidR="0008180E" w:rsidRPr="0008180E">
            <w:rPr>
              <w:rFonts w:hint="eastAsia"/>
              <w:sz w:val="18"/>
              <w:szCs w:val="18"/>
              <w:lang w:eastAsia="zh-CN"/>
            </w:rPr>
            <w:t>副主任</w:t>
          </w:r>
          <w:r w:rsidR="0008180E">
            <w:rPr>
              <w:sz w:val="18"/>
              <w:szCs w:val="18"/>
              <w:lang w:val="en-US"/>
            </w:rPr>
            <w:t>Stephen Bereaux</w:t>
          </w:r>
          <w:r w:rsidR="0008180E"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</w:tr>
    <w:tr w:rsidR="009C2537" w:rsidRPr="00B07FFD" w14:paraId="44D17474" w14:textId="77777777" w:rsidTr="0034178A">
      <w:tc>
        <w:tcPr>
          <w:tcW w:w="1432" w:type="dxa"/>
          <w:shd w:val="clear" w:color="auto" w:fill="auto"/>
        </w:tcPr>
        <w:p w14:paraId="65E9B339" w14:textId="77777777" w:rsidR="009C2537" w:rsidRPr="009C2537" w:rsidRDefault="009C2537" w:rsidP="009C253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518D8BFD" w14:textId="6B2D86CE" w:rsidR="009C2537" w:rsidRPr="009C2537" w:rsidRDefault="009C2537" w:rsidP="009C253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9C2537">
            <w:rPr>
              <w:rFonts w:ascii="SimSun" w:hAnsi="SimSun" w:cs="SimSun" w:hint="eastAsia"/>
              <w:sz w:val="18"/>
              <w:szCs w:val="18"/>
            </w:rPr>
            <w:t>电话号码</w:t>
          </w:r>
          <w:proofErr w:type="spellEnd"/>
          <w:r w:rsidRPr="009C2537">
            <w:rPr>
              <w:rFonts w:ascii="SimSun" w:hAnsi="SimSun" w:cs="SimSun" w:hint="eastAsia"/>
              <w:sz w:val="18"/>
              <w:szCs w:val="18"/>
            </w:rPr>
            <w:t>：</w:t>
          </w:r>
        </w:p>
      </w:tc>
      <w:tc>
        <w:tcPr>
          <w:tcW w:w="5959" w:type="dxa"/>
        </w:tcPr>
        <w:p w14:paraId="3E405389" w14:textId="29CDB127" w:rsidR="009C2537" w:rsidRPr="00B07FFD" w:rsidRDefault="009C2537" w:rsidP="009C253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</w:tr>
    <w:tr w:rsidR="009C2537" w14:paraId="27D94BCD" w14:textId="77777777" w:rsidTr="0034178A">
      <w:tc>
        <w:tcPr>
          <w:tcW w:w="1432" w:type="dxa"/>
          <w:shd w:val="clear" w:color="auto" w:fill="auto"/>
        </w:tcPr>
        <w:p w14:paraId="326D5D22" w14:textId="77777777" w:rsidR="009C2537" w:rsidRPr="009C2537" w:rsidRDefault="009C2537" w:rsidP="009C253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289AB6C6" w14:textId="3929515D" w:rsidR="009C2537" w:rsidRPr="009C2537" w:rsidRDefault="009C2537" w:rsidP="009C253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9C2537">
            <w:rPr>
              <w:rFonts w:ascii="SimSun" w:hAnsi="SimSun" w:cs="SimSun" w:hint="eastAsia"/>
              <w:sz w:val="18"/>
              <w:szCs w:val="18"/>
            </w:rPr>
            <w:t>电子邮件</w:t>
          </w:r>
          <w:proofErr w:type="spellEnd"/>
          <w:r w:rsidRPr="009C2537">
            <w:rPr>
              <w:rFonts w:ascii="SimSun" w:hAnsi="SimSun" w:cs="SimSun" w:hint="eastAsia"/>
              <w:sz w:val="18"/>
              <w:szCs w:val="18"/>
            </w:rPr>
            <w:t>：</w:t>
          </w:r>
        </w:p>
      </w:tc>
      <w:tc>
        <w:tcPr>
          <w:tcW w:w="5959" w:type="dxa"/>
        </w:tcPr>
        <w:p w14:paraId="5262801A" w14:textId="3D4B876A" w:rsidR="009C2537" w:rsidRPr="00B07FFD" w:rsidRDefault="00BC2C89" w:rsidP="009C253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9C2537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9C2537" w:rsidRPr="00D934D7">
            <w:rPr>
              <w:sz w:val="18"/>
              <w:szCs w:val="22"/>
            </w:rPr>
            <w:t xml:space="preserve"> </w:t>
          </w:r>
        </w:p>
      </w:tc>
    </w:tr>
  </w:tbl>
  <w:p w14:paraId="65715F79" w14:textId="38BAFFB3" w:rsidR="00526C2E" w:rsidRPr="0040448A" w:rsidRDefault="00526C2E" w:rsidP="00404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5C702" w14:textId="77777777" w:rsidR="00B9019D" w:rsidRDefault="00B9019D">
      <w:r>
        <w:rPr>
          <w:b/>
        </w:rPr>
        <w:t>_______________</w:t>
      </w:r>
    </w:p>
  </w:footnote>
  <w:footnote w:type="continuationSeparator" w:id="0">
    <w:p w14:paraId="148CFD1D" w14:textId="77777777" w:rsidR="00B9019D" w:rsidRDefault="00B90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465B71EC" w:rsidR="00526C2E" w:rsidRPr="00ED4EA8" w:rsidRDefault="00526C2E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18"/>
        <w:szCs w:val="18"/>
        <w:lang w:val="es-ES_tradnl"/>
      </w:rPr>
    </w:pPr>
    <w:r w:rsidRPr="00D40509">
      <w:rPr>
        <w:sz w:val="28"/>
        <w:szCs w:val="28"/>
      </w:rPr>
      <w:tab/>
    </w:r>
    <w:r>
      <w:rPr>
        <w:sz w:val="18"/>
        <w:szCs w:val="18"/>
        <w:lang w:val="es-ES_tradnl"/>
      </w:rPr>
      <w:t>ITU-D/IRM21-</w:t>
    </w:r>
    <w:r w:rsidR="00DA5FD9">
      <w:rPr>
        <w:sz w:val="18"/>
        <w:szCs w:val="18"/>
        <w:lang w:val="es-ES_tradnl"/>
      </w:rPr>
      <w:t>3</w:t>
    </w:r>
    <w:r>
      <w:rPr>
        <w:sz w:val="18"/>
        <w:szCs w:val="18"/>
        <w:lang w:val="es-ES_tradnl"/>
      </w:rPr>
      <w:t>/6</w:t>
    </w:r>
    <w:r w:rsidR="00DA5FD9">
      <w:rPr>
        <w:sz w:val="18"/>
        <w:szCs w:val="18"/>
        <w:lang w:val="es-ES_tradnl"/>
      </w:rPr>
      <w:t>9</w:t>
    </w:r>
    <w:r>
      <w:rPr>
        <w:sz w:val="18"/>
        <w:szCs w:val="18"/>
        <w:lang w:val="es-ES_tradnl"/>
      </w:rPr>
      <w:t>-C</w:t>
    </w:r>
    <w:r w:rsidRPr="00ED4EA8">
      <w:rPr>
        <w:sz w:val="18"/>
        <w:szCs w:val="18"/>
        <w:lang w:val="es-ES_tradnl"/>
      </w:rPr>
      <w:tab/>
    </w:r>
    <w:r w:rsidRPr="00ED4EA8">
      <w:rPr>
        <w:sz w:val="18"/>
        <w:szCs w:val="18"/>
      </w:rPr>
      <w:fldChar w:fldCharType="begin"/>
    </w:r>
    <w:r w:rsidRPr="00ED4EA8">
      <w:rPr>
        <w:sz w:val="18"/>
        <w:szCs w:val="18"/>
        <w:lang w:val="es-ES_tradnl"/>
      </w:rPr>
      <w:instrText xml:space="preserve"> PAGE </w:instrText>
    </w:r>
    <w:r w:rsidRPr="00ED4EA8">
      <w:rPr>
        <w:sz w:val="18"/>
        <w:szCs w:val="18"/>
      </w:rPr>
      <w:fldChar w:fldCharType="separate"/>
    </w:r>
    <w:r w:rsidR="00E26850">
      <w:rPr>
        <w:noProof/>
        <w:sz w:val="18"/>
        <w:szCs w:val="18"/>
        <w:lang w:val="es-ES_tradnl"/>
      </w:rPr>
      <w:t>3</w:t>
    </w:r>
    <w:r w:rsidRPr="00ED4EA8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E809A0"/>
    <w:multiLevelType w:val="hybridMultilevel"/>
    <w:tmpl w:val="C45A67EE"/>
    <w:lvl w:ilvl="0" w:tplc="6D247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B68890" w:tentative="1">
      <w:start w:val="1"/>
      <w:numFmt w:val="lowerLetter"/>
      <w:lvlText w:val="%2."/>
      <w:lvlJc w:val="left"/>
      <w:pPr>
        <w:ind w:left="1440" w:hanging="360"/>
      </w:pPr>
    </w:lvl>
    <w:lvl w:ilvl="2" w:tplc="6F823A82" w:tentative="1">
      <w:start w:val="1"/>
      <w:numFmt w:val="lowerRoman"/>
      <w:lvlText w:val="%3."/>
      <w:lvlJc w:val="right"/>
      <w:pPr>
        <w:ind w:left="2160" w:hanging="180"/>
      </w:pPr>
    </w:lvl>
    <w:lvl w:ilvl="3" w:tplc="0EF29A50" w:tentative="1">
      <w:start w:val="1"/>
      <w:numFmt w:val="decimal"/>
      <w:lvlText w:val="%4."/>
      <w:lvlJc w:val="left"/>
      <w:pPr>
        <w:ind w:left="2880" w:hanging="360"/>
      </w:pPr>
    </w:lvl>
    <w:lvl w:ilvl="4" w:tplc="795C2316" w:tentative="1">
      <w:start w:val="1"/>
      <w:numFmt w:val="lowerLetter"/>
      <w:lvlText w:val="%5."/>
      <w:lvlJc w:val="left"/>
      <w:pPr>
        <w:ind w:left="3600" w:hanging="360"/>
      </w:pPr>
    </w:lvl>
    <w:lvl w:ilvl="5" w:tplc="7D489AE0" w:tentative="1">
      <w:start w:val="1"/>
      <w:numFmt w:val="lowerRoman"/>
      <w:lvlText w:val="%6."/>
      <w:lvlJc w:val="right"/>
      <w:pPr>
        <w:ind w:left="4320" w:hanging="180"/>
      </w:pPr>
    </w:lvl>
    <w:lvl w:ilvl="6" w:tplc="1084D662" w:tentative="1">
      <w:start w:val="1"/>
      <w:numFmt w:val="decimal"/>
      <w:lvlText w:val="%7."/>
      <w:lvlJc w:val="left"/>
      <w:pPr>
        <w:ind w:left="5040" w:hanging="360"/>
      </w:pPr>
    </w:lvl>
    <w:lvl w:ilvl="7" w:tplc="EF645214" w:tentative="1">
      <w:start w:val="1"/>
      <w:numFmt w:val="lowerLetter"/>
      <w:lvlText w:val="%8."/>
      <w:lvlJc w:val="left"/>
      <w:pPr>
        <w:ind w:left="5760" w:hanging="360"/>
      </w:pPr>
    </w:lvl>
    <w:lvl w:ilvl="8" w:tplc="5192A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76E4D"/>
    <w:multiLevelType w:val="hybridMultilevel"/>
    <w:tmpl w:val="C270E9D0"/>
    <w:lvl w:ilvl="0" w:tplc="F0A0E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B4ADC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AAF4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58C6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1E35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DC03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8261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80D0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3E8D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F16A42"/>
    <w:multiLevelType w:val="hybridMultilevel"/>
    <w:tmpl w:val="7528F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D611E5"/>
    <w:multiLevelType w:val="hybridMultilevel"/>
    <w:tmpl w:val="53F08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A21BCA"/>
    <w:multiLevelType w:val="hybridMultilevel"/>
    <w:tmpl w:val="71821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zh-CN" w:vendorID="64" w:dllVersion="0" w:nlCheck="1" w:checkStyle="1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6A87"/>
    <w:rsid w:val="00022A29"/>
    <w:rsid w:val="00024B9E"/>
    <w:rsid w:val="000353A3"/>
    <w:rsid w:val="000355FD"/>
    <w:rsid w:val="00037CDA"/>
    <w:rsid w:val="00051E39"/>
    <w:rsid w:val="000606B7"/>
    <w:rsid w:val="00060860"/>
    <w:rsid w:val="00072F40"/>
    <w:rsid w:val="00073EF7"/>
    <w:rsid w:val="00075C63"/>
    <w:rsid w:val="00077239"/>
    <w:rsid w:val="0008180E"/>
    <w:rsid w:val="000822BE"/>
    <w:rsid w:val="00086491"/>
    <w:rsid w:val="00091346"/>
    <w:rsid w:val="00094910"/>
    <w:rsid w:val="000B0564"/>
    <w:rsid w:val="000B65FD"/>
    <w:rsid w:val="000C2C70"/>
    <w:rsid w:val="000D41C5"/>
    <w:rsid w:val="000D4CCE"/>
    <w:rsid w:val="000E4465"/>
    <w:rsid w:val="000F73FF"/>
    <w:rsid w:val="00114CF7"/>
    <w:rsid w:val="00117662"/>
    <w:rsid w:val="00123B68"/>
    <w:rsid w:val="00124A96"/>
    <w:rsid w:val="00126F2E"/>
    <w:rsid w:val="00146F6F"/>
    <w:rsid w:val="00152957"/>
    <w:rsid w:val="00152F2C"/>
    <w:rsid w:val="00154305"/>
    <w:rsid w:val="001879DF"/>
    <w:rsid w:val="00187BD9"/>
    <w:rsid w:val="00190B55"/>
    <w:rsid w:val="00194CFB"/>
    <w:rsid w:val="001A4B48"/>
    <w:rsid w:val="001B2ED3"/>
    <w:rsid w:val="001C3B5F"/>
    <w:rsid w:val="001C6B05"/>
    <w:rsid w:val="001D058F"/>
    <w:rsid w:val="001E3563"/>
    <w:rsid w:val="001E360E"/>
    <w:rsid w:val="002009EA"/>
    <w:rsid w:val="00202CA0"/>
    <w:rsid w:val="002154A6"/>
    <w:rsid w:val="002255B3"/>
    <w:rsid w:val="00233412"/>
    <w:rsid w:val="0023355D"/>
    <w:rsid w:val="002555F6"/>
    <w:rsid w:val="00271316"/>
    <w:rsid w:val="00283156"/>
    <w:rsid w:val="00293CEE"/>
    <w:rsid w:val="002B5063"/>
    <w:rsid w:val="002B74C2"/>
    <w:rsid w:val="002D58BE"/>
    <w:rsid w:val="003013EE"/>
    <w:rsid w:val="00302BBF"/>
    <w:rsid w:val="00316E20"/>
    <w:rsid w:val="0034178A"/>
    <w:rsid w:val="00367B6E"/>
    <w:rsid w:val="00377BD3"/>
    <w:rsid w:val="00384088"/>
    <w:rsid w:val="00385B1C"/>
    <w:rsid w:val="0039169B"/>
    <w:rsid w:val="00397A4B"/>
    <w:rsid w:val="003A14D8"/>
    <w:rsid w:val="003A7F8C"/>
    <w:rsid w:val="003B275A"/>
    <w:rsid w:val="003B3179"/>
    <w:rsid w:val="003B532E"/>
    <w:rsid w:val="003B6F14"/>
    <w:rsid w:val="003C1B00"/>
    <w:rsid w:val="003D0D54"/>
    <w:rsid w:val="003D0F8B"/>
    <w:rsid w:val="0040448A"/>
    <w:rsid w:val="00407866"/>
    <w:rsid w:val="004131D4"/>
    <w:rsid w:val="0041348E"/>
    <w:rsid w:val="004362A4"/>
    <w:rsid w:val="00444004"/>
    <w:rsid w:val="004464C0"/>
    <w:rsid w:val="00447308"/>
    <w:rsid w:val="00447B77"/>
    <w:rsid w:val="00461103"/>
    <w:rsid w:val="0047318D"/>
    <w:rsid w:val="004765FF"/>
    <w:rsid w:val="004810AA"/>
    <w:rsid w:val="00492075"/>
    <w:rsid w:val="004969AD"/>
    <w:rsid w:val="00496C58"/>
    <w:rsid w:val="0049716B"/>
    <w:rsid w:val="004B13CB"/>
    <w:rsid w:val="004B4C20"/>
    <w:rsid w:val="004B4FDF"/>
    <w:rsid w:val="004B5804"/>
    <w:rsid w:val="004C4DFD"/>
    <w:rsid w:val="004D5D5C"/>
    <w:rsid w:val="0050139F"/>
    <w:rsid w:val="005033D1"/>
    <w:rsid w:val="00506F4E"/>
    <w:rsid w:val="00521223"/>
    <w:rsid w:val="00524DC2"/>
    <w:rsid w:val="00526C2E"/>
    <w:rsid w:val="0055118B"/>
    <w:rsid w:val="0055140B"/>
    <w:rsid w:val="005538C4"/>
    <w:rsid w:val="00554EBE"/>
    <w:rsid w:val="00572432"/>
    <w:rsid w:val="0057286B"/>
    <w:rsid w:val="005771FA"/>
    <w:rsid w:val="005964AB"/>
    <w:rsid w:val="005C099A"/>
    <w:rsid w:val="005C0D17"/>
    <w:rsid w:val="005C31A5"/>
    <w:rsid w:val="005E0D47"/>
    <w:rsid w:val="005E10C9"/>
    <w:rsid w:val="005E61DD"/>
    <w:rsid w:val="005E6321"/>
    <w:rsid w:val="005F5C5A"/>
    <w:rsid w:val="006023DF"/>
    <w:rsid w:val="00610C89"/>
    <w:rsid w:val="00631371"/>
    <w:rsid w:val="00646179"/>
    <w:rsid w:val="00650DDD"/>
    <w:rsid w:val="00657DE0"/>
    <w:rsid w:val="00664A58"/>
    <w:rsid w:val="0067199F"/>
    <w:rsid w:val="00674952"/>
    <w:rsid w:val="00685313"/>
    <w:rsid w:val="00687800"/>
    <w:rsid w:val="006A6E9B"/>
    <w:rsid w:val="006B083F"/>
    <w:rsid w:val="006B7C2A"/>
    <w:rsid w:val="006C09BA"/>
    <w:rsid w:val="006C1EDB"/>
    <w:rsid w:val="006C23DA"/>
    <w:rsid w:val="006D3A31"/>
    <w:rsid w:val="006E3D45"/>
    <w:rsid w:val="00704C68"/>
    <w:rsid w:val="00705896"/>
    <w:rsid w:val="007146FC"/>
    <w:rsid w:val="007149F9"/>
    <w:rsid w:val="00715343"/>
    <w:rsid w:val="00724D31"/>
    <w:rsid w:val="00731B81"/>
    <w:rsid w:val="00732AC5"/>
    <w:rsid w:val="00733A30"/>
    <w:rsid w:val="00741480"/>
    <w:rsid w:val="00745AEE"/>
    <w:rsid w:val="007479EA"/>
    <w:rsid w:val="00750F10"/>
    <w:rsid w:val="00752788"/>
    <w:rsid w:val="00757D6C"/>
    <w:rsid w:val="00763CDB"/>
    <w:rsid w:val="007640C8"/>
    <w:rsid w:val="00764A38"/>
    <w:rsid w:val="007742CA"/>
    <w:rsid w:val="007D06F0"/>
    <w:rsid w:val="007D34EE"/>
    <w:rsid w:val="007D45E3"/>
    <w:rsid w:val="007D5320"/>
    <w:rsid w:val="00800972"/>
    <w:rsid w:val="00804475"/>
    <w:rsid w:val="00805712"/>
    <w:rsid w:val="008113E7"/>
    <w:rsid w:val="00811633"/>
    <w:rsid w:val="00821CEF"/>
    <w:rsid w:val="008246A2"/>
    <w:rsid w:val="00825E12"/>
    <w:rsid w:val="00832828"/>
    <w:rsid w:val="0083645A"/>
    <w:rsid w:val="00841301"/>
    <w:rsid w:val="0084562D"/>
    <w:rsid w:val="0084740B"/>
    <w:rsid w:val="00855DAF"/>
    <w:rsid w:val="008651C3"/>
    <w:rsid w:val="00872FC8"/>
    <w:rsid w:val="008801D3"/>
    <w:rsid w:val="00883526"/>
    <w:rsid w:val="008845D0"/>
    <w:rsid w:val="008975D0"/>
    <w:rsid w:val="008A33B9"/>
    <w:rsid w:val="008B43F2"/>
    <w:rsid w:val="008B6CFF"/>
    <w:rsid w:val="008B7AE2"/>
    <w:rsid w:val="008D28E0"/>
    <w:rsid w:val="008D7159"/>
    <w:rsid w:val="00910B26"/>
    <w:rsid w:val="00922B36"/>
    <w:rsid w:val="009274B4"/>
    <w:rsid w:val="00934EA2"/>
    <w:rsid w:val="00944A5C"/>
    <w:rsid w:val="00946CF6"/>
    <w:rsid w:val="009504EB"/>
    <w:rsid w:val="00952A66"/>
    <w:rsid w:val="009A35E2"/>
    <w:rsid w:val="009C0D29"/>
    <w:rsid w:val="009C2537"/>
    <w:rsid w:val="009C3018"/>
    <w:rsid w:val="009C56E5"/>
    <w:rsid w:val="009D0045"/>
    <w:rsid w:val="009E5FC8"/>
    <w:rsid w:val="009E687A"/>
    <w:rsid w:val="009F172D"/>
    <w:rsid w:val="00A03C5C"/>
    <w:rsid w:val="00A06082"/>
    <w:rsid w:val="00A066F1"/>
    <w:rsid w:val="00A141AF"/>
    <w:rsid w:val="00A16D29"/>
    <w:rsid w:val="00A20E5E"/>
    <w:rsid w:val="00A30305"/>
    <w:rsid w:val="00A31D2D"/>
    <w:rsid w:val="00A33839"/>
    <w:rsid w:val="00A33ECF"/>
    <w:rsid w:val="00A378ED"/>
    <w:rsid w:val="00A4600A"/>
    <w:rsid w:val="00A538A6"/>
    <w:rsid w:val="00A54053"/>
    <w:rsid w:val="00A54C25"/>
    <w:rsid w:val="00A645AE"/>
    <w:rsid w:val="00A6704B"/>
    <w:rsid w:val="00A710E7"/>
    <w:rsid w:val="00A7372E"/>
    <w:rsid w:val="00A80AEE"/>
    <w:rsid w:val="00A93B85"/>
    <w:rsid w:val="00A96DFE"/>
    <w:rsid w:val="00AA0B18"/>
    <w:rsid w:val="00AA2B39"/>
    <w:rsid w:val="00AA2C57"/>
    <w:rsid w:val="00AA666F"/>
    <w:rsid w:val="00AC6920"/>
    <w:rsid w:val="00AD03F3"/>
    <w:rsid w:val="00AD2943"/>
    <w:rsid w:val="00AE5FCE"/>
    <w:rsid w:val="00AF67C2"/>
    <w:rsid w:val="00B004E5"/>
    <w:rsid w:val="00B04012"/>
    <w:rsid w:val="00B2115E"/>
    <w:rsid w:val="00B42B05"/>
    <w:rsid w:val="00B55771"/>
    <w:rsid w:val="00B62BB3"/>
    <w:rsid w:val="00B639E9"/>
    <w:rsid w:val="00B7792C"/>
    <w:rsid w:val="00B779D5"/>
    <w:rsid w:val="00B817CD"/>
    <w:rsid w:val="00B85829"/>
    <w:rsid w:val="00B9019D"/>
    <w:rsid w:val="00BA65F3"/>
    <w:rsid w:val="00BB29C8"/>
    <w:rsid w:val="00BB3A95"/>
    <w:rsid w:val="00BB7A52"/>
    <w:rsid w:val="00BC2C89"/>
    <w:rsid w:val="00BD249E"/>
    <w:rsid w:val="00C0018F"/>
    <w:rsid w:val="00C20466"/>
    <w:rsid w:val="00C214ED"/>
    <w:rsid w:val="00C21A78"/>
    <w:rsid w:val="00C2277B"/>
    <w:rsid w:val="00C234E6"/>
    <w:rsid w:val="00C324A8"/>
    <w:rsid w:val="00C32678"/>
    <w:rsid w:val="00C358A0"/>
    <w:rsid w:val="00C401B0"/>
    <w:rsid w:val="00C42AEB"/>
    <w:rsid w:val="00C51849"/>
    <w:rsid w:val="00C54517"/>
    <w:rsid w:val="00C64B30"/>
    <w:rsid w:val="00C64CD8"/>
    <w:rsid w:val="00C90560"/>
    <w:rsid w:val="00C91ADA"/>
    <w:rsid w:val="00C920CB"/>
    <w:rsid w:val="00C97C68"/>
    <w:rsid w:val="00CA1A47"/>
    <w:rsid w:val="00CA1B95"/>
    <w:rsid w:val="00CC247A"/>
    <w:rsid w:val="00CD39D0"/>
    <w:rsid w:val="00CD3C02"/>
    <w:rsid w:val="00CE1DFD"/>
    <w:rsid w:val="00CE5E47"/>
    <w:rsid w:val="00CF020F"/>
    <w:rsid w:val="00CF2B5B"/>
    <w:rsid w:val="00D133FC"/>
    <w:rsid w:val="00D14CE0"/>
    <w:rsid w:val="00D178E3"/>
    <w:rsid w:val="00D24193"/>
    <w:rsid w:val="00D40509"/>
    <w:rsid w:val="00D5651D"/>
    <w:rsid w:val="00D74898"/>
    <w:rsid w:val="00D801ED"/>
    <w:rsid w:val="00D83BF5"/>
    <w:rsid w:val="00D925C2"/>
    <w:rsid w:val="00D936BC"/>
    <w:rsid w:val="00D96530"/>
    <w:rsid w:val="00D96B4B"/>
    <w:rsid w:val="00DA1A65"/>
    <w:rsid w:val="00DA5FD9"/>
    <w:rsid w:val="00DA7078"/>
    <w:rsid w:val="00DD08B4"/>
    <w:rsid w:val="00DD44AF"/>
    <w:rsid w:val="00DD5FCE"/>
    <w:rsid w:val="00DD76EF"/>
    <w:rsid w:val="00DE2AC3"/>
    <w:rsid w:val="00DE434C"/>
    <w:rsid w:val="00DE5692"/>
    <w:rsid w:val="00DF6F8E"/>
    <w:rsid w:val="00E03C94"/>
    <w:rsid w:val="00E07105"/>
    <w:rsid w:val="00E26226"/>
    <w:rsid w:val="00E26850"/>
    <w:rsid w:val="00E44964"/>
    <w:rsid w:val="00E45D05"/>
    <w:rsid w:val="00E55816"/>
    <w:rsid w:val="00E55AEF"/>
    <w:rsid w:val="00E603F3"/>
    <w:rsid w:val="00E76DBB"/>
    <w:rsid w:val="00E771C1"/>
    <w:rsid w:val="00E976C1"/>
    <w:rsid w:val="00EA12E5"/>
    <w:rsid w:val="00EA6D4A"/>
    <w:rsid w:val="00EB27FB"/>
    <w:rsid w:val="00EC000E"/>
    <w:rsid w:val="00ED4EA8"/>
    <w:rsid w:val="00ED4F34"/>
    <w:rsid w:val="00F02766"/>
    <w:rsid w:val="00F04067"/>
    <w:rsid w:val="00F05BD4"/>
    <w:rsid w:val="00F21A1D"/>
    <w:rsid w:val="00F21B90"/>
    <w:rsid w:val="00F243DA"/>
    <w:rsid w:val="00F523FE"/>
    <w:rsid w:val="00F614FD"/>
    <w:rsid w:val="00F65C19"/>
    <w:rsid w:val="00FA5915"/>
    <w:rsid w:val="00FB688A"/>
    <w:rsid w:val="00FC5940"/>
    <w:rsid w:val="00FD2546"/>
    <w:rsid w:val="00FD772E"/>
    <w:rsid w:val="00FE78C7"/>
    <w:rsid w:val="00FF1CB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Style 58,超????,超?级链,超级链接,超链接1,하이퍼링크2,하이퍼링크21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table" w:styleId="TableGrid">
    <w:name w:val="Table Grid"/>
    <w:basedOn w:val="TableNormal"/>
    <w:rsid w:val="0040448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yContin1">
    <w:name w:val="By  Contin 1"/>
    <w:basedOn w:val="Normal"/>
    <w:uiPriority w:val="99"/>
    <w:rsid w:val="0040448A"/>
    <w:pPr>
      <w:widowControl w:val="0"/>
      <w:tabs>
        <w:tab w:val="clear" w:pos="1134"/>
        <w:tab w:val="clear" w:pos="1871"/>
        <w:tab w:val="clear" w:pos="2268"/>
        <w:tab w:val="left" w:pos="2535"/>
      </w:tabs>
      <w:overflowPunct/>
      <w:spacing w:before="0"/>
      <w:textAlignment w:val="auto"/>
    </w:pPr>
    <w:rPr>
      <w:rFonts w:ascii="Courier New" w:eastAsiaTheme="minorEastAsia" w:hAnsi="Courier New" w:cs="Courier New"/>
      <w:szCs w:val="24"/>
      <w:lang w:val="en-US"/>
    </w:rPr>
  </w:style>
  <w:style w:type="character" w:styleId="Strong">
    <w:name w:val="Strong"/>
    <w:uiPriority w:val="22"/>
    <w:qFormat/>
    <w:rsid w:val="0040448A"/>
    <w:rPr>
      <w:b/>
      <w:bCs/>
    </w:rPr>
  </w:style>
  <w:style w:type="paragraph" w:customStyle="1" w:styleId="Default">
    <w:name w:val="Default"/>
    <w:rsid w:val="0040448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href">
    <w:name w:val="href"/>
    <w:basedOn w:val="DefaultParagraphFont"/>
    <w:qFormat/>
    <w:rsid w:val="00AD03F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view.officeapps.live.com/op/view.aspx?src=https%3A%2F%2Fwww.itu.int%2Fdms_pub%2Fitu-d%2Fmd%2F18%2Ftdag28%2Fc%2FD18-TDAG28-C-0017!!MSW-E.docx&amp;wdOrigin=BROWSELIN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meetingdoc.asp?lang=en&amp;parent=D18-TDAG28-C-0017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75846484-7235-4BB1-B696-A3C13616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1358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4</cp:revision>
  <cp:lastPrinted>2022-03-06T13:59:00Z</cp:lastPrinted>
  <dcterms:created xsi:type="dcterms:W3CDTF">2022-03-07T05:15:00Z</dcterms:created>
  <dcterms:modified xsi:type="dcterms:W3CDTF">2022-03-09T19:53:00Z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