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712D99" w:rsidRPr="00674952" w14:paraId="5C7B2F7B" w14:textId="77777777" w:rsidTr="00712D99">
        <w:trPr>
          <w:cantSplit/>
        </w:trPr>
        <w:tc>
          <w:tcPr>
            <w:tcW w:w="2127" w:type="dxa"/>
          </w:tcPr>
          <w:p w14:paraId="4829238F" w14:textId="36843F5A" w:rsidR="00712D99" w:rsidRPr="00A96DFE" w:rsidRDefault="00712D99" w:rsidP="00712D99">
            <w:pPr>
              <w:spacing w:before="120" w:after="120" w:line="240" w:lineRule="auto"/>
              <w:rPr>
                <w:rFonts w:cstheme="minorHAnsi"/>
                <w:b/>
                <w:bCs/>
                <w:sz w:val="32"/>
                <w:szCs w:val="32"/>
              </w:rPr>
            </w:pPr>
            <w:r>
              <w:rPr>
                <w:rFonts w:cstheme="minorHAnsi"/>
                <w:noProof/>
              </w:rPr>
              <w:drawing>
                <wp:inline distT="0" distB="0" distL="0" distR="0" wp14:anchorId="0A7F211C" wp14:editId="4A25F89A">
                  <wp:extent cx="1190625" cy="988139"/>
                  <wp:effectExtent l="0" t="0" r="0" b="254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2DBF0616" w:rsidR="00712D99" w:rsidRPr="00A96DFE" w:rsidRDefault="00712D99" w:rsidP="00712D99">
            <w:pPr>
              <w:spacing w:before="360" w:after="120" w:line="240" w:lineRule="auto"/>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67" w:type="dxa"/>
          </w:tcPr>
          <w:p w14:paraId="5AC897FA" w14:textId="3F262441" w:rsidR="00712D99" w:rsidRPr="00674952" w:rsidRDefault="00712D99" w:rsidP="00712D99">
            <w:pPr>
              <w:spacing w:before="240" w:after="0" w:line="240" w:lineRule="auto"/>
              <w:jc w:val="right"/>
              <w:rPr>
                <w:rFonts w:cstheme="minorHAnsi"/>
              </w:rPr>
            </w:pPr>
            <w:bookmarkStart w:id="0" w:name="ditulogo"/>
            <w:bookmarkEnd w:id="0"/>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1"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373" w:type="dxa"/>
            <w:gridSpan w:val="2"/>
          </w:tcPr>
          <w:p w14:paraId="4FCD3BC6" w14:textId="7FCB7A95"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4" w:name="DocRef1"/>
            <w:bookmarkEnd w:id="4"/>
            <w:r w:rsidRPr="003205ED">
              <w:rPr>
                <w:rFonts w:cstheme="minorHAnsi"/>
                <w:b/>
                <w:bCs/>
                <w:sz w:val="24"/>
                <w:szCs w:val="28"/>
                <w:lang w:val="es-ES_tradnl"/>
              </w:rPr>
              <w:t>RPM-EUR21/</w:t>
            </w:r>
            <w:r>
              <w:rPr>
                <w:rFonts w:cstheme="minorHAnsi"/>
                <w:b/>
                <w:bCs/>
                <w:sz w:val="24"/>
                <w:szCs w:val="28"/>
                <w:lang w:val="es-ES_tradnl"/>
              </w:rPr>
              <w:t>8</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373" w:type="dxa"/>
            <w:gridSpan w:val="2"/>
          </w:tcPr>
          <w:p w14:paraId="0CF46DBD" w14:textId="1A96EEFD" w:rsidR="0079266F" w:rsidRPr="003205ED" w:rsidRDefault="00F50567" w:rsidP="002E24AA">
            <w:pPr>
              <w:spacing w:after="0" w:line="240" w:lineRule="auto"/>
              <w:rPr>
                <w:rFonts w:cstheme="minorHAnsi"/>
                <w:sz w:val="24"/>
                <w:szCs w:val="28"/>
              </w:rPr>
            </w:pPr>
            <w:r>
              <w:rPr>
                <w:rFonts w:cstheme="minorHAnsi"/>
                <w:b/>
                <w:bCs/>
                <w:sz w:val="24"/>
                <w:szCs w:val="28"/>
                <w:lang w:val="fr-FR"/>
              </w:rPr>
              <w:t>11</w:t>
            </w:r>
            <w:r w:rsidR="0079266F" w:rsidRPr="003205ED">
              <w:rPr>
                <w:rFonts w:cstheme="minorHAnsi"/>
                <w:b/>
                <w:bCs/>
                <w:sz w:val="24"/>
                <w:szCs w:val="28"/>
                <w:lang w:val="fr-FR"/>
              </w:rPr>
              <w:t xml:space="preserve"> </w:t>
            </w:r>
            <w:proofErr w:type="spellStart"/>
            <w:r w:rsidR="0079266F" w:rsidRPr="003205ED">
              <w:rPr>
                <w:rFonts w:cstheme="minorHAnsi"/>
                <w:b/>
                <w:bCs/>
                <w:sz w:val="24"/>
                <w:szCs w:val="28"/>
                <w:lang w:val="fr-FR"/>
              </w:rPr>
              <w:t>December</w:t>
            </w:r>
            <w:proofErr w:type="spellEnd"/>
            <w:r w:rsidR="0079266F" w:rsidRPr="003205ED">
              <w:rPr>
                <w:rFonts w:cstheme="minorHAnsi"/>
                <w:b/>
                <w:bCs/>
                <w:sz w:val="24"/>
                <w:szCs w:val="28"/>
                <w:lang w:val="fr-FR"/>
              </w:rPr>
              <w:t xml:space="preserve"> 2020</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373" w:type="dxa"/>
            <w:gridSpan w:val="2"/>
          </w:tcPr>
          <w:p w14:paraId="0D8FB123" w14:textId="77777777" w:rsidR="0079266F" w:rsidRPr="003205ED" w:rsidRDefault="0079266F" w:rsidP="002E24AA">
            <w:pPr>
              <w:tabs>
                <w:tab w:val="left" w:pos="993"/>
              </w:tabs>
              <w:spacing w:after="0" w:line="240" w:lineRule="auto"/>
              <w:rPr>
                <w:rFonts w:cstheme="minorHAnsi"/>
                <w:b/>
                <w:sz w:val="24"/>
                <w:szCs w:val="28"/>
              </w:rPr>
            </w:pPr>
            <w:r w:rsidRPr="003205ED">
              <w:rPr>
                <w:rFonts w:cstheme="minorHAnsi"/>
                <w:b/>
                <w:bCs/>
                <w:sz w:val="24"/>
                <w:szCs w:val="28"/>
                <w:lang w:val="fr-FR"/>
              </w:rPr>
              <w:t>Original: English</w:t>
            </w:r>
          </w:p>
        </w:tc>
      </w:tr>
      <w:tr w:rsidR="0079266F" w:rsidRPr="00674952" w14:paraId="29BF4082" w14:textId="77777777" w:rsidTr="00712D99">
        <w:trPr>
          <w:cantSplit/>
          <w:trHeight w:val="23"/>
        </w:trPr>
        <w:tc>
          <w:tcPr>
            <w:tcW w:w="9972" w:type="dxa"/>
            <w:gridSpan w:val="4"/>
            <w:shd w:val="clear" w:color="auto" w:fill="auto"/>
          </w:tcPr>
          <w:p w14:paraId="658B3D65" w14:textId="6700681D" w:rsidR="0079266F" w:rsidRPr="00674952" w:rsidRDefault="0079266F" w:rsidP="002E24AA">
            <w:pPr>
              <w:pStyle w:val="Source"/>
              <w:spacing w:before="240" w:after="240"/>
              <w:rPr>
                <w:rFonts w:cstheme="minorHAnsi"/>
              </w:rPr>
            </w:pPr>
            <w:r w:rsidRPr="003205ED">
              <w:rPr>
                <w:rFonts w:cstheme="minorHAnsi"/>
              </w:rPr>
              <w:t>Chairman</w:t>
            </w:r>
            <w:bookmarkStart w:id="9" w:name="_GoBack"/>
            <w:bookmarkEnd w:id="9"/>
            <w:r w:rsidRPr="003205ED">
              <w:rPr>
                <w:rFonts w:cstheme="minorHAnsi"/>
              </w:rPr>
              <w:t xml:space="preserve">, </w:t>
            </w:r>
            <w:r w:rsidRPr="0079266F">
              <w:rPr>
                <w:rFonts w:cstheme="minorHAnsi"/>
              </w:rPr>
              <w:t>DAG Working Group on Strategic and Operational Plans</w:t>
            </w:r>
          </w:p>
        </w:tc>
      </w:tr>
      <w:tr w:rsidR="0079266F" w:rsidRPr="00674952" w14:paraId="771B554A" w14:textId="77777777" w:rsidTr="00712D99">
        <w:trPr>
          <w:cantSplit/>
          <w:trHeight w:val="23"/>
        </w:trPr>
        <w:tc>
          <w:tcPr>
            <w:tcW w:w="9972" w:type="dxa"/>
            <w:gridSpan w:val="4"/>
            <w:shd w:val="clear" w:color="auto" w:fill="auto"/>
          </w:tcPr>
          <w:p w14:paraId="291A7586" w14:textId="538376EB" w:rsidR="0079266F" w:rsidRPr="00674952" w:rsidRDefault="0079266F" w:rsidP="00F50567">
            <w:pPr>
              <w:pStyle w:val="Title1"/>
              <w:spacing w:before="120" w:after="120"/>
              <w:rPr>
                <w:rFonts w:cstheme="minorHAnsi"/>
                <w:caps w:val="0"/>
              </w:rPr>
            </w:pPr>
            <w:r w:rsidRPr="0079266F">
              <w:rPr>
                <w:rFonts w:cstheme="minorHAnsi"/>
                <w:caps w:val="0"/>
                <w:szCs w:val="28"/>
              </w:rPr>
              <w:t xml:space="preserve">Report on the meeting of TDAG Working Group </w:t>
            </w:r>
            <w:r w:rsidR="00F50567">
              <w:rPr>
                <w:rFonts w:cstheme="minorHAnsi"/>
                <w:caps w:val="0"/>
                <w:szCs w:val="28"/>
              </w:rPr>
              <w:br/>
            </w:r>
            <w:r w:rsidRPr="0079266F">
              <w:rPr>
                <w:rFonts w:cstheme="minorHAnsi"/>
                <w:caps w:val="0"/>
                <w:szCs w:val="28"/>
              </w:rPr>
              <w:t>on Strategic and Operational Plans</w:t>
            </w:r>
            <w:r w:rsidR="00F50567">
              <w:rPr>
                <w:rFonts w:cstheme="minorHAnsi"/>
                <w:caps w:val="0"/>
                <w:szCs w:val="28"/>
              </w:rPr>
              <w:t xml:space="preserve"> (TDAG-WG-SOP)</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674952" w:rsidRDefault="0079266F" w:rsidP="002E24A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02D54A02" w14:textId="0A3907B1"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Item 7.3</w:t>
            </w:r>
          </w:p>
          <w:p w14:paraId="4B84CFC5"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7C7EBE8" w14:textId="26E83021" w:rsidR="00CE446C" w:rsidRDefault="00CE446C" w:rsidP="00F50567">
            <w:pPr>
              <w:spacing w:before="120" w:after="120" w:line="240" w:lineRule="auto"/>
              <w:rPr>
                <w:rFonts w:eastAsiaTheme="minorHAnsi"/>
                <w:sz w:val="24"/>
                <w:szCs w:val="28"/>
              </w:rPr>
            </w:pPr>
            <w:r w:rsidRPr="00F50567">
              <w:rPr>
                <w:sz w:val="24"/>
                <w:szCs w:val="28"/>
              </w:rPr>
              <w:t>This document contains a report on the activities of the TDAG Working Group on Strategic and Operational Plans (TDAG-WG-SOP) since its creation</w:t>
            </w:r>
            <w:r w:rsidR="00F50567">
              <w:rPr>
                <w:sz w:val="24"/>
                <w:szCs w:val="28"/>
              </w:rPr>
              <w:t>.  It also</w:t>
            </w:r>
            <w:r w:rsidRPr="00F50567">
              <w:rPr>
                <w:sz w:val="24"/>
                <w:szCs w:val="28"/>
              </w:rPr>
              <w:t xml:space="preserve"> contains some recommendations on the way forward</w:t>
            </w:r>
            <w:r w:rsidR="00F50567">
              <w:rPr>
                <w:sz w:val="24"/>
                <w:szCs w:val="28"/>
              </w:rPr>
              <w:t>, that TDAG-20/3 approved</w:t>
            </w:r>
            <w:r w:rsidRPr="00F50567">
              <w:rPr>
                <w:sz w:val="24"/>
                <w:szCs w:val="28"/>
              </w:rPr>
              <w:t>.</w:t>
            </w:r>
          </w:p>
          <w:p w14:paraId="0D4CE19B"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5977AD08" w14:textId="530BD07A"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RPM-EUR is invited to note this document.</w:t>
            </w:r>
          </w:p>
          <w:p w14:paraId="5F35EECF"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3177269" w14:textId="6CE05201" w:rsidR="0079266F" w:rsidRPr="00D9167C" w:rsidRDefault="00712D99" w:rsidP="0039734E">
            <w:hyperlink r:id="rId9" w:history="1">
              <w:r w:rsidR="0039734E">
                <w:rPr>
                  <w:rStyle w:val="Hyperlink"/>
                  <w:sz w:val="24"/>
                  <w:szCs w:val="24"/>
                </w:rPr>
                <w:t>TDAG-20/3/3</w:t>
              </w:r>
            </w:hyperlink>
          </w:p>
        </w:tc>
      </w:tr>
      <w:bookmarkEnd w:id="7"/>
      <w:bookmarkEnd w:id="8"/>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6BC04D9" w14:textId="2328E849" w:rsidR="00CE446C" w:rsidRDefault="00CE446C" w:rsidP="00CE446C">
      <w:pPr>
        <w:keepNext/>
        <w:tabs>
          <w:tab w:val="left" w:pos="567"/>
          <w:tab w:val="left" w:pos="1134"/>
          <w:tab w:val="left" w:pos="1701"/>
          <w:tab w:val="left" w:pos="2268"/>
        </w:tabs>
        <w:spacing w:before="480" w:after="0" w:line="240" w:lineRule="auto"/>
        <w:rPr>
          <w:rFonts w:eastAsiaTheme="minorHAnsi" w:cstheme="minorHAnsi"/>
          <w:sz w:val="24"/>
          <w:szCs w:val="24"/>
        </w:rPr>
      </w:pPr>
      <w:r>
        <w:rPr>
          <w:rFonts w:cstheme="minorHAnsi"/>
          <w:b/>
          <w:bCs/>
          <w:sz w:val="24"/>
          <w:szCs w:val="24"/>
        </w:rPr>
        <w:lastRenderedPageBreak/>
        <w:t>Introduction</w:t>
      </w:r>
    </w:p>
    <w:p w14:paraId="5612DE5C" w14:textId="77777777" w:rsidR="00CE446C" w:rsidRDefault="00CE446C" w:rsidP="00CE446C">
      <w:pPr>
        <w:tabs>
          <w:tab w:val="left" w:pos="567"/>
          <w:tab w:val="left" w:pos="1134"/>
          <w:tab w:val="left" w:pos="1701"/>
          <w:tab w:val="left" w:pos="2268"/>
        </w:tabs>
        <w:spacing w:before="120" w:after="120" w:line="240" w:lineRule="auto"/>
        <w:rPr>
          <w:rFonts w:cstheme="minorHAnsi"/>
          <w:b/>
          <w:bCs/>
          <w:sz w:val="24"/>
          <w:szCs w:val="24"/>
        </w:rPr>
      </w:pPr>
      <w:bookmarkStart w:id="10" w:name="Proposal"/>
      <w:bookmarkEnd w:id="10"/>
      <w:r>
        <w:rPr>
          <w:rFonts w:cstheme="minorHAnsi"/>
          <w:sz w:val="24"/>
          <w:szCs w:val="24"/>
          <w:bdr w:val="none" w:sz="0" w:space="0" w:color="auto" w:frame="1"/>
        </w:rPr>
        <w:t>The TDAG Working Group on Strategic and Operational Plans (TDAG-WG-SOP) and its terms of reference were approved (</w:t>
      </w:r>
      <w:hyperlink r:id="rId10" w:history="1">
        <w:r>
          <w:rPr>
            <w:rStyle w:val="Hyperlink"/>
            <w:rFonts w:cstheme="minorHAnsi"/>
            <w:sz w:val="24"/>
            <w:szCs w:val="24"/>
            <w:bdr w:val="none" w:sz="0" w:space="0" w:color="auto" w:frame="1"/>
          </w:rPr>
          <w:t>TDAG-20/DT/7</w:t>
        </w:r>
      </w:hyperlink>
      <w:r>
        <w:rPr>
          <w:rFonts w:cstheme="minorHAnsi"/>
          <w:sz w:val="24"/>
          <w:szCs w:val="24"/>
          <w:bdr w:val="none" w:sz="0" w:space="0" w:color="auto" w:frame="1"/>
        </w:rPr>
        <w:t xml:space="preserve">) during the TDAG virtual meeting on 2-5 June 2020. </w:t>
      </w:r>
      <w:r>
        <w:rPr>
          <w:rFonts w:cstheme="minorHAnsi"/>
          <w:sz w:val="24"/>
          <w:szCs w:val="24"/>
        </w:rPr>
        <w:t xml:space="preserve">The correspondence group was open to all ITU-D membership, and was convened by Ms Blanca González as Chair and </w:t>
      </w:r>
      <w:proofErr w:type="spellStart"/>
      <w:r>
        <w:rPr>
          <w:rFonts w:cstheme="minorHAnsi"/>
          <w:sz w:val="24"/>
          <w:szCs w:val="24"/>
        </w:rPr>
        <w:t>Mr</w:t>
      </w:r>
      <w:proofErr w:type="spellEnd"/>
      <w:r>
        <w:rPr>
          <w:rFonts w:cstheme="minorHAnsi"/>
          <w:sz w:val="24"/>
          <w:szCs w:val="24"/>
        </w:rPr>
        <w:t xml:space="preserve"> Christopher </w:t>
      </w:r>
      <w:proofErr w:type="spellStart"/>
      <w:r>
        <w:rPr>
          <w:rFonts w:cstheme="minorHAnsi"/>
          <w:sz w:val="24"/>
          <w:szCs w:val="24"/>
        </w:rPr>
        <w:t>Kemei</w:t>
      </w:r>
      <w:proofErr w:type="spellEnd"/>
      <w:r>
        <w:rPr>
          <w:rFonts w:cstheme="minorHAnsi"/>
          <w:sz w:val="24"/>
          <w:szCs w:val="24"/>
        </w:rPr>
        <w:t xml:space="preserve"> and </w:t>
      </w:r>
      <w:proofErr w:type="spellStart"/>
      <w:r>
        <w:rPr>
          <w:rFonts w:cstheme="minorHAnsi"/>
          <w:sz w:val="24"/>
          <w:szCs w:val="24"/>
        </w:rPr>
        <w:t>Mr</w:t>
      </w:r>
      <w:proofErr w:type="spellEnd"/>
      <w:r>
        <w:rPr>
          <w:rFonts w:cstheme="minorHAnsi"/>
          <w:sz w:val="24"/>
          <w:szCs w:val="24"/>
        </w:rPr>
        <w:t xml:space="preserve"> Wim </w:t>
      </w:r>
      <w:proofErr w:type="spellStart"/>
      <w:r>
        <w:rPr>
          <w:rFonts w:cstheme="minorHAnsi"/>
          <w:sz w:val="24"/>
          <w:szCs w:val="24"/>
        </w:rPr>
        <w:t>Rullens</w:t>
      </w:r>
      <w:proofErr w:type="spellEnd"/>
      <w:r>
        <w:rPr>
          <w:rFonts w:cstheme="minorHAnsi"/>
          <w:sz w:val="24"/>
          <w:szCs w:val="24"/>
        </w:rPr>
        <w:t xml:space="preserve"> as Vice-Chairs.</w:t>
      </w:r>
      <w:r>
        <w:rPr>
          <w:rFonts w:cstheme="minorHAnsi"/>
          <w:b/>
          <w:bCs/>
          <w:sz w:val="24"/>
          <w:szCs w:val="24"/>
        </w:rPr>
        <w:t xml:space="preserve"> </w:t>
      </w:r>
    </w:p>
    <w:p w14:paraId="2CE94DFC"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Terms of Reference</w:t>
      </w:r>
    </w:p>
    <w:p w14:paraId="0D6178DE"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cstheme="minorHAnsi"/>
          <w:sz w:val="24"/>
          <w:szCs w:val="24"/>
        </w:rPr>
      </w:pPr>
      <w:r>
        <w:rPr>
          <w:rFonts w:cstheme="minorHAnsi"/>
          <w:sz w:val="24"/>
          <w:szCs w:val="24"/>
        </w:rPr>
        <w:t>TDAG-WG-SOP operated under the following Terms of Reference:</w:t>
      </w:r>
    </w:p>
    <w:p w14:paraId="6F669897"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val="en-GB" w:eastAsia="en-GB"/>
        </w:rPr>
      </w:pPr>
      <w:r>
        <w:rPr>
          <w:rFonts w:eastAsia="Times New Roman" w:cstheme="minorHAnsi"/>
          <w:sz w:val="24"/>
          <w:szCs w:val="24"/>
          <w:lang w:eastAsia="en-GB"/>
        </w:rPr>
        <w:t xml:space="preserve">To review the status of implementation and impact of the Strategic Plan approved by the 2018 Plenipotentiary Conference and to prepare proposals for the draft new ITU-D contribution to the Strategic Plan for the next period (2024-2027); </w:t>
      </w:r>
    </w:p>
    <w:p w14:paraId="4DF8BEAF"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Buenos Aires action plan and its links with the Operational Plan; and</w:t>
      </w:r>
    </w:p>
    <w:p w14:paraId="5AB813B8"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four-year rolling Operational Plan, identify areas of improvement, and develop recommendations for the Draft Operational Plan prior to consideration by Council.</w:t>
      </w:r>
    </w:p>
    <w:p w14:paraId="62D95302" w14:textId="77777777" w:rsidR="00CE446C" w:rsidRDefault="00CE446C" w:rsidP="00CE446C">
      <w:pPr>
        <w:keepNext/>
        <w:tabs>
          <w:tab w:val="left" w:pos="567"/>
          <w:tab w:val="left" w:pos="1134"/>
          <w:tab w:val="left" w:pos="1701"/>
          <w:tab w:val="left" w:pos="2268"/>
        </w:tabs>
        <w:spacing w:before="240" w:after="0" w:line="240" w:lineRule="auto"/>
        <w:rPr>
          <w:rFonts w:eastAsiaTheme="minorHAnsi" w:cstheme="minorHAnsi"/>
          <w:b/>
          <w:bCs/>
          <w:sz w:val="24"/>
          <w:szCs w:val="24"/>
        </w:rPr>
      </w:pPr>
      <w:r>
        <w:rPr>
          <w:rFonts w:cstheme="minorHAnsi"/>
          <w:b/>
          <w:bCs/>
          <w:sz w:val="24"/>
          <w:szCs w:val="24"/>
        </w:rPr>
        <w:t>Summary of meetings</w:t>
      </w:r>
    </w:p>
    <w:p w14:paraId="46525369"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eastAsia="Times New Roman" w:cstheme="minorHAnsi"/>
          <w:sz w:val="24"/>
          <w:szCs w:val="24"/>
          <w:lang w:val="en-GB" w:eastAsia="en-GB"/>
        </w:rPr>
      </w:pPr>
      <w:r>
        <w:rPr>
          <w:rFonts w:eastAsia="Times New Roman" w:cstheme="minorHAnsi"/>
          <w:sz w:val="24"/>
          <w:szCs w:val="24"/>
          <w:lang w:eastAsia="en-GB"/>
        </w:rPr>
        <w:t xml:space="preserve">The group began its work after approval of its terms of reference by TDAG 2020, with two meetings held online through the </w:t>
      </w:r>
      <w:proofErr w:type="spellStart"/>
      <w:r>
        <w:rPr>
          <w:rFonts w:eastAsia="Times New Roman" w:cstheme="minorHAnsi"/>
          <w:sz w:val="24"/>
          <w:szCs w:val="24"/>
          <w:lang w:eastAsia="en-GB"/>
        </w:rPr>
        <w:t>Interprefy</w:t>
      </w:r>
      <w:proofErr w:type="spellEnd"/>
      <w:r>
        <w:rPr>
          <w:rFonts w:eastAsia="Times New Roman" w:cstheme="minorHAnsi"/>
          <w:sz w:val="24"/>
          <w:szCs w:val="24"/>
          <w:lang w:eastAsia="en-GB"/>
        </w:rPr>
        <w:t xml:space="preserve"> platform: </w:t>
      </w:r>
    </w:p>
    <w:p w14:paraId="5F56BB42"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First meeting – 17 July 2020, 1300h-1600h with the following agenda items: </w:t>
      </w:r>
    </w:p>
    <w:p w14:paraId="1D5AC432" w14:textId="77777777" w:rsidR="00CE446C" w:rsidRDefault="00CE446C" w:rsidP="00CE446C">
      <w:pPr>
        <w:pStyle w:val="ListParagraph"/>
        <w:keepNext/>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Opening of the meeting and welcome remarks </w:t>
      </w:r>
    </w:p>
    <w:p w14:paraId="3E257740"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Approval of the agenda </w:t>
      </w:r>
    </w:p>
    <w:p w14:paraId="3E5C97DC"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Working methods </w:t>
      </w:r>
    </w:p>
    <w:p w14:paraId="013AA2F3"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Virtual meetings with/without interpretation </w:t>
      </w:r>
    </w:p>
    <w:p w14:paraId="4189F774"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Document submission and publication in English</w:t>
      </w:r>
    </w:p>
    <w:p w14:paraId="64E6F94D"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Language of documents: English – only reports translated</w:t>
      </w:r>
    </w:p>
    <w:p w14:paraId="0BF6F450"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Email correspondence/mailing list/SharePoint Site</w:t>
      </w:r>
    </w:p>
    <w:p w14:paraId="1C0765C6"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Recommendation for RTOs to designate focal points for regional coordination </w:t>
      </w:r>
    </w:p>
    <w:p w14:paraId="62D8260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Workplan</w:t>
      </w:r>
    </w:p>
    <w:p w14:paraId="1938F215"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submission of report to TDAG </w:t>
      </w:r>
    </w:p>
    <w:p w14:paraId="38ABC0E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draft report for comments </w:t>
      </w:r>
    </w:p>
    <w:p w14:paraId="3015583B"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Dates of meetings </w:t>
      </w:r>
    </w:p>
    <w:p w14:paraId="3DE6AD3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Deadlines for submission of written contributions </w:t>
      </w:r>
    </w:p>
    <w:p w14:paraId="55910D3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Conclusion </w:t>
      </w:r>
    </w:p>
    <w:p w14:paraId="38B60F0A"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Any other business</w:t>
      </w:r>
    </w:p>
    <w:p w14:paraId="3B6BD4B7" w14:textId="77777777" w:rsidR="00CE446C" w:rsidRDefault="00712D99" w:rsidP="00CE446C">
      <w:pPr>
        <w:tabs>
          <w:tab w:val="left" w:pos="567"/>
          <w:tab w:val="left" w:pos="1134"/>
          <w:tab w:val="left" w:pos="1701"/>
          <w:tab w:val="left" w:pos="2268"/>
        </w:tabs>
        <w:spacing w:before="40" w:after="40" w:line="240" w:lineRule="auto"/>
        <w:jc w:val="both"/>
        <w:textAlignment w:val="baseline"/>
        <w:rPr>
          <w:rFonts w:eastAsia="Times New Roman" w:cstheme="minorHAnsi"/>
          <w:color w:val="444444"/>
          <w:sz w:val="24"/>
          <w:szCs w:val="24"/>
          <w:lang w:eastAsia="en-GB"/>
        </w:rPr>
      </w:pPr>
      <w:hyperlink r:id="rId11" w:history="1">
        <w:r w:rsidR="00CE446C">
          <w:rPr>
            <w:rStyle w:val="Hyperlink"/>
            <w:rFonts w:eastAsia="Times New Roman" w:cstheme="minorHAnsi"/>
            <w:sz w:val="24"/>
            <w:szCs w:val="24"/>
            <w:lang w:eastAsia="en-GB"/>
          </w:rPr>
          <w:t>Link to report of first meeting</w:t>
        </w:r>
      </w:hyperlink>
    </w:p>
    <w:p w14:paraId="32CC4167"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Second meeting – 1 October 2020, 1300h-1600h with the following agenda items: </w:t>
      </w:r>
    </w:p>
    <w:p w14:paraId="60F5ECD9" w14:textId="77777777" w:rsidR="00CE446C" w:rsidRDefault="00CE446C" w:rsidP="00CE446C">
      <w:pPr>
        <w:pStyle w:val="ListParagraph"/>
        <w:keepNext/>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Opening of the meeting and welcome remarks</w:t>
      </w:r>
    </w:p>
    <w:p w14:paraId="558C3844"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Approval of the agenda</w:t>
      </w:r>
    </w:p>
    <w:p w14:paraId="7F577712"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 xml:space="preserve">Approval of the report of the previous meeting </w:t>
      </w:r>
    </w:p>
    <w:p w14:paraId="597FDCBB"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lastRenderedPageBreak/>
        <w:t>Presentations of contributions received and discussion</w:t>
      </w:r>
    </w:p>
    <w:p w14:paraId="1943E1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Framing questions and poll results</w:t>
      </w:r>
    </w:p>
    <w:p w14:paraId="5C1D97DF"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Reference documents</w:t>
      </w:r>
    </w:p>
    <w:p w14:paraId="76583248"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Next meeting</w:t>
      </w:r>
    </w:p>
    <w:p w14:paraId="308DE0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Any other business</w:t>
      </w:r>
    </w:p>
    <w:p w14:paraId="4DD94224" w14:textId="77777777" w:rsidR="00CE446C" w:rsidRDefault="00CE446C" w:rsidP="00CE446C">
      <w:pPr>
        <w:keepNext/>
        <w:tabs>
          <w:tab w:val="left" w:pos="567"/>
          <w:tab w:val="left" w:pos="1134"/>
          <w:tab w:val="left" w:pos="1701"/>
          <w:tab w:val="left" w:pos="2268"/>
        </w:tabs>
        <w:spacing w:before="240" w:after="0" w:line="240" w:lineRule="auto"/>
        <w:jc w:val="both"/>
        <w:rPr>
          <w:rFonts w:cstheme="minorHAnsi"/>
          <w:b/>
          <w:bCs/>
          <w:sz w:val="24"/>
          <w:szCs w:val="24"/>
        </w:rPr>
      </w:pPr>
      <w:r>
        <w:rPr>
          <w:rFonts w:cstheme="minorHAnsi"/>
          <w:b/>
          <w:bCs/>
          <w:sz w:val="24"/>
          <w:szCs w:val="24"/>
        </w:rPr>
        <w:t xml:space="preserve">Documents provided and presentations by Secretariat </w:t>
      </w:r>
    </w:p>
    <w:p w14:paraId="22CB3C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The following documents were provided to the Working Group by the Secretariat: </w:t>
      </w:r>
    </w:p>
    <w:p w14:paraId="1337E621"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2" w:history="1">
        <w:r w:rsidR="00CE446C">
          <w:rPr>
            <w:rStyle w:val="Hyperlink"/>
            <w:rFonts w:cstheme="minorHAnsi"/>
            <w:color w:val="663399"/>
            <w:sz w:val="24"/>
            <w:szCs w:val="24"/>
          </w:rPr>
          <w:t>2019 Progress Report on the Implementation of the Buenos Aires Action Plan (ITU TDAG Contribution 2)</w:t>
        </w:r>
      </w:hyperlink>
    </w:p>
    <w:p w14:paraId="62844778"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3" w:history="1">
        <w:r w:rsidR="00CE446C">
          <w:rPr>
            <w:rStyle w:val="Hyperlink"/>
            <w:rFonts w:cstheme="minorHAnsi"/>
            <w:sz w:val="24"/>
            <w:szCs w:val="24"/>
          </w:rPr>
          <w:t>BDT Year in Review 2019</w:t>
        </w:r>
      </w:hyperlink>
    </w:p>
    <w:p w14:paraId="07B6AB60"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4" w:history="1">
        <w:r w:rsidR="00CE446C">
          <w:rPr>
            <w:rStyle w:val="Hyperlink"/>
            <w:rFonts w:cstheme="minorHAnsi"/>
            <w:sz w:val="24"/>
            <w:szCs w:val="24"/>
          </w:rPr>
          <w:t>Connect 2030 Agenda microsite</w:t>
        </w:r>
      </w:hyperlink>
      <w:r w:rsidR="00CE446C">
        <w:rPr>
          <w:rFonts w:cstheme="minorHAnsi"/>
          <w:color w:val="000000"/>
          <w:sz w:val="24"/>
          <w:szCs w:val="24"/>
        </w:rPr>
        <w:t xml:space="preserve"> </w:t>
      </w:r>
    </w:p>
    <w:p w14:paraId="05D9411E"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5" w:history="1">
        <w:r w:rsidR="00CE446C">
          <w:rPr>
            <w:rStyle w:val="Hyperlink"/>
            <w:rFonts w:cstheme="minorHAnsi"/>
            <w:sz w:val="24"/>
            <w:szCs w:val="24"/>
            <w:shd w:val="clear" w:color="auto" w:fill="FFFFFF"/>
          </w:rPr>
          <w:t xml:space="preserve">Four-year rolling Operational plan for the Union for 2021-2024 (C20/28) </w:t>
        </w:r>
      </w:hyperlink>
      <w:r w:rsidR="00CE446C">
        <w:rPr>
          <w:rFonts w:cstheme="minorHAnsi"/>
          <w:color w:val="000000"/>
          <w:sz w:val="24"/>
          <w:szCs w:val="24"/>
        </w:rPr>
        <w:t xml:space="preserve"> </w:t>
      </w:r>
    </w:p>
    <w:p w14:paraId="7AA3DB0F"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6" w:history="1">
        <w:r w:rsidR="00CE446C">
          <w:rPr>
            <w:rStyle w:val="Hyperlink"/>
            <w:rFonts w:cstheme="minorHAnsi"/>
            <w:sz w:val="24"/>
            <w:szCs w:val="24"/>
          </w:rPr>
          <w:t>Global ICT Regulatory Outlook 2020</w:t>
        </w:r>
      </w:hyperlink>
      <w:r w:rsidR="00CE446C">
        <w:rPr>
          <w:rFonts w:cstheme="minorHAnsi"/>
          <w:color w:val="000000"/>
          <w:sz w:val="24"/>
          <w:szCs w:val="24"/>
        </w:rPr>
        <w:t xml:space="preserve"> </w:t>
      </w:r>
    </w:p>
    <w:p w14:paraId="7B17D35E"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7" w:history="1">
        <w:r w:rsidR="00CE446C">
          <w:rPr>
            <w:rStyle w:val="Hyperlink"/>
            <w:rFonts w:cstheme="minorHAnsi"/>
            <w:sz w:val="24"/>
            <w:szCs w:val="24"/>
          </w:rPr>
          <w:t>Measuring digital development: Facts and Figures 2019</w:t>
        </w:r>
      </w:hyperlink>
    </w:p>
    <w:p w14:paraId="5C14C657"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sz w:val="24"/>
          <w:szCs w:val="24"/>
        </w:rPr>
      </w:pPr>
      <w:hyperlink r:id="rId18" w:history="1">
        <w:r w:rsidR="00CE446C">
          <w:rPr>
            <w:rStyle w:val="Hyperlink"/>
            <w:rFonts w:cstheme="minorHAnsi"/>
            <w:sz w:val="24"/>
            <w:szCs w:val="24"/>
            <w:shd w:val="clear" w:color="auto" w:fill="FFFFFF"/>
          </w:rPr>
          <w:t>Report on the implementation of the strategic plan and the activities of the Union for 2019-2020</w:t>
        </w:r>
        <w:r w:rsidR="00CE446C">
          <w:rPr>
            <w:rStyle w:val="Hyperlink"/>
            <w:rFonts w:cstheme="minorHAnsi"/>
            <w:sz w:val="24"/>
            <w:szCs w:val="24"/>
          </w:rPr>
          <w:t xml:space="preserve"> (C20/35)</w:t>
        </w:r>
      </w:hyperlink>
      <w:r w:rsidR="00CE446C">
        <w:rPr>
          <w:rFonts w:cstheme="minorHAnsi"/>
          <w:color w:val="000000"/>
          <w:sz w:val="24"/>
          <w:szCs w:val="24"/>
        </w:rPr>
        <w:t xml:space="preserve"> </w:t>
      </w:r>
    </w:p>
    <w:p w14:paraId="2409E7ED"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apple-converted-space"/>
        </w:rPr>
      </w:pPr>
      <w:hyperlink r:id="rId19" w:history="1">
        <w:r w:rsidR="00CE446C">
          <w:rPr>
            <w:rStyle w:val="Hyperlink"/>
            <w:rFonts w:cstheme="minorHAnsi"/>
            <w:sz w:val="24"/>
            <w:szCs w:val="24"/>
          </w:rPr>
          <w:t>Report on the meeting of the TDAG Working Group on Strategic and Operational Plans (17 July 2020)</w:t>
        </w:r>
      </w:hyperlink>
    </w:p>
    <w:p w14:paraId="2B132D4A"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pPr>
      <w:hyperlink r:id="rId20" w:history="1">
        <w:r w:rsidR="00CE446C">
          <w:rPr>
            <w:rStyle w:val="Hyperlink"/>
            <w:rFonts w:cstheme="minorHAnsi"/>
            <w:sz w:val="24"/>
            <w:szCs w:val="24"/>
          </w:rPr>
          <w:t>State of Broadband report</w:t>
        </w:r>
      </w:hyperlink>
    </w:p>
    <w:p w14:paraId="19BD4095" w14:textId="77777777" w:rsidR="00CE446C" w:rsidRDefault="00712D99"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Hyperlink"/>
        </w:rPr>
      </w:pPr>
      <w:hyperlink r:id="rId21" w:history="1">
        <w:r w:rsidR="00CE446C">
          <w:rPr>
            <w:rStyle w:val="Hyperlink"/>
            <w:rFonts w:cstheme="minorHAnsi"/>
            <w:sz w:val="24"/>
            <w:szCs w:val="24"/>
          </w:rPr>
          <w:t>UN Secretary-General’s High-level Panel on Digital Cooperation</w:t>
        </w:r>
      </w:hyperlink>
    </w:p>
    <w:p w14:paraId="0C635FA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The Secretariat provided two in-depth presentations on the process for the Strategic Plan, ITU-D Objectives, Goals and the BDT process on Results-Based Management (RBM).</w:t>
      </w:r>
    </w:p>
    <w:p w14:paraId="5B598D77"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Annual Report of the Implementation of the Strategic Plan and activities for the Union: </w:t>
      </w:r>
      <w:hyperlink r:id="rId22" w:history="1">
        <w:r>
          <w:rPr>
            <w:rStyle w:val="Hyperlink"/>
            <w:rFonts w:cstheme="minorHAnsi"/>
            <w:sz w:val="24"/>
            <w:szCs w:val="24"/>
            <w:lang w:val="en-US"/>
          </w:rPr>
          <w:t>Presentation on 17 July</w:t>
        </w:r>
      </w:hyperlink>
      <w:r>
        <w:rPr>
          <w:rFonts w:cstheme="minorHAnsi"/>
          <w:sz w:val="24"/>
          <w:szCs w:val="24"/>
          <w:lang w:val="en-US"/>
        </w:rPr>
        <w:t xml:space="preserve"> </w:t>
      </w:r>
    </w:p>
    <w:p w14:paraId="1594FB7B"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Development of Strategic Plan and BDT RBM process: </w:t>
      </w:r>
      <w:hyperlink r:id="rId23" w:history="1">
        <w:r>
          <w:rPr>
            <w:rStyle w:val="Hyperlink"/>
            <w:rFonts w:cstheme="minorHAnsi"/>
            <w:sz w:val="24"/>
            <w:szCs w:val="24"/>
            <w:lang w:val="en-US"/>
          </w:rPr>
          <w:t>Presentation on 17 July</w:t>
        </w:r>
      </w:hyperlink>
    </w:p>
    <w:p w14:paraId="0F804AB8"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Strategic Plan Process, Goals and ITU-D Objectives: </w:t>
      </w:r>
      <w:hyperlink r:id="rId24" w:history="1">
        <w:r>
          <w:rPr>
            <w:rStyle w:val="Hyperlink"/>
            <w:rFonts w:cstheme="minorHAnsi"/>
            <w:sz w:val="24"/>
            <w:szCs w:val="24"/>
            <w:lang w:val="en-US"/>
          </w:rPr>
          <w:t>Presentation on 1 October</w:t>
        </w:r>
      </w:hyperlink>
    </w:p>
    <w:p w14:paraId="47BF2EB0"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Contributions (summary)</w:t>
      </w:r>
    </w:p>
    <w:p w14:paraId="0C6EF879"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sz w:val="24"/>
          <w:szCs w:val="24"/>
        </w:rPr>
        <w:t xml:space="preserve">TDAG-WG-SOP received one contribution from Mexico/United States/Canada which was presented in the meeting on 1 October, entitled </w:t>
      </w:r>
      <w:hyperlink r:id="rId25" w:history="1">
        <w:r>
          <w:rPr>
            <w:rStyle w:val="Hyperlink"/>
            <w:rFonts w:cstheme="minorHAnsi"/>
            <w:bCs/>
            <w:sz w:val="24"/>
            <w:szCs w:val="24"/>
          </w:rPr>
          <w:t>Proposal on WTDC Review of the Strategic Plan</w:t>
        </w:r>
      </w:hyperlink>
      <w:r>
        <w:rPr>
          <w:rFonts w:cstheme="minorHAnsi"/>
          <w:bCs/>
          <w:sz w:val="24"/>
          <w:szCs w:val="24"/>
        </w:rPr>
        <w:t xml:space="preserve">. </w:t>
      </w:r>
    </w:p>
    <w:p w14:paraId="183EE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The contribution proposed to streamline the review of the SOPs and lessen the administrative tasks during the WTDC by assigning the task of reviewing ITU-D’s contribution to the ITU Strategic Plan to TDAG, in advance of the upcoming Plenipotentiary Conference in 2022, by revising provision 1.8.2 of Resolution 1. This contribution included two proposals.</w:t>
      </w:r>
    </w:p>
    <w:p w14:paraId="4055B670"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w:t>
      </w:r>
      <w:r>
        <w:rPr>
          <w:rFonts w:cstheme="minorHAnsi"/>
          <w:sz w:val="24"/>
          <w:szCs w:val="24"/>
          <w:lang w:val="en-US"/>
        </w:rPr>
        <w:lastRenderedPageBreak/>
        <w:t xml:space="preserve">further propose that the TDAG WG-Prep consider this topic of revision of Resolution 1 and 24 on the agenda for the IRMs to facilitate inter-regional consensus in advance of the WTDC. </w:t>
      </w:r>
    </w:p>
    <w:p w14:paraId="3344BA02"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Proposed discussion questions are outlined in Annex 1. </w:t>
      </w:r>
    </w:p>
    <w:p w14:paraId="6EA0B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TDAG-WG-SOP participants agreed to the proposals and will provide these as input to the TDAG Working Groups on WTDC Preparations (TDAG-WG-PREP) and Resolutions, Declarations and Thematic Priorities (TDAG-WG-RDTP). </w:t>
      </w:r>
    </w:p>
    <w:p w14:paraId="26BE6562"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Poll on Members’ views on prioritization of ITU-D Goals and Objectives</w:t>
      </w:r>
    </w:p>
    <w:p w14:paraId="714434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An informal poll was held among TDAG-WG-SOP participants to assess their views on the prioritization of the ITU-D Objectives and Goals, for which a </w:t>
      </w:r>
      <w:hyperlink r:id="rId26" w:history="1">
        <w:r>
          <w:rPr>
            <w:rStyle w:val="Hyperlink"/>
            <w:rFonts w:cstheme="minorHAnsi"/>
            <w:sz w:val="24"/>
            <w:szCs w:val="24"/>
          </w:rPr>
          <w:t>presentation of results</w:t>
        </w:r>
      </w:hyperlink>
      <w:r>
        <w:rPr>
          <w:rFonts w:cstheme="minorHAnsi"/>
          <w:sz w:val="24"/>
          <w:szCs w:val="24"/>
        </w:rPr>
        <w:t xml:space="preserve"> was provided by the Secretariat.</w:t>
      </w:r>
    </w:p>
    <w:p w14:paraId="60A85C8D" w14:textId="668A48E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As outlined below in Graph 1, participants indicated that among the four ITU-D Objectives, Objective 4 (Inclusive Information Society) was the top priority, closely followed by Objectives 3 (Enabling Environment) and 2 (Modern and Secure Infrastructure. Objective 1 (Coordination) on average was ranked significantly lower than the other three. </w:t>
      </w:r>
    </w:p>
    <w:p w14:paraId="49960B5C"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1: Ranking of prioritization for ITU-D Objectives</w:t>
      </w:r>
    </w:p>
    <w:p w14:paraId="1C3EA0B1"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4279FF9" wp14:editId="1F30CD87">
            <wp:extent cx="5248275" cy="1238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48275" cy="1238250"/>
                    </a:xfrm>
                    <a:prstGeom prst="rect">
                      <a:avLst/>
                    </a:prstGeom>
                    <a:noFill/>
                    <a:ln>
                      <a:noFill/>
                    </a:ln>
                  </pic:spPr>
                </pic:pic>
              </a:graphicData>
            </a:graphic>
          </wp:inline>
        </w:drawing>
      </w:r>
    </w:p>
    <w:p w14:paraId="29A758BB"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Among the Goals, Goal 1 (Growth) followed by Goal 2 (Inclusiveness) were clearly the top priorities for most respondents. The remaining three Goals (Innovation, Sustainability and Partnerships) were systematically ranked as lower priorities for most respondents. Results are further outlined in Graph 2. </w:t>
      </w:r>
    </w:p>
    <w:p w14:paraId="1403BAC7"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2: Ranking of prioritization for Goals</w:t>
      </w:r>
    </w:p>
    <w:p w14:paraId="6E212AA6"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E49851E" wp14:editId="558497E7">
            <wp:extent cx="457200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476375"/>
                    </a:xfrm>
                    <a:prstGeom prst="rect">
                      <a:avLst/>
                    </a:prstGeom>
                    <a:noFill/>
                    <a:ln>
                      <a:noFill/>
                    </a:ln>
                  </pic:spPr>
                </pic:pic>
              </a:graphicData>
            </a:graphic>
          </wp:inline>
        </w:drawing>
      </w:r>
    </w:p>
    <w:p w14:paraId="096E11A7"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lastRenderedPageBreak/>
        <w:t xml:space="preserve">TDAG-WG-SOP participants agreed with the poll results, with a consensus to propose this prioritization of ITU-D Objectives and Goals to TDAG. </w:t>
      </w:r>
    </w:p>
    <w:p w14:paraId="5EA7E425"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Conclusion</w:t>
      </w:r>
    </w:p>
    <w:p w14:paraId="69E84D4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TDAG-WG-SOP conclusions upon the end of the second meeting on 1 October are as follows: </w:t>
      </w:r>
    </w:p>
    <w:p w14:paraId="0FE9CE4D"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One contribution on Procedure supported by the Working Group;</w:t>
      </w:r>
    </w:p>
    <w:p w14:paraId="179C1F37"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Agreement on prioritization of the Goals and Objectives (poll outcome) to be provided as input towards the new Strategic Operational Plan and Action Plan; and</w:t>
      </w:r>
    </w:p>
    <w:p w14:paraId="5B664025"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Contribution discussion questions (Annex 1) and TDAG-WG-SOP Framing Questions (Annex 2) to be provided as input to TDAG for discussion.</w:t>
      </w:r>
    </w:p>
    <w:p w14:paraId="7CB7A9FF"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Recommendations</w:t>
      </w:r>
    </w:p>
    <w:p w14:paraId="2D01A4AF"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TDAG-WG-SOP recommends the following:</w:t>
      </w:r>
    </w:p>
    <w:p w14:paraId="33178998"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to TDAG on prioritization of ITU-D Objectives and Goals</w:t>
      </w:r>
    </w:p>
    <w:p w14:paraId="290652A7"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of this report into the next meetings of TDAG-WG-PREP and TDAG-WG-RDTP for discussion</w:t>
      </w:r>
    </w:p>
    <w:p w14:paraId="729DA09D"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TDAG accepts this final report of TDAT-WG-SOP</w:t>
      </w:r>
    </w:p>
    <w:p w14:paraId="621BBA0E" w14:textId="5CBD99C1"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1C19EE72" w14:textId="77777777" w:rsidR="00CE446C" w:rsidRDefault="00CE446C">
      <w:pPr>
        <w:rPr>
          <w:rFonts w:cstheme="minorHAnsi"/>
          <w:b/>
          <w:bCs/>
          <w:sz w:val="24"/>
          <w:szCs w:val="24"/>
        </w:rPr>
      </w:pPr>
      <w:r>
        <w:rPr>
          <w:rFonts w:cstheme="minorHAnsi"/>
          <w:b/>
          <w:bCs/>
          <w:sz w:val="24"/>
          <w:szCs w:val="24"/>
        </w:rPr>
        <w:br w:type="page"/>
      </w:r>
    </w:p>
    <w:p w14:paraId="51314F65" w14:textId="56EB4DF1"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1: Discussion questions from TDAG-WG-SOP contribution</w:t>
      </w:r>
    </w:p>
    <w:p w14:paraId="6BBFC6A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do the objectives of the Strategic Plan relate to the BDT Thematic Priorities and associated regional initiatives, WTDC Resolutions, WSIS Action Lines and Study Questions? </w:t>
      </w:r>
    </w:p>
    <w:p w14:paraId="3735FE1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can the new Strategic Plan objectives best support results-based management and measurement of implementation of the Action Plan? </w:t>
      </w:r>
    </w:p>
    <w:p w14:paraId="70C065D0"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28215E3C" w14:textId="77777777" w:rsidR="00CE446C" w:rsidRDefault="00CE446C">
      <w:pPr>
        <w:rPr>
          <w:rFonts w:cstheme="minorHAnsi"/>
          <w:b/>
          <w:bCs/>
          <w:sz w:val="24"/>
          <w:szCs w:val="24"/>
        </w:rPr>
      </w:pPr>
      <w:r>
        <w:rPr>
          <w:rFonts w:cstheme="minorHAnsi"/>
          <w:b/>
          <w:bCs/>
          <w:sz w:val="24"/>
          <w:szCs w:val="24"/>
        </w:rPr>
        <w:br w:type="page"/>
      </w:r>
    </w:p>
    <w:p w14:paraId="4FF6CE3F" w14:textId="29DD415D"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2: Framing Questions of TDAG-WG-SOP</w:t>
      </w:r>
    </w:p>
    <w:p w14:paraId="4A532BE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lang w:val="en-GB"/>
        </w:rPr>
      </w:pPr>
      <w:r>
        <w:rPr>
          <w:rFonts w:cstheme="minorHAnsi"/>
          <w:bCs/>
          <w:sz w:val="24"/>
          <w:szCs w:val="24"/>
          <w:u w:val="single"/>
        </w:rPr>
        <w:t>Review of Strategic Plan, Buenos Aires Action Plan and 4-year rolling plan</w:t>
      </w:r>
    </w:p>
    <w:p w14:paraId="73C79DF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Where has BDT excelled in building on the "One-ITU" framework, and where is there need for improvement?</w:t>
      </w:r>
    </w:p>
    <w:p w14:paraId="4C04329F"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How well is BDT on track quantitatively meeting objective targets? </w:t>
      </w:r>
    </w:p>
    <w:p w14:paraId="5816DD9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Which adjustments are recommended to better align with the strategy? </w:t>
      </w:r>
    </w:p>
    <w:p w14:paraId="003FF646"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are the recommendations to reduce duplication with other Sectors?</w:t>
      </w:r>
    </w:p>
    <w:p w14:paraId="30D79E0B"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How should we coordinate with TDAG-WG-Prep to align our position on regional initiatives?</w:t>
      </w:r>
    </w:p>
    <w:p w14:paraId="5AD6D1D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u w:val="single"/>
        </w:rPr>
      </w:pPr>
      <w:r>
        <w:rPr>
          <w:rFonts w:cstheme="minorHAnsi"/>
          <w:bCs/>
          <w:sz w:val="24"/>
          <w:szCs w:val="24"/>
          <w:u w:val="single"/>
        </w:rPr>
        <w:t>Proposals for ITU-D contribution to ITU strategic plan (2024-27) and draft Operational Plan</w:t>
      </w:r>
    </w:p>
    <w:p w14:paraId="7E3CA554"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79F7642"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How should BDT streamline, consolidate and prioritize its offering to make the best use of available resources?</w:t>
      </w:r>
    </w:p>
    <w:p w14:paraId="3B88ADCD"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 xml:space="preserve">What competition is expected and how should BDT adapt strategically for a competitive advantage in this environment? </w:t>
      </w:r>
    </w:p>
    <w:p w14:paraId="2A7E19A0" w14:textId="3592AC5D" w:rsidR="00CE446C" w:rsidRP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specific objectives, outcomes and outputs should be envisioned to pave the way for universal, affordable, accessible and trusted connectivity by 2030?</w:t>
      </w:r>
    </w:p>
    <w:p w14:paraId="35A45962" w14:textId="69B06F73"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even" r:id="rId29"/>
      <w:headerReference w:type="default" r:id="rId30"/>
      <w:footerReference w:type="even" r:id="rId31"/>
      <w:footerReference w:type="default" r:id="rId32"/>
      <w:headerReference w:type="first" r:id="rId33"/>
      <w:footerReference w:type="first" r:id="rId34"/>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49039" w14:textId="77777777" w:rsidR="006C7B68" w:rsidRDefault="006C7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C0274D" w14:paraId="1E0BAE30" w14:textId="77777777" w:rsidTr="00C0274D">
      <w:tc>
        <w:tcPr>
          <w:tcW w:w="1527" w:type="dxa"/>
          <w:tcBorders>
            <w:top w:val="single" w:sz="4" w:space="0" w:color="auto"/>
            <w:left w:val="nil"/>
            <w:bottom w:val="nil"/>
            <w:right w:val="nil"/>
          </w:tcBorders>
          <w:hideMark/>
        </w:tcPr>
        <w:p w14:paraId="5BDCD681" w14:textId="77777777" w:rsidR="00C0274D" w:rsidRPr="00CE446C" w:rsidRDefault="00C0274D" w:rsidP="00C0274D">
          <w:pPr>
            <w:pStyle w:val="FirstFooter"/>
            <w:tabs>
              <w:tab w:val="left" w:pos="1559"/>
              <w:tab w:val="left" w:pos="3828"/>
            </w:tabs>
            <w:rPr>
              <w:sz w:val="18"/>
              <w:szCs w:val="18"/>
              <w:lang w:val="en-US"/>
            </w:rPr>
          </w:pPr>
          <w:r w:rsidRPr="00CE446C">
            <w:rPr>
              <w:sz w:val="18"/>
              <w:szCs w:val="18"/>
              <w:lang w:val="en-US"/>
            </w:rPr>
            <w:t>Contact:</w:t>
          </w:r>
        </w:p>
      </w:tc>
      <w:tc>
        <w:tcPr>
          <w:tcW w:w="2412" w:type="dxa"/>
          <w:tcBorders>
            <w:top w:val="single" w:sz="4" w:space="0" w:color="auto"/>
            <w:left w:val="nil"/>
            <w:bottom w:val="nil"/>
            <w:right w:val="nil"/>
          </w:tcBorders>
          <w:hideMark/>
        </w:tcPr>
        <w:p w14:paraId="421E0820"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Name/Organization/Entity:</w:t>
          </w:r>
        </w:p>
      </w:tc>
      <w:tc>
        <w:tcPr>
          <w:tcW w:w="5991" w:type="dxa"/>
          <w:tcBorders>
            <w:top w:val="single" w:sz="4" w:space="0" w:color="auto"/>
            <w:left w:val="nil"/>
            <w:bottom w:val="nil"/>
            <w:right w:val="nil"/>
          </w:tcBorders>
          <w:hideMark/>
        </w:tcPr>
        <w:p w14:paraId="152A97BB" w14:textId="77777777" w:rsidR="00C0274D" w:rsidRPr="00CE446C" w:rsidRDefault="00C0274D" w:rsidP="00C0274D">
          <w:pPr>
            <w:pStyle w:val="FirstFooter"/>
            <w:tabs>
              <w:tab w:val="left" w:pos="2302"/>
            </w:tabs>
            <w:rPr>
              <w:sz w:val="18"/>
              <w:szCs w:val="18"/>
              <w:lang w:val="en-US"/>
            </w:rPr>
          </w:pPr>
          <w:bookmarkStart w:id="13" w:name="OrgName"/>
          <w:bookmarkEnd w:id="13"/>
          <w:r w:rsidRPr="00CE446C">
            <w:rPr>
              <w:sz w:val="18"/>
              <w:szCs w:val="18"/>
              <w:lang w:val="en-US"/>
            </w:rPr>
            <w:t xml:space="preserve">Ms Blanca González, TDAG Vice-Chairman, </w:t>
          </w:r>
          <w:proofErr w:type="spellStart"/>
          <w:r w:rsidRPr="00CE446C">
            <w:rPr>
              <w:sz w:val="18"/>
              <w:szCs w:val="18"/>
              <w:lang w:val="en-US"/>
            </w:rPr>
            <w:t>Ministerio</w:t>
          </w:r>
          <w:proofErr w:type="spellEnd"/>
          <w:r w:rsidRPr="00CE446C">
            <w:rPr>
              <w:sz w:val="18"/>
              <w:szCs w:val="18"/>
              <w:lang w:val="en-US"/>
            </w:rPr>
            <w:t xml:space="preserve"> de </w:t>
          </w:r>
          <w:proofErr w:type="spellStart"/>
          <w:r w:rsidRPr="00CE446C">
            <w:rPr>
              <w:sz w:val="18"/>
              <w:szCs w:val="18"/>
              <w:lang w:val="en-US"/>
            </w:rPr>
            <w:t>Energía</w:t>
          </w:r>
          <w:proofErr w:type="spellEnd"/>
          <w:r w:rsidRPr="00CE446C">
            <w:rPr>
              <w:sz w:val="18"/>
              <w:szCs w:val="18"/>
              <w:lang w:val="en-US"/>
            </w:rPr>
            <w:t>, Turismo y Agenda Digital, Spain</w:t>
          </w:r>
        </w:p>
      </w:tc>
    </w:tr>
    <w:tr w:rsidR="00C0274D" w14:paraId="52401E5B" w14:textId="77777777" w:rsidTr="00CE446C">
      <w:tc>
        <w:tcPr>
          <w:tcW w:w="1527" w:type="dxa"/>
          <w:tcBorders>
            <w:left w:val="nil"/>
            <w:right w:val="nil"/>
          </w:tcBorders>
          <w:hideMark/>
        </w:tcPr>
        <w:p w14:paraId="41262554"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6F72E2B3"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Phone number:</w:t>
          </w:r>
        </w:p>
      </w:tc>
      <w:tc>
        <w:tcPr>
          <w:tcW w:w="5991" w:type="dxa"/>
          <w:tcBorders>
            <w:left w:val="nil"/>
            <w:right w:val="nil"/>
          </w:tcBorders>
          <w:hideMark/>
        </w:tcPr>
        <w:p w14:paraId="256FEF68" w14:textId="77777777" w:rsidR="00C0274D" w:rsidRPr="00CE446C" w:rsidRDefault="00C0274D" w:rsidP="00C0274D">
          <w:pPr>
            <w:pStyle w:val="FirstFooter"/>
            <w:tabs>
              <w:tab w:val="left" w:pos="2302"/>
            </w:tabs>
            <w:rPr>
              <w:sz w:val="18"/>
              <w:szCs w:val="18"/>
              <w:lang w:val="en-US"/>
            </w:rPr>
          </w:pPr>
          <w:bookmarkStart w:id="14" w:name="PhoneNo"/>
          <w:bookmarkEnd w:id="14"/>
          <w:r w:rsidRPr="00CE446C">
            <w:rPr>
              <w:sz w:val="18"/>
              <w:szCs w:val="18"/>
              <w:lang w:val="en-US"/>
            </w:rPr>
            <w:t>+34 91 346 2344</w:t>
          </w:r>
        </w:p>
      </w:tc>
    </w:tr>
    <w:tr w:rsidR="00C0274D" w14:paraId="24E1886A" w14:textId="77777777" w:rsidTr="00CE446C">
      <w:tc>
        <w:tcPr>
          <w:tcW w:w="1527" w:type="dxa"/>
          <w:tcBorders>
            <w:left w:val="nil"/>
            <w:right w:val="nil"/>
          </w:tcBorders>
          <w:hideMark/>
        </w:tcPr>
        <w:p w14:paraId="00D95E08"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E-mail:</w:t>
          </w:r>
        </w:p>
      </w:tc>
      <w:bookmarkStart w:id="15" w:name="Email"/>
      <w:bookmarkEnd w:id="15"/>
      <w:tc>
        <w:tcPr>
          <w:tcW w:w="5991" w:type="dxa"/>
          <w:tcBorders>
            <w:left w:val="nil"/>
            <w:right w:val="nil"/>
          </w:tcBorders>
          <w:hideMark/>
        </w:tcPr>
        <w:p w14:paraId="46401E91" w14:textId="77777777" w:rsidR="00C0274D" w:rsidRPr="00CE446C" w:rsidRDefault="00C0274D" w:rsidP="00C0274D">
          <w:pPr>
            <w:pStyle w:val="FirstFooter"/>
            <w:tabs>
              <w:tab w:val="left" w:pos="2302"/>
            </w:tabs>
            <w:rPr>
              <w:sz w:val="18"/>
              <w:szCs w:val="18"/>
              <w:lang w:val="en-US"/>
            </w:rPr>
          </w:pPr>
          <w:r w:rsidRPr="00CE446C">
            <w:rPr>
              <w:sz w:val="18"/>
              <w:szCs w:val="18"/>
              <w:lang w:val="en-US"/>
            </w:rPr>
            <w:fldChar w:fldCharType="begin"/>
          </w:r>
          <w:r w:rsidRPr="00CE446C">
            <w:rPr>
              <w:sz w:val="18"/>
              <w:szCs w:val="18"/>
              <w:lang w:val="en-US"/>
            </w:rPr>
            <w:instrText xml:space="preserve"> HYPERLINK "mailto:bgonzalez@economia.gob.es" </w:instrText>
          </w:r>
          <w:r w:rsidRPr="00CE446C">
            <w:rPr>
              <w:sz w:val="18"/>
              <w:szCs w:val="18"/>
              <w:lang w:val="en-US"/>
            </w:rPr>
            <w:fldChar w:fldCharType="separate"/>
          </w:r>
          <w:r w:rsidRPr="00CE446C">
            <w:rPr>
              <w:rStyle w:val="Hyperlink"/>
              <w:sz w:val="18"/>
              <w:szCs w:val="18"/>
              <w:lang w:val="en-US"/>
            </w:rPr>
            <w:t>bgonzalez@economia.gob.es</w:t>
          </w:r>
          <w:r w:rsidRPr="00CE446C">
            <w:rPr>
              <w:sz w:val="18"/>
              <w:szCs w:val="18"/>
              <w:lang w:val="en-US"/>
            </w:rPr>
            <w:fldChar w:fldCharType="end"/>
          </w:r>
          <w:r w:rsidRPr="00CE446C">
            <w:rPr>
              <w:sz w:val="18"/>
              <w:szCs w:val="18"/>
              <w:lang w:val="en-US"/>
            </w:rPr>
            <w:t xml:space="preserve">  </w:t>
          </w:r>
        </w:p>
      </w:tc>
    </w:tr>
  </w:tbl>
  <w:p w14:paraId="0B875C31" w14:textId="4F338405" w:rsidR="00B55AEC" w:rsidRPr="006C7B68" w:rsidRDefault="00712D99" w:rsidP="006C7B68">
    <w:pPr>
      <w:spacing w:before="120" w:after="0" w:line="240" w:lineRule="auto"/>
      <w:jc w:val="center"/>
      <w:rPr>
        <w:sz w:val="20"/>
        <w:szCs w:val="16"/>
      </w:rPr>
    </w:pPr>
    <w:hyperlink r:id="rId1" w:history="1">
      <w:r w:rsidR="006C7B68"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5C30" w14:textId="77777777" w:rsidR="006C7B68" w:rsidRDefault="006C7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E9C6" w14:textId="5E83476E"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11" w:name="DocRef2"/>
    <w:bookmarkEnd w:id="11"/>
    <w:r w:rsidRPr="00FF089C">
      <w:rPr>
        <w:lang w:val="es-ES_tradnl"/>
      </w:rPr>
      <w:t>RPM-</w:t>
    </w:r>
    <w:r>
      <w:rPr>
        <w:lang w:val="es-ES_tradnl"/>
      </w:rPr>
      <w:t>EUR21</w:t>
    </w:r>
    <w:r w:rsidRPr="00FF089C">
      <w:rPr>
        <w:lang w:val="es-ES_tradnl"/>
      </w:rPr>
      <w:t>/</w:t>
    </w:r>
    <w:bookmarkStart w:id="12" w:name="DocNo2"/>
    <w:bookmarkEnd w:id="12"/>
    <w:r>
      <w:rPr>
        <w:lang w:val="es-ES_tradnl"/>
      </w:rPr>
      <w:t>8</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50567">
      <w:rPr>
        <w:noProof/>
        <w:lang w:val="es-ES_tradnl"/>
      </w:rPr>
      <w:t>2</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9405" w14:textId="77777777" w:rsidR="006C7B68" w:rsidRDefault="006C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20"/>
    <w:rsid w:val="00011734"/>
    <w:rsid w:val="00034E89"/>
    <w:rsid w:val="000A6AF2"/>
    <w:rsid w:val="000C33A5"/>
    <w:rsid w:val="000E2D9A"/>
    <w:rsid w:val="000E32B7"/>
    <w:rsid w:val="001225CA"/>
    <w:rsid w:val="00134539"/>
    <w:rsid w:val="00166814"/>
    <w:rsid w:val="00183832"/>
    <w:rsid w:val="00191234"/>
    <w:rsid w:val="001A1760"/>
    <w:rsid w:val="001B1337"/>
    <w:rsid w:val="001B752E"/>
    <w:rsid w:val="001C05E1"/>
    <w:rsid w:val="001D09AA"/>
    <w:rsid w:val="001E7247"/>
    <w:rsid w:val="0024689A"/>
    <w:rsid w:val="00274BEA"/>
    <w:rsid w:val="002F26A4"/>
    <w:rsid w:val="002F46F1"/>
    <w:rsid w:val="00312170"/>
    <w:rsid w:val="003324D8"/>
    <w:rsid w:val="00335593"/>
    <w:rsid w:val="003548D6"/>
    <w:rsid w:val="0035594D"/>
    <w:rsid w:val="0036396C"/>
    <w:rsid w:val="0039734E"/>
    <w:rsid w:val="003D51C2"/>
    <w:rsid w:val="003F331D"/>
    <w:rsid w:val="00425173"/>
    <w:rsid w:val="00436D5A"/>
    <w:rsid w:val="00474978"/>
    <w:rsid w:val="00493B56"/>
    <w:rsid w:val="004B2A30"/>
    <w:rsid w:val="004F2C41"/>
    <w:rsid w:val="005115B8"/>
    <w:rsid w:val="00536AE3"/>
    <w:rsid w:val="0056101B"/>
    <w:rsid w:val="00565060"/>
    <w:rsid w:val="005725A1"/>
    <w:rsid w:val="005C428C"/>
    <w:rsid w:val="00617245"/>
    <w:rsid w:val="0063212B"/>
    <w:rsid w:val="00635C4D"/>
    <w:rsid w:val="00650B78"/>
    <w:rsid w:val="00657BE5"/>
    <w:rsid w:val="006645EA"/>
    <w:rsid w:val="00685A14"/>
    <w:rsid w:val="006C2351"/>
    <w:rsid w:val="006C7B68"/>
    <w:rsid w:val="006D2220"/>
    <w:rsid w:val="00712D99"/>
    <w:rsid w:val="00745274"/>
    <w:rsid w:val="00761CFF"/>
    <w:rsid w:val="0079266F"/>
    <w:rsid w:val="007A0B3F"/>
    <w:rsid w:val="0083055F"/>
    <w:rsid w:val="008358B9"/>
    <w:rsid w:val="00840503"/>
    <w:rsid w:val="00860A24"/>
    <w:rsid w:val="00874E54"/>
    <w:rsid w:val="008803B7"/>
    <w:rsid w:val="008A0C22"/>
    <w:rsid w:val="008A5901"/>
    <w:rsid w:val="008B1705"/>
    <w:rsid w:val="008D623D"/>
    <w:rsid w:val="008F4945"/>
    <w:rsid w:val="009712CA"/>
    <w:rsid w:val="00973C3B"/>
    <w:rsid w:val="009A7290"/>
    <w:rsid w:val="009B17FC"/>
    <w:rsid w:val="009C387B"/>
    <w:rsid w:val="009D51E1"/>
    <w:rsid w:val="00A44C94"/>
    <w:rsid w:val="00A623CC"/>
    <w:rsid w:val="00AC3100"/>
    <w:rsid w:val="00B55AEC"/>
    <w:rsid w:val="00B8513F"/>
    <w:rsid w:val="00BA20E7"/>
    <w:rsid w:val="00BA6DB4"/>
    <w:rsid w:val="00BC2D95"/>
    <w:rsid w:val="00BD2EE8"/>
    <w:rsid w:val="00BD3940"/>
    <w:rsid w:val="00BD41FC"/>
    <w:rsid w:val="00C0274D"/>
    <w:rsid w:val="00C30C43"/>
    <w:rsid w:val="00C5393C"/>
    <w:rsid w:val="00C5692E"/>
    <w:rsid w:val="00C65D4E"/>
    <w:rsid w:val="00CA1DF1"/>
    <w:rsid w:val="00CA21AB"/>
    <w:rsid w:val="00CD0E9E"/>
    <w:rsid w:val="00CE446C"/>
    <w:rsid w:val="00D26DCD"/>
    <w:rsid w:val="00D27F1F"/>
    <w:rsid w:val="00DA19A9"/>
    <w:rsid w:val="00DC5604"/>
    <w:rsid w:val="00DD05A4"/>
    <w:rsid w:val="00DD0EFF"/>
    <w:rsid w:val="00E45B8A"/>
    <w:rsid w:val="00E465C0"/>
    <w:rsid w:val="00F50567"/>
    <w:rsid w:val="00F865AD"/>
    <w:rsid w:val="00FA087C"/>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593"/>
    <w:pPr>
      <w:spacing w:line="256" w:lineRule="auto"/>
      <w:ind w:left="720"/>
      <w:contextualSpacing/>
    </w:pPr>
    <w:rPr>
      <w:rFonts w:eastAsiaTheme="minorHAnsi"/>
      <w:lang w:val="en-GB"/>
    </w:rPr>
  </w:style>
  <w:style w:type="character" w:customStyle="1" w:styleId="ListParagraphChar">
    <w:name w:val="List Paragraph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S20-CL-C-0035/en" TargetMode="External"/><Relationship Id="rId26" Type="http://schemas.openxmlformats.org/officeDocument/2006/relationships/hyperlink" Target="https://www.itu.int/dms_pub/itu-d/md/18/tdag27.sop/td/201001/D18-TDAG27.SOP-201001-TD-0005!N1!PDF-E.pdf" TargetMode="External"/><Relationship Id="rId3" Type="http://schemas.openxmlformats.org/officeDocument/2006/relationships/settings" Target="settings.xml"/><Relationship Id="rId21" Type="http://schemas.openxmlformats.org/officeDocument/2006/relationships/hyperlink" Target="https://www.un.org/en/digital-cooperation-panel/"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itu.int/md/D18-TDAG25.2-C-0002/" TargetMode="External"/><Relationship Id="rId17" Type="http://schemas.openxmlformats.org/officeDocument/2006/relationships/hyperlink" Target="https://itu.foleon.com/itu/measuring-digital-development/home/" TargetMode="External"/><Relationship Id="rId25" Type="http://schemas.openxmlformats.org/officeDocument/2006/relationships/hyperlink" Target="https://www.itu.int/md/D18-TDAG27.SOP-C-0008/en"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tu.foleon.com/itu/global-ict-regulatory-outlook-2020/home/" TargetMode="External"/><Relationship Id="rId20" Type="http://schemas.openxmlformats.org/officeDocument/2006/relationships/hyperlink" Target="https://www.itu.int/dms_pub/itu-s/opb/pol/S-POL-BROADBAND.20-2019-PDF-E.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6.SOP-C-0005/en" TargetMode="External"/><Relationship Id="rId24" Type="http://schemas.openxmlformats.org/officeDocument/2006/relationships/hyperlink" Target="https://www.itu.int/dms_pub/itu-d/md/18/tdag27.sop/td/201001/D18-TDAG27.SOP-201001-TD-0004!N1!PDF-E.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0-CL-C-0028/en" TargetMode="External"/><Relationship Id="rId23" Type="http://schemas.openxmlformats.org/officeDocument/2006/relationships/hyperlink" Target="https://www.itu.int/dms_pub/itu-d/md/18/tdag26.sop/c/D18-TDAG26.SOP-C-0003!!PDF-E.pdf"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www.itu.int/md/D18-TDAG25.2-200602-TD-0007/" TargetMode="External"/><Relationship Id="rId19" Type="http://schemas.openxmlformats.org/officeDocument/2006/relationships/hyperlink" Target="https://www.itu.int/md/D18-TDAG26.SOP-C-0005/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D18-TDAG27-C-0003/" TargetMode="External"/><Relationship Id="rId14" Type="http://schemas.openxmlformats.org/officeDocument/2006/relationships/hyperlink" Target="https://itu.foleon.com/itu/connect-2030-agenda/home/" TargetMode="External"/><Relationship Id="rId22" Type="http://schemas.openxmlformats.org/officeDocument/2006/relationships/hyperlink" Target="https://www.itu.int/dms_pub/itu-d/md/18/tdag26.sop/c/D18-TDAG26.SOP-C-0004!!PDF-E.pdf"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4</cp:revision>
  <dcterms:created xsi:type="dcterms:W3CDTF">2020-12-10T07:07:00Z</dcterms:created>
  <dcterms:modified xsi:type="dcterms:W3CDTF">2020-12-17T09:36:00Z</dcterms:modified>
</cp:coreProperties>
</file>