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3262"/>
      </w:tblGrid>
      <w:tr w:rsidR="0070796E" w:rsidRPr="00AE2BCA" w14:paraId="17753B25" w14:textId="77777777" w:rsidTr="00504609">
        <w:trPr>
          <w:cantSplit/>
        </w:trPr>
        <w:tc>
          <w:tcPr>
            <w:tcW w:w="6379" w:type="dxa"/>
          </w:tcPr>
          <w:p w14:paraId="733A8873" w14:textId="347A2152" w:rsidR="0070796E" w:rsidRPr="00AB6FF2" w:rsidRDefault="00EC43F5" w:rsidP="00EC43F5">
            <w:pPr>
              <w:spacing w:before="180"/>
              <w:rPr>
                <w:b/>
                <w:bCs/>
                <w:sz w:val="32"/>
                <w:szCs w:val="32"/>
                <w:lang w:val="es-ES_tradnl"/>
              </w:rPr>
            </w:pPr>
            <w:r w:rsidRPr="00AB6FF2">
              <w:rPr>
                <w:b/>
                <w:bCs/>
                <w:sz w:val="32"/>
                <w:szCs w:val="32"/>
                <w:lang w:val="es-ES_tradnl"/>
              </w:rPr>
              <w:t>Reunión Preparatoria Regional de la CMDT-21 para Europa (RPM-EUR)</w:t>
            </w:r>
          </w:p>
        </w:tc>
        <w:tc>
          <w:tcPr>
            <w:tcW w:w="3262" w:type="dxa"/>
          </w:tcPr>
          <w:p w14:paraId="279197B1" w14:textId="09B5E2EB" w:rsidR="0070796E" w:rsidRPr="00AB6FF2" w:rsidRDefault="00504609" w:rsidP="00504609">
            <w:pPr>
              <w:spacing w:before="40"/>
              <w:ind w:right="142"/>
              <w:jc w:val="right"/>
              <w:rPr>
                <w:lang w:val="es-ES_tradnl"/>
              </w:rPr>
            </w:pPr>
            <w:r w:rsidRPr="00AB6FF2">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0B95" w:rsidRPr="002D0049" w14:paraId="21659024" w14:textId="77777777" w:rsidTr="00504609">
        <w:trPr>
          <w:cantSplit/>
          <w:trHeight w:val="300"/>
        </w:trPr>
        <w:tc>
          <w:tcPr>
            <w:tcW w:w="9641" w:type="dxa"/>
            <w:gridSpan w:val="2"/>
            <w:tcBorders>
              <w:bottom w:val="single" w:sz="12" w:space="0" w:color="auto"/>
            </w:tcBorders>
          </w:tcPr>
          <w:p w14:paraId="076AA5C1" w14:textId="62A6D306" w:rsidR="006D0B95" w:rsidRPr="00AB6FF2" w:rsidRDefault="00EC43F5" w:rsidP="00504609">
            <w:pPr>
              <w:adjustRightInd/>
              <w:spacing w:before="0" w:after="60"/>
              <w:rPr>
                <w:b/>
                <w:bCs/>
                <w:szCs w:val="24"/>
                <w:lang w:val="es-ES_tradnl"/>
              </w:rPr>
            </w:pPr>
            <w:bookmarkStart w:id="0" w:name="Meeting"/>
            <w:bookmarkStart w:id="1" w:name="PlaceDate"/>
            <w:bookmarkEnd w:id="0"/>
            <w:bookmarkEnd w:id="1"/>
            <w:r w:rsidRPr="00AB6FF2">
              <w:rPr>
                <w:b/>
                <w:bCs/>
                <w:szCs w:val="24"/>
                <w:lang w:val="es-ES_tradnl"/>
              </w:rPr>
              <w:t>Virtual</w:t>
            </w:r>
            <w:r w:rsidR="00504609" w:rsidRPr="00AB6FF2">
              <w:rPr>
                <w:b/>
                <w:bCs/>
                <w:szCs w:val="24"/>
                <w:lang w:val="es-ES_tradnl"/>
              </w:rPr>
              <w:t xml:space="preserve">, </w:t>
            </w:r>
            <w:r w:rsidR="00923456" w:rsidRPr="00AB6FF2">
              <w:rPr>
                <w:b/>
                <w:bCs/>
                <w:szCs w:val="24"/>
                <w:lang w:val="es-ES_tradnl"/>
              </w:rPr>
              <w:t xml:space="preserve">18-19 </w:t>
            </w:r>
            <w:r w:rsidRPr="00AB6FF2">
              <w:rPr>
                <w:b/>
                <w:bCs/>
                <w:szCs w:val="24"/>
                <w:lang w:val="es-ES_tradnl"/>
              </w:rPr>
              <w:t xml:space="preserve">de enero de </w:t>
            </w:r>
            <w:r w:rsidR="00504609" w:rsidRPr="00AB6FF2">
              <w:rPr>
                <w:b/>
                <w:bCs/>
                <w:szCs w:val="24"/>
                <w:lang w:val="es-ES_tradnl"/>
              </w:rPr>
              <w:t>2021</w:t>
            </w:r>
          </w:p>
        </w:tc>
      </w:tr>
      <w:tr w:rsidR="0070796E" w:rsidRPr="002D0049" w14:paraId="02CA2556" w14:textId="77777777" w:rsidTr="00504609">
        <w:trPr>
          <w:cantSplit/>
          <w:trHeight w:val="238"/>
        </w:trPr>
        <w:tc>
          <w:tcPr>
            <w:tcW w:w="6379" w:type="dxa"/>
            <w:tcBorders>
              <w:top w:val="single" w:sz="12" w:space="0" w:color="auto"/>
            </w:tcBorders>
          </w:tcPr>
          <w:p w14:paraId="5057834D" w14:textId="77777777" w:rsidR="0070796E" w:rsidRPr="002D0049" w:rsidRDefault="0070796E" w:rsidP="00504609">
            <w:pPr>
              <w:spacing w:before="0"/>
              <w:rPr>
                <w:lang w:val="en-US"/>
              </w:rPr>
            </w:pPr>
          </w:p>
        </w:tc>
        <w:tc>
          <w:tcPr>
            <w:tcW w:w="3262" w:type="dxa"/>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504609">
        <w:trPr>
          <w:cantSplit/>
          <w:trHeight w:val="20"/>
        </w:trPr>
        <w:tc>
          <w:tcPr>
            <w:tcW w:w="6379" w:type="dxa"/>
            <w:vMerge w:val="restart"/>
          </w:tcPr>
          <w:p w14:paraId="20070EC3" w14:textId="77777777" w:rsidR="0070796E" w:rsidRPr="002D0049" w:rsidRDefault="0070796E" w:rsidP="00504609">
            <w:pPr>
              <w:rPr>
                <w:lang w:val="en-US"/>
              </w:rPr>
            </w:pPr>
          </w:p>
        </w:tc>
        <w:tc>
          <w:tcPr>
            <w:tcW w:w="3262" w:type="dxa"/>
          </w:tcPr>
          <w:p w14:paraId="49CE235C" w14:textId="59456F1F" w:rsidR="0070796E" w:rsidRPr="00AB6FF2" w:rsidRDefault="0070796E" w:rsidP="00504609">
            <w:pPr>
              <w:spacing w:before="0"/>
              <w:rPr>
                <w:b/>
                <w:bCs/>
                <w:szCs w:val="24"/>
                <w:lang w:val="es-ES_tradnl"/>
              </w:rPr>
            </w:pPr>
            <w:r w:rsidRPr="00AB6FF2">
              <w:rPr>
                <w:b/>
                <w:bCs/>
                <w:szCs w:val="24"/>
                <w:lang w:val="es-ES_tradnl"/>
              </w:rPr>
              <w:t>Document</w:t>
            </w:r>
            <w:r w:rsidR="00EC43F5" w:rsidRPr="00AB6FF2">
              <w:rPr>
                <w:b/>
                <w:bCs/>
                <w:szCs w:val="24"/>
                <w:lang w:val="es-ES_tradnl"/>
              </w:rPr>
              <w:t>o</w:t>
            </w:r>
            <w:r w:rsidR="006527BD" w:rsidRPr="00AB6FF2">
              <w:rPr>
                <w:b/>
                <w:bCs/>
                <w:szCs w:val="24"/>
                <w:lang w:val="es-ES_tradnl"/>
              </w:rPr>
              <w:t xml:space="preserve"> </w:t>
            </w:r>
            <w:bookmarkStart w:id="2" w:name="DocRef1"/>
            <w:bookmarkEnd w:id="2"/>
            <w:r w:rsidR="00FF089C" w:rsidRPr="00AB6FF2">
              <w:rPr>
                <w:b/>
                <w:bCs/>
                <w:szCs w:val="24"/>
                <w:lang w:val="es-ES_tradnl"/>
              </w:rPr>
              <w:t>RPM-</w:t>
            </w:r>
            <w:r w:rsidR="00923456" w:rsidRPr="00AB6FF2">
              <w:rPr>
                <w:b/>
                <w:bCs/>
                <w:szCs w:val="24"/>
                <w:lang w:val="es-ES_tradnl"/>
              </w:rPr>
              <w:t>EUR</w:t>
            </w:r>
            <w:r w:rsidR="00504609" w:rsidRPr="00AB6FF2">
              <w:rPr>
                <w:b/>
                <w:bCs/>
                <w:szCs w:val="24"/>
                <w:lang w:val="es-ES_tradnl"/>
              </w:rPr>
              <w:t>21</w:t>
            </w:r>
            <w:r w:rsidR="00FF089C" w:rsidRPr="00AB6FF2">
              <w:rPr>
                <w:b/>
                <w:bCs/>
                <w:szCs w:val="24"/>
                <w:lang w:val="es-ES_tradnl"/>
              </w:rPr>
              <w:t>/</w:t>
            </w:r>
            <w:r w:rsidR="00B77FD1">
              <w:rPr>
                <w:b/>
                <w:bCs/>
                <w:szCs w:val="24"/>
                <w:lang w:val="es-ES_tradnl"/>
              </w:rPr>
              <w:t>6</w:t>
            </w:r>
            <w:r w:rsidR="00FF089C" w:rsidRPr="00AB6FF2">
              <w:rPr>
                <w:b/>
                <w:bCs/>
                <w:szCs w:val="24"/>
                <w:lang w:val="es-ES_tradnl"/>
              </w:rPr>
              <w:t>-</w:t>
            </w:r>
            <w:bookmarkStart w:id="3" w:name="DocNo1"/>
            <w:bookmarkEnd w:id="3"/>
            <w:r w:rsidR="00EC43F5" w:rsidRPr="00AB6FF2">
              <w:rPr>
                <w:b/>
                <w:bCs/>
                <w:szCs w:val="24"/>
                <w:lang w:val="es-ES_tradnl"/>
              </w:rPr>
              <w:t>S</w:t>
            </w:r>
          </w:p>
        </w:tc>
      </w:tr>
      <w:tr w:rsidR="0070796E" w:rsidRPr="00AE2BCA" w14:paraId="2EA9F9CE" w14:textId="77777777" w:rsidTr="00504609">
        <w:trPr>
          <w:cantSplit/>
          <w:trHeight w:val="23"/>
        </w:trPr>
        <w:tc>
          <w:tcPr>
            <w:tcW w:w="6379" w:type="dxa"/>
            <w:vMerge/>
          </w:tcPr>
          <w:p w14:paraId="2A780D8D" w14:textId="77777777" w:rsidR="0070796E" w:rsidRPr="0093043A" w:rsidRDefault="0070796E" w:rsidP="00504609">
            <w:pPr>
              <w:tabs>
                <w:tab w:val="left" w:pos="851"/>
              </w:tabs>
              <w:spacing w:line="240" w:lineRule="atLeast"/>
              <w:rPr>
                <w:b/>
                <w:lang w:val="fr-CH"/>
              </w:rPr>
            </w:pPr>
          </w:p>
        </w:tc>
        <w:tc>
          <w:tcPr>
            <w:tcW w:w="3262" w:type="dxa"/>
          </w:tcPr>
          <w:p w14:paraId="5AACB509" w14:textId="2C294DB0" w:rsidR="0070796E" w:rsidRPr="00AB6FF2" w:rsidRDefault="00B77FD1" w:rsidP="00504609">
            <w:pPr>
              <w:spacing w:before="0"/>
              <w:rPr>
                <w:b/>
                <w:bCs/>
                <w:szCs w:val="24"/>
                <w:lang w:val="es-ES_tradnl"/>
              </w:rPr>
            </w:pPr>
            <w:bookmarkStart w:id="4" w:name="CreationDate"/>
            <w:bookmarkEnd w:id="4"/>
            <w:r>
              <w:rPr>
                <w:b/>
                <w:bCs/>
                <w:szCs w:val="24"/>
                <w:lang w:val="es-ES_tradnl"/>
              </w:rPr>
              <w:t>11</w:t>
            </w:r>
            <w:r w:rsidR="0051607B" w:rsidRPr="00AB6FF2">
              <w:rPr>
                <w:b/>
                <w:bCs/>
                <w:szCs w:val="24"/>
                <w:lang w:val="es-ES_tradnl"/>
              </w:rPr>
              <w:t xml:space="preserve"> de diciembre de 2020</w:t>
            </w:r>
          </w:p>
        </w:tc>
      </w:tr>
      <w:tr w:rsidR="0070796E" w:rsidRPr="00AE2BCA" w14:paraId="03F0AF90" w14:textId="77777777" w:rsidTr="00504609">
        <w:trPr>
          <w:cantSplit/>
          <w:trHeight w:val="333"/>
        </w:trPr>
        <w:tc>
          <w:tcPr>
            <w:tcW w:w="6379" w:type="dxa"/>
            <w:vMerge/>
          </w:tcPr>
          <w:p w14:paraId="49E11E04" w14:textId="77777777" w:rsidR="0070796E" w:rsidRPr="00AE2BCA" w:rsidRDefault="0070796E" w:rsidP="00504609">
            <w:pPr>
              <w:tabs>
                <w:tab w:val="left" w:pos="851"/>
              </w:tabs>
              <w:spacing w:line="240" w:lineRule="atLeast"/>
              <w:rPr>
                <w:b/>
              </w:rPr>
            </w:pPr>
          </w:p>
        </w:tc>
        <w:tc>
          <w:tcPr>
            <w:tcW w:w="3262" w:type="dxa"/>
          </w:tcPr>
          <w:p w14:paraId="5C49528C" w14:textId="7F9241AA" w:rsidR="0070796E" w:rsidRPr="00AB6FF2" w:rsidRDefault="00EC43F5" w:rsidP="00504609">
            <w:pPr>
              <w:spacing w:before="0" w:after="120"/>
              <w:rPr>
                <w:b/>
                <w:bCs/>
                <w:szCs w:val="24"/>
                <w:lang w:val="es-ES_tradnl"/>
              </w:rPr>
            </w:pPr>
            <w:r w:rsidRPr="00AB6FF2">
              <w:rPr>
                <w:b/>
                <w:bCs/>
                <w:szCs w:val="24"/>
                <w:lang w:val="es-ES_tradnl"/>
              </w:rPr>
              <w:t>Original: inglés</w:t>
            </w:r>
          </w:p>
        </w:tc>
      </w:tr>
      <w:tr w:rsidR="0070796E" w:rsidRPr="00AE2BCA" w14:paraId="655B5FD0" w14:textId="77777777" w:rsidTr="00504609">
        <w:trPr>
          <w:cantSplit/>
          <w:trHeight w:val="23"/>
        </w:trPr>
        <w:tc>
          <w:tcPr>
            <w:tcW w:w="9641" w:type="dxa"/>
            <w:gridSpan w:val="2"/>
          </w:tcPr>
          <w:p w14:paraId="438BCD9A" w14:textId="766B257D" w:rsidR="0070796E" w:rsidRPr="00AB6FF2" w:rsidRDefault="00B77FD1" w:rsidP="00504609">
            <w:pPr>
              <w:tabs>
                <w:tab w:val="left" w:pos="1928"/>
              </w:tabs>
              <w:spacing w:before="240" w:after="240"/>
              <w:ind w:left="1928" w:hanging="1928"/>
              <w:jc w:val="center"/>
              <w:rPr>
                <w:b/>
                <w:bCs/>
                <w:sz w:val="28"/>
                <w:szCs w:val="28"/>
                <w:lang w:val="es-ES_tradnl"/>
              </w:rPr>
            </w:pPr>
            <w:r w:rsidRPr="00B77FD1">
              <w:rPr>
                <w:b/>
                <w:bCs/>
                <w:sz w:val="28"/>
                <w:szCs w:val="28"/>
                <w:lang w:val="es-ES_tradnl"/>
              </w:rPr>
              <w:t>Presidente del Grupo de Trabajo del GADT sobre los preparativos de la CMDT</w:t>
            </w:r>
          </w:p>
        </w:tc>
      </w:tr>
      <w:tr w:rsidR="00421F93" w:rsidRPr="00AE2BCA" w14:paraId="72DD2DDB" w14:textId="77777777" w:rsidTr="00504609">
        <w:trPr>
          <w:cantSplit/>
          <w:trHeight w:val="23"/>
        </w:trPr>
        <w:tc>
          <w:tcPr>
            <w:tcW w:w="9641" w:type="dxa"/>
            <w:gridSpan w:val="2"/>
          </w:tcPr>
          <w:p w14:paraId="7D77AAB7" w14:textId="63E26DEE" w:rsidR="00421F93" w:rsidRPr="00B77FD1" w:rsidRDefault="00B77FD1" w:rsidP="00B77FD1">
            <w:pPr>
              <w:tabs>
                <w:tab w:val="left" w:pos="1928"/>
              </w:tabs>
              <w:spacing w:after="120"/>
              <w:jc w:val="center"/>
              <w:rPr>
                <w:sz w:val="28"/>
                <w:szCs w:val="28"/>
                <w:lang w:val="es-ES_tradnl"/>
              </w:rPr>
            </w:pPr>
            <w:r w:rsidRPr="00B77FD1">
              <w:rPr>
                <w:sz w:val="28"/>
                <w:szCs w:val="28"/>
                <w:lang w:val="es-ES_tradnl"/>
              </w:rPr>
              <w:t xml:space="preserve">Informe final del Grupo de Trabajo del </w:t>
            </w:r>
            <w:r w:rsidRPr="00B77FD1">
              <w:rPr>
                <w:sz w:val="28"/>
                <w:szCs w:val="28"/>
                <w:lang w:val="es-ES_tradnl"/>
              </w:rPr>
              <w:t xml:space="preserve">GADT </w:t>
            </w:r>
            <w:r w:rsidRPr="00B77FD1">
              <w:rPr>
                <w:sz w:val="28"/>
                <w:szCs w:val="28"/>
                <w:lang w:val="es-ES_tradnl"/>
              </w:rPr>
              <w:t xml:space="preserve">sobre los preparativos </w:t>
            </w:r>
            <w:r>
              <w:rPr>
                <w:sz w:val="28"/>
                <w:szCs w:val="28"/>
                <w:lang w:val="es-ES_tradnl"/>
              </w:rPr>
              <w:br/>
            </w:r>
            <w:r w:rsidRPr="00B77FD1">
              <w:rPr>
                <w:sz w:val="28"/>
                <w:szCs w:val="28"/>
                <w:lang w:val="es-ES_tradnl"/>
              </w:rPr>
              <w:t xml:space="preserve">de la </w:t>
            </w:r>
            <w:r w:rsidRPr="00B77FD1">
              <w:rPr>
                <w:sz w:val="28"/>
                <w:szCs w:val="28"/>
                <w:lang w:val="es-ES_tradnl"/>
              </w:rPr>
              <w:t>CMDT (GT-GADT-P</w:t>
            </w:r>
            <w:r w:rsidRPr="00B77FD1">
              <w:rPr>
                <w:sz w:val="28"/>
                <w:szCs w:val="28"/>
                <w:lang w:val="es-ES_tradnl"/>
              </w:rPr>
              <w:t>rep</w:t>
            </w:r>
            <w:r w:rsidRPr="00B77FD1">
              <w:rPr>
                <w:sz w:val="28"/>
                <w:szCs w:val="28"/>
                <w:lang w:val="es-ES_tradnl"/>
              </w:rPr>
              <w:t>)</w:t>
            </w:r>
          </w:p>
        </w:tc>
      </w:tr>
      <w:tr w:rsidR="00504609" w:rsidRPr="00AE2BCA" w14:paraId="3FF473AE" w14:textId="77777777" w:rsidTr="00504609">
        <w:trPr>
          <w:cantSplit/>
          <w:trHeight w:val="23"/>
        </w:trPr>
        <w:tc>
          <w:tcPr>
            <w:tcW w:w="9641" w:type="dxa"/>
            <w:gridSpan w:val="2"/>
            <w:tcBorders>
              <w:bottom w:val="single" w:sz="4" w:space="0" w:color="auto"/>
            </w:tcBorders>
          </w:tcPr>
          <w:p w14:paraId="414CF233" w14:textId="77777777" w:rsidR="00504609" w:rsidRDefault="00504609" w:rsidP="00504609">
            <w:pPr>
              <w:tabs>
                <w:tab w:val="left" w:pos="1928"/>
              </w:tabs>
              <w:spacing w:after="120"/>
              <w:ind w:left="1928" w:hanging="1928"/>
              <w:jc w:val="center"/>
              <w:rPr>
                <w:sz w:val="28"/>
                <w:szCs w:val="28"/>
              </w:rPr>
            </w:pPr>
          </w:p>
        </w:tc>
      </w:tr>
      <w:tr w:rsidR="00504609" w:rsidRPr="00AE2BCA" w14:paraId="4D5D2375" w14:textId="77777777" w:rsidTr="00504609">
        <w:trPr>
          <w:cantSplit/>
          <w:trHeight w:val="23"/>
        </w:trPr>
        <w:tc>
          <w:tcPr>
            <w:tcW w:w="9641" w:type="dxa"/>
            <w:gridSpan w:val="2"/>
            <w:tcBorders>
              <w:top w:val="single" w:sz="4" w:space="0" w:color="auto"/>
              <w:left w:val="single" w:sz="4" w:space="0" w:color="auto"/>
              <w:bottom w:val="single" w:sz="4" w:space="0" w:color="auto"/>
              <w:right w:val="single" w:sz="4" w:space="0" w:color="auto"/>
            </w:tcBorders>
          </w:tcPr>
          <w:p w14:paraId="378F6B3F" w14:textId="7CB96380" w:rsidR="00EC43F5" w:rsidRPr="00AB6FF2" w:rsidRDefault="00E96CF9" w:rsidP="00EC43F5">
            <w:pPr>
              <w:tabs>
                <w:tab w:val="left" w:pos="1928"/>
              </w:tabs>
              <w:spacing w:after="120"/>
              <w:rPr>
                <w:b/>
                <w:bCs/>
                <w:szCs w:val="24"/>
                <w:lang w:val="es-ES_tradnl"/>
              </w:rPr>
            </w:pPr>
            <w:r w:rsidRPr="00AB6FF2">
              <w:rPr>
                <w:b/>
                <w:bCs/>
                <w:szCs w:val="24"/>
                <w:lang w:val="es-ES_tradnl"/>
              </w:rPr>
              <w:t>Punto del orden del día:</w:t>
            </w:r>
          </w:p>
          <w:p w14:paraId="141213DA" w14:textId="70BB9F31" w:rsidR="00EC43F5" w:rsidRPr="00AB6FF2" w:rsidRDefault="00B77FD1" w:rsidP="00EC43F5">
            <w:pPr>
              <w:tabs>
                <w:tab w:val="left" w:pos="1928"/>
              </w:tabs>
              <w:spacing w:after="120"/>
              <w:rPr>
                <w:szCs w:val="24"/>
                <w:lang w:val="es-ES_tradnl"/>
              </w:rPr>
            </w:pPr>
            <w:r w:rsidRPr="00B77FD1">
              <w:rPr>
                <w:szCs w:val="24"/>
                <w:lang w:val="es-ES_tradnl"/>
              </w:rPr>
              <w:t>Punto 7.1</w:t>
            </w:r>
          </w:p>
          <w:p w14:paraId="14903C02" w14:textId="0EEA74B7" w:rsidR="00EC43F5" w:rsidRPr="00AB6FF2" w:rsidRDefault="00EC43F5" w:rsidP="00EC43F5">
            <w:pPr>
              <w:tabs>
                <w:tab w:val="left" w:pos="1928"/>
              </w:tabs>
              <w:spacing w:after="120"/>
              <w:rPr>
                <w:b/>
                <w:bCs/>
                <w:szCs w:val="24"/>
                <w:lang w:val="es-ES_tradnl"/>
              </w:rPr>
            </w:pPr>
            <w:r w:rsidRPr="00AB6FF2">
              <w:rPr>
                <w:b/>
                <w:bCs/>
                <w:szCs w:val="24"/>
                <w:lang w:val="es-ES_tradnl"/>
              </w:rPr>
              <w:t>Resumen:</w:t>
            </w:r>
          </w:p>
          <w:p w14:paraId="7C5AD9D6" w14:textId="09B66B11" w:rsidR="00EC43F5" w:rsidRPr="00AB6FF2" w:rsidRDefault="00B77FD1" w:rsidP="00EC43F5">
            <w:pPr>
              <w:tabs>
                <w:tab w:val="left" w:pos="1928"/>
              </w:tabs>
              <w:spacing w:after="120"/>
              <w:rPr>
                <w:szCs w:val="24"/>
                <w:lang w:val="es-ES_tradnl"/>
              </w:rPr>
            </w:pPr>
            <w:r w:rsidRPr="00B77FD1">
              <w:rPr>
                <w:szCs w:val="24"/>
                <w:lang w:val="es-ES_tradnl"/>
              </w:rPr>
              <w:t xml:space="preserve">El presente documento contiene el </w:t>
            </w:r>
            <w:r w:rsidR="00EE7FCE" w:rsidRPr="00B77FD1">
              <w:rPr>
                <w:szCs w:val="24"/>
                <w:lang w:val="es-ES_tradnl"/>
              </w:rPr>
              <w:t xml:space="preserve">Informe </w:t>
            </w:r>
            <w:r w:rsidRPr="00B77FD1">
              <w:rPr>
                <w:szCs w:val="24"/>
                <w:lang w:val="es-ES_tradnl"/>
              </w:rPr>
              <w:t>final relativo a los trabajos del Grupo de Trabajo del</w:t>
            </w:r>
            <w:r w:rsidR="00E77422">
              <w:rPr>
                <w:szCs w:val="24"/>
                <w:lang w:val="es-ES_tradnl"/>
              </w:rPr>
              <w:t> </w:t>
            </w:r>
            <w:r w:rsidRPr="00B77FD1">
              <w:rPr>
                <w:szCs w:val="24"/>
                <w:lang w:val="es-ES_tradnl"/>
              </w:rPr>
              <w:t>GADT sobre los preparativos de la CMDT (GT-GADT-Prep), comprendidos los temas sobre los que el Grupo no pudo llegar a un consenso y el GADT-20/3 tomó una decisión.</w:t>
            </w:r>
          </w:p>
          <w:p w14:paraId="4463E106"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Resultados previstos:</w:t>
            </w:r>
          </w:p>
          <w:p w14:paraId="46BC8DCD" w14:textId="63E28D15" w:rsidR="00EC43F5" w:rsidRPr="00AB6FF2" w:rsidRDefault="00B77FD1" w:rsidP="00EC43F5">
            <w:pPr>
              <w:tabs>
                <w:tab w:val="left" w:pos="1928"/>
              </w:tabs>
              <w:spacing w:after="120"/>
              <w:rPr>
                <w:szCs w:val="24"/>
                <w:lang w:val="es-ES_tradnl"/>
              </w:rPr>
            </w:pPr>
            <w:r w:rsidRPr="00B77FD1">
              <w:rPr>
                <w:szCs w:val="24"/>
                <w:lang w:val="es-ES_tradnl"/>
              </w:rPr>
              <w:t>Se invita a la RPR-EUR a tomar nota del documento.</w:t>
            </w:r>
          </w:p>
          <w:p w14:paraId="236CC21F"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Referencias:</w:t>
            </w:r>
          </w:p>
          <w:p w14:paraId="51A1F5BD" w14:textId="310BE263" w:rsidR="00504609" w:rsidRPr="00AB6FF2" w:rsidRDefault="00E77422" w:rsidP="00EC43F5">
            <w:pPr>
              <w:tabs>
                <w:tab w:val="left" w:pos="1928"/>
              </w:tabs>
              <w:spacing w:after="120"/>
              <w:rPr>
                <w:szCs w:val="24"/>
                <w:lang w:val="es-ES_tradnl"/>
              </w:rPr>
            </w:pPr>
            <w:hyperlink r:id="rId9" w:history="1">
              <w:r w:rsidR="00B77FD1" w:rsidRPr="00E77422">
                <w:rPr>
                  <w:rStyle w:val="Hyperlink"/>
                  <w:szCs w:val="24"/>
                  <w:lang w:val="es-ES_tradnl"/>
                </w:rPr>
                <w:t>TDAG-20/3/5</w:t>
              </w:r>
            </w:hyperlink>
          </w:p>
        </w:tc>
      </w:tr>
    </w:tbl>
    <w:p w14:paraId="6B0A0245" w14:textId="7486D2E3" w:rsidR="0051607B" w:rsidRDefault="0051607B" w:rsidP="00AB6FF2">
      <w:bookmarkStart w:id="5" w:name="Results"/>
      <w:bookmarkStart w:id="6" w:name="References"/>
      <w:bookmarkEnd w:id="5"/>
      <w:bookmarkEnd w:id="6"/>
      <w:r>
        <w:br w:type="page"/>
      </w:r>
    </w:p>
    <w:p w14:paraId="59A8A18A" w14:textId="77777777" w:rsidR="00B77FD1" w:rsidRPr="000A4EF8" w:rsidRDefault="00B77FD1" w:rsidP="00EE7FCE">
      <w:pPr>
        <w:pStyle w:val="Headingb"/>
        <w:rPr>
          <w:bCs/>
          <w:lang w:val="es-ES_tradnl"/>
        </w:rPr>
      </w:pPr>
      <w:r w:rsidRPr="000A4EF8">
        <w:rPr>
          <w:lang w:val="es-ES_tradnl"/>
        </w:rPr>
        <w:lastRenderedPageBreak/>
        <w:t>Resumen</w:t>
      </w:r>
    </w:p>
    <w:p w14:paraId="354A0C64" w14:textId="05412353" w:rsidR="00B77FD1" w:rsidRPr="000A4EF8" w:rsidRDefault="00B77FD1" w:rsidP="00B77FD1">
      <w:pPr>
        <w:spacing w:after="120"/>
        <w:rPr>
          <w:rFonts w:cstheme="minorHAnsi"/>
          <w:bCs/>
          <w:szCs w:val="24"/>
          <w:lang w:val="es-ES_tradnl"/>
        </w:rPr>
      </w:pPr>
      <w:r w:rsidRPr="000A4EF8">
        <w:rPr>
          <w:rFonts w:cstheme="minorHAnsi"/>
          <w:bCs/>
          <w:szCs w:val="24"/>
          <w:lang w:val="es-ES_tradnl"/>
        </w:rPr>
        <w:t xml:space="preserve">El presente documento contiene el informe final del Grupo de Trabajo del GADT sobre los preparativos de la CMDT, incluidas propuestas basadas en su mandato. El informe </w:t>
      </w:r>
      <w:r>
        <w:rPr>
          <w:rFonts w:cstheme="minorHAnsi"/>
          <w:bCs/>
          <w:szCs w:val="24"/>
          <w:lang w:val="es-ES_tradnl"/>
        </w:rPr>
        <w:t>también contiene las decisiones adoptadas por el</w:t>
      </w:r>
      <w:r w:rsidRPr="000A4EF8">
        <w:rPr>
          <w:rFonts w:cstheme="minorHAnsi"/>
          <w:bCs/>
          <w:szCs w:val="24"/>
          <w:lang w:val="es-ES_tradnl"/>
        </w:rPr>
        <w:t xml:space="preserve"> GADT-20/3</w:t>
      </w:r>
      <w:r>
        <w:rPr>
          <w:rFonts w:cstheme="minorHAnsi"/>
          <w:bCs/>
          <w:szCs w:val="24"/>
          <w:lang w:val="es-ES_tradnl"/>
        </w:rPr>
        <w:t xml:space="preserve"> en relación con los temas sobre los que el Grupo no pudo llegar a un consenso</w:t>
      </w:r>
      <w:r w:rsidRPr="000A4EF8">
        <w:rPr>
          <w:rFonts w:cstheme="minorHAnsi"/>
          <w:bCs/>
          <w:szCs w:val="24"/>
          <w:lang w:val="es-ES_tradnl"/>
        </w:rPr>
        <w:t>.</w:t>
      </w:r>
    </w:p>
    <w:p w14:paraId="74CA2953" w14:textId="223EC5BD" w:rsidR="00B77FD1" w:rsidRPr="000A4EF8" w:rsidRDefault="00B77FD1" w:rsidP="00B77FD1">
      <w:pPr>
        <w:shd w:val="clear" w:color="auto" w:fill="FFFFFF"/>
        <w:spacing w:after="120"/>
        <w:rPr>
          <w:rFonts w:cstheme="minorHAnsi"/>
          <w:bCs/>
          <w:szCs w:val="24"/>
          <w:lang w:val="es-ES_tradnl"/>
        </w:rPr>
      </w:pPr>
      <w:r w:rsidRPr="000A4EF8">
        <w:rPr>
          <w:rFonts w:cstheme="minorHAnsi"/>
          <w:bCs/>
          <w:szCs w:val="24"/>
          <w:lang w:val="es-ES_tradnl"/>
        </w:rPr>
        <w:t>El GADT creó su Grupo de Trabajo sobre los preparativos de la CMDT en la reunión que celebró del</w:t>
      </w:r>
      <w:r>
        <w:rPr>
          <w:rFonts w:cstheme="minorHAnsi"/>
          <w:bCs/>
          <w:szCs w:val="24"/>
          <w:lang w:val="es-ES_tradnl"/>
        </w:rPr>
        <w:t> </w:t>
      </w:r>
      <w:r w:rsidRPr="000A4EF8">
        <w:rPr>
          <w:rFonts w:cstheme="minorHAnsi"/>
          <w:bCs/>
          <w:szCs w:val="24"/>
          <w:lang w:val="es-ES_tradnl"/>
        </w:rPr>
        <w:t xml:space="preserve">2 al 5 de junio de 2020, y aprobó su </w:t>
      </w:r>
      <w:hyperlink r:id="rId10" w:history="1">
        <w:r w:rsidRPr="000A4EF8">
          <w:rPr>
            <w:rStyle w:val="Hyperlink"/>
            <w:rFonts w:cstheme="minorHAnsi"/>
            <w:bCs/>
            <w:szCs w:val="24"/>
            <w:lang w:val="es-ES_tradnl"/>
          </w:rPr>
          <w:t>m</w:t>
        </w:r>
        <w:r w:rsidRPr="000A4EF8">
          <w:rPr>
            <w:rStyle w:val="Hyperlink"/>
            <w:rFonts w:cstheme="minorHAnsi"/>
            <w:bCs/>
            <w:szCs w:val="24"/>
            <w:lang w:val="es-ES_tradnl"/>
          </w:rPr>
          <w:t>a</w:t>
        </w:r>
        <w:r w:rsidRPr="000A4EF8">
          <w:rPr>
            <w:rStyle w:val="Hyperlink"/>
            <w:rFonts w:cstheme="minorHAnsi"/>
            <w:bCs/>
            <w:szCs w:val="24"/>
            <w:lang w:val="es-ES_tradnl"/>
          </w:rPr>
          <w:t>ndato</w:t>
        </w:r>
      </w:hyperlink>
      <w:r w:rsidRPr="000A4EF8">
        <w:rPr>
          <w:rFonts w:cstheme="minorHAnsi"/>
          <w:bCs/>
          <w:szCs w:val="24"/>
          <w:lang w:val="es-ES_tradnl"/>
        </w:rPr>
        <w:t xml:space="preserve"> en una reunión extraordinaria posterior, celebrada el 16 de junio de 2020, en la que también nombró al Sr. Santiago Reyes-Borda (Canadá) Presidente del Grupo de Trabajo en cuestión</w:t>
      </w:r>
      <w:r w:rsidRPr="000A4EF8">
        <w:rPr>
          <w:rFonts w:cs="Arial"/>
          <w:szCs w:val="24"/>
          <w:lang w:val="es-ES_tradnl"/>
        </w:rPr>
        <w:t>.</w:t>
      </w:r>
    </w:p>
    <w:p w14:paraId="0AA03C8F" w14:textId="77777777" w:rsidR="00B77FD1" w:rsidRPr="000A4EF8" w:rsidRDefault="00B77FD1" w:rsidP="00B77FD1">
      <w:pPr>
        <w:spacing w:after="120"/>
        <w:rPr>
          <w:rFonts w:cstheme="minorHAnsi"/>
          <w:bCs/>
          <w:szCs w:val="24"/>
          <w:lang w:val="es-ES_tradnl"/>
        </w:rPr>
      </w:pPr>
      <w:r w:rsidRPr="000A4EF8">
        <w:rPr>
          <w:rFonts w:cstheme="minorHAnsi"/>
          <w:bCs/>
          <w:szCs w:val="24"/>
          <w:lang w:val="es-ES_tradnl"/>
        </w:rPr>
        <w:t>El Grupo ha celebrado cuatro reuniones en los meses de julio, septiembre y octubre de 2020 y ha recibido doce contribuciones elaboradas por Estados Miembros y Miembros de Sector, que fueron objeto de presentación y debate en dichas reuniones. Los informes de las distintas reuniones pueden consultarse en:</w:t>
      </w:r>
    </w:p>
    <w:tbl>
      <w:tblPr>
        <w:tblStyle w:val="TableGrid"/>
        <w:tblW w:w="0" w:type="auto"/>
        <w:tblLook w:val="04A0" w:firstRow="1" w:lastRow="0" w:firstColumn="1" w:lastColumn="0" w:noHBand="0" w:noVBand="1"/>
      </w:tblPr>
      <w:tblGrid>
        <w:gridCol w:w="4727"/>
        <w:gridCol w:w="4667"/>
      </w:tblGrid>
      <w:tr w:rsidR="00B77FD1" w:rsidRPr="000A4EF8" w14:paraId="28534B43" w14:textId="77777777" w:rsidTr="00EE7FCE">
        <w:tc>
          <w:tcPr>
            <w:tcW w:w="4727" w:type="dxa"/>
          </w:tcPr>
          <w:p w14:paraId="403FE08A" w14:textId="1245C3C9" w:rsidR="00B77FD1" w:rsidRPr="000A4EF8" w:rsidRDefault="00B77FD1" w:rsidP="00F250AC">
            <w:pPr>
              <w:spacing w:before="40" w:after="40"/>
              <w:jc w:val="center"/>
              <w:rPr>
                <w:rFonts w:cstheme="minorHAnsi"/>
                <w:bCs/>
                <w:szCs w:val="24"/>
                <w:lang w:val="es-ES_tradnl"/>
              </w:rPr>
            </w:pPr>
            <w:r w:rsidRPr="00C97E1B">
              <w:rPr>
                <w:rFonts w:asciiTheme="minorHAnsi" w:hAnsiTheme="minorHAnsi" w:cstheme="minorHAnsi"/>
                <w:bCs/>
                <w:szCs w:val="24"/>
                <w:lang w:val="es-ES_tradnl"/>
              </w:rPr>
              <w:t>16 de julio de 2020 –</w:t>
            </w:r>
            <w:r w:rsidRPr="000A4EF8">
              <w:rPr>
                <w:rFonts w:cstheme="minorHAnsi"/>
                <w:bCs/>
                <w:szCs w:val="24"/>
                <w:lang w:val="es-ES_tradnl"/>
              </w:rPr>
              <w:t xml:space="preserve"> </w:t>
            </w:r>
            <w:hyperlink r:id="rId11" w:history="1">
              <w:r w:rsidRPr="00C97E1B">
                <w:rPr>
                  <w:rStyle w:val="Hyperlink"/>
                  <w:rFonts w:asciiTheme="minorHAnsi" w:hAnsiTheme="minorHAnsi" w:cstheme="minorHAnsi"/>
                  <w:bCs/>
                  <w:szCs w:val="24"/>
                  <w:lang w:val="es-ES_tradnl"/>
                </w:rPr>
                <w:t>GT-GA</w:t>
              </w:r>
              <w:r w:rsidRPr="00C97E1B">
                <w:rPr>
                  <w:rStyle w:val="Hyperlink"/>
                  <w:rFonts w:asciiTheme="minorHAnsi" w:hAnsiTheme="minorHAnsi" w:cstheme="minorHAnsi"/>
                  <w:bCs/>
                  <w:szCs w:val="24"/>
                  <w:lang w:val="es-ES_tradnl"/>
                </w:rPr>
                <w:t>D</w:t>
              </w:r>
              <w:r w:rsidRPr="00C97E1B">
                <w:rPr>
                  <w:rStyle w:val="Hyperlink"/>
                  <w:rFonts w:asciiTheme="minorHAnsi" w:hAnsiTheme="minorHAnsi" w:cstheme="minorHAnsi"/>
                  <w:bCs/>
                  <w:szCs w:val="24"/>
                  <w:lang w:val="es-ES_tradnl"/>
                </w:rPr>
                <w:t>T-Prep/4</w:t>
              </w:r>
            </w:hyperlink>
          </w:p>
        </w:tc>
        <w:tc>
          <w:tcPr>
            <w:tcW w:w="4667" w:type="dxa"/>
          </w:tcPr>
          <w:p w14:paraId="6D95D683" w14:textId="34F02978" w:rsidR="00B77FD1" w:rsidRPr="000A4EF8" w:rsidRDefault="00B77FD1" w:rsidP="00F250AC">
            <w:pPr>
              <w:spacing w:before="40" w:after="40"/>
              <w:jc w:val="center"/>
              <w:rPr>
                <w:rFonts w:cstheme="minorHAnsi"/>
                <w:bCs/>
                <w:szCs w:val="24"/>
                <w:lang w:val="es-ES_tradnl"/>
              </w:rPr>
            </w:pPr>
            <w:r w:rsidRPr="00C97E1B">
              <w:rPr>
                <w:rFonts w:asciiTheme="minorHAnsi" w:hAnsiTheme="minorHAnsi" w:cstheme="minorHAnsi"/>
                <w:bCs/>
                <w:szCs w:val="24"/>
                <w:lang w:val="es-ES_tradnl"/>
              </w:rPr>
              <w:t>30 de septiembre de 2020 –</w:t>
            </w:r>
            <w:r w:rsidRPr="000A4EF8">
              <w:rPr>
                <w:rFonts w:cstheme="minorHAnsi"/>
                <w:bCs/>
                <w:szCs w:val="24"/>
                <w:lang w:val="es-ES_tradnl"/>
              </w:rPr>
              <w:t xml:space="preserve"> </w:t>
            </w:r>
            <w:hyperlink r:id="rId12" w:history="1">
              <w:r w:rsidRPr="00C97E1B">
                <w:rPr>
                  <w:rStyle w:val="Hyperlink"/>
                  <w:rFonts w:asciiTheme="minorHAnsi" w:hAnsiTheme="minorHAnsi" w:cstheme="minorHAnsi"/>
                  <w:bCs/>
                  <w:szCs w:val="24"/>
                  <w:lang w:val="es-ES_tradnl"/>
                </w:rPr>
                <w:t>GT</w:t>
              </w:r>
              <w:r w:rsidR="00EE7FCE">
                <w:rPr>
                  <w:rStyle w:val="Hyperlink"/>
                  <w:rFonts w:asciiTheme="minorHAnsi" w:hAnsiTheme="minorHAnsi" w:cstheme="minorHAnsi"/>
                  <w:bCs/>
                  <w:szCs w:val="24"/>
                  <w:lang w:val="es-ES_tradnl"/>
                </w:rPr>
                <w:noBreakHyphen/>
              </w:r>
              <w:r w:rsidRPr="00C97E1B">
                <w:rPr>
                  <w:rStyle w:val="Hyperlink"/>
                  <w:rFonts w:asciiTheme="minorHAnsi" w:hAnsiTheme="minorHAnsi" w:cstheme="minorHAnsi"/>
                  <w:bCs/>
                  <w:szCs w:val="24"/>
                  <w:lang w:val="es-ES_tradnl"/>
                </w:rPr>
                <w:t>G</w:t>
              </w:r>
              <w:r w:rsidRPr="00C97E1B">
                <w:rPr>
                  <w:rStyle w:val="Hyperlink"/>
                  <w:rFonts w:asciiTheme="minorHAnsi" w:hAnsiTheme="minorHAnsi" w:cstheme="minorHAnsi"/>
                  <w:bCs/>
                  <w:szCs w:val="24"/>
                  <w:lang w:val="es-ES_tradnl"/>
                </w:rPr>
                <w:t>ADT</w:t>
              </w:r>
              <w:r w:rsidR="00EE7FCE">
                <w:rPr>
                  <w:rStyle w:val="Hyperlink"/>
                  <w:rFonts w:asciiTheme="minorHAnsi" w:hAnsiTheme="minorHAnsi" w:cstheme="minorHAnsi"/>
                  <w:bCs/>
                  <w:szCs w:val="24"/>
                  <w:lang w:val="es-ES_tradnl"/>
                </w:rPr>
                <w:noBreakHyphen/>
              </w:r>
              <w:r w:rsidRPr="00C97E1B">
                <w:rPr>
                  <w:rStyle w:val="Hyperlink"/>
                  <w:rFonts w:asciiTheme="minorHAnsi" w:hAnsiTheme="minorHAnsi" w:cstheme="minorHAnsi"/>
                  <w:bCs/>
                  <w:szCs w:val="24"/>
                  <w:lang w:val="es-ES_tradnl"/>
                </w:rPr>
                <w:t>Prep/18</w:t>
              </w:r>
            </w:hyperlink>
          </w:p>
        </w:tc>
      </w:tr>
      <w:tr w:rsidR="00B77FD1" w:rsidRPr="000A4EF8" w14:paraId="218E44E6" w14:textId="77777777" w:rsidTr="00EE7FCE">
        <w:tc>
          <w:tcPr>
            <w:tcW w:w="4727" w:type="dxa"/>
          </w:tcPr>
          <w:p w14:paraId="1E7B23EE" w14:textId="59238995" w:rsidR="00B77FD1" w:rsidRPr="000A4EF8" w:rsidRDefault="00B77FD1" w:rsidP="00F250AC">
            <w:pPr>
              <w:spacing w:before="40" w:after="40"/>
              <w:jc w:val="center"/>
              <w:rPr>
                <w:rFonts w:cstheme="minorHAnsi"/>
                <w:bCs/>
                <w:szCs w:val="24"/>
                <w:lang w:val="es-ES_tradnl"/>
              </w:rPr>
            </w:pPr>
            <w:r w:rsidRPr="00C97E1B">
              <w:rPr>
                <w:rFonts w:asciiTheme="minorHAnsi" w:hAnsiTheme="minorHAnsi" w:cstheme="minorHAnsi"/>
                <w:bCs/>
                <w:szCs w:val="24"/>
                <w:lang w:val="es-ES_tradnl"/>
              </w:rPr>
              <w:t>7 de septiembre de 2020 –</w:t>
            </w:r>
            <w:r w:rsidRPr="000A4EF8">
              <w:rPr>
                <w:rFonts w:cstheme="minorHAnsi"/>
                <w:bCs/>
                <w:szCs w:val="24"/>
                <w:lang w:val="es-ES_tradnl"/>
              </w:rPr>
              <w:t xml:space="preserve"> </w:t>
            </w:r>
            <w:hyperlink r:id="rId13" w:history="1">
              <w:r w:rsidRPr="00C97E1B">
                <w:rPr>
                  <w:rStyle w:val="Hyperlink"/>
                  <w:rFonts w:asciiTheme="minorHAnsi" w:hAnsiTheme="minorHAnsi" w:cstheme="minorHAnsi"/>
                  <w:bCs/>
                  <w:szCs w:val="24"/>
                  <w:lang w:val="es-ES_tradnl"/>
                </w:rPr>
                <w:t>GT-GA</w:t>
              </w:r>
              <w:r w:rsidRPr="00C97E1B">
                <w:rPr>
                  <w:rStyle w:val="Hyperlink"/>
                  <w:rFonts w:asciiTheme="minorHAnsi" w:hAnsiTheme="minorHAnsi" w:cstheme="minorHAnsi"/>
                  <w:bCs/>
                  <w:szCs w:val="24"/>
                  <w:lang w:val="es-ES_tradnl"/>
                </w:rPr>
                <w:t>D</w:t>
              </w:r>
              <w:r w:rsidRPr="00C97E1B">
                <w:rPr>
                  <w:rStyle w:val="Hyperlink"/>
                  <w:rFonts w:asciiTheme="minorHAnsi" w:hAnsiTheme="minorHAnsi" w:cstheme="minorHAnsi"/>
                  <w:bCs/>
                  <w:szCs w:val="24"/>
                  <w:lang w:val="es-ES_tradnl"/>
                </w:rPr>
                <w:t>T-Prep/12</w:t>
              </w:r>
            </w:hyperlink>
          </w:p>
        </w:tc>
        <w:tc>
          <w:tcPr>
            <w:tcW w:w="4667" w:type="dxa"/>
          </w:tcPr>
          <w:p w14:paraId="751E2C16" w14:textId="1B32DAB5" w:rsidR="00B77FD1" w:rsidRPr="000A4EF8" w:rsidRDefault="00B77FD1" w:rsidP="00F250AC">
            <w:pPr>
              <w:spacing w:before="40" w:after="40"/>
              <w:jc w:val="center"/>
              <w:rPr>
                <w:rFonts w:cstheme="minorHAnsi"/>
                <w:bCs/>
                <w:szCs w:val="24"/>
                <w:lang w:val="es-ES_tradnl"/>
              </w:rPr>
            </w:pPr>
            <w:r w:rsidRPr="00C97E1B">
              <w:rPr>
                <w:rFonts w:asciiTheme="minorHAnsi" w:hAnsiTheme="minorHAnsi" w:cstheme="minorHAnsi"/>
                <w:bCs/>
                <w:szCs w:val="24"/>
                <w:lang w:val="es-ES_tradnl"/>
              </w:rPr>
              <w:t>20 de octubre y 4 de noviembre de 2020</w:t>
            </w:r>
            <w:r w:rsidRPr="000A4EF8">
              <w:rPr>
                <w:rFonts w:cstheme="minorHAnsi"/>
                <w:bCs/>
                <w:szCs w:val="24"/>
                <w:lang w:val="es-ES_tradnl"/>
              </w:rPr>
              <w:br/>
            </w:r>
            <w:hyperlink r:id="rId14" w:history="1">
              <w:r w:rsidRPr="00C97E1B">
                <w:rPr>
                  <w:rStyle w:val="Hyperlink"/>
                  <w:rFonts w:asciiTheme="minorHAnsi" w:hAnsiTheme="minorHAnsi" w:cstheme="minorHAnsi"/>
                  <w:bCs/>
                  <w:szCs w:val="24"/>
                  <w:lang w:val="es-ES_tradnl"/>
                </w:rPr>
                <w:t>GT-GADT-Pre</w:t>
              </w:r>
              <w:r w:rsidRPr="00C97E1B">
                <w:rPr>
                  <w:rStyle w:val="Hyperlink"/>
                  <w:rFonts w:asciiTheme="minorHAnsi" w:hAnsiTheme="minorHAnsi" w:cstheme="minorHAnsi"/>
                  <w:bCs/>
                  <w:szCs w:val="24"/>
                  <w:lang w:val="es-ES_tradnl"/>
                </w:rPr>
                <w:t>p</w:t>
              </w:r>
              <w:r w:rsidRPr="00C97E1B">
                <w:rPr>
                  <w:rStyle w:val="Hyperlink"/>
                  <w:rFonts w:asciiTheme="minorHAnsi" w:hAnsiTheme="minorHAnsi" w:cstheme="minorHAnsi"/>
                  <w:bCs/>
                  <w:szCs w:val="24"/>
                  <w:lang w:val="es-ES_tradnl"/>
                </w:rPr>
                <w:t>/26</w:t>
              </w:r>
            </w:hyperlink>
          </w:p>
        </w:tc>
      </w:tr>
    </w:tbl>
    <w:p w14:paraId="69F5FD99" w14:textId="77777777" w:rsidR="00B77FD1" w:rsidRPr="000A4EF8" w:rsidRDefault="00B77FD1" w:rsidP="00B77FD1">
      <w:pPr>
        <w:pStyle w:val="Headingb"/>
        <w:spacing w:before="240"/>
        <w:rPr>
          <w:lang w:val="es-ES_tradnl"/>
        </w:rPr>
      </w:pPr>
      <w:r w:rsidRPr="000A4EF8">
        <w:rPr>
          <w:lang w:val="es-ES_tradnl"/>
        </w:rPr>
        <w:t>Introducción</w:t>
      </w:r>
    </w:p>
    <w:p w14:paraId="1D0ED2D1" w14:textId="77777777" w:rsidR="00B77FD1" w:rsidRPr="000A4EF8" w:rsidRDefault="00B77FD1" w:rsidP="00B77FD1">
      <w:pPr>
        <w:rPr>
          <w:rFonts w:cstheme="minorHAnsi"/>
          <w:szCs w:val="24"/>
          <w:lang w:val="es-ES_tradnl"/>
        </w:rPr>
      </w:pPr>
      <w:r w:rsidRPr="000A4EF8">
        <w:rPr>
          <w:rFonts w:cstheme="minorHAnsi"/>
          <w:szCs w:val="24"/>
          <w:lang w:val="es-ES_tradnl"/>
        </w:rPr>
        <w:t>En el transcurso de sus reuniones, el grupo ha recalcado que la CMDT debería ser una conferencia orientada a la acción, en la que las partes interesadas pudieran celebrar diálogos interactivos, con mira a forjar una visión común de los obstáculos existentes y promover soluciones eficaces, sostenibles e innovadoras para la expansión de una conectividad positiva para todos a escala mundial.</w:t>
      </w:r>
    </w:p>
    <w:p w14:paraId="5CBA558B" w14:textId="77777777" w:rsidR="00B77FD1" w:rsidRPr="000A4EF8" w:rsidRDefault="00B77FD1" w:rsidP="00B77FD1">
      <w:pPr>
        <w:rPr>
          <w:szCs w:val="24"/>
          <w:lang w:val="es-ES_tradnl"/>
        </w:rPr>
      </w:pPr>
      <w:r w:rsidRPr="000A4EF8">
        <w:rPr>
          <w:szCs w:val="24"/>
          <w:lang w:val="es-ES_tradnl"/>
        </w:rPr>
        <w:t>Como muchos han señalado, la pandemia de COVID-19 ha puesto de relieve la importancia fundamental de las telecomunicaciones y las tecnologías de la información y la comunicación (TIC) en todos los ámbitos de la vida de las personas, en particular para la salud, la educación, el trabajo y el ocio. En los próximos años, las repercusiones económicas de la COVID-19 se interpondrán en el camino hacia la recuperación económica de los países tanto desarrollados como en desarrollo. Las telecomunicaciones y las TIC desempeñarán un papel fundamental en esta recuperación. A través de su Sector de Desarrollo de las Telecomunicaciones (UIT-D), la UIT puede ejercer una función esencial en la congregación de países para abordar los numerosos problemas que plantean las repercusiones de la pandemia en la economía mundial.</w:t>
      </w:r>
    </w:p>
    <w:p w14:paraId="7370A97B" w14:textId="35FBC2DC" w:rsidR="00B77FD1" w:rsidRPr="000A4EF8" w:rsidRDefault="00B77FD1" w:rsidP="00B77FD1">
      <w:pPr>
        <w:rPr>
          <w:szCs w:val="24"/>
          <w:lang w:val="es-ES_tradnl"/>
        </w:rPr>
      </w:pPr>
      <w:r w:rsidRPr="000A4EF8">
        <w:rPr>
          <w:szCs w:val="24"/>
          <w:lang w:val="es-ES_tradnl"/>
        </w:rPr>
        <w:t>Los participantes en el grupo consideran que la CMDT-21 brinda una oportunidad inestimable de situar la decisiva labor del UIT-D en el epicentro de las iniciativas encaminadas a garantizar que todos los habitantes de todos los países del mundo gocen de acceso a una banda ancha asequible y de alta calidad. En ese sentido, el proceso preparatorio, la estructura y el contenido de la CMDT deben concebirse con el objetivo de que nadie se quede atrás</w:t>
      </w:r>
      <w:r w:rsidR="00EE7FCE">
        <w:rPr>
          <w:szCs w:val="24"/>
          <w:lang w:val="es-ES_tradnl"/>
        </w:rPr>
        <w:t>.</w:t>
      </w:r>
    </w:p>
    <w:p w14:paraId="4422DAC8" w14:textId="77777777" w:rsidR="00B77FD1" w:rsidRPr="00E33567" w:rsidRDefault="00B77FD1" w:rsidP="00B77FD1">
      <w:pPr>
        <w:pStyle w:val="Headingb"/>
        <w:spacing w:after="240"/>
        <w:rPr>
          <w:sz w:val="28"/>
          <w:szCs w:val="28"/>
          <w:lang w:val="es-ES_tradnl"/>
        </w:rPr>
      </w:pPr>
      <w:r w:rsidRPr="00E33567">
        <w:rPr>
          <w:sz w:val="28"/>
          <w:szCs w:val="28"/>
          <w:lang w:val="es-ES_tradnl"/>
        </w:rPr>
        <w:lastRenderedPageBreak/>
        <w:t>Sección I: Proceso preparatorio</w:t>
      </w:r>
    </w:p>
    <w:tbl>
      <w:tblPr>
        <w:tblStyle w:val="TableGrid"/>
        <w:tblW w:w="9776" w:type="dxa"/>
        <w:tblLook w:val="04A0" w:firstRow="1" w:lastRow="0" w:firstColumn="1" w:lastColumn="0" w:noHBand="0" w:noVBand="1"/>
      </w:tblPr>
      <w:tblGrid>
        <w:gridCol w:w="9776"/>
      </w:tblGrid>
      <w:tr w:rsidR="00B77FD1" w:rsidRPr="00943408" w14:paraId="32496EEB" w14:textId="77777777" w:rsidTr="00F250AC">
        <w:tc>
          <w:tcPr>
            <w:tcW w:w="9776" w:type="dxa"/>
            <w:shd w:val="clear" w:color="auto" w:fill="9BE5FF"/>
          </w:tcPr>
          <w:p w14:paraId="082FF151" w14:textId="42D1F684" w:rsidR="00B77FD1" w:rsidRPr="00943408" w:rsidRDefault="00EE7FCE" w:rsidP="00F250AC">
            <w:pPr>
              <w:pStyle w:val="enumlev1"/>
              <w:keepNext/>
              <w:spacing w:after="80"/>
              <w:rPr>
                <w:rFonts w:asciiTheme="minorHAnsi" w:hAnsiTheme="minorHAnsi" w:cstheme="minorHAnsi"/>
                <w:b/>
                <w:bCs/>
                <w:szCs w:val="24"/>
                <w:lang w:val="es-ES_tradnl"/>
              </w:rPr>
            </w:pPr>
            <w:r>
              <w:rPr>
                <w:rFonts w:asciiTheme="minorHAnsi" w:hAnsiTheme="minorHAnsi" w:cstheme="minorHAnsi"/>
                <w:b/>
                <w:bCs/>
                <w:szCs w:val="24"/>
                <w:lang w:val="es-ES_tradnl"/>
              </w:rPr>
              <w:t>•</w:t>
            </w:r>
            <w:r w:rsidR="00B77FD1" w:rsidRPr="00943408">
              <w:rPr>
                <w:rFonts w:asciiTheme="minorHAnsi" w:hAnsiTheme="minorHAnsi" w:cstheme="minorHAnsi"/>
                <w:b/>
                <w:bCs/>
                <w:szCs w:val="24"/>
                <w:lang w:val="es-ES_tradnl"/>
              </w:rPr>
              <w:tab/>
              <w:t>Examinar las propuestas preliminares de la CMDT sobre el proceso preparatorio de la CMDT-21, incluidas las respuestas a la encuesta de la BDT sobre la reforma de la CMDT, que se debatió durante los dos diálogos en la web del GADT, así como cualquier otra contribución conexa de los miembros a la reunión virtual del GADT-20 sobre la CMDT</w:t>
            </w:r>
            <w:r>
              <w:rPr>
                <w:rFonts w:asciiTheme="minorHAnsi" w:hAnsiTheme="minorHAnsi" w:cstheme="minorHAnsi"/>
                <w:b/>
                <w:bCs/>
                <w:szCs w:val="24"/>
                <w:lang w:val="es-ES_tradnl"/>
              </w:rPr>
              <w:t>.</w:t>
            </w:r>
          </w:p>
        </w:tc>
      </w:tr>
      <w:tr w:rsidR="00B77FD1" w:rsidRPr="00943408" w14:paraId="5EFD562C" w14:textId="77777777" w:rsidTr="00F250AC">
        <w:tc>
          <w:tcPr>
            <w:tcW w:w="9776" w:type="dxa"/>
          </w:tcPr>
          <w:p w14:paraId="4630F394" w14:textId="77777777"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w:t>
            </w:r>
          </w:p>
        </w:tc>
      </w:tr>
    </w:tbl>
    <w:p w14:paraId="37DFB4EB" w14:textId="77777777" w:rsidR="00B77FD1" w:rsidRPr="00943408" w:rsidRDefault="00B77FD1" w:rsidP="00B77FD1">
      <w:pPr>
        <w:spacing w:after="120"/>
        <w:rPr>
          <w:rFonts w:cstheme="minorHAnsi"/>
          <w:bCs/>
          <w:szCs w:val="24"/>
          <w:lang w:val="es-ES_tradnl"/>
        </w:rPr>
      </w:pPr>
    </w:p>
    <w:tbl>
      <w:tblPr>
        <w:tblStyle w:val="TableGrid"/>
        <w:tblW w:w="9776" w:type="dxa"/>
        <w:tblLook w:val="04A0" w:firstRow="1" w:lastRow="0" w:firstColumn="1" w:lastColumn="0" w:noHBand="0" w:noVBand="1"/>
      </w:tblPr>
      <w:tblGrid>
        <w:gridCol w:w="9776"/>
      </w:tblGrid>
      <w:tr w:rsidR="00B77FD1" w:rsidRPr="00943408" w14:paraId="7165811B" w14:textId="77777777" w:rsidTr="00F250AC">
        <w:tc>
          <w:tcPr>
            <w:tcW w:w="9776" w:type="dxa"/>
            <w:shd w:val="clear" w:color="auto" w:fill="9BE5FF"/>
          </w:tcPr>
          <w:p w14:paraId="1C2C7A88" w14:textId="538607D8" w:rsidR="00B77FD1" w:rsidRPr="00943408" w:rsidRDefault="00B77FD1" w:rsidP="00F250AC">
            <w:pPr>
              <w:pStyle w:val="enumlev1"/>
              <w:keepNext/>
              <w:spacing w:after="80"/>
              <w:rPr>
                <w:rFonts w:asciiTheme="minorHAnsi" w:hAnsiTheme="minorHAnsi" w:cstheme="minorHAnsi"/>
                <w:bCs/>
                <w:szCs w:val="24"/>
                <w:lang w:val="es-ES_tradnl"/>
              </w:rPr>
            </w:pPr>
            <w:r w:rsidRPr="00943408">
              <w:rPr>
                <w:rFonts w:asciiTheme="minorHAnsi" w:hAnsiTheme="minorHAnsi" w:cstheme="minorHAnsi"/>
                <w:b/>
                <w:bCs/>
                <w:szCs w:val="24"/>
                <w:lang w:val="es-ES_tradnl"/>
              </w:rPr>
              <w:t>•</w:t>
            </w:r>
            <w:r w:rsidRPr="00943408">
              <w:rPr>
                <w:rFonts w:asciiTheme="minorHAnsi" w:hAnsiTheme="minorHAnsi" w:cstheme="minorHAnsi"/>
                <w:b/>
                <w:bCs/>
                <w:szCs w:val="24"/>
                <w:lang w:val="es-ES_tradnl"/>
              </w:rPr>
              <w:tab/>
              <w:t>En consulta con los miembros de la UIT y la Oficina del GADT, formular recomendaciones para la organización de reuniones preparatorias y eventos previos a la conferencia</w:t>
            </w:r>
            <w:r w:rsidR="00EE7FCE">
              <w:rPr>
                <w:rFonts w:asciiTheme="minorHAnsi" w:hAnsiTheme="minorHAnsi" w:cstheme="minorHAnsi"/>
                <w:b/>
                <w:bCs/>
                <w:szCs w:val="24"/>
                <w:lang w:val="es-ES_tradnl"/>
              </w:rPr>
              <w:t>.</w:t>
            </w:r>
          </w:p>
        </w:tc>
      </w:tr>
      <w:tr w:rsidR="00B77FD1" w:rsidRPr="00943408" w14:paraId="79FB64D1" w14:textId="77777777" w:rsidTr="00F250AC">
        <w:tc>
          <w:tcPr>
            <w:tcW w:w="9776" w:type="dxa"/>
          </w:tcPr>
          <w:p w14:paraId="5E16D082" w14:textId="57E7D97C" w:rsidR="00B77FD1" w:rsidRPr="00943408" w:rsidRDefault="00B77FD1" w:rsidP="00F250AC">
            <w:pPr>
              <w:pStyle w:val="Headingb"/>
              <w:keepNext w:val="0"/>
              <w:rPr>
                <w:rFonts w:asciiTheme="minorHAnsi" w:hAnsiTheme="minorHAnsi" w:cstheme="minorHAnsi"/>
                <w:szCs w:val="24"/>
                <w:lang w:val="es-ES_tradnl"/>
              </w:rPr>
            </w:pPr>
            <w:r w:rsidRPr="00943408">
              <w:rPr>
                <w:rFonts w:asciiTheme="minorHAnsi" w:hAnsiTheme="minorHAnsi" w:cstheme="minorHAnsi"/>
                <w:szCs w:val="24"/>
                <w:lang w:val="es-ES_tradnl"/>
              </w:rPr>
              <w:t xml:space="preserve">¿Cuántas </w:t>
            </w:r>
            <w:bookmarkStart w:id="7" w:name="lt_pId173"/>
            <w:r w:rsidRPr="00943408">
              <w:rPr>
                <w:rFonts w:asciiTheme="minorHAnsi" w:hAnsiTheme="minorHAnsi" w:cstheme="minorHAnsi"/>
                <w:szCs w:val="24"/>
                <w:lang w:val="es-ES_tradnl"/>
              </w:rPr>
              <w:t>reuniones de coordinación interregional (RCI)</w:t>
            </w:r>
            <w:bookmarkEnd w:id="7"/>
            <w:r w:rsidRPr="00943408">
              <w:rPr>
                <w:rFonts w:asciiTheme="minorHAnsi" w:hAnsiTheme="minorHAnsi" w:cstheme="minorHAnsi"/>
                <w:szCs w:val="24"/>
                <w:lang w:val="es-ES_tradnl"/>
              </w:rPr>
              <w:t xml:space="preserve"> deberían celebrarse y cuándo?</w:t>
            </w:r>
          </w:p>
          <w:p w14:paraId="2C49F40E" w14:textId="748F5916"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El Grupo de Trabajo recomienda un mínimo de dos y un máximo de tres reuniones interregionales.</w:t>
            </w:r>
          </w:p>
          <w:p w14:paraId="2C2474FC" w14:textId="51511F6B"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El Grupo de Trabajo también recomienda que las RCI se celebren conjuntamente</w:t>
            </w:r>
            <w:r w:rsidR="00E77422">
              <w:rPr>
                <w:rFonts w:asciiTheme="minorHAnsi" w:hAnsiTheme="minorHAnsi" w:cstheme="minorHAnsi"/>
                <w:bCs/>
                <w:szCs w:val="24"/>
                <w:lang w:val="es-ES_tradnl"/>
              </w:rPr>
              <w:t xml:space="preserve"> </w:t>
            </w:r>
            <w:r w:rsidRPr="00943408">
              <w:rPr>
                <w:rFonts w:asciiTheme="minorHAnsi" w:hAnsiTheme="minorHAnsi" w:cstheme="minorHAnsi"/>
                <w:bCs/>
                <w:szCs w:val="24"/>
                <w:lang w:val="es-ES_tradnl"/>
              </w:rPr>
              <w:t>con las RPR, a reserva de que las ORT celebren un debate ulterior al respecto, en consulta y coordinación con la</w:t>
            </w:r>
            <w:r>
              <w:rPr>
                <w:rFonts w:asciiTheme="minorHAnsi" w:hAnsiTheme="minorHAnsi" w:cstheme="minorHAnsi"/>
                <w:bCs/>
                <w:szCs w:val="24"/>
                <w:lang w:val="es-ES_tradnl"/>
              </w:rPr>
              <w:t> </w:t>
            </w:r>
            <w:r w:rsidRPr="00943408">
              <w:rPr>
                <w:rFonts w:asciiTheme="minorHAnsi" w:hAnsiTheme="minorHAnsi" w:cstheme="minorHAnsi"/>
                <w:bCs/>
                <w:szCs w:val="24"/>
                <w:lang w:val="es-ES_tradnl"/>
              </w:rPr>
              <w:t>BDT.</w:t>
            </w:r>
          </w:p>
          <w:p w14:paraId="0DA8AE5C"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w:t>
            </w:r>
            <w:r w:rsidRPr="00943408">
              <w:rPr>
                <w:rFonts w:asciiTheme="minorHAnsi" w:hAnsiTheme="minorHAnsi" w:cstheme="minorHAnsi"/>
                <w:szCs w:val="24"/>
                <w:lang w:val="es-ES_tradnl"/>
              </w:rPr>
              <w:t>Qué formato deberían adoptar las RCI?</w:t>
            </w:r>
          </w:p>
          <w:p w14:paraId="1B35A57D" w14:textId="77777777"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El Grupo recomienda que las RCI faciliten, en la medida de lo posible, la participación en persona y a distancia, en pie de igualdad, y traten de alcanzar una posición común sobre las cuestiones esenciales que se examinarán en la CMDT-21, respetando al mismo tiempo el derecho soberano de todo Estado Miembro a presentar sus propias contribuciones a dicha Conferencia.</w:t>
            </w:r>
          </w:p>
          <w:p w14:paraId="741A6A5F"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¿Qué </w:t>
            </w:r>
            <w:r w:rsidRPr="00943408">
              <w:rPr>
                <w:rFonts w:asciiTheme="minorHAnsi" w:hAnsiTheme="minorHAnsi" w:cstheme="minorHAnsi"/>
                <w:szCs w:val="24"/>
                <w:lang w:val="es-ES_tradnl"/>
              </w:rPr>
              <w:t>debería</w:t>
            </w:r>
            <w:r w:rsidRPr="00943408">
              <w:rPr>
                <w:rFonts w:asciiTheme="minorHAnsi" w:hAnsiTheme="minorHAnsi" w:cstheme="minorHAnsi"/>
                <w:bCs/>
                <w:szCs w:val="24"/>
                <w:lang w:val="es-ES_tradnl"/>
              </w:rPr>
              <w:t xml:space="preserve"> incluir el orden del día de las RCI?</w:t>
            </w:r>
          </w:p>
          <w:p w14:paraId="346FC708" w14:textId="77777777"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El Grupo recomienda que el orden del día se articule en torno a las propuestas de las RPR e incluya propuestas de Estados Miembros, Miembros de Sector, ORT, la BDT y otros interesados, según proceda, que abarquen temas clave que requieran coordinación y consenso entre las diferentes regiones.</w:t>
            </w:r>
          </w:p>
          <w:p w14:paraId="3F3355F3"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¿Debería </w:t>
            </w:r>
            <w:r w:rsidRPr="00943408">
              <w:rPr>
                <w:rFonts w:asciiTheme="minorHAnsi" w:hAnsiTheme="minorHAnsi" w:cstheme="minorHAnsi"/>
                <w:szCs w:val="24"/>
                <w:lang w:val="es-ES_tradnl"/>
              </w:rPr>
              <w:t>limitarse</w:t>
            </w:r>
            <w:r w:rsidRPr="00943408">
              <w:rPr>
                <w:rFonts w:asciiTheme="minorHAnsi" w:hAnsiTheme="minorHAnsi" w:cstheme="minorHAnsi"/>
                <w:bCs/>
                <w:szCs w:val="24"/>
                <w:lang w:val="es-ES_tradnl"/>
              </w:rPr>
              <w:t xml:space="preserve"> la participación en las RCI y, en caso afirmativo, cuántos representantes de cada región deberían participar en ellas?</w:t>
            </w:r>
          </w:p>
          <w:p w14:paraId="38D38777" w14:textId="5844EC27" w:rsidR="00B77FD1" w:rsidRPr="0056345D" w:rsidRDefault="00B77FD1" w:rsidP="00F250AC">
            <w:pPr>
              <w:rPr>
                <w:rFonts w:asciiTheme="minorHAnsi" w:hAnsiTheme="minorHAnsi" w:cstheme="minorHAnsi"/>
                <w:bCs/>
                <w:szCs w:val="24"/>
                <w:lang w:val="es-ES_tradnl"/>
              </w:rPr>
            </w:pPr>
            <w:r w:rsidRPr="0056345D">
              <w:rPr>
                <w:rFonts w:asciiTheme="minorHAnsi" w:hAnsiTheme="minorHAnsi" w:cstheme="minorHAnsi"/>
                <w:bCs/>
                <w:szCs w:val="24"/>
                <w:lang w:val="es-ES_tradnl"/>
              </w:rPr>
              <w:t>Basándose en la propuesta del Grupo de Trabajo, el GADT-20/3 decidió que la participación en las</w:t>
            </w:r>
            <w:r w:rsidR="00E77422">
              <w:rPr>
                <w:rFonts w:asciiTheme="minorHAnsi" w:hAnsiTheme="minorHAnsi" w:cstheme="minorHAnsi"/>
                <w:bCs/>
                <w:szCs w:val="24"/>
                <w:lang w:val="es-ES_tradnl"/>
              </w:rPr>
              <w:t> </w:t>
            </w:r>
            <w:r>
              <w:rPr>
                <w:rFonts w:asciiTheme="minorHAnsi" w:hAnsiTheme="minorHAnsi" w:cstheme="minorHAnsi"/>
                <w:bCs/>
                <w:szCs w:val="24"/>
                <w:lang w:val="es-ES_tradnl"/>
              </w:rPr>
              <w:t>RCI</w:t>
            </w:r>
            <w:r w:rsidRPr="0056345D">
              <w:rPr>
                <w:rFonts w:asciiTheme="minorHAnsi" w:hAnsiTheme="minorHAnsi" w:cstheme="minorHAnsi"/>
                <w:bCs/>
                <w:szCs w:val="24"/>
                <w:lang w:val="es-ES_tradnl"/>
              </w:rPr>
              <w:t xml:space="preserve"> estará abierta a todos los </w:t>
            </w:r>
            <w:r>
              <w:rPr>
                <w:rFonts w:asciiTheme="minorHAnsi" w:hAnsiTheme="minorHAnsi" w:cstheme="minorHAnsi"/>
                <w:bCs/>
                <w:szCs w:val="24"/>
                <w:lang w:val="es-ES_tradnl"/>
              </w:rPr>
              <w:t>M</w:t>
            </w:r>
            <w:r w:rsidRPr="0056345D">
              <w:rPr>
                <w:rFonts w:asciiTheme="minorHAnsi" w:hAnsiTheme="minorHAnsi" w:cstheme="minorHAnsi"/>
                <w:bCs/>
                <w:szCs w:val="24"/>
                <w:lang w:val="es-ES_tradnl"/>
              </w:rPr>
              <w:t>iembros del UIT-D y que cada O</w:t>
            </w:r>
            <w:r>
              <w:rPr>
                <w:rFonts w:asciiTheme="minorHAnsi" w:hAnsiTheme="minorHAnsi" w:cstheme="minorHAnsi"/>
                <w:bCs/>
                <w:szCs w:val="24"/>
                <w:lang w:val="es-ES_tradnl"/>
              </w:rPr>
              <w:t>R</w:t>
            </w:r>
            <w:r w:rsidRPr="0056345D">
              <w:rPr>
                <w:rFonts w:asciiTheme="minorHAnsi" w:hAnsiTheme="minorHAnsi" w:cstheme="minorHAnsi"/>
                <w:bCs/>
                <w:szCs w:val="24"/>
                <w:lang w:val="es-ES_tradnl"/>
              </w:rPr>
              <w:t xml:space="preserve">T </w:t>
            </w:r>
            <w:r>
              <w:rPr>
                <w:rFonts w:asciiTheme="minorHAnsi" w:hAnsiTheme="minorHAnsi" w:cstheme="minorHAnsi"/>
                <w:bCs/>
                <w:szCs w:val="24"/>
                <w:lang w:val="es-ES_tradnl"/>
              </w:rPr>
              <w:t xml:space="preserve">decidirá </w:t>
            </w:r>
            <w:r w:rsidRPr="0056345D">
              <w:rPr>
                <w:rFonts w:asciiTheme="minorHAnsi" w:hAnsiTheme="minorHAnsi" w:cstheme="minorHAnsi"/>
                <w:bCs/>
                <w:szCs w:val="24"/>
                <w:lang w:val="es-ES_tradnl"/>
              </w:rPr>
              <w:t>quién habla</w:t>
            </w:r>
            <w:r>
              <w:rPr>
                <w:rFonts w:asciiTheme="minorHAnsi" w:hAnsiTheme="minorHAnsi" w:cstheme="minorHAnsi"/>
                <w:bCs/>
                <w:szCs w:val="24"/>
                <w:lang w:val="es-ES_tradnl"/>
              </w:rPr>
              <w:t>rá</w:t>
            </w:r>
            <w:r w:rsidRPr="0056345D">
              <w:rPr>
                <w:rFonts w:asciiTheme="minorHAnsi" w:hAnsiTheme="minorHAnsi" w:cstheme="minorHAnsi"/>
                <w:bCs/>
                <w:szCs w:val="24"/>
                <w:lang w:val="es-ES_tradnl"/>
              </w:rPr>
              <w:t xml:space="preserve"> en nombre de su región. Entre los oradores pueden figurar, por ejemplo, representantes gubernamentales, organismos reguladores, </w:t>
            </w:r>
            <w:r>
              <w:rPr>
                <w:rFonts w:asciiTheme="minorHAnsi" w:hAnsiTheme="minorHAnsi" w:cstheme="minorHAnsi"/>
                <w:bCs/>
                <w:szCs w:val="24"/>
                <w:lang w:val="es-ES_tradnl"/>
              </w:rPr>
              <w:t>legisladores</w:t>
            </w:r>
            <w:r w:rsidRPr="0056345D">
              <w:rPr>
                <w:rFonts w:asciiTheme="minorHAnsi" w:hAnsiTheme="minorHAnsi" w:cstheme="minorHAnsi"/>
                <w:bCs/>
                <w:szCs w:val="24"/>
                <w:lang w:val="es-ES_tradnl"/>
              </w:rPr>
              <w:t xml:space="preserve">, sociedad civil, </w:t>
            </w:r>
            <w:r>
              <w:rPr>
                <w:rFonts w:asciiTheme="minorHAnsi" w:hAnsiTheme="minorHAnsi" w:cstheme="minorHAnsi"/>
                <w:bCs/>
                <w:szCs w:val="24"/>
                <w:lang w:val="es-ES_tradnl"/>
              </w:rPr>
              <w:t xml:space="preserve">instituciones </w:t>
            </w:r>
            <w:r w:rsidRPr="0056345D">
              <w:rPr>
                <w:rFonts w:asciiTheme="minorHAnsi" w:hAnsiTheme="minorHAnsi" w:cstheme="minorHAnsi"/>
                <w:bCs/>
                <w:szCs w:val="24"/>
                <w:lang w:val="es-ES_tradnl"/>
              </w:rPr>
              <w:t>académic</w:t>
            </w:r>
            <w:r>
              <w:rPr>
                <w:rFonts w:asciiTheme="minorHAnsi" w:hAnsiTheme="minorHAnsi" w:cstheme="minorHAnsi"/>
                <w:bCs/>
                <w:szCs w:val="24"/>
                <w:lang w:val="es-ES_tradnl"/>
              </w:rPr>
              <w:t>a</w:t>
            </w:r>
            <w:r w:rsidRPr="0056345D">
              <w:rPr>
                <w:rFonts w:asciiTheme="minorHAnsi" w:hAnsiTheme="minorHAnsi" w:cstheme="minorHAnsi"/>
                <w:bCs/>
                <w:szCs w:val="24"/>
                <w:lang w:val="es-ES_tradnl"/>
              </w:rPr>
              <w:t>s, la comunidad técnica de Internet, jóvenes</w:t>
            </w:r>
            <w:r>
              <w:rPr>
                <w:rFonts w:asciiTheme="minorHAnsi" w:hAnsiTheme="minorHAnsi" w:cstheme="minorHAnsi"/>
                <w:bCs/>
                <w:szCs w:val="24"/>
                <w:lang w:val="es-ES_tradnl"/>
              </w:rPr>
              <w:t xml:space="preserve"> y</w:t>
            </w:r>
            <w:r w:rsidRPr="0056345D">
              <w:rPr>
                <w:rFonts w:asciiTheme="minorHAnsi" w:hAnsiTheme="minorHAnsi" w:cstheme="minorHAnsi"/>
                <w:bCs/>
                <w:szCs w:val="24"/>
                <w:lang w:val="es-ES_tradnl"/>
              </w:rPr>
              <w:t xml:space="preserve"> organizaciones de igualdad de género</w:t>
            </w:r>
            <w:r>
              <w:rPr>
                <w:rFonts w:asciiTheme="minorHAnsi" w:hAnsiTheme="minorHAnsi" w:cstheme="minorHAnsi"/>
                <w:bCs/>
                <w:szCs w:val="24"/>
                <w:lang w:val="es-ES_tradnl"/>
              </w:rPr>
              <w:t>.</w:t>
            </w:r>
          </w:p>
          <w:p w14:paraId="2600A577" w14:textId="77777777" w:rsidR="00B77FD1" w:rsidRPr="00943408" w:rsidRDefault="00B77FD1" w:rsidP="00E77422">
            <w:pPr>
              <w:pStyle w:val="Headingb"/>
              <w:rPr>
                <w:b w:val="0"/>
                <w:lang w:val="es-ES_tradnl"/>
              </w:rPr>
            </w:pPr>
            <w:r w:rsidRPr="00943408">
              <w:rPr>
                <w:lang w:val="es-ES_tradnl"/>
              </w:rPr>
              <w:t>Cómo se determinará la presidencia de las RCI?</w:t>
            </w:r>
          </w:p>
          <w:p w14:paraId="01D899C8"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szCs w:val="24"/>
                <w:lang w:val="es-ES_tradnl"/>
              </w:rPr>
              <w:t>El Grupo propone nombrar un presidente, preferiblemente el presidente de la CMDT-21, y seis vicepresidentes, preferiblemente las personas responsables de la coordinación del proceso preparatorio de la CMDT en su respectiva ORT.</w:t>
            </w:r>
          </w:p>
          <w:p w14:paraId="6D902F12"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lastRenderedPageBreak/>
              <w:t xml:space="preserve">¿Qué medidas deberían adoptarse a fin de asegurar la planificación y la coordinación adecuadas de las RPR, las RCI y las reuniones preparatorias de </w:t>
            </w:r>
            <w:r w:rsidRPr="00EA1E73">
              <w:rPr>
                <w:rFonts w:asciiTheme="minorHAnsi" w:hAnsiTheme="minorHAnsi" w:cstheme="minorHAnsi"/>
                <w:bCs/>
                <w:szCs w:val="24"/>
                <w:lang w:val="es-ES_tradnl"/>
              </w:rPr>
              <w:t>las ORT?</w:t>
            </w:r>
          </w:p>
          <w:p w14:paraId="4F6AC631"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bCs/>
                <w:szCs w:val="24"/>
                <w:lang w:val="es-ES_tradnl"/>
              </w:rPr>
              <w:t xml:space="preserve">El Grupo recomienda </w:t>
            </w:r>
            <w:r w:rsidRPr="00943408">
              <w:rPr>
                <w:rFonts w:asciiTheme="minorHAnsi" w:hAnsiTheme="minorHAnsi" w:cstheme="minorHAnsi"/>
                <w:szCs w:val="24"/>
                <w:lang w:val="es-ES_tradnl"/>
              </w:rPr>
              <w:t>integrar las mejores prácticas (en términos de preparativos) de otras conferencias de la UIT en la planificación y la labor de las RCI.</w:t>
            </w:r>
          </w:p>
          <w:p w14:paraId="4E4231EC"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szCs w:val="24"/>
                <w:lang w:val="es-ES_tradnl"/>
              </w:rPr>
              <w:t>En lo que respecta a la coordinación entre las RPR y las RCI y las ORT: cada región nombraría a sus coordinadores, mientras que la secretaría de las ORT podría desempeñar una función de coordinación general.</w:t>
            </w:r>
          </w:p>
          <w:p w14:paraId="5C8208B1"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szCs w:val="24"/>
                <w:lang w:val="es-ES_tradnl"/>
              </w:rPr>
              <w:t>El proceso preparatorio regional debería centrarse en la definición de las prioridades/iniciativas regionales, la revisión o redacción de las resoluciones que más tiempo requieren, la gestión de los asuntos relacionados con las Comisiones de Estudio y las Cuestiones de estudio y la elaboración de directrices y textos para la Declaración.</w:t>
            </w:r>
          </w:p>
          <w:p w14:paraId="039465F7"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¿Cómo debería </w:t>
            </w:r>
            <w:r w:rsidRPr="00943408">
              <w:rPr>
                <w:rFonts w:asciiTheme="minorHAnsi" w:hAnsiTheme="minorHAnsi" w:cstheme="minorHAnsi"/>
                <w:szCs w:val="24"/>
                <w:lang w:val="es-ES_tradnl"/>
              </w:rPr>
              <w:t>promoverse</w:t>
            </w:r>
            <w:r w:rsidRPr="00943408">
              <w:rPr>
                <w:rFonts w:asciiTheme="minorHAnsi" w:hAnsiTheme="minorHAnsi" w:cstheme="minorHAnsi"/>
                <w:bCs/>
                <w:szCs w:val="24"/>
                <w:lang w:val="es-ES_tradnl"/>
              </w:rPr>
              <w:t xml:space="preserve"> la CMDT-21?</w:t>
            </w:r>
          </w:p>
          <w:p w14:paraId="6F186B47" w14:textId="77777777" w:rsidR="00B77FD1" w:rsidRPr="00943408" w:rsidRDefault="00B77FD1" w:rsidP="00F250AC">
            <w:pPr>
              <w:rPr>
                <w:rFonts w:asciiTheme="minorHAnsi" w:hAnsiTheme="minorHAnsi" w:cstheme="minorHAnsi"/>
                <w:b/>
                <w:szCs w:val="24"/>
                <w:lang w:val="es-ES_tradnl"/>
              </w:rPr>
            </w:pPr>
            <w:r w:rsidRPr="00943408">
              <w:rPr>
                <w:rFonts w:asciiTheme="minorHAnsi" w:hAnsiTheme="minorHAnsi" w:cstheme="minorHAnsi"/>
                <w:bCs/>
                <w:szCs w:val="24"/>
                <w:lang w:val="es-ES_tradnl"/>
              </w:rPr>
              <w:t>El Grupo de Trabajo alienta al GADT-20/3 a que recomiende mecanismos adecuados para promover la CMDT-21 entre los miembros de la UIT, los integrantes del sistema de las Naciones Unidas, las instituciones financieras internacionales y todos los interesados pertinentes.</w:t>
            </w:r>
          </w:p>
          <w:p w14:paraId="16D865A0"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¿Qué otros foros de alto nivel pueden utilizarse para dar a conocer la CMDT y suscitar interés en ella, y cómo debería hacerlo la UIT?</w:t>
            </w:r>
          </w:p>
          <w:p w14:paraId="06BF7515" w14:textId="77777777" w:rsidR="00B77FD1" w:rsidRPr="00943408" w:rsidRDefault="00B77FD1" w:rsidP="00F250AC">
            <w:pPr>
              <w:spacing w:after="120"/>
              <w:rPr>
                <w:rFonts w:asciiTheme="minorHAnsi" w:hAnsiTheme="minorHAnsi" w:cstheme="minorHAnsi"/>
                <w:bCs/>
                <w:szCs w:val="24"/>
                <w:lang w:val="es-ES_tradnl"/>
              </w:rPr>
            </w:pPr>
            <w:r w:rsidRPr="00943408">
              <w:rPr>
                <w:rFonts w:asciiTheme="minorHAnsi" w:hAnsiTheme="minorHAnsi" w:cstheme="minorHAnsi"/>
                <w:bCs/>
                <w:szCs w:val="24"/>
                <w:lang w:val="es-ES_tradnl"/>
              </w:rPr>
              <w:t>Véase la sección anterior.</w:t>
            </w:r>
          </w:p>
        </w:tc>
      </w:tr>
    </w:tbl>
    <w:p w14:paraId="3C579CFD" w14:textId="77777777" w:rsidR="00B77FD1" w:rsidRPr="004367F8" w:rsidRDefault="00B77FD1" w:rsidP="00B77FD1">
      <w:pPr>
        <w:pStyle w:val="Headingb"/>
        <w:spacing w:after="240"/>
        <w:rPr>
          <w:rFonts w:cstheme="minorHAnsi"/>
          <w:sz w:val="28"/>
          <w:szCs w:val="28"/>
          <w:lang w:val="es-ES_tradnl"/>
        </w:rPr>
      </w:pPr>
      <w:r w:rsidRPr="004367F8">
        <w:rPr>
          <w:rFonts w:cstheme="minorHAnsi"/>
          <w:sz w:val="28"/>
          <w:szCs w:val="28"/>
          <w:lang w:val="es-ES_tradnl"/>
        </w:rPr>
        <w:lastRenderedPageBreak/>
        <w:t>Sección II: Disposiciones relativas a la conferencia, incluidos el contenido, las vías temáticas, los temas y los interesados</w:t>
      </w:r>
    </w:p>
    <w:tbl>
      <w:tblPr>
        <w:tblStyle w:val="TableGrid"/>
        <w:tblW w:w="9776" w:type="dxa"/>
        <w:tblLook w:val="04A0" w:firstRow="1" w:lastRow="0" w:firstColumn="1" w:lastColumn="0" w:noHBand="0" w:noVBand="1"/>
      </w:tblPr>
      <w:tblGrid>
        <w:gridCol w:w="9776"/>
      </w:tblGrid>
      <w:tr w:rsidR="00B77FD1" w:rsidRPr="00943408" w14:paraId="6EFFE3E6" w14:textId="77777777" w:rsidTr="00F250AC">
        <w:tc>
          <w:tcPr>
            <w:tcW w:w="9776" w:type="dxa"/>
            <w:shd w:val="clear" w:color="auto" w:fill="9BE5FF"/>
          </w:tcPr>
          <w:p w14:paraId="082E6184" w14:textId="77777777" w:rsidR="00B77FD1" w:rsidRPr="00943408" w:rsidRDefault="00B77FD1" w:rsidP="00F250AC">
            <w:pPr>
              <w:pStyle w:val="enumlev1"/>
              <w:keepNext/>
              <w:keepLines/>
              <w:rPr>
                <w:rFonts w:asciiTheme="minorHAnsi" w:hAnsiTheme="minorHAnsi" w:cstheme="minorHAnsi"/>
                <w:bCs/>
                <w:szCs w:val="24"/>
                <w:lang w:val="es-ES_tradnl"/>
              </w:rPr>
            </w:pPr>
            <w:r w:rsidRPr="00943408">
              <w:rPr>
                <w:rFonts w:asciiTheme="minorHAnsi" w:hAnsiTheme="minorHAnsi" w:cstheme="minorHAnsi"/>
                <w:szCs w:val="24"/>
                <w:lang w:val="es-ES_tradnl"/>
              </w:rPr>
              <w:t>•</w:t>
            </w:r>
            <w:r w:rsidRPr="00943408">
              <w:rPr>
                <w:rFonts w:asciiTheme="minorHAnsi" w:hAnsiTheme="minorHAnsi" w:cstheme="minorHAnsi"/>
                <w:szCs w:val="24"/>
                <w:lang w:val="es-ES_tradnl"/>
              </w:rPr>
              <w:tab/>
            </w:r>
            <w:r w:rsidRPr="00943408">
              <w:rPr>
                <w:rFonts w:asciiTheme="minorHAnsi" w:hAnsiTheme="minorHAnsi" w:cstheme="minorHAnsi"/>
                <w:b/>
                <w:bCs/>
                <w:szCs w:val="24"/>
                <w:lang w:val="es-ES_tradnl"/>
              </w:rPr>
              <w:t>Elaborar propuestas y formular recomendaciones destinadas a mejorar las disposiciones relativas a la conferencia, en particular:</w:t>
            </w:r>
          </w:p>
          <w:p w14:paraId="765FC2FE" w14:textId="793137F6" w:rsidR="00B77FD1" w:rsidRPr="00EA1E73" w:rsidRDefault="00B77FD1" w:rsidP="00F250AC">
            <w:pPr>
              <w:pStyle w:val="enumlev2"/>
              <w:rPr>
                <w:rFonts w:asciiTheme="minorHAnsi" w:hAnsiTheme="minorHAnsi" w:cstheme="minorHAnsi"/>
                <w:bCs/>
                <w:szCs w:val="24"/>
                <w:lang w:val="es-ES_tradnl"/>
              </w:rPr>
            </w:pPr>
            <w:r w:rsidRPr="00943408">
              <w:rPr>
                <w:rFonts w:asciiTheme="minorHAnsi" w:hAnsiTheme="minorHAnsi" w:cstheme="minorHAnsi"/>
                <w:szCs w:val="24"/>
                <w:lang w:val="es-ES_tradnl"/>
              </w:rPr>
              <w:t>–</w:t>
            </w:r>
            <w:r w:rsidRPr="00943408">
              <w:rPr>
                <w:rFonts w:asciiTheme="minorHAnsi" w:hAnsiTheme="minorHAnsi" w:cstheme="minorHAnsi"/>
                <w:szCs w:val="24"/>
                <w:lang w:val="es-ES_tradnl"/>
              </w:rPr>
              <w:tab/>
            </w:r>
            <w:r w:rsidRPr="00EA1E73">
              <w:rPr>
                <w:rFonts w:asciiTheme="minorHAnsi" w:hAnsiTheme="minorHAnsi" w:cstheme="minorHAnsi"/>
                <w:bCs/>
                <w:szCs w:val="24"/>
                <w:lang w:val="es-ES_tradnl"/>
              </w:rPr>
              <w:t>el contenido de la conferencia</w:t>
            </w:r>
            <w:r w:rsidR="00E77422">
              <w:rPr>
                <w:rFonts w:asciiTheme="minorHAnsi" w:hAnsiTheme="minorHAnsi" w:cstheme="minorHAnsi"/>
                <w:bCs/>
                <w:szCs w:val="24"/>
                <w:lang w:val="es-ES_tradnl"/>
              </w:rPr>
              <w:t>;</w:t>
            </w:r>
          </w:p>
          <w:p w14:paraId="52C87366" w14:textId="703CE1B5" w:rsidR="00B77FD1" w:rsidRPr="00943408" w:rsidRDefault="00B77FD1" w:rsidP="00F250AC">
            <w:pPr>
              <w:pStyle w:val="enumlev2"/>
              <w:spacing w:after="80"/>
              <w:rPr>
                <w:rFonts w:asciiTheme="minorHAnsi" w:hAnsiTheme="minorHAnsi" w:cstheme="minorHAnsi"/>
                <w:szCs w:val="24"/>
                <w:lang w:val="es-ES_tradnl"/>
              </w:rPr>
            </w:pPr>
            <w:r w:rsidRPr="00EA1E73">
              <w:rPr>
                <w:rFonts w:asciiTheme="minorHAnsi" w:hAnsiTheme="minorHAnsi" w:cstheme="minorHAnsi"/>
                <w:bCs/>
                <w:szCs w:val="24"/>
                <w:lang w:val="es-ES_tradnl"/>
              </w:rPr>
              <w:t>–</w:t>
            </w:r>
            <w:r w:rsidRPr="00EA1E73">
              <w:rPr>
                <w:rFonts w:asciiTheme="minorHAnsi" w:hAnsiTheme="minorHAnsi" w:cstheme="minorHAnsi"/>
                <w:bCs/>
                <w:szCs w:val="24"/>
                <w:lang w:val="es-ES_tradnl"/>
              </w:rPr>
              <w:tab/>
              <w:t>el examen de las vías temáticas</w:t>
            </w:r>
            <w:r w:rsidR="00E77422">
              <w:rPr>
                <w:rFonts w:asciiTheme="minorHAnsi" w:hAnsiTheme="minorHAnsi" w:cstheme="minorHAnsi"/>
                <w:bCs/>
                <w:szCs w:val="24"/>
                <w:lang w:val="es-ES_tradnl"/>
              </w:rPr>
              <w:t>.</w:t>
            </w:r>
          </w:p>
        </w:tc>
      </w:tr>
      <w:tr w:rsidR="00B77FD1" w:rsidRPr="00943408" w14:paraId="725E84A8" w14:textId="77777777" w:rsidTr="00F250AC">
        <w:tc>
          <w:tcPr>
            <w:tcW w:w="9776" w:type="dxa"/>
          </w:tcPr>
          <w:p w14:paraId="69D6D235"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¿Debería </w:t>
            </w:r>
            <w:r w:rsidRPr="00943408">
              <w:rPr>
                <w:rFonts w:asciiTheme="minorHAnsi" w:hAnsiTheme="minorHAnsi" w:cstheme="minorHAnsi"/>
                <w:szCs w:val="24"/>
                <w:lang w:val="es-ES_tradnl"/>
              </w:rPr>
              <w:t>modificarse</w:t>
            </w:r>
            <w:r w:rsidRPr="00943408">
              <w:rPr>
                <w:rFonts w:asciiTheme="minorHAnsi" w:hAnsiTheme="minorHAnsi" w:cstheme="minorHAnsi"/>
                <w:bCs/>
                <w:szCs w:val="24"/>
                <w:lang w:val="es-ES_tradnl"/>
              </w:rPr>
              <w:t xml:space="preserve"> el segmento de alto nivel y, en caso afirmativo, qué forma debería adoptar?</w:t>
            </w:r>
          </w:p>
          <w:p w14:paraId="714B2B92"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szCs w:val="24"/>
                <w:lang w:val="es-ES_tradnl"/>
              </w:rPr>
              <w:t>El Grupo de Trabajo propone lo siguiente:</w:t>
            </w:r>
          </w:p>
          <w:p w14:paraId="6BD36497" w14:textId="77777777" w:rsidR="00B77FD1" w:rsidRPr="00943408" w:rsidRDefault="00B77FD1" w:rsidP="00F250AC">
            <w:pPr>
              <w:spacing w:after="120"/>
              <w:rPr>
                <w:rFonts w:asciiTheme="minorHAnsi" w:hAnsiTheme="minorHAnsi" w:cstheme="minorHAnsi"/>
                <w:szCs w:val="24"/>
                <w:lang w:val="es-ES_tradnl"/>
              </w:rPr>
            </w:pPr>
            <w:r w:rsidRPr="00943408">
              <w:rPr>
                <w:rFonts w:asciiTheme="minorHAnsi" w:hAnsiTheme="minorHAnsi" w:cstheme="minorHAnsi"/>
                <w:szCs w:val="24"/>
                <w:lang w:val="es-ES_tradnl"/>
              </w:rPr>
              <w:t>El Segmento de Alto Nivel y las declaraciones de política de alto nivel podrían dar paso a una "Vía de Desarrollo", que comprendiese paneles de alto nivel, mesas redondas y debates temáticos sobre temas de desarrollo relacionados con la aplicación del Plan de Acción y el establecimiento del nuevo Plan de Acción.</w:t>
            </w:r>
          </w:p>
          <w:p w14:paraId="27C6EC11" w14:textId="77777777" w:rsidR="00B77FD1" w:rsidRPr="00E77422" w:rsidRDefault="00B77FD1" w:rsidP="00F250AC">
            <w:pPr>
              <w:rPr>
                <w:rFonts w:asciiTheme="minorHAnsi" w:hAnsiTheme="minorHAnsi" w:cstheme="minorHAnsi"/>
                <w:bCs/>
                <w:szCs w:val="24"/>
                <w:lang w:val="es-ES_tradnl"/>
              </w:rPr>
            </w:pPr>
            <w:r w:rsidRPr="00943408">
              <w:rPr>
                <w:rFonts w:asciiTheme="minorHAnsi" w:hAnsiTheme="minorHAnsi" w:cstheme="minorHAnsi"/>
                <w:szCs w:val="24"/>
                <w:lang w:val="es-ES_tradnl"/>
              </w:rPr>
              <w:t>Los Segmentos de alto nivel no deberían restar tiempo a la labor de la Plenaria y las comisiones de la CMDT, ni de sus grupos conexos.</w:t>
            </w:r>
          </w:p>
          <w:p w14:paraId="155B21B8"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Presentar propuestas de vías temáticas que puedan integrarse en la conferencia</w:t>
            </w:r>
          </w:p>
          <w:p w14:paraId="642945A4" w14:textId="77777777" w:rsidR="00B77FD1" w:rsidRPr="00943408" w:rsidRDefault="00B77FD1" w:rsidP="00F250AC">
            <w:pPr>
              <w:spacing w:after="120"/>
              <w:ind w:left="567" w:hanging="567"/>
              <w:rPr>
                <w:rFonts w:asciiTheme="minorHAnsi" w:hAnsiTheme="minorHAnsi" w:cstheme="minorHAnsi"/>
                <w:szCs w:val="24"/>
                <w:lang w:val="es-ES_tradnl"/>
              </w:rPr>
            </w:pPr>
            <w:r w:rsidRPr="00943408">
              <w:rPr>
                <w:rFonts w:asciiTheme="minorHAnsi" w:hAnsiTheme="minorHAnsi" w:cstheme="minorHAnsi"/>
                <w:szCs w:val="24"/>
                <w:lang w:val="es-ES_tradnl"/>
              </w:rPr>
              <w:t>El Grupo recomienda que las vías temáticas reflejen las prioridades temáticas del UIT-D.</w:t>
            </w:r>
          </w:p>
          <w:p w14:paraId="1E618E74" w14:textId="77777777" w:rsidR="00B77FD1" w:rsidRPr="00943408" w:rsidRDefault="00B77FD1" w:rsidP="00F250AC">
            <w:pPr>
              <w:shd w:val="clear" w:color="auto" w:fill="9BE5FF"/>
              <w:tabs>
                <w:tab w:val="left" w:pos="567"/>
                <w:tab w:val="left" w:pos="1134"/>
                <w:tab w:val="left" w:pos="1701"/>
                <w:tab w:val="left" w:pos="2268"/>
              </w:tabs>
              <w:spacing w:after="120"/>
              <w:rPr>
                <w:rFonts w:asciiTheme="minorHAnsi" w:hAnsiTheme="minorHAnsi" w:cstheme="minorHAnsi"/>
                <w:b/>
                <w:szCs w:val="24"/>
                <w:lang w:val="es-ES_tradnl"/>
              </w:rPr>
            </w:pPr>
            <w:r w:rsidRPr="00EA1E73">
              <w:rPr>
                <w:rFonts w:cstheme="minorHAnsi"/>
                <w:b/>
                <w:szCs w:val="24"/>
                <w:lang w:val="es-ES_tradnl"/>
              </w:rPr>
              <w:t>–</w:t>
            </w:r>
            <w:r w:rsidRPr="00943408">
              <w:rPr>
                <w:rFonts w:asciiTheme="minorHAnsi" w:hAnsiTheme="minorHAnsi" w:cstheme="minorHAnsi"/>
                <w:b/>
                <w:szCs w:val="24"/>
                <w:lang w:val="es-ES_tradnl"/>
              </w:rPr>
              <w:tab/>
            </w:r>
            <w:r>
              <w:rPr>
                <w:rFonts w:asciiTheme="minorHAnsi" w:hAnsiTheme="minorHAnsi" w:cstheme="minorHAnsi"/>
                <w:b/>
                <w:szCs w:val="24"/>
                <w:lang w:val="es-ES_tradnl"/>
              </w:rPr>
              <w:t>L</w:t>
            </w:r>
            <w:r w:rsidRPr="00943408">
              <w:rPr>
                <w:rFonts w:asciiTheme="minorHAnsi" w:hAnsiTheme="minorHAnsi" w:cstheme="minorHAnsi"/>
                <w:b/>
                <w:szCs w:val="24"/>
                <w:lang w:val="es-ES_tradnl"/>
              </w:rPr>
              <w:t>a determinación del tema o temas de la conferencia</w:t>
            </w:r>
          </w:p>
          <w:p w14:paraId="1FA2C4DF"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¿Qué tema o temas (</w:t>
            </w:r>
            <w:r w:rsidRPr="00943408">
              <w:rPr>
                <w:rFonts w:asciiTheme="minorHAnsi" w:hAnsiTheme="minorHAnsi" w:cstheme="minorHAnsi"/>
                <w:szCs w:val="24"/>
                <w:lang w:val="es-ES_tradnl"/>
              </w:rPr>
              <w:t>relacionados</w:t>
            </w:r>
            <w:r w:rsidRPr="00943408">
              <w:rPr>
                <w:rFonts w:asciiTheme="minorHAnsi" w:hAnsiTheme="minorHAnsi" w:cstheme="minorHAnsi"/>
                <w:bCs/>
                <w:szCs w:val="24"/>
                <w:lang w:val="es-ES_tradnl"/>
              </w:rPr>
              <w:t xml:space="preserve"> con los problemas de desarrollo y las prioridades de los miembros) deberían fijarse para la CMDT-21, y cómo deberían relacionarse los temas con el contenido y la estructura de la </w:t>
            </w:r>
            <w:r w:rsidRPr="00943408">
              <w:rPr>
                <w:rFonts w:asciiTheme="minorHAnsi" w:hAnsiTheme="minorHAnsi" w:cstheme="minorHAnsi"/>
                <w:szCs w:val="24"/>
                <w:lang w:val="es-ES_tradnl"/>
              </w:rPr>
              <w:t>conferencia</w:t>
            </w:r>
            <w:r w:rsidRPr="00943408">
              <w:rPr>
                <w:rFonts w:asciiTheme="minorHAnsi" w:hAnsiTheme="minorHAnsi" w:cstheme="minorHAnsi"/>
                <w:bCs/>
                <w:szCs w:val="24"/>
                <w:lang w:val="es-ES_tradnl"/>
              </w:rPr>
              <w:t>?</w:t>
            </w:r>
          </w:p>
          <w:p w14:paraId="4267527D" w14:textId="44A0B654" w:rsidR="00B77FD1" w:rsidRDefault="00B77FD1" w:rsidP="00F250AC">
            <w:pPr>
              <w:rPr>
                <w:rFonts w:asciiTheme="minorHAnsi" w:hAnsiTheme="minorHAnsi" w:cstheme="minorHAnsi"/>
                <w:bCs/>
                <w:szCs w:val="24"/>
                <w:lang w:val="es-ES_tradnl"/>
              </w:rPr>
            </w:pPr>
            <w:r w:rsidRPr="0056345D">
              <w:rPr>
                <w:rFonts w:asciiTheme="minorHAnsi" w:hAnsiTheme="minorHAnsi" w:cstheme="minorHAnsi"/>
                <w:bCs/>
                <w:szCs w:val="24"/>
                <w:lang w:val="es-ES_tradnl"/>
              </w:rPr>
              <w:t>Basándose en la propuesta del Grupo de Trabajo, el GADT-20/3 decidió que el tema de la</w:t>
            </w:r>
            <w:r w:rsidR="00E77422">
              <w:rPr>
                <w:rFonts w:asciiTheme="minorHAnsi" w:hAnsiTheme="minorHAnsi" w:cstheme="minorHAnsi"/>
                <w:bCs/>
                <w:szCs w:val="24"/>
                <w:lang w:val="es-ES_tradnl"/>
              </w:rPr>
              <w:t> </w:t>
            </w:r>
            <w:r w:rsidRPr="0056345D">
              <w:rPr>
                <w:rFonts w:asciiTheme="minorHAnsi" w:hAnsiTheme="minorHAnsi" w:cstheme="minorHAnsi"/>
                <w:bCs/>
                <w:szCs w:val="24"/>
                <w:lang w:val="es-ES_tradnl"/>
              </w:rPr>
              <w:t>CMDT</w:t>
            </w:r>
            <w:r w:rsidR="00E77422">
              <w:rPr>
                <w:rFonts w:asciiTheme="minorHAnsi" w:hAnsiTheme="minorHAnsi" w:cstheme="minorHAnsi"/>
                <w:bCs/>
                <w:szCs w:val="24"/>
                <w:lang w:val="es-ES_tradnl"/>
              </w:rPr>
              <w:noBreakHyphen/>
            </w:r>
            <w:r w:rsidRPr="0056345D">
              <w:rPr>
                <w:rFonts w:asciiTheme="minorHAnsi" w:hAnsiTheme="minorHAnsi" w:cstheme="minorHAnsi"/>
                <w:bCs/>
                <w:szCs w:val="24"/>
                <w:lang w:val="es-ES_tradnl"/>
              </w:rPr>
              <w:t>21 ser</w:t>
            </w:r>
            <w:r>
              <w:rPr>
                <w:rFonts w:asciiTheme="minorHAnsi" w:hAnsiTheme="minorHAnsi" w:cstheme="minorHAnsi"/>
                <w:bCs/>
                <w:szCs w:val="24"/>
                <w:lang w:val="es-ES_tradnl"/>
              </w:rPr>
              <w:t>ía:</w:t>
            </w:r>
          </w:p>
          <w:p w14:paraId="10D45716" w14:textId="77777777" w:rsidR="00B77FD1" w:rsidRPr="00943408" w:rsidRDefault="00B77FD1" w:rsidP="00F250AC">
            <w:pPr>
              <w:ind w:left="567" w:hanging="567"/>
              <w:rPr>
                <w:rFonts w:asciiTheme="minorHAnsi" w:hAnsiTheme="minorHAnsi" w:cstheme="minorHAnsi"/>
                <w:bCs/>
                <w:szCs w:val="24"/>
                <w:highlight w:val="yellow"/>
                <w:lang w:val="es-ES_tradnl"/>
              </w:rPr>
            </w:pPr>
            <w:r w:rsidRPr="00BB1EBE">
              <w:rPr>
                <w:rFonts w:asciiTheme="minorHAnsi" w:hAnsiTheme="minorHAnsi" w:cstheme="minorHAnsi"/>
                <w:bCs/>
                <w:szCs w:val="24"/>
                <w:lang w:val="es-ES_tradnl"/>
              </w:rPr>
              <w:t xml:space="preserve">Conectar a quienes carecen de conexión para lograr el </w:t>
            </w:r>
            <w:r>
              <w:rPr>
                <w:rFonts w:asciiTheme="minorHAnsi" w:hAnsiTheme="minorHAnsi" w:cstheme="minorHAnsi"/>
                <w:bCs/>
                <w:szCs w:val="24"/>
                <w:lang w:val="es-ES_tradnl"/>
              </w:rPr>
              <w:t>d</w:t>
            </w:r>
            <w:r w:rsidRPr="00BB1EBE">
              <w:rPr>
                <w:rFonts w:asciiTheme="minorHAnsi" w:hAnsiTheme="minorHAnsi" w:cstheme="minorHAnsi"/>
                <w:bCs/>
                <w:szCs w:val="24"/>
                <w:lang w:val="es-ES_tradnl"/>
              </w:rPr>
              <w:t xml:space="preserve">esarrollo </w:t>
            </w:r>
            <w:r>
              <w:rPr>
                <w:rFonts w:asciiTheme="minorHAnsi" w:hAnsiTheme="minorHAnsi" w:cstheme="minorHAnsi"/>
                <w:bCs/>
                <w:szCs w:val="24"/>
                <w:lang w:val="es-ES_tradnl"/>
              </w:rPr>
              <w:t>s</w:t>
            </w:r>
            <w:r w:rsidRPr="00BB1EBE">
              <w:rPr>
                <w:rFonts w:asciiTheme="minorHAnsi" w:hAnsiTheme="minorHAnsi" w:cstheme="minorHAnsi"/>
                <w:bCs/>
                <w:szCs w:val="24"/>
                <w:lang w:val="es-ES_tradnl"/>
              </w:rPr>
              <w:t>ostenible.</w:t>
            </w:r>
          </w:p>
          <w:p w14:paraId="3D1D9A05" w14:textId="77777777" w:rsidR="00B77FD1" w:rsidRPr="00943408" w:rsidRDefault="00B77FD1" w:rsidP="00F250AC">
            <w:pPr>
              <w:shd w:val="clear" w:color="auto" w:fill="9BE5FF"/>
              <w:tabs>
                <w:tab w:val="left" w:pos="567"/>
                <w:tab w:val="left" w:pos="1134"/>
                <w:tab w:val="left" w:pos="1701"/>
                <w:tab w:val="left" w:pos="2268"/>
              </w:tabs>
              <w:spacing w:after="120"/>
              <w:rPr>
                <w:rFonts w:asciiTheme="minorHAnsi" w:hAnsiTheme="minorHAnsi" w:cstheme="minorHAnsi"/>
                <w:b/>
                <w:szCs w:val="24"/>
                <w:lang w:val="es-ES_tradnl"/>
              </w:rPr>
            </w:pPr>
            <w:r w:rsidRPr="00EA1E73">
              <w:rPr>
                <w:rFonts w:cstheme="minorHAnsi"/>
                <w:b/>
                <w:szCs w:val="24"/>
                <w:lang w:val="es-ES_tradnl"/>
              </w:rPr>
              <w:t>–</w:t>
            </w:r>
            <w:r w:rsidRPr="00943408">
              <w:rPr>
                <w:rFonts w:asciiTheme="minorHAnsi" w:hAnsiTheme="minorHAnsi" w:cstheme="minorHAnsi"/>
                <w:b/>
                <w:szCs w:val="24"/>
                <w:lang w:val="es-ES_tradnl"/>
              </w:rPr>
              <w:tab/>
            </w:r>
            <w:r>
              <w:rPr>
                <w:rFonts w:asciiTheme="minorHAnsi" w:hAnsiTheme="minorHAnsi" w:cstheme="minorHAnsi"/>
                <w:b/>
                <w:szCs w:val="24"/>
                <w:lang w:val="es-ES_tradnl"/>
              </w:rPr>
              <w:t>L</w:t>
            </w:r>
            <w:r w:rsidRPr="00943408">
              <w:rPr>
                <w:rFonts w:asciiTheme="minorHAnsi" w:hAnsiTheme="minorHAnsi" w:cstheme="minorHAnsi"/>
                <w:b/>
                <w:szCs w:val="24"/>
                <w:lang w:val="es-ES_tradnl"/>
              </w:rPr>
              <w:t>os principales interesados</w:t>
            </w:r>
          </w:p>
          <w:p w14:paraId="33AA800B"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¿En qué grupos de mandantes </w:t>
            </w:r>
            <w:r w:rsidRPr="00943408">
              <w:rPr>
                <w:rFonts w:asciiTheme="minorHAnsi" w:hAnsiTheme="minorHAnsi" w:cstheme="minorHAnsi"/>
                <w:szCs w:val="24"/>
                <w:lang w:val="es-ES_tradnl"/>
              </w:rPr>
              <w:t>cabría</w:t>
            </w:r>
            <w:r w:rsidRPr="00943408">
              <w:rPr>
                <w:rFonts w:asciiTheme="minorHAnsi" w:hAnsiTheme="minorHAnsi" w:cstheme="minorHAnsi"/>
                <w:bCs/>
                <w:szCs w:val="24"/>
                <w:lang w:val="es-ES_tradnl"/>
              </w:rPr>
              <w:t xml:space="preserve"> centrarse de cara a la CMDT-21?</w:t>
            </w:r>
          </w:p>
          <w:p w14:paraId="2EFEF1C0"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bCs/>
                <w:szCs w:val="24"/>
                <w:lang w:val="es-ES_tradnl"/>
              </w:rPr>
              <w:t>El Grupo propone centrarse en mandantes tales como instituciones financieras internacionales, bancos regionales de desarrollo, el sistema de las Naciones Unidas, el sector privado y otras partes interesadas pertinentes, en particular organizaciones juveniles y representantes de comunidades marginadas.</w:t>
            </w:r>
          </w:p>
          <w:p w14:paraId="058D1EBB"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¿Qué participantes de alto nivel </w:t>
            </w:r>
            <w:r w:rsidRPr="00943408">
              <w:rPr>
                <w:rFonts w:asciiTheme="minorHAnsi" w:hAnsiTheme="minorHAnsi" w:cstheme="minorHAnsi"/>
                <w:szCs w:val="24"/>
                <w:lang w:val="es-ES_tradnl"/>
              </w:rPr>
              <w:t>deberían</w:t>
            </w:r>
            <w:r w:rsidRPr="00943408">
              <w:rPr>
                <w:rFonts w:asciiTheme="minorHAnsi" w:hAnsiTheme="minorHAnsi" w:cstheme="minorHAnsi"/>
                <w:bCs/>
                <w:szCs w:val="24"/>
                <w:lang w:val="es-ES_tradnl"/>
              </w:rPr>
              <w:t xml:space="preserve"> ser invitados a presidir y/o pronunciar discursos de apertura sobre el tema o temas seleccionados?</w:t>
            </w:r>
          </w:p>
          <w:p w14:paraId="11E0A675" w14:textId="77777777" w:rsidR="00B77FD1" w:rsidRPr="00943408" w:rsidRDefault="00B77FD1" w:rsidP="00F250AC">
            <w:pPr>
              <w:keepNext/>
              <w:keepLines/>
              <w:spacing w:after="120"/>
              <w:rPr>
                <w:rFonts w:asciiTheme="minorHAnsi" w:hAnsiTheme="minorHAnsi" w:cstheme="minorHAnsi"/>
                <w:szCs w:val="24"/>
                <w:lang w:val="es-ES_tradnl"/>
              </w:rPr>
            </w:pPr>
            <w:r w:rsidRPr="00943408">
              <w:rPr>
                <w:rFonts w:asciiTheme="minorHAnsi" w:hAnsiTheme="minorHAnsi" w:cstheme="minorHAnsi"/>
                <w:szCs w:val="24"/>
                <w:lang w:val="es-ES_tradnl"/>
              </w:rPr>
              <w:t>El Grupo de Trabajo propone invitar a participantes de alto nivel de Estados Miembros, Miembros de Sector, entidades del sector privado, instituciones académicas, el sistema de las Naciones Unidas, miembros de la sociedad civil y organizaciones financieras internacionales y regionales a presidir y/o pronunciar discursos de apertura sobre el tema o temas seleccionados.</w:t>
            </w:r>
          </w:p>
        </w:tc>
      </w:tr>
    </w:tbl>
    <w:p w14:paraId="2F141D0A" w14:textId="77777777" w:rsidR="00B77FD1" w:rsidRPr="00943408" w:rsidRDefault="00B77FD1" w:rsidP="00B77FD1">
      <w:pPr>
        <w:rPr>
          <w:rFonts w:cstheme="minorHAnsi"/>
          <w:bCs/>
          <w:szCs w:val="24"/>
          <w:lang w:val="es-ES_tradnl"/>
        </w:rPr>
      </w:pPr>
    </w:p>
    <w:tbl>
      <w:tblPr>
        <w:tblStyle w:val="TableGrid"/>
        <w:tblW w:w="9776" w:type="dxa"/>
        <w:tblLook w:val="04A0" w:firstRow="1" w:lastRow="0" w:firstColumn="1" w:lastColumn="0" w:noHBand="0" w:noVBand="1"/>
      </w:tblPr>
      <w:tblGrid>
        <w:gridCol w:w="9776"/>
      </w:tblGrid>
      <w:tr w:rsidR="00B77FD1" w:rsidRPr="00943408" w14:paraId="018BA6FB" w14:textId="77777777" w:rsidTr="00F250AC">
        <w:tc>
          <w:tcPr>
            <w:tcW w:w="9776" w:type="dxa"/>
            <w:shd w:val="clear" w:color="auto" w:fill="9BE5FF"/>
          </w:tcPr>
          <w:p w14:paraId="31AAD3C9" w14:textId="77777777" w:rsidR="00B77FD1" w:rsidRPr="00943408" w:rsidRDefault="00B77FD1" w:rsidP="00B77FD1">
            <w:pPr>
              <w:numPr>
                <w:ilvl w:val="0"/>
                <w:numId w:val="33"/>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rPr>
                <w:rFonts w:asciiTheme="minorHAnsi" w:hAnsiTheme="minorHAnsi" w:cstheme="minorHAnsi"/>
                <w:bCs/>
                <w:szCs w:val="24"/>
                <w:lang w:val="es-ES_tradnl"/>
              </w:rPr>
            </w:pPr>
            <w:r w:rsidRPr="00943408">
              <w:rPr>
                <w:rFonts w:asciiTheme="minorHAnsi" w:hAnsiTheme="minorHAnsi" w:cstheme="minorHAnsi"/>
                <w:b/>
                <w:szCs w:val="24"/>
                <w:lang w:val="es-ES_tradnl"/>
              </w:rPr>
              <w:lastRenderedPageBreak/>
              <w:t>Informar a la próxima reunión del GADT.</w:t>
            </w:r>
          </w:p>
        </w:tc>
      </w:tr>
      <w:tr w:rsidR="00B77FD1" w:rsidRPr="00943408" w14:paraId="1EBFC83A" w14:textId="77777777" w:rsidTr="00F250AC">
        <w:tc>
          <w:tcPr>
            <w:tcW w:w="9776" w:type="dxa"/>
          </w:tcPr>
          <w:p w14:paraId="6591A04E" w14:textId="77777777" w:rsidR="00B77FD1" w:rsidRPr="00943408" w:rsidRDefault="00B77FD1" w:rsidP="00F250AC">
            <w:pPr>
              <w:spacing w:after="120"/>
              <w:rPr>
                <w:rFonts w:asciiTheme="minorHAnsi" w:hAnsiTheme="minorHAnsi" w:cstheme="minorHAnsi"/>
                <w:bCs/>
                <w:szCs w:val="24"/>
                <w:lang w:val="es-ES_tradnl"/>
              </w:rPr>
            </w:pPr>
            <w:r w:rsidRPr="00943408">
              <w:rPr>
                <w:rFonts w:asciiTheme="minorHAnsi" w:hAnsiTheme="minorHAnsi" w:cstheme="minorHAnsi"/>
                <w:bCs/>
                <w:szCs w:val="24"/>
                <w:lang w:val="es-ES_tradnl"/>
              </w:rPr>
              <w:t xml:space="preserve">Se invita al GADT a examinar el presente informe y </w:t>
            </w:r>
            <w:r w:rsidRPr="00943408">
              <w:rPr>
                <w:rFonts w:asciiTheme="minorHAnsi" w:hAnsiTheme="minorHAnsi" w:cstheme="minorHAnsi"/>
                <w:szCs w:val="24"/>
                <w:lang w:val="es-ES_tradnl"/>
              </w:rPr>
              <w:t>refrendar las recomendaciones incluidas</w:t>
            </w:r>
            <w:r w:rsidRPr="00943408">
              <w:rPr>
                <w:rFonts w:asciiTheme="minorHAnsi" w:hAnsiTheme="minorHAnsi" w:cstheme="minorHAnsi"/>
                <w:bCs/>
                <w:szCs w:val="24"/>
                <w:lang w:val="es-ES_tradnl"/>
              </w:rPr>
              <w:t xml:space="preserve"> en el mismo.</w:t>
            </w:r>
          </w:p>
        </w:tc>
      </w:tr>
    </w:tbl>
    <w:p w14:paraId="4D45A5D9" w14:textId="77777777" w:rsidR="00B77FD1" w:rsidRDefault="00B77FD1" w:rsidP="00411C49">
      <w:pPr>
        <w:pStyle w:val="Reasons"/>
      </w:pPr>
    </w:p>
    <w:p w14:paraId="05D28493" w14:textId="77777777" w:rsidR="0051607B" w:rsidRDefault="0051607B">
      <w:pPr>
        <w:jc w:val="center"/>
      </w:pPr>
      <w:r>
        <w:t>______________</w:t>
      </w:r>
    </w:p>
    <w:sectPr w:rsidR="0051607B" w:rsidSect="00504609">
      <w:headerReference w:type="default" r:id="rId15"/>
      <w:footerReference w:type="default" r:id="rId16"/>
      <w:footerReference w:type="first" r:id="rId17"/>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1D8A" w14:textId="05F5D57E" w:rsidR="00FC47C2" w:rsidRDefault="00831E38" w:rsidP="00FC47C2">
    <w:pPr>
      <w:pStyle w:val="Footer"/>
    </w:pPr>
    <w:r>
      <w:fldChar w:fldCharType="begin"/>
    </w:r>
    <w:r>
      <w:instrText xml:space="preserve"> FILENAME \p  \* MERGEFORMAT </w:instrText>
    </w:r>
    <w:r>
      <w:fldChar w:fldCharType="separate"/>
    </w:r>
    <w:r w:rsidR="00B77FD1">
      <w:t>P:\ESP\ITU-D\CONF-D\RPMS\EUR\000\006S.docx</w:t>
    </w:r>
    <w:r>
      <w:fldChar w:fldCharType="end"/>
    </w:r>
    <w:r w:rsidR="00FC47C2">
      <w:t xml:space="preserve"> (</w:t>
    </w:r>
    <w:r w:rsidR="00B77FD1">
      <w:t>481300</w:t>
    </w:r>
    <w:r w:rsidR="00FC47C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2"/>
      <w:gridCol w:w="2544"/>
      <w:gridCol w:w="5665"/>
    </w:tblGrid>
    <w:tr w:rsidR="00EC43F5"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EC43F5" w:rsidRPr="004D495C" w:rsidRDefault="00EC43F5" w:rsidP="00EC43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44" w:type="dxa"/>
          <w:tcBorders>
            <w:top w:val="single" w:sz="4" w:space="0" w:color="000000"/>
          </w:tcBorders>
        </w:tcPr>
        <w:p w14:paraId="7B0EE89B" w14:textId="77777777" w:rsidR="00EC43F5" w:rsidRPr="000C7520" w:rsidRDefault="00EC43F5"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39AABD5D" w:rsidR="00EC43F5" w:rsidRPr="00EE7FCE" w:rsidRDefault="00B77FD1" w:rsidP="0051607B">
          <w:pPr>
            <w:pStyle w:val="FirstFooter"/>
            <w:tabs>
              <w:tab w:val="left" w:pos="2302"/>
            </w:tabs>
            <w:rPr>
              <w:sz w:val="18"/>
              <w:szCs w:val="18"/>
              <w:highlight w:val="yellow"/>
              <w:lang w:val="es-ES_tradnl"/>
            </w:rPr>
          </w:pPr>
          <w:bookmarkStart w:id="10" w:name="OrgName"/>
          <w:bookmarkEnd w:id="10"/>
          <w:r w:rsidRPr="00EE7FCE">
            <w:rPr>
              <w:sz w:val="18"/>
              <w:szCs w:val="18"/>
              <w:lang w:val="es-ES_tradnl"/>
            </w:rPr>
            <w:t>Sr. Santiago Reyes-Borda, Asesor Principal de Política para la Innovación, la Ciencia y el Desarrollo Económico, Canadá</w:t>
          </w:r>
        </w:p>
      </w:tc>
    </w:tr>
    <w:tr w:rsidR="00EC43F5" w:rsidRPr="004D495C" w14:paraId="09F85CB9" w14:textId="77777777" w:rsidTr="006F7908">
      <w:tc>
        <w:tcPr>
          <w:tcW w:w="1432" w:type="dxa"/>
          <w:shd w:val="clear" w:color="auto" w:fill="auto"/>
        </w:tcPr>
        <w:p w14:paraId="503204A3" w14:textId="77777777" w:rsidR="00EC43F5" w:rsidRPr="004D495C" w:rsidRDefault="00EC43F5" w:rsidP="00EC43F5">
          <w:pPr>
            <w:pStyle w:val="FirstFooter"/>
            <w:tabs>
              <w:tab w:val="left" w:pos="1559"/>
              <w:tab w:val="left" w:pos="3828"/>
            </w:tabs>
            <w:rPr>
              <w:sz w:val="20"/>
              <w:lang w:val="en-US"/>
            </w:rPr>
          </w:pPr>
        </w:p>
      </w:tc>
      <w:tc>
        <w:tcPr>
          <w:tcW w:w="2544" w:type="dxa"/>
        </w:tcPr>
        <w:p w14:paraId="29E8D116" w14:textId="77777777" w:rsidR="00EC43F5" w:rsidRPr="000C7520" w:rsidRDefault="00EC43F5"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6AFB1E4A" w:rsidR="00EC43F5" w:rsidRPr="004D495C" w:rsidRDefault="00B77FD1" w:rsidP="00EC43F5">
          <w:pPr>
            <w:pStyle w:val="FirstFooter"/>
            <w:tabs>
              <w:tab w:val="left" w:pos="2302"/>
            </w:tabs>
            <w:rPr>
              <w:sz w:val="18"/>
              <w:szCs w:val="18"/>
              <w:highlight w:val="yellow"/>
              <w:lang w:val="en-US"/>
            </w:rPr>
          </w:pPr>
          <w:bookmarkStart w:id="11" w:name="PhoneNo"/>
          <w:bookmarkEnd w:id="11"/>
          <w:r w:rsidRPr="00B77FD1">
            <w:rPr>
              <w:sz w:val="18"/>
              <w:szCs w:val="18"/>
              <w:lang w:val="en-US"/>
            </w:rPr>
            <w:t>n/a</w:t>
          </w:r>
        </w:p>
      </w:tc>
    </w:tr>
    <w:tr w:rsidR="00EC43F5" w:rsidRPr="004D495C" w14:paraId="0BA35A07" w14:textId="77777777" w:rsidTr="006F7908">
      <w:tc>
        <w:tcPr>
          <w:tcW w:w="1432" w:type="dxa"/>
          <w:shd w:val="clear" w:color="auto" w:fill="auto"/>
        </w:tcPr>
        <w:p w14:paraId="1809EE7D" w14:textId="77777777" w:rsidR="00EC43F5" w:rsidRPr="004D495C" w:rsidRDefault="00EC43F5" w:rsidP="00EC43F5">
          <w:pPr>
            <w:pStyle w:val="FirstFooter"/>
            <w:tabs>
              <w:tab w:val="left" w:pos="1559"/>
              <w:tab w:val="left" w:pos="3828"/>
            </w:tabs>
            <w:rPr>
              <w:sz w:val="20"/>
              <w:lang w:val="en-US"/>
            </w:rPr>
          </w:pPr>
        </w:p>
      </w:tc>
      <w:tc>
        <w:tcPr>
          <w:tcW w:w="2544" w:type="dxa"/>
        </w:tcPr>
        <w:p w14:paraId="500EFD9D" w14:textId="77777777" w:rsidR="00EC43F5" w:rsidRPr="0025794D" w:rsidRDefault="00EC43F5"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12" w:name="Email"/>
      <w:bookmarkEnd w:id="12"/>
      <w:tc>
        <w:tcPr>
          <w:tcW w:w="5665" w:type="dxa"/>
          <w:shd w:val="clear" w:color="auto" w:fill="auto"/>
        </w:tcPr>
        <w:p w14:paraId="6A243F75" w14:textId="2CB7BD0A" w:rsidR="00EC43F5" w:rsidRPr="004D495C" w:rsidRDefault="00B77FD1" w:rsidP="00EC43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77FD1">
            <w:rPr>
              <w:sz w:val="18"/>
              <w:szCs w:val="18"/>
              <w:lang w:val="en-US"/>
            </w:rPr>
            <w:instrText>santiago.reyes-borda@canada.ca</w:instrText>
          </w:r>
          <w:r>
            <w:rPr>
              <w:sz w:val="18"/>
              <w:szCs w:val="18"/>
              <w:lang w:val="en-US"/>
            </w:rPr>
            <w:instrText xml:space="preserve">" </w:instrText>
          </w:r>
          <w:r>
            <w:rPr>
              <w:sz w:val="18"/>
              <w:szCs w:val="18"/>
              <w:lang w:val="en-US"/>
            </w:rPr>
            <w:fldChar w:fldCharType="separate"/>
          </w:r>
          <w:r w:rsidRPr="0069457E">
            <w:rPr>
              <w:rStyle w:val="Hyperlink"/>
              <w:sz w:val="18"/>
              <w:szCs w:val="18"/>
              <w:lang w:val="en-US"/>
            </w:rPr>
            <w:t>santiago.reyes-borda@canada.ca</w:t>
          </w:r>
          <w:r>
            <w:rPr>
              <w:sz w:val="18"/>
              <w:szCs w:val="18"/>
              <w:lang w:val="en-US"/>
            </w:rPr>
            <w:fldChar w:fldCharType="end"/>
          </w:r>
        </w:p>
      </w:tc>
    </w:tr>
  </w:tbl>
  <w:p w14:paraId="73D28639" w14:textId="6502B7FD" w:rsidR="00E2379D" w:rsidRPr="0051607B" w:rsidRDefault="00831E38" w:rsidP="003F2BC3">
    <w:pPr>
      <w:jc w:val="center"/>
      <w:rPr>
        <w:sz w:val="18"/>
        <w:szCs w:val="18"/>
      </w:rPr>
    </w:pPr>
    <w:hyperlink r:id="rId1" w:history="1">
      <w:r w:rsidR="003F2BC3" w:rsidRPr="0051607B">
        <w:rPr>
          <w:rStyle w:val="Hyperlink"/>
          <w:sz w:val="18"/>
          <w:szCs w:val="18"/>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7D4D9187"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9" w:name="DocNo2"/>
    <w:bookmarkEnd w:id="9"/>
    <w:r w:rsidR="00B77FD1">
      <w:rPr>
        <w:sz w:val="22"/>
        <w:szCs w:val="22"/>
        <w:lang w:val="es-ES_tradnl"/>
      </w:rPr>
      <w:t>6</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AB6FF2">
      <w:rPr>
        <w:sz w:val="22"/>
        <w:szCs w:val="22"/>
        <w:lang w:val="es-ES_tradnl"/>
      </w:rPr>
      <w:t>á</w:t>
    </w:r>
    <w:r w:rsidRPr="00FF089C">
      <w:rPr>
        <w:sz w:val="22"/>
        <w:szCs w:val="22"/>
        <w:lang w:val="es-ES_tradnl"/>
      </w:rPr>
      <w:t>g</w:t>
    </w:r>
    <w:r w:rsidR="00AB6FF2">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61A2"/>
    <w:rsid w:val="000D7961"/>
    <w:rsid w:val="000E397B"/>
    <w:rsid w:val="000F1580"/>
    <w:rsid w:val="001229F6"/>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607B"/>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97659"/>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1E38"/>
    <w:rsid w:val="008331F6"/>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A020B6"/>
    <w:rsid w:val="00A13179"/>
    <w:rsid w:val="00A140EB"/>
    <w:rsid w:val="00A16064"/>
    <w:rsid w:val="00A54CA6"/>
    <w:rsid w:val="00A65745"/>
    <w:rsid w:val="00A824E0"/>
    <w:rsid w:val="00A840C6"/>
    <w:rsid w:val="00AB4706"/>
    <w:rsid w:val="00AB6FF2"/>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77FD1"/>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33BB7"/>
    <w:rsid w:val="00E45EB4"/>
    <w:rsid w:val="00E7476B"/>
    <w:rsid w:val="00E74841"/>
    <w:rsid w:val="00E77422"/>
    <w:rsid w:val="00E84413"/>
    <w:rsid w:val="00E96CF9"/>
    <w:rsid w:val="00E97390"/>
    <w:rsid w:val="00E97800"/>
    <w:rsid w:val="00EA3797"/>
    <w:rsid w:val="00EA467D"/>
    <w:rsid w:val="00EA6520"/>
    <w:rsid w:val="00EA72D0"/>
    <w:rsid w:val="00EB2FC6"/>
    <w:rsid w:val="00EC43F5"/>
    <w:rsid w:val="00EE7FCE"/>
    <w:rsid w:val="00EF62C8"/>
    <w:rsid w:val="00F2422E"/>
    <w:rsid w:val="00F35A0C"/>
    <w:rsid w:val="00F40E2E"/>
    <w:rsid w:val="00F45703"/>
    <w:rsid w:val="00F620CA"/>
    <w:rsid w:val="00F74154"/>
    <w:rsid w:val="00F842D3"/>
    <w:rsid w:val="00F87092"/>
    <w:rsid w:val="00FC045D"/>
    <w:rsid w:val="00FC47C2"/>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5160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D18-TDAG27.WP-C-0012/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WP-C-0018/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WP-C-000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s/ITU-D/Conferences/TDAG/Pages/TDAG_WG_WTDC_Prep.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8-TDAG27-C-0005/es" TargetMode="External"/><Relationship Id="rId14" Type="http://schemas.openxmlformats.org/officeDocument/2006/relationships/hyperlink" Target="https://www.itu.int/md/D18-TDAG27.WP-C-0026/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4A92-6A8F-40D2-BF4A-D08620C8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1577</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Spanish83</cp:lastModifiedBy>
  <cp:revision>4</cp:revision>
  <cp:lastPrinted>2016-05-13T07:33:00Z</cp:lastPrinted>
  <dcterms:created xsi:type="dcterms:W3CDTF">2020-12-18T15:52:00Z</dcterms:created>
  <dcterms:modified xsi:type="dcterms:W3CDTF">2020-12-18T16:22:00Z</dcterms:modified>
</cp:coreProperties>
</file>