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9"/>
      </w:tblGrid>
      <w:tr w:rsidR="00ED045A" w:rsidRPr="00AE2BCA" w14:paraId="17753B25" w14:textId="77777777" w:rsidTr="00ED045A">
        <w:trPr>
          <w:cantSplit/>
        </w:trPr>
        <w:tc>
          <w:tcPr>
            <w:tcW w:w="2127" w:type="dxa"/>
          </w:tcPr>
          <w:p w14:paraId="25E4C041" w14:textId="627B70F6" w:rsidR="00ED045A" w:rsidRPr="00AB6FF2" w:rsidRDefault="00ED045A" w:rsidP="00ED045A">
            <w:pPr>
              <w:spacing w:after="120"/>
              <w:rPr>
                <w:b/>
                <w:bCs/>
                <w:sz w:val="32"/>
                <w:szCs w:val="32"/>
                <w:lang w:val="es-ES_tradnl"/>
              </w:rPr>
            </w:pPr>
            <w:r>
              <w:rPr>
                <w:b/>
                <w:bCs/>
                <w:noProof/>
                <w:sz w:val="32"/>
                <w:szCs w:val="32"/>
                <w:lang w:val="fr-CH"/>
              </w:rPr>
              <w:drawing>
                <wp:inline distT="0" distB="0" distL="0" distR="0" wp14:anchorId="34A9719F" wp14:editId="6378BBF3">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733A8873" w14:textId="31CC5ABD" w:rsidR="00ED045A" w:rsidRPr="00AB6FF2" w:rsidRDefault="00ED045A" w:rsidP="00ED045A">
            <w:pPr>
              <w:spacing w:before="360" w:after="120"/>
              <w:rPr>
                <w:b/>
                <w:bCs/>
                <w:sz w:val="32"/>
                <w:szCs w:val="32"/>
                <w:lang w:val="es-ES_tradnl"/>
              </w:rPr>
            </w:pPr>
            <w:r w:rsidRPr="00AB6FF2">
              <w:rPr>
                <w:b/>
                <w:bCs/>
                <w:sz w:val="32"/>
                <w:szCs w:val="32"/>
                <w:lang w:val="es-ES_tradnl"/>
              </w:rPr>
              <w:t xml:space="preserve">Reunión Preparatoria Regional de la CMDT-21 para Europa </w:t>
            </w:r>
            <w:bookmarkStart w:id="0" w:name="_GoBack"/>
            <w:bookmarkEnd w:id="0"/>
            <w:r w:rsidRPr="00AB6FF2">
              <w:rPr>
                <w:b/>
                <w:bCs/>
                <w:sz w:val="32"/>
                <w:szCs w:val="32"/>
                <w:lang w:val="es-ES_tradnl"/>
              </w:rPr>
              <w:t>(RPM-EUR)</w:t>
            </w:r>
            <w:r>
              <w:rPr>
                <w:b/>
                <w:bCs/>
                <w:sz w:val="32"/>
                <w:szCs w:val="32"/>
                <w:lang w:val="es-ES_tradnl"/>
              </w:rPr>
              <w:br/>
            </w:r>
            <w:r w:rsidRPr="00AB6FF2">
              <w:rPr>
                <w:b/>
                <w:bCs/>
                <w:szCs w:val="24"/>
                <w:lang w:val="es-ES_tradnl"/>
              </w:rPr>
              <w:t>Virtual, 18-19 de enero de 2021</w:t>
            </w:r>
          </w:p>
        </w:tc>
        <w:tc>
          <w:tcPr>
            <w:tcW w:w="1419" w:type="dxa"/>
          </w:tcPr>
          <w:p w14:paraId="279197B1" w14:textId="09B5E2EB" w:rsidR="00ED045A" w:rsidRPr="00AB6FF2" w:rsidRDefault="00ED045A" w:rsidP="00ED045A">
            <w:pPr>
              <w:spacing w:before="240"/>
              <w:ind w:right="142"/>
              <w:jc w:val="right"/>
              <w:rPr>
                <w:lang w:val="es-ES_tradnl"/>
              </w:rPr>
            </w:pPr>
            <w:r w:rsidRPr="00AB6FF2">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0B95" w:rsidRPr="002D0049" w14:paraId="21659024" w14:textId="77777777" w:rsidTr="00504609">
        <w:trPr>
          <w:cantSplit/>
          <w:trHeight w:val="300"/>
        </w:trPr>
        <w:tc>
          <w:tcPr>
            <w:tcW w:w="9641" w:type="dxa"/>
            <w:gridSpan w:val="4"/>
            <w:tcBorders>
              <w:bottom w:val="single" w:sz="12" w:space="0" w:color="auto"/>
            </w:tcBorders>
          </w:tcPr>
          <w:p w14:paraId="076AA5C1" w14:textId="04183A61" w:rsidR="006D0B95" w:rsidRPr="00AB6FF2" w:rsidRDefault="006D0B95" w:rsidP="00504609">
            <w:pPr>
              <w:adjustRightInd/>
              <w:spacing w:before="0" w:after="60"/>
              <w:rPr>
                <w:b/>
                <w:bCs/>
                <w:szCs w:val="24"/>
                <w:lang w:val="es-ES_tradnl"/>
              </w:rPr>
            </w:pPr>
            <w:bookmarkStart w:id="1" w:name="Meeting"/>
            <w:bookmarkStart w:id="2" w:name="PlaceDate"/>
            <w:bookmarkEnd w:id="1"/>
            <w:bookmarkEnd w:id="2"/>
          </w:p>
        </w:tc>
      </w:tr>
      <w:tr w:rsidR="0070796E" w:rsidRPr="002D0049" w14:paraId="02CA2556" w14:textId="77777777" w:rsidTr="00504609">
        <w:trPr>
          <w:cantSplit/>
          <w:trHeight w:val="238"/>
        </w:trPr>
        <w:tc>
          <w:tcPr>
            <w:tcW w:w="6379" w:type="dxa"/>
            <w:gridSpan w:val="2"/>
            <w:tcBorders>
              <w:top w:val="single" w:sz="12" w:space="0" w:color="auto"/>
            </w:tcBorders>
          </w:tcPr>
          <w:p w14:paraId="5057834D" w14:textId="77777777" w:rsidR="0070796E" w:rsidRPr="002D0049" w:rsidRDefault="0070796E" w:rsidP="00504609">
            <w:pPr>
              <w:spacing w:before="0"/>
              <w:rPr>
                <w:lang w:val="en-US"/>
              </w:rPr>
            </w:pPr>
          </w:p>
        </w:tc>
        <w:tc>
          <w:tcPr>
            <w:tcW w:w="3262" w:type="dxa"/>
            <w:gridSpan w:val="2"/>
            <w:tcBorders>
              <w:top w:val="single" w:sz="12" w:space="0" w:color="auto"/>
            </w:tcBorders>
          </w:tcPr>
          <w:p w14:paraId="48551317" w14:textId="77777777" w:rsidR="0070796E" w:rsidRPr="002D0049" w:rsidRDefault="0070796E" w:rsidP="00504609">
            <w:pPr>
              <w:spacing w:before="0"/>
              <w:rPr>
                <w:lang w:val="en-US"/>
              </w:rPr>
            </w:pPr>
          </w:p>
        </w:tc>
      </w:tr>
      <w:tr w:rsidR="0070796E" w:rsidRPr="00BA2A7B" w14:paraId="042F6D12" w14:textId="77777777" w:rsidTr="00504609">
        <w:trPr>
          <w:cantSplit/>
          <w:trHeight w:val="20"/>
        </w:trPr>
        <w:tc>
          <w:tcPr>
            <w:tcW w:w="6379" w:type="dxa"/>
            <w:gridSpan w:val="2"/>
            <w:vMerge w:val="restart"/>
          </w:tcPr>
          <w:p w14:paraId="20070EC3" w14:textId="77777777" w:rsidR="0070796E" w:rsidRPr="002D0049" w:rsidRDefault="0070796E" w:rsidP="00504609">
            <w:pPr>
              <w:rPr>
                <w:lang w:val="en-US"/>
              </w:rPr>
            </w:pPr>
          </w:p>
        </w:tc>
        <w:tc>
          <w:tcPr>
            <w:tcW w:w="3262" w:type="dxa"/>
            <w:gridSpan w:val="2"/>
          </w:tcPr>
          <w:p w14:paraId="49CE235C" w14:textId="2C5EDB34" w:rsidR="0070796E" w:rsidRPr="00AB6FF2" w:rsidRDefault="0070796E" w:rsidP="00504609">
            <w:pPr>
              <w:spacing w:before="0"/>
              <w:rPr>
                <w:b/>
                <w:bCs/>
                <w:szCs w:val="24"/>
                <w:lang w:val="es-ES_tradnl"/>
              </w:rPr>
            </w:pPr>
            <w:r w:rsidRPr="00AB6FF2">
              <w:rPr>
                <w:b/>
                <w:bCs/>
                <w:szCs w:val="24"/>
                <w:lang w:val="es-ES_tradnl"/>
              </w:rPr>
              <w:t>Document</w:t>
            </w:r>
            <w:r w:rsidR="00EC43F5" w:rsidRPr="00AB6FF2">
              <w:rPr>
                <w:b/>
                <w:bCs/>
                <w:szCs w:val="24"/>
                <w:lang w:val="es-ES_tradnl"/>
              </w:rPr>
              <w:t>o</w:t>
            </w:r>
            <w:r w:rsidR="006527BD" w:rsidRPr="00AB6FF2">
              <w:rPr>
                <w:b/>
                <w:bCs/>
                <w:szCs w:val="24"/>
                <w:lang w:val="es-ES_tradnl"/>
              </w:rPr>
              <w:t xml:space="preserve"> </w:t>
            </w:r>
            <w:bookmarkStart w:id="3" w:name="DocRef1"/>
            <w:bookmarkEnd w:id="3"/>
            <w:r w:rsidR="00FF089C" w:rsidRPr="00AB6FF2">
              <w:rPr>
                <w:b/>
                <w:bCs/>
                <w:szCs w:val="24"/>
                <w:lang w:val="es-ES_tradnl"/>
              </w:rPr>
              <w:t>RPM-</w:t>
            </w:r>
            <w:r w:rsidR="00923456" w:rsidRPr="00AB6FF2">
              <w:rPr>
                <w:b/>
                <w:bCs/>
                <w:szCs w:val="24"/>
                <w:lang w:val="es-ES_tradnl"/>
              </w:rPr>
              <w:t>EUR</w:t>
            </w:r>
            <w:r w:rsidR="00504609" w:rsidRPr="00AB6FF2">
              <w:rPr>
                <w:b/>
                <w:bCs/>
                <w:szCs w:val="24"/>
                <w:lang w:val="es-ES_tradnl"/>
              </w:rPr>
              <w:t>21</w:t>
            </w:r>
            <w:r w:rsidR="00FF089C" w:rsidRPr="00AB6FF2">
              <w:rPr>
                <w:b/>
                <w:bCs/>
                <w:szCs w:val="24"/>
                <w:lang w:val="es-ES_tradnl"/>
              </w:rPr>
              <w:t>/</w:t>
            </w:r>
            <w:r w:rsidR="0051607B" w:rsidRPr="00AB6FF2">
              <w:rPr>
                <w:b/>
                <w:bCs/>
                <w:szCs w:val="24"/>
                <w:lang w:val="es-ES_tradnl"/>
              </w:rPr>
              <w:t>5</w:t>
            </w:r>
            <w:r w:rsidR="00FF089C" w:rsidRPr="00AB6FF2">
              <w:rPr>
                <w:b/>
                <w:bCs/>
                <w:szCs w:val="24"/>
                <w:lang w:val="es-ES_tradnl"/>
              </w:rPr>
              <w:t>-</w:t>
            </w:r>
            <w:bookmarkStart w:id="4" w:name="DocNo1"/>
            <w:bookmarkEnd w:id="4"/>
            <w:r w:rsidR="00EC43F5" w:rsidRPr="00AB6FF2">
              <w:rPr>
                <w:b/>
                <w:bCs/>
                <w:szCs w:val="24"/>
                <w:lang w:val="es-ES_tradnl"/>
              </w:rPr>
              <w:t>S</w:t>
            </w:r>
          </w:p>
        </w:tc>
      </w:tr>
      <w:tr w:rsidR="0070796E" w:rsidRPr="00AE2BCA" w14:paraId="2EA9F9CE" w14:textId="77777777" w:rsidTr="00504609">
        <w:trPr>
          <w:cantSplit/>
          <w:trHeight w:val="23"/>
        </w:trPr>
        <w:tc>
          <w:tcPr>
            <w:tcW w:w="6379" w:type="dxa"/>
            <w:gridSpan w:val="2"/>
            <w:vMerge/>
          </w:tcPr>
          <w:p w14:paraId="2A780D8D" w14:textId="77777777" w:rsidR="0070796E" w:rsidRPr="0093043A" w:rsidRDefault="0070796E" w:rsidP="00504609">
            <w:pPr>
              <w:tabs>
                <w:tab w:val="left" w:pos="851"/>
              </w:tabs>
              <w:spacing w:line="240" w:lineRule="atLeast"/>
              <w:rPr>
                <w:b/>
                <w:lang w:val="fr-CH"/>
              </w:rPr>
            </w:pPr>
          </w:p>
        </w:tc>
        <w:tc>
          <w:tcPr>
            <w:tcW w:w="3262" w:type="dxa"/>
            <w:gridSpan w:val="2"/>
          </w:tcPr>
          <w:p w14:paraId="5AACB509" w14:textId="4F5EDC94" w:rsidR="0070796E" w:rsidRPr="00AB6FF2" w:rsidRDefault="0051607B" w:rsidP="00504609">
            <w:pPr>
              <w:spacing w:before="0"/>
              <w:rPr>
                <w:b/>
                <w:bCs/>
                <w:szCs w:val="24"/>
                <w:lang w:val="es-ES_tradnl"/>
              </w:rPr>
            </w:pPr>
            <w:bookmarkStart w:id="5" w:name="CreationDate"/>
            <w:bookmarkEnd w:id="5"/>
            <w:r w:rsidRPr="00AB6FF2">
              <w:rPr>
                <w:b/>
                <w:bCs/>
                <w:szCs w:val="24"/>
                <w:lang w:val="es-ES_tradnl"/>
              </w:rPr>
              <w:t>8 de diciembre de 2020</w:t>
            </w:r>
          </w:p>
        </w:tc>
      </w:tr>
      <w:tr w:rsidR="0070796E" w:rsidRPr="00AE2BCA" w14:paraId="03F0AF90" w14:textId="77777777" w:rsidTr="00504609">
        <w:trPr>
          <w:cantSplit/>
          <w:trHeight w:val="333"/>
        </w:trPr>
        <w:tc>
          <w:tcPr>
            <w:tcW w:w="6379" w:type="dxa"/>
            <w:gridSpan w:val="2"/>
            <w:vMerge/>
          </w:tcPr>
          <w:p w14:paraId="49E11E04" w14:textId="77777777" w:rsidR="0070796E" w:rsidRPr="00AE2BCA" w:rsidRDefault="0070796E" w:rsidP="00504609">
            <w:pPr>
              <w:tabs>
                <w:tab w:val="left" w:pos="851"/>
              </w:tabs>
              <w:spacing w:line="240" w:lineRule="atLeast"/>
              <w:rPr>
                <w:b/>
              </w:rPr>
            </w:pPr>
          </w:p>
        </w:tc>
        <w:tc>
          <w:tcPr>
            <w:tcW w:w="3262" w:type="dxa"/>
            <w:gridSpan w:val="2"/>
          </w:tcPr>
          <w:p w14:paraId="5C49528C" w14:textId="7F9241AA" w:rsidR="0070796E" w:rsidRPr="00AB6FF2" w:rsidRDefault="00EC43F5" w:rsidP="00504609">
            <w:pPr>
              <w:spacing w:before="0" w:after="120"/>
              <w:rPr>
                <w:b/>
                <w:bCs/>
                <w:szCs w:val="24"/>
                <w:lang w:val="es-ES_tradnl"/>
              </w:rPr>
            </w:pPr>
            <w:r w:rsidRPr="00AB6FF2">
              <w:rPr>
                <w:b/>
                <w:bCs/>
                <w:szCs w:val="24"/>
                <w:lang w:val="es-ES_tradnl"/>
              </w:rPr>
              <w:t>Original: inglés</w:t>
            </w:r>
          </w:p>
        </w:tc>
      </w:tr>
      <w:tr w:rsidR="0070796E" w:rsidRPr="00AE2BCA" w14:paraId="655B5FD0" w14:textId="77777777" w:rsidTr="00504609">
        <w:trPr>
          <w:cantSplit/>
          <w:trHeight w:val="23"/>
        </w:trPr>
        <w:tc>
          <w:tcPr>
            <w:tcW w:w="9641" w:type="dxa"/>
            <w:gridSpan w:val="4"/>
          </w:tcPr>
          <w:p w14:paraId="438BCD9A" w14:textId="49E25AFF" w:rsidR="0070796E" w:rsidRPr="00AB6FF2" w:rsidRDefault="0051607B" w:rsidP="00504609">
            <w:pPr>
              <w:tabs>
                <w:tab w:val="left" w:pos="1928"/>
              </w:tabs>
              <w:spacing w:before="240" w:after="240"/>
              <w:ind w:left="1928" w:hanging="1928"/>
              <w:jc w:val="center"/>
              <w:rPr>
                <w:b/>
                <w:bCs/>
                <w:sz w:val="28"/>
                <w:szCs w:val="28"/>
                <w:lang w:val="es-ES_tradnl"/>
              </w:rPr>
            </w:pPr>
            <w:r w:rsidRPr="00AB6FF2">
              <w:rPr>
                <w:b/>
                <w:bCs/>
                <w:sz w:val="28"/>
                <w:szCs w:val="28"/>
                <w:lang w:val="es-ES_tradnl"/>
              </w:rPr>
              <w:t>Directora, Oficina de Desarrollo de las Telecomunicaciones</w:t>
            </w:r>
          </w:p>
        </w:tc>
      </w:tr>
      <w:tr w:rsidR="00421F93" w:rsidRPr="00AE2BCA" w14:paraId="72DD2DDB" w14:textId="77777777" w:rsidTr="00504609">
        <w:trPr>
          <w:cantSplit/>
          <w:trHeight w:val="23"/>
        </w:trPr>
        <w:tc>
          <w:tcPr>
            <w:tcW w:w="9641" w:type="dxa"/>
            <w:gridSpan w:val="4"/>
          </w:tcPr>
          <w:p w14:paraId="7D77AAB7" w14:textId="686BDF48" w:rsidR="00421F93" w:rsidRPr="00421F93" w:rsidRDefault="0051607B" w:rsidP="0051607B">
            <w:pPr>
              <w:tabs>
                <w:tab w:val="left" w:pos="1928"/>
              </w:tabs>
              <w:spacing w:after="120"/>
              <w:jc w:val="center"/>
              <w:rPr>
                <w:sz w:val="28"/>
                <w:szCs w:val="28"/>
              </w:rPr>
            </w:pPr>
            <w:r w:rsidRPr="0051607B">
              <w:rPr>
                <w:sz w:val="28"/>
                <w:szCs w:val="28"/>
                <w:lang w:val="es-ES_tradnl"/>
              </w:rPr>
              <w:t xml:space="preserve">Informe sobre la aplicación de los resultados de otras </w:t>
            </w:r>
            <w:r w:rsidR="00697659">
              <w:rPr>
                <w:sz w:val="28"/>
                <w:szCs w:val="28"/>
                <w:lang w:val="es-ES_tradnl"/>
              </w:rPr>
              <w:t>c</w:t>
            </w:r>
            <w:r w:rsidRPr="0051607B">
              <w:rPr>
                <w:sz w:val="28"/>
                <w:szCs w:val="28"/>
                <w:lang w:val="es-ES_tradnl"/>
              </w:rPr>
              <w:t xml:space="preserve">onferencias, </w:t>
            </w:r>
            <w:r w:rsidR="00697659">
              <w:rPr>
                <w:sz w:val="28"/>
                <w:szCs w:val="28"/>
                <w:lang w:val="es-ES_tradnl"/>
              </w:rPr>
              <w:t>a</w:t>
            </w:r>
            <w:r w:rsidRPr="0051607B">
              <w:rPr>
                <w:sz w:val="28"/>
                <w:szCs w:val="28"/>
                <w:lang w:val="es-ES_tradnl"/>
              </w:rPr>
              <w:t xml:space="preserve">sambleas </w:t>
            </w:r>
            <w:r w:rsidR="00AB6FF2">
              <w:rPr>
                <w:sz w:val="28"/>
                <w:szCs w:val="28"/>
                <w:lang w:val="es-ES_tradnl"/>
              </w:rPr>
              <w:br/>
            </w:r>
            <w:r w:rsidRPr="0051607B">
              <w:rPr>
                <w:sz w:val="28"/>
                <w:szCs w:val="28"/>
                <w:lang w:val="es-ES_tradnl"/>
              </w:rPr>
              <w:t xml:space="preserve">y reuniones de la UIT relacionados con los trabajos del UIT-D: </w:t>
            </w:r>
            <w:r w:rsidR="00AB6FF2">
              <w:rPr>
                <w:sz w:val="28"/>
                <w:szCs w:val="28"/>
                <w:lang w:val="es-ES_tradnl"/>
              </w:rPr>
              <w:br/>
            </w:r>
            <w:r w:rsidRPr="0051607B">
              <w:rPr>
                <w:sz w:val="28"/>
                <w:szCs w:val="28"/>
                <w:lang w:val="es-ES_tradnl"/>
              </w:rPr>
              <w:t>PP-18, CMR-19, AR-19, y AMNT-16</w:t>
            </w:r>
          </w:p>
        </w:tc>
      </w:tr>
      <w:tr w:rsidR="00504609" w:rsidRPr="00AE2BCA" w14:paraId="3FF473AE" w14:textId="77777777" w:rsidTr="00504609">
        <w:trPr>
          <w:cantSplit/>
          <w:trHeight w:val="23"/>
        </w:trPr>
        <w:tc>
          <w:tcPr>
            <w:tcW w:w="9641" w:type="dxa"/>
            <w:gridSpan w:val="4"/>
            <w:tcBorders>
              <w:bottom w:val="single" w:sz="4" w:space="0" w:color="auto"/>
            </w:tcBorders>
          </w:tcPr>
          <w:p w14:paraId="414CF233" w14:textId="77777777" w:rsidR="00504609" w:rsidRDefault="00504609" w:rsidP="00504609">
            <w:pPr>
              <w:tabs>
                <w:tab w:val="left" w:pos="1928"/>
              </w:tabs>
              <w:spacing w:after="120"/>
              <w:ind w:left="1928" w:hanging="1928"/>
              <w:jc w:val="center"/>
              <w:rPr>
                <w:sz w:val="28"/>
                <w:szCs w:val="28"/>
              </w:rPr>
            </w:pPr>
          </w:p>
        </w:tc>
      </w:tr>
      <w:tr w:rsidR="00504609" w:rsidRPr="00AE2BCA" w14:paraId="4D5D2375" w14:textId="77777777" w:rsidTr="00504609">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378F6B3F" w14:textId="7CB96380" w:rsidR="00EC43F5" w:rsidRPr="00AB6FF2" w:rsidRDefault="00E96CF9" w:rsidP="00EC43F5">
            <w:pPr>
              <w:tabs>
                <w:tab w:val="left" w:pos="1928"/>
              </w:tabs>
              <w:spacing w:after="120"/>
              <w:rPr>
                <w:b/>
                <w:bCs/>
                <w:szCs w:val="24"/>
                <w:lang w:val="es-ES_tradnl"/>
              </w:rPr>
            </w:pPr>
            <w:r w:rsidRPr="00AB6FF2">
              <w:rPr>
                <w:b/>
                <w:bCs/>
                <w:szCs w:val="24"/>
                <w:lang w:val="es-ES_tradnl"/>
              </w:rPr>
              <w:t>Punto del orden del día:</w:t>
            </w:r>
          </w:p>
          <w:p w14:paraId="141213DA" w14:textId="68D3F035" w:rsidR="00EC43F5" w:rsidRPr="00AB6FF2" w:rsidRDefault="0051607B" w:rsidP="00EC43F5">
            <w:pPr>
              <w:tabs>
                <w:tab w:val="left" w:pos="1928"/>
              </w:tabs>
              <w:spacing w:after="120"/>
              <w:rPr>
                <w:szCs w:val="24"/>
                <w:lang w:val="es-ES_tradnl"/>
              </w:rPr>
            </w:pPr>
            <w:r w:rsidRPr="00AB6FF2">
              <w:rPr>
                <w:szCs w:val="24"/>
                <w:lang w:val="es-ES_tradnl"/>
              </w:rPr>
              <w:t>Punto 6</w:t>
            </w:r>
          </w:p>
          <w:p w14:paraId="14903C02" w14:textId="0EEA74B7" w:rsidR="00EC43F5" w:rsidRPr="00AB6FF2" w:rsidRDefault="00EC43F5" w:rsidP="00EC43F5">
            <w:pPr>
              <w:tabs>
                <w:tab w:val="left" w:pos="1928"/>
              </w:tabs>
              <w:spacing w:after="120"/>
              <w:rPr>
                <w:b/>
                <w:bCs/>
                <w:szCs w:val="24"/>
                <w:lang w:val="es-ES_tradnl"/>
              </w:rPr>
            </w:pPr>
            <w:r w:rsidRPr="00AB6FF2">
              <w:rPr>
                <w:b/>
                <w:bCs/>
                <w:szCs w:val="24"/>
                <w:lang w:val="es-ES_tradnl"/>
              </w:rPr>
              <w:t>Resumen:</w:t>
            </w:r>
          </w:p>
          <w:p w14:paraId="7C5AD9D6" w14:textId="4E0252FC" w:rsidR="00EC43F5" w:rsidRPr="00AB6FF2" w:rsidRDefault="0051607B" w:rsidP="00EC43F5">
            <w:pPr>
              <w:tabs>
                <w:tab w:val="left" w:pos="1928"/>
              </w:tabs>
              <w:spacing w:after="120"/>
              <w:rPr>
                <w:szCs w:val="24"/>
                <w:lang w:val="es-ES_tradnl"/>
              </w:rPr>
            </w:pPr>
            <w:r w:rsidRPr="00AB6FF2">
              <w:rPr>
                <w:szCs w:val="24"/>
                <w:lang w:val="es-ES_tradnl"/>
              </w:rPr>
              <w:t xml:space="preserve">En el presente documento se resumen los resultados de las </w:t>
            </w:r>
            <w:r w:rsidR="00697659">
              <w:rPr>
                <w:szCs w:val="24"/>
                <w:lang w:val="es-ES_tradnl"/>
              </w:rPr>
              <w:t>c</w:t>
            </w:r>
            <w:r w:rsidRPr="00AB6FF2">
              <w:rPr>
                <w:szCs w:val="24"/>
                <w:lang w:val="es-ES_tradnl"/>
              </w:rPr>
              <w:t xml:space="preserve">onferencias, </w:t>
            </w:r>
            <w:r w:rsidR="00697659">
              <w:rPr>
                <w:szCs w:val="24"/>
                <w:lang w:val="es-ES_tradnl"/>
              </w:rPr>
              <w:t>a</w:t>
            </w:r>
            <w:r w:rsidRPr="00AB6FF2">
              <w:rPr>
                <w:szCs w:val="24"/>
                <w:lang w:val="es-ES_tradnl"/>
              </w:rPr>
              <w:t>sambleas y reuniones de la UIT, incluido su grado de aplicación en relación con los trabajos del UIT-D.</w:t>
            </w:r>
          </w:p>
          <w:p w14:paraId="4463E106"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Resultados previstos:</w:t>
            </w:r>
          </w:p>
          <w:p w14:paraId="46BC8DCD" w14:textId="50D3A286" w:rsidR="00EC43F5" w:rsidRPr="00AB6FF2" w:rsidRDefault="0051607B" w:rsidP="00EC43F5">
            <w:pPr>
              <w:tabs>
                <w:tab w:val="left" w:pos="1928"/>
              </w:tabs>
              <w:spacing w:after="120"/>
              <w:rPr>
                <w:szCs w:val="24"/>
                <w:lang w:val="es-ES_tradnl"/>
              </w:rPr>
            </w:pPr>
            <w:r w:rsidRPr="00AB6FF2">
              <w:rPr>
                <w:szCs w:val="24"/>
                <w:lang w:val="es-ES_tradnl"/>
              </w:rPr>
              <w:t>Se invita a la RPR-EUR a tomar nota de este documento.</w:t>
            </w:r>
          </w:p>
          <w:p w14:paraId="236CC21F"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Referencias:</w:t>
            </w:r>
          </w:p>
          <w:p w14:paraId="51A1F5BD" w14:textId="6E7E0B5D" w:rsidR="00504609" w:rsidRPr="00AB6FF2" w:rsidRDefault="0051607B" w:rsidP="00EC43F5">
            <w:pPr>
              <w:tabs>
                <w:tab w:val="left" w:pos="1928"/>
              </w:tabs>
              <w:spacing w:after="120"/>
              <w:rPr>
                <w:szCs w:val="24"/>
                <w:lang w:val="es-ES_tradnl"/>
              </w:rPr>
            </w:pPr>
            <w:r w:rsidRPr="00AB6FF2">
              <w:rPr>
                <w:szCs w:val="24"/>
                <w:lang w:val="es-ES_tradnl"/>
              </w:rPr>
              <w:t>Documentos C19/4, TDAG-20/4(Rev.1) y TDAG-17/5</w:t>
            </w:r>
          </w:p>
        </w:tc>
      </w:tr>
    </w:tbl>
    <w:p w14:paraId="6B0A0245" w14:textId="7486D2E3" w:rsidR="0051607B" w:rsidRDefault="0051607B" w:rsidP="00AB6FF2">
      <w:bookmarkStart w:id="6" w:name="Results"/>
      <w:bookmarkStart w:id="7" w:name="References"/>
      <w:bookmarkEnd w:id="6"/>
      <w:bookmarkEnd w:id="7"/>
      <w:r>
        <w:br w:type="page"/>
      </w:r>
    </w:p>
    <w:p w14:paraId="51FE9246" w14:textId="77777777" w:rsidR="0051607B" w:rsidRPr="0051607B" w:rsidRDefault="0051607B" w:rsidP="0051607B">
      <w:pPr>
        <w:pStyle w:val="Heading1"/>
        <w:rPr>
          <w:lang w:val="es-ES_tradnl"/>
        </w:rPr>
      </w:pPr>
      <w:r w:rsidRPr="0051607B">
        <w:rPr>
          <w:lang w:val="es-ES_tradnl"/>
        </w:rPr>
        <w:lastRenderedPageBreak/>
        <w:t>1</w:t>
      </w:r>
      <w:r w:rsidRPr="0051607B">
        <w:rPr>
          <w:lang w:val="es-ES_tradnl"/>
        </w:rPr>
        <w:tab/>
        <w:t>PP-18</w:t>
      </w:r>
    </w:p>
    <w:p w14:paraId="2E3E755A" w14:textId="3796252E" w:rsidR="0051607B" w:rsidRPr="0051607B" w:rsidRDefault="00AB6FF2" w:rsidP="0051607B">
      <w:pPr>
        <w:rPr>
          <w:lang w:val="es-ES_tradnl"/>
        </w:rPr>
      </w:pPr>
      <w:r w:rsidRPr="0051607B">
        <w:rPr>
          <w:lang w:val="es-ES_tradnl"/>
        </w:rPr>
        <w:t xml:space="preserve">La </w:t>
      </w:r>
      <w:r w:rsidR="0051607B" w:rsidRPr="0051607B">
        <w:rPr>
          <w:lang w:val="es-ES_tradnl"/>
        </w:rPr>
        <w:t>20ª Conferencia de Plenipotenciarios se celebró en Dubái, del 29 de octubre al 16 de noviembre de 2018, en el Dubai World Trade Centre (DWTC).</w:t>
      </w:r>
    </w:p>
    <w:p w14:paraId="2D28C315" w14:textId="77777777" w:rsidR="0051607B" w:rsidRPr="0051607B" w:rsidRDefault="0051607B" w:rsidP="0051607B">
      <w:pPr>
        <w:rPr>
          <w:lang w:val="es-ES_tradnl"/>
        </w:rPr>
      </w:pPr>
      <w:r w:rsidRPr="0051607B">
        <w:rPr>
          <w:lang w:val="es-ES_tradnl"/>
        </w:rPr>
        <w:t>La PP-18 adoptó 10 Resoluciones nuevas, revisó dos Decisiones y 51 Resoluciones, y suprimió una Decisión y diez Resoluciones. No se modificaron ni la Constitución ni el Convenio.</w:t>
      </w:r>
    </w:p>
    <w:p w14:paraId="0FD0B7C0" w14:textId="5D973D20" w:rsidR="0051607B" w:rsidRPr="0051607B" w:rsidRDefault="0051607B" w:rsidP="0051607B">
      <w:pPr>
        <w:rPr>
          <w:lang w:val="es-ES_tradnl"/>
        </w:rPr>
      </w:pPr>
      <w:r w:rsidRPr="0051607B">
        <w:rPr>
          <w:lang w:val="es-ES_tradnl"/>
        </w:rPr>
        <w:t xml:space="preserve">Las Actas Finales de la PP-18 están disponibles en el sitio web de la UIT en </w:t>
      </w:r>
      <w:hyperlink r:id="rId10" w:history="1">
        <w:r w:rsidRPr="0051607B">
          <w:rPr>
            <w:rStyle w:val="Hyperlink"/>
            <w:lang w:val="es-ES_tradnl"/>
          </w:rPr>
          <w:t>Actas Finales de la Conferencia de Plenipotenciarios (itu.int)</w:t>
        </w:r>
      </w:hyperlink>
      <w:r w:rsidRPr="0051607B">
        <w:rPr>
          <w:lang w:val="es-ES_tradnl"/>
        </w:rPr>
        <w:t>.</w:t>
      </w:r>
    </w:p>
    <w:p w14:paraId="5526004A" w14:textId="5BF58793" w:rsidR="0051607B" w:rsidRPr="0051607B" w:rsidRDefault="0051607B" w:rsidP="0051607B">
      <w:pPr>
        <w:rPr>
          <w:lang w:val="es-ES_tradnl"/>
        </w:rPr>
      </w:pPr>
      <w:bookmarkStart w:id="8" w:name="lt_pId032"/>
      <w:r w:rsidRPr="0051607B">
        <w:rPr>
          <w:lang w:val="es-ES_tradnl"/>
        </w:rPr>
        <w:t xml:space="preserve">En la reunión de 2019 del Consejo se presentó un informe más detallado sobre la Conferencia, que se reproduce en el </w:t>
      </w:r>
      <w:hyperlink r:id="rId11" w:history="1">
        <w:r w:rsidRPr="0051607B">
          <w:rPr>
            <w:rStyle w:val="Hyperlink"/>
            <w:b/>
            <w:bCs/>
            <w:lang w:val="es-ES_tradnl"/>
          </w:rPr>
          <w:t>Anexo 1</w:t>
        </w:r>
      </w:hyperlink>
      <w:r w:rsidRPr="0051607B">
        <w:rPr>
          <w:lang w:val="es-ES_tradnl"/>
        </w:rPr>
        <w:t xml:space="preserve"> al presente documento.</w:t>
      </w:r>
      <w:bookmarkEnd w:id="8"/>
    </w:p>
    <w:p w14:paraId="2DE5F1EC" w14:textId="77777777" w:rsidR="0051607B" w:rsidRPr="0051607B" w:rsidRDefault="0051607B" w:rsidP="0051607B">
      <w:pPr>
        <w:pStyle w:val="Heading1"/>
        <w:rPr>
          <w:lang w:val="es-ES_tradnl"/>
        </w:rPr>
      </w:pPr>
      <w:r w:rsidRPr="0051607B">
        <w:rPr>
          <w:lang w:val="es-ES_tradnl"/>
        </w:rPr>
        <w:t>2</w:t>
      </w:r>
      <w:r w:rsidRPr="0051607B">
        <w:rPr>
          <w:lang w:val="es-ES_tradnl"/>
        </w:rPr>
        <w:tab/>
      </w:r>
      <w:bookmarkStart w:id="9" w:name="lt_pId033"/>
      <w:r w:rsidRPr="0051607B">
        <w:rPr>
          <w:lang w:val="es-ES_tradnl"/>
        </w:rPr>
        <w:t>CMR-19</w:t>
      </w:r>
      <w:bookmarkEnd w:id="9"/>
    </w:p>
    <w:p w14:paraId="697EB8CF" w14:textId="77777777" w:rsidR="0051607B" w:rsidRPr="0051607B" w:rsidRDefault="0051607B" w:rsidP="0051607B">
      <w:pPr>
        <w:rPr>
          <w:lang w:val="es-ES_tradnl"/>
        </w:rPr>
      </w:pPr>
      <w:r w:rsidRPr="0051607B">
        <w:rPr>
          <w:lang w:val="es-ES_tradnl"/>
        </w:rPr>
        <w:t>La Conferencia Mundial de Radiocomunicaciones de 2019 (CMR-19) se celebró del 28 de octubre al 22 de noviembre de 2019.</w:t>
      </w:r>
    </w:p>
    <w:p w14:paraId="3D84C161" w14:textId="77777777" w:rsidR="0051607B" w:rsidRPr="0051607B" w:rsidRDefault="0051607B" w:rsidP="0051607B">
      <w:pPr>
        <w:rPr>
          <w:lang w:val="es-ES_tradnl"/>
        </w:rPr>
      </w:pPr>
      <w:bookmarkStart w:id="10" w:name="lt_pId064"/>
      <w:r w:rsidRPr="0051607B">
        <w:rPr>
          <w:lang w:val="es-ES_tradnl"/>
        </w:rPr>
        <w:t>Las decisiones de la CMR-19 versaron sobre atribuciones de espectro nuevas y revisadas, procedimientos reglamentarios para diversos servicios, como las IMT-2020 (también conocidas como 5G móvil), la investigación espacial, el servicio de exploración de la Tierra por satélite (SETS), las constelaciones de satélites no geoestacionarios a gran escala (entre cientos y miles de vehículos espaciales), las estaciones en plataformas a gran altitud (HAPS), las RLAN (redes Wi-Fi), los sistemas de radiocomunicaciones ferroviarias entre el tren y la infraestructura ferroviaria (RSTT), los sistemas de transporte inteligentes (STI) y el Sistema Mundial de Socorro y Seguridad Marítimos (SMSSM).</w:t>
      </w:r>
      <w:bookmarkEnd w:id="10"/>
    </w:p>
    <w:p w14:paraId="28FB7A76" w14:textId="480A6D4B" w:rsidR="0051607B" w:rsidRPr="0051607B" w:rsidRDefault="0051607B" w:rsidP="0051607B">
      <w:pPr>
        <w:rPr>
          <w:lang w:val="es-ES_tradnl"/>
        </w:rPr>
      </w:pPr>
      <w:bookmarkStart w:id="11" w:name="lt_pId036"/>
      <w:r w:rsidRPr="0051607B">
        <w:rPr>
          <w:lang w:val="es-ES_tradnl"/>
        </w:rPr>
        <w:t xml:space="preserve">Las Actas Finales de la CMR-19 están disponibles en el siguiente enlace: </w:t>
      </w:r>
      <w:hyperlink r:id="rId12" w:history="1">
        <w:r w:rsidRPr="0051607B">
          <w:rPr>
            <w:rStyle w:val="Hyperlink"/>
            <w:lang w:val="es-ES_tradnl"/>
          </w:rPr>
          <w:t>Actas Finales de la CMR-19 (itu.int)</w:t>
        </w:r>
        <w:bookmarkEnd w:id="11"/>
      </w:hyperlink>
      <w:r w:rsidR="00AB6FF2" w:rsidRPr="00AB6FF2">
        <w:t>.</w:t>
      </w:r>
    </w:p>
    <w:p w14:paraId="5295BAA3" w14:textId="1445C986" w:rsidR="0051607B" w:rsidRPr="0051607B" w:rsidRDefault="0051607B" w:rsidP="0051607B">
      <w:pPr>
        <w:rPr>
          <w:lang w:val="es-ES_tradnl"/>
        </w:rPr>
      </w:pPr>
      <w:bookmarkStart w:id="12" w:name="lt_pId037"/>
      <w:r w:rsidRPr="0051607B">
        <w:rPr>
          <w:lang w:val="es-ES_tradnl"/>
        </w:rPr>
        <w:t xml:space="preserve">El </w:t>
      </w:r>
      <w:hyperlink r:id="rId13" w:history="1">
        <w:r w:rsidRPr="0051607B">
          <w:rPr>
            <w:rStyle w:val="Hyperlink"/>
            <w:b/>
            <w:bCs/>
            <w:lang w:val="es-ES_tradnl"/>
          </w:rPr>
          <w:t>Anexo 2</w:t>
        </w:r>
      </w:hyperlink>
      <w:r w:rsidRPr="0051607B">
        <w:rPr>
          <w:lang w:val="es-ES_tradnl"/>
        </w:rPr>
        <w:t xml:space="preserve"> al presente documento contiene un informe más detallado sobre la Conferencia, que incluye una lista de Resoluciones y Recomendaciones de interés para el UIT-D.</w:t>
      </w:r>
      <w:bookmarkEnd w:id="12"/>
    </w:p>
    <w:p w14:paraId="5525DAC7" w14:textId="77777777" w:rsidR="0051607B" w:rsidRPr="0051607B" w:rsidRDefault="0051607B" w:rsidP="0051607B">
      <w:pPr>
        <w:pStyle w:val="Heading1"/>
        <w:rPr>
          <w:lang w:val="es-ES_tradnl"/>
        </w:rPr>
      </w:pPr>
      <w:r w:rsidRPr="0051607B">
        <w:rPr>
          <w:lang w:val="es-ES_tradnl"/>
        </w:rPr>
        <w:t>3</w:t>
      </w:r>
      <w:r w:rsidRPr="0051607B">
        <w:rPr>
          <w:lang w:val="es-ES_tradnl"/>
        </w:rPr>
        <w:tab/>
        <w:t>AR-19</w:t>
      </w:r>
    </w:p>
    <w:p w14:paraId="2846DCC9" w14:textId="77777777" w:rsidR="0051607B" w:rsidRPr="0051607B" w:rsidRDefault="0051607B" w:rsidP="0051607B">
      <w:pPr>
        <w:rPr>
          <w:bCs/>
          <w:lang w:val="es-ES_tradnl"/>
        </w:rPr>
      </w:pPr>
      <w:r w:rsidRPr="0051607B">
        <w:rPr>
          <w:bCs/>
          <w:lang w:val="es-ES_tradnl"/>
        </w:rPr>
        <w:t>La Asamblea de Radiocomunicaciones de 2019 (AR-19) se celebró en Sharm el-Sheikh (Egipto), del 21 al 25 de octubre de 2019.</w:t>
      </w:r>
    </w:p>
    <w:p w14:paraId="4190D25A" w14:textId="5FA1D73C" w:rsidR="0051607B" w:rsidRPr="0051607B" w:rsidRDefault="0051607B" w:rsidP="0051607B">
      <w:pPr>
        <w:rPr>
          <w:lang w:val="es-ES_tradnl"/>
        </w:rPr>
      </w:pPr>
      <w:bookmarkStart w:id="13" w:name="lt_pId040"/>
      <w:r w:rsidRPr="0051607B">
        <w:rPr>
          <w:lang w:val="es-ES_tradnl"/>
        </w:rPr>
        <w:t xml:space="preserve">Las Resoluciones aprobadas por la Asamblea de Radiocomunicaciones pueden consultarse en el siguiente enlace: </w:t>
      </w:r>
      <w:hyperlink r:id="rId14" w:history="1">
        <w:r w:rsidRPr="0051607B">
          <w:rPr>
            <w:rStyle w:val="Hyperlink"/>
            <w:lang w:val="es-ES_tradnl"/>
          </w:rPr>
          <w:t>[77] Lista de Resoluciones del UIT-R (AR-19)</w:t>
        </w:r>
      </w:hyperlink>
      <w:r w:rsidRPr="0051607B">
        <w:rPr>
          <w:lang w:val="es-ES_tradnl"/>
        </w:rPr>
        <w:t>.</w:t>
      </w:r>
      <w:bookmarkEnd w:id="13"/>
    </w:p>
    <w:p w14:paraId="6BE29D89" w14:textId="10E7CBA2" w:rsidR="0051607B" w:rsidRPr="0051607B" w:rsidRDefault="0051607B" w:rsidP="0051607B">
      <w:pPr>
        <w:rPr>
          <w:lang w:val="es-ES_tradnl"/>
        </w:rPr>
      </w:pPr>
      <w:bookmarkStart w:id="14" w:name="lt_pId043"/>
      <w:r w:rsidRPr="0051607B">
        <w:rPr>
          <w:lang w:val="es-ES_tradnl"/>
        </w:rPr>
        <w:t xml:space="preserve">La AR-19 también definió la estructura de las Comisiones de Estudio del UIT-R y eligió a los </w:t>
      </w:r>
      <w:r w:rsidR="00AB6FF2">
        <w:rPr>
          <w:lang w:val="es-ES_tradnl"/>
        </w:rPr>
        <w:t>p</w:t>
      </w:r>
      <w:r w:rsidRPr="0051607B">
        <w:rPr>
          <w:lang w:val="es-ES_tradnl"/>
        </w:rPr>
        <w:t xml:space="preserve">residentes y </w:t>
      </w:r>
      <w:r w:rsidR="00AB6FF2">
        <w:rPr>
          <w:lang w:val="es-ES_tradnl"/>
        </w:rPr>
        <w:t>v</w:t>
      </w:r>
      <w:r w:rsidRPr="0051607B">
        <w:rPr>
          <w:lang w:val="es-ES_tradnl"/>
        </w:rPr>
        <w:t xml:space="preserve">icepresidentes de todas ellas (véase la </w:t>
      </w:r>
      <w:hyperlink r:id="rId15" w:history="1">
        <w:r w:rsidRPr="0051607B">
          <w:rPr>
            <w:rStyle w:val="Hyperlink"/>
            <w:lang w:val="es-ES_tradnl"/>
          </w:rPr>
          <w:t>Resolución UIT-R 4-7</w:t>
        </w:r>
      </w:hyperlink>
      <w:r w:rsidRPr="0051607B">
        <w:rPr>
          <w:lang w:val="es-ES_tradnl"/>
        </w:rPr>
        <w:t xml:space="preserve"> sobre la estructura de las Comisiones de Estudio de Radiocomunicaciones).</w:t>
      </w:r>
    </w:p>
    <w:p w14:paraId="6FC27E9D" w14:textId="03752B33" w:rsidR="0051607B" w:rsidRPr="0051607B" w:rsidRDefault="0051607B" w:rsidP="0051607B">
      <w:pPr>
        <w:rPr>
          <w:lang w:val="es-ES_tradnl"/>
        </w:rPr>
      </w:pPr>
      <w:bookmarkStart w:id="15" w:name="lt_pId042"/>
      <w:bookmarkEnd w:id="14"/>
      <w:r w:rsidRPr="0051607B">
        <w:rPr>
          <w:lang w:val="es-ES_tradnl"/>
        </w:rPr>
        <w:t xml:space="preserve">El </w:t>
      </w:r>
      <w:hyperlink r:id="rId16" w:history="1">
        <w:r w:rsidRPr="0051607B">
          <w:rPr>
            <w:rStyle w:val="Hyperlink"/>
            <w:b/>
            <w:bCs/>
            <w:lang w:val="es-ES_tradnl"/>
          </w:rPr>
          <w:t>Anexo 2</w:t>
        </w:r>
      </w:hyperlink>
      <w:r w:rsidRPr="0051607B">
        <w:rPr>
          <w:lang w:val="es-ES_tradnl"/>
        </w:rPr>
        <w:t xml:space="preserve"> al presente documento contiene un informe más detallado sobre la Asamblea, que incluye una lista de Resoluciones y Recomendaciones de interés para el UIT-D.</w:t>
      </w:r>
      <w:bookmarkEnd w:id="15"/>
    </w:p>
    <w:p w14:paraId="138031F7" w14:textId="77777777" w:rsidR="0051607B" w:rsidRPr="0051607B" w:rsidRDefault="0051607B" w:rsidP="0051607B">
      <w:pPr>
        <w:pStyle w:val="Heading1"/>
        <w:rPr>
          <w:lang w:val="es-ES_tradnl"/>
        </w:rPr>
      </w:pPr>
      <w:r w:rsidRPr="0051607B">
        <w:rPr>
          <w:lang w:val="es-ES_tradnl"/>
        </w:rPr>
        <w:t>4</w:t>
      </w:r>
      <w:r w:rsidRPr="0051607B">
        <w:rPr>
          <w:lang w:val="es-ES_tradnl"/>
        </w:rPr>
        <w:tab/>
        <w:t>AMNT-16</w:t>
      </w:r>
    </w:p>
    <w:p w14:paraId="38099DFB" w14:textId="77777777" w:rsidR="0051607B" w:rsidRPr="0051607B" w:rsidRDefault="0051607B" w:rsidP="0051607B">
      <w:pPr>
        <w:rPr>
          <w:lang w:val="es-ES_tradnl"/>
        </w:rPr>
      </w:pPr>
      <w:r w:rsidRPr="0051607B">
        <w:rPr>
          <w:lang w:val="es-ES_tradnl"/>
        </w:rPr>
        <w:t>La Asamblea Mundial de Normalización de las Telecomunicaciones (AMNT) se celebró en Yasmine Hammamet (Túnez) del 25 de octubre al 3 de noviembre de 2016 y fue precedida del Simposio Mundial de Normalización (24 de octubre de 2016).</w:t>
      </w:r>
    </w:p>
    <w:p w14:paraId="63FE8A70" w14:textId="77777777" w:rsidR="0051607B" w:rsidRPr="0051607B" w:rsidRDefault="0051607B" w:rsidP="0051607B">
      <w:pPr>
        <w:rPr>
          <w:lang w:val="es-ES_tradnl"/>
        </w:rPr>
      </w:pPr>
      <w:r w:rsidRPr="0051607B">
        <w:rPr>
          <w:lang w:val="es-ES_tradnl"/>
        </w:rPr>
        <w:lastRenderedPageBreak/>
        <w:t>La AMNT-16 aprobó un número importante de Resoluciones nuevas y revisadas que conllevan la participación del UIT-D en las actividades encaminadas a su aplicación.</w:t>
      </w:r>
    </w:p>
    <w:p w14:paraId="3711C5E0" w14:textId="77777777" w:rsidR="0051607B" w:rsidRPr="0051607B" w:rsidRDefault="0051607B" w:rsidP="0051607B">
      <w:pPr>
        <w:rPr>
          <w:lang w:val="es-ES_tradnl"/>
        </w:rPr>
      </w:pPr>
      <w:r w:rsidRPr="0051607B">
        <w:rPr>
          <w:lang w:val="es-ES_tradnl"/>
        </w:rPr>
        <w:t>En las Resoluciones de la AMNT se abordan temas tales como el mandato de las Comisiones de Estudio de la UIT, la IoT, los servicios OTT, la ciberseguridad, la itinerancia móvil internacional, la reducción de la disparidad en materia de integración financiera, la falsificación, Smart Africa, la reducción de la brecha de normalización, la tecnología IPv6, la accesibilidad, la exposición de las personas a los campos electromagnéticos y la cibersalud.</w:t>
      </w:r>
    </w:p>
    <w:p w14:paraId="3FE0FE63" w14:textId="77777777" w:rsidR="0051607B" w:rsidRPr="0051607B" w:rsidRDefault="0051607B" w:rsidP="0051607B">
      <w:pPr>
        <w:rPr>
          <w:lang w:val="es-ES_tradnl"/>
        </w:rPr>
      </w:pPr>
      <w:r w:rsidRPr="0051607B">
        <w:rPr>
          <w:lang w:val="es-ES_tradnl"/>
        </w:rPr>
        <w:t>Esos temas están relacionados con esferas de trabajo clave del UIT-D, pues requieren la prestación de asistencia a Estados Miembros, especialmente países en desarrollo, mediante la realización de campañas de sensibilización, la organización de talleres y seminarios, y la creación de plataformas para el diálogo y el desarrollo de capacidades humanas e institucionales.</w:t>
      </w:r>
    </w:p>
    <w:p w14:paraId="358BF7E7" w14:textId="20744856" w:rsidR="0051607B" w:rsidRPr="0051607B" w:rsidRDefault="0051607B" w:rsidP="0051607B">
      <w:pPr>
        <w:rPr>
          <w:lang w:val="es-ES_tradnl"/>
        </w:rPr>
      </w:pPr>
      <w:bookmarkStart w:id="16" w:name="lt_pId048"/>
      <w:r w:rsidRPr="0051607B">
        <w:rPr>
          <w:lang w:val="es-ES_tradnl"/>
        </w:rPr>
        <w:t xml:space="preserve">Las actas de la Conferencia, incluidas las Resoluciones y Recomendaciones aprobadas, pueden consultarse en el siguiente enlace: </w:t>
      </w:r>
      <w:hyperlink r:id="rId17" w:history="1">
        <w:r w:rsidRPr="0051607B">
          <w:rPr>
            <w:rStyle w:val="Hyperlink"/>
            <w:lang w:val="es-ES_tradnl"/>
          </w:rPr>
          <w:t>Actas de la AMNT-16 (itu.int)</w:t>
        </w:r>
        <w:bookmarkEnd w:id="16"/>
      </w:hyperlink>
      <w:r w:rsidR="00EB2FC6">
        <w:rPr>
          <w:lang w:val="es-ES_tradnl"/>
        </w:rPr>
        <w:t>.</w:t>
      </w:r>
    </w:p>
    <w:p w14:paraId="55B22DE3" w14:textId="77777777" w:rsidR="0051607B" w:rsidRPr="0051607B" w:rsidRDefault="0051607B" w:rsidP="0051607B">
      <w:pPr>
        <w:rPr>
          <w:lang w:val="es-ES_tradnl"/>
        </w:rPr>
      </w:pPr>
      <w:bookmarkStart w:id="17" w:name="lt_pId049"/>
      <w:r w:rsidRPr="0051607B">
        <w:rPr>
          <w:lang w:val="es-ES_tradnl"/>
        </w:rPr>
        <w:t xml:space="preserve">El </w:t>
      </w:r>
      <w:r w:rsidRPr="0051607B">
        <w:rPr>
          <w:b/>
          <w:bCs/>
          <w:lang w:val="es-ES_tradnl"/>
        </w:rPr>
        <w:t>Anexo 3</w:t>
      </w:r>
      <w:r w:rsidRPr="0051607B">
        <w:rPr>
          <w:lang w:val="es-ES_tradnl"/>
        </w:rPr>
        <w:t xml:space="preserve"> al presente documento contiene un informe más detallado sobre la Asamblea, que incluye una lista de Resoluciones y Recomendaciones de interés para el UIT-D.</w:t>
      </w:r>
      <w:bookmarkEnd w:id="17"/>
    </w:p>
    <w:p w14:paraId="2F97368E" w14:textId="77777777" w:rsidR="0051607B" w:rsidRPr="0051607B" w:rsidRDefault="0051607B" w:rsidP="0051607B">
      <w:pPr>
        <w:pStyle w:val="Heading1"/>
        <w:rPr>
          <w:lang w:val="es-ES_tradnl"/>
        </w:rPr>
      </w:pPr>
      <w:r w:rsidRPr="0051607B">
        <w:rPr>
          <w:lang w:val="es-ES_tradnl"/>
        </w:rPr>
        <w:t>5</w:t>
      </w:r>
      <w:r w:rsidRPr="0051607B">
        <w:rPr>
          <w:lang w:val="es-ES_tradnl"/>
        </w:rPr>
        <w:tab/>
        <w:t>Grado de aplicación de los resultados de las conferencias de la UIT</w:t>
      </w:r>
    </w:p>
    <w:p w14:paraId="5714BE4D" w14:textId="7ED94965" w:rsidR="0051607B" w:rsidRPr="0051607B" w:rsidRDefault="0051607B" w:rsidP="0051607B">
      <w:pPr>
        <w:rPr>
          <w:lang w:val="es-ES_tradnl"/>
        </w:rPr>
      </w:pPr>
      <w:bookmarkStart w:id="18" w:name="lt_pId051"/>
      <w:r w:rsidRPr="0051607B">
        <w:rPr>
          <w:lang w:val="es-ES_tradnl"/>
        </w:rPr>
        <w:t>A fin de proporcionar una visión global de la aplicación de los resultados de las conferencias de la</w:t>
      </w:r>
      <w:r w:rsidR="00EB2FC6">
        <w:rPr>
          <w:lang w:val="es-ES_tradnl"/>
        </w:rPr>
        <w:t> </w:t>
      </w:r>
      <w:r w:rsidRPr="0051607B">
        <w:rPr>
          <w:lang w:val="es-ES_tradnl"/>
        </w:rPr>
        <w:t>UIT de interés para los trabajos del UIT-D, se llevó a cabo un ejercicio encaminado a correlacionar las 10 prioridades temáticas de la BDT con las Resoluciones pertinentes de la UIT, las Líneas de Acción de la CMSI, las Comisiones de Estudio de la BDT, los ODS y las metas de la Agenda Conectar</w:t>
      </w:r>
      <w:r w:rsidR="00EB2FC6">
        <w:rPr>
          <w:lang w:val="es-ES_tradnl"/>
        </w:rPr>
        <w:t> </w:t>
      </w:r>
      <w:r w:rsidRPr="0051607B">
        <w:rPr>
          <w:lang w:val="es-ES_tradnl"/>
        </w:rPr>
        <w:t>2020.</w:t>
      </w:r>
      <w:bookmarkEnd w:id="18"/>
    </w:p>
    <w:p w14:paraId="51D56C35" w14:textId="57BB6893" w:rsidR="0051607B" w:rsidRPr="0051607B" w:rsidRDefault="0051607B" w:rsidP="0051607B">
      <w:pPr>
        <w:rPr>
          <w:lang w:val="es-ES_tradnl"/>
        </w:rPr>
      </w:pPr>
      <w:bookmarkStart w:id="19" w:name="lt_pId052"/>
      <w:r w:rsidRPr="0051607B">
        <w:rPr>
          <w:lang w:val="es-ES_tradnl"/>
        </w:rPr>
        <w:t xml:space="preserve">El resultado de dicho ejercicio puede consultarse en el </w:t>
      </w:r>
      <w:hyperlink r:id="rId18" w:history="1">
        <w:r w:rsidRPr="0051607B">
          <w:rPr>
            <w:rStyle w:val="Hyperlink"/>
            <w:b/>
            <w:bCs/>
            <w:lang w:val="es-ES_tradnl"/>
          </w:rPr>
          <w:t>Anexo 3</w:t>
        </w:r>
      </w:hyperlink>
      <w:r w:rsidRPr="0051607B">
        <w:rPr>
          <w:lang w:val="es-ES_tradnl"/>
        </w:rPr>
        <w:t xml:space="preserve"> al </w:t>
      </w:r>
      <w:r w:rsidR="00EB2FC6" w:rsidRPr="0051607B">
        <w:rPr>
          <w:lang w:val="es-ES_tradnl"/>
        </w:rPr>
        <w:t xml:space="preserve">Documento </w:t>
      </w:r>
      <w:hyperlink r:id="rId19" w:history="1">
        <w:r w:rsidRPr="0051607B">
          <w:rPr>
            <w:rStyle w:val="Hyperlink"/>
            <w:lang w:val="es-ES_tradnl"/>
          </w:rPr>
          <w:t>RPM-EUR21/4</w:t>
        </w:r>
      </w:hyperlink>
      <w:r w:rsidRPr="0051607B">
        <w:rPr>
          <w:lang w:val="es-ES_tradnl"/>
        </w:rPr>
        <w:t>.</w:t>
      </w:r>
      <w:bookmarkEnd w:id="19"/>
    </w:p>
    <w:p w14:paraId="0F9297B4" w14:textId="77777777" w:rsidR="0051607B" w:rsidRDefault="0051607B" w:rsidP="00411C49">
      <w:pPr>
        <w:pStyle w:val="Reasons"/>
      </w:pPr>
    </w:p>
    <w:p w14:paraId="05D28493" w14:textId="77777777" w:rsidR="0051607B" w:rsidRDefault="0051607B">
      <w:pPr>
        <w:jc w:val="center"/>
      </w:pPr>
      <w:r>
        <w:t>______________</w:t>
      </w:r>
    </w:p>
    <w:sectPr w:rsidR="0051607B" w:rsidSect="00504609">
      <w:headerReference w:type="default" r:id="rId20"/>
      <w:footerReference w:type="default" r:id="rId21"/>
      <w:footerReference w:type="first" r:id="rId22"/>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1D8A" w14:textId="7232314E" w:rsidR="00FC47C2" w:rsidRDefault="00ED045A" w:rsidP="00FC47C2">
    <w:pPr>
      <w:pStyle w:val="Footer"/>
    </w:pPr>
    <w:r>
      <w:fldChar w:fldCharType="begin"/>
    </w:r>
    <w:r>
      <w:instrText xml:space="preserve"> FILENAME \p  \* MERGEFORMAT </w:instrText>
    </w:r>
    <w:r>
      <w:fldChar w:fldCharType="separate"/>
    </w:r>
    <w:r w:rsidR="00FC47C2">
      <w:t>P:\ESP\ITU-D\CONF-D\RPMS\EUR\000\005S.docx</w:t>
    </w:r>
    <w:r>
      <w:fldChar w:fldCharType="end"/>
    </w:r>
    <w:r w:rsidR="00FC47C2">
      <w:t xml:space="preserve"> (481249)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2"/>
      <w:gridCol w:w="2544"/>
      <w:gridCol w:w="5665"/>
    </w:tblGrid>
    <w:tr w:rsidR="00EC43F5"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EC43F5" w:rsidRPr="004D495C" w:rsidRDefault="00EC43F5" w:rsidP="00EC43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44" w:type="dxa"/>
          <w:tcBorders>
            <w:top w:val="single" w:sz="4" w:space="0" w:color="000000"/>
          </w:tcBorders>
        </w:tcPr>
        <w:p w14:paraId="7B0EE89B" w14:textId="77777777" w:rsidR="00EC43F5" w:rsidRPr="000C7520" w:rsidRDefault="00EC43F5"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5D16502E" w:rsidR="00EC43F5" w:rsidRPr="004D495C" w:rsidRDefault="0051607B" w:rsidP="0051607B">
          <w:pPr>
            <w:pStyle w:val="FirstFooter"/>
            <w:tabs>
              <w:tab w:val="left" w:pos="2302"/>
            </w:tabs>
            <w:rPr>
              <w:sz w:val="18"/>
              <w:szCs w:val="18"/>
              <w:highlight w:val="yellow"/>
              <w:lang w:val="en-US"/>
            </w:rPr>
          </w:pPr>
          <w:bookmarkStart w:id="22" w:name="OrgName"/>
          <w:bookmarkEnd w:id="22"/>
          <w:r w:rsidRPr="0051607B">
            <w:rPr>
              <w:sz w:val="18"/>
              <w:szCs w:val="18"/>
              <w:lang w:val="en-US"/>
            </w:rPr>
            <w:t>Sr. Stephen Bereaux, Director Adjunto, Oficina de Desarrollo de las Telecomunicaciones</w:t>
          </w:r>
        </w:p>
      </w:tc>
    </w:tr>
    <w:tr w:rsidR="00EC43F5" w:rsidRPr="004D495C" w14:paraId="09F85CB9" w14:textId="77777777" w:rsidTr="006F7908">
      <w:tc>
        <w:tcPr>
          <w:tcW w:w="1432" w:type="dxa"/>
          <w:shd w:val="clear" w:color="auto" w:fill="auto"/>
        </w:tcPr>
        <w:p w14:paraId="503204A3" w14:textId="77777777" w:rsidR="00EC43F5" w:rsidRPr="004D495C" w:rsidRDefault="00EC43F5" w:rsidP="00EC43F5">
          <w:pPr>
            <w:pStyle w:val="FirstFooter"/>
            <w:tabs>
              <w:tab w:val="left" w:pos="1559"/>
              <w:tab w:val="left" w:pos="3828"/>
            </w:tabs>
            <w:rPr>
              <w:sz w:val="20"/>
              <w:lang w:val="en-US"/>
            </w:rPr>
          </w:pPr>
        </w:p>
      </w:tc>
      <w:tc>
        <w:tcPr>
          <w:tcW w:w="2544" w:type="dxa"/>
        </w:tcPr>
        <w:p w14:paraId="29E8D116" w14:textId="77777777" w:rsidR="00EC43F5" w:rsidRPr="000C7520" w:rsidRDefault="00EC43F5"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50D30A7F" w:rsidR="00EC43F5" w:rsidRPr="004D495C" w:rsidRDefault="0051607B" w:rsidP="00EC43F5">
          <w:pPr>
            <w:pStyle w:val="FirstFooter"/>
            <w:tabs>
              <w:tab w:val="left" w:pos="2302"/>
            </w:tabs>
            <w:rPr>
              <w:sz w:val="18"/>
              <w:szCs w:val="18"/>
              <w:highlight w:val="yellow"/>
              <w:lang w:val="en-US"/>
            </w:rPr>
          </w:pPr>
          <w:bookmarkStart w:id="23" w:name="PhoneNo"/>
          <w:bookmarkEnd w:id="23"/>
          <w:r w:rsidRPr="0051607B">
            <w:rPr>
              <w:sz w:val="18"/>
              <w:szCs w:val="18"/>
              <w:lang w:val="en-US"/>
            </w:rPr>
            <w:t>+41 22 730 5131</w:t>
          </w:r>
        </w:p>
      </w:tc>
    </w:tr>
    <w:tr w:rsidR="00EC43F5" w:rsidRPr="004D495C" w14:paraId="0BA35A07" w14:textId="77777777" w:rsidTr="006F7908">
      <w:tc>
        <w:tcPr>
          <w:tcW w:w="1432" w:type="dxa"/>
          <w:shd w:val="clear" w:color="auto" w:fill="auto"/>
        </w:tcPr>
        <w:p w14:paraId="1809EE7D" w14:textId="77777777" w:rsidR="00EC43F5" w:rsidRPr="004D495C" w:rsidRDefault="00EC43F5" w:rsidP="00EC43F5">
          <w:pPr>
            <w:pStyle w:val="FirstFooter"/>
            <w:tabs>
              <w:tab w:val="left" w:pos="1559"/>
              <w:tab w:val="left" w:pos="3828"/>
            </w:tabs>
            <w:rPr>
              <w:sz w:val="20"/>
              <w:lang w:val="en-US"/>
            </w:rPr>
          </w:pPr>
        </w:p>
      </w:tc>
      <w:tc>
        <w:tcPr>
          <w:tcW w:w="2544" w:type="dxa"/>
        </w:tcPr>
        <w:p w14:paraId="500EFD9D" w14:textId="77777777" w:rsidR="00EC43F5" w:rsidRPr="0025794D" w:rsidRDefault="00EC43F5"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24" w:name="Email"/>
      <w:bookmarkEnd w:id="24"/>
      <w:tc>
        <w:tcPr>
          <w:tcW w:w="5665" w:type="dxa"/>
          <w:shd w:val="clear" w:color="auto" w:fill="auto"/>
        </w:tcPr>
        <w:p w14:paraId="6A243F75" w14:textId="7F2A01E6" w:rsidR="00EC43F5" w:rsidRPr="004D495C" w:rsidRDefault="0051607B" w:rsidP="00EC43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51607B">
            <w:rPr>
              <w:sz w:val="18"/>
              <w:szCs w:val="18"/>
              <w:lang w:val="en-US"/>
            </w:rPr>
            <w:instrText>stephen.bereaux@itu.int</w:instrText>
          </w:r>
          <w:r>
            <w:rPr>
              <w:sz w:val="18"/>
              <w:szCs w:val="18"/>
              <w:lang w:val="en-US"/>
            </w:rPr>
            <w:instrText xml:space="preserve">" </w:instrText>
          </w:r>
          <w:r>
            <w:rPr>
              <w:sz w:val="18"/>
              <w:szCs w:val="18"/>
              <w:lang w:val="en-US"/>
            </w:rPr>
            <w:fldChar w:fldCharType="separate"/>
          </w:r>
          <w:r w:rsidRPr="00695016">
            <w:rPr>
              <w:rStyle w:val="Hyperlink"/>
              <w:sz w:val="18"/>
              <w:szCs w:val="18"/>
              <w:lang w:val="en-US"/>
            </w:rPr>
            <w:t>stephen.bereaux@itu.int</w:t>
          </w:r>
          <w:r>
            <w:rPr>
              <w:sz w:val="18"/>
              <w:szCs w:val="18"/>
              <w:lang w:val="en-US"/>
            </w:rPr>
            <w:fldChar w:fldCharType="end"/>
          </w:r>
        </w:p>
      </w:tc>
    </w:tr>
  </w:tbl>
  <w:p w14:paraId="73D28639" w14:textId="6502B7FD" w:rsidR="00E2379D" w:rsidRPr="0051607B" w:rsidRDefault="00ED045A" w:rsidP="003F2BC3">
    <w:pPr>
      <w:jc w:val="center"/>
      <w:rPr>
        <w:sz w:val="18"/>
        <w:szCs w:val="18"/>
      </w:rPr>
    </w:pPr>
    <w:hyperlink r:id="rId1" w:history="1">
      <w:r w:rsidR="003F2BC3" w:rsidRPr="0051607B">
        <w:rPr>
          <w:rStyle w:val="Hyperlink"/>
          <w:sz w:val="18"/>
          <w:szCs w:val="18"/>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0B462628" w:rsidR="00E2379D" w:rsidRPr="00FF089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20" w:name="DocRef2"/>
    <w:bookmarkEnd w:id="20"/>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21" w:name="DocNo2"/>
    <w:bookmarkEnd w:id="21"/>
    <w:r w:rsidR="0051607B">
      <w:rPr>
        <w:sz w:val="22"/>
        <w:szCs w:val="22"/>
        <w:lang w:val="es-ES_tradnl"/>
      </w:rPr>
      <w:t>5</w:t>
    </w:r>
    <w:r w:rsidR="00FF089C" w:rsidRPr="00FF089C">
      <w:rPr>
        <w:sz w:val="22"/>
        <w:szCs w:val="22"/>
        <w:lang w:val="es-ES_tradnl"/>
      </w:rPr>
      <w:t>-</w:t>
    </w:r>
    <w:r w:rsidR="00EC43F5">
      <w:rPr>
        <w:sz w:val="22"/>
        <w:szCs w:val="22"/>
        <w:lang w:val="es-ES_tradnl"/>
      </w:rPr>
      <w:t>S</w:t>
    </w:r>
    <w:r w:rsidRPr="00FF089C">
      <w:rPr>
        <w:sz w:val="22"/>
        <w:szCs w:val="22"/>
        <w:lang w:val="es-ES_tradnl"/>
      </w:rPr>
      <w:tab/>
      <w:t>P</w:t>
    </w:r>
    <w:r w:rsidR="00AB6FF2">
      <w:rPr>
        <w:sz w:val="22"/>
        <w:szCs w:val="22"/>
        <w:lang w:val="es-ES_tradnl"/>
      </w:rPr>
      <w:t>á</w:t>
    </w:r>
    <w:r w:rsidRPr="00FF089C">
      <w:rPr>
        <w:sz w:val="22"/>
        <w:szCs w:val="22"/>
        <w:lang w:val="es-ES_tradnl"/>
      </w:rPr>
      <w:t>g</w:t>
    </w:r>
    <w:r w:rsidR="00AB6FF2">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D0403"/>
    <w:rsid w:val="000D61A2"/>
    <w:rsid w:val="000D7961"/>
    <w:rsid w:val="000E397B"/>
    <w:rsid w:val="000F1580"/>
    <w:rsid w:val="001229F6"/>
    <w:rsid w:val="0015200D"/>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3F2BC3"/>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1607B"/>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97659"/>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800D40"/>
    <w:rsid w:val="00810A21"/>
    <w:rsid w:val="00811068"/>
    <w:rsid w:val="00813980"/>
    <w:rsid w:val="00817846"/>
    <w:rsid w:val="00831C97"/>
    <w:rsid w:val="008331F6"/>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A020B6"/>
    <w:rsid w:val="00A13179"/>
    <w:rsid w:val="00A140EB"/>
    <w:rsid w:val="00A16064"/>
    <w:rsid w:val="00A54CA6"/>
    <w:rsid w:val="00A65745"/>
    <w:rsid w:val="00A824E0"/>
    <w:rsid w:val="00A840C6"/>
    <w:rsid w:val="00AB4706"/>
    <w:rsid w:val="00AB6FF2"/>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33BB7"/>
    <w:rsid w:val="00E45EB4"/>
    <w:rsid w:val="00E7476B"/>
    <w:rsid w:val="00E74841"/>
    <w:rsid w:val="00E84413"/>
    <w:rsid w:val="00E96CF9"/>
    <w:rsid w:val="00E97390"/>
    <w:rsid w:val="00E97800"/>
    <w:rsid w:val="00EA3797"/>
    <w:rsid w:val="00EA467D"/>
    <w:rsid w:val="00EA6520"/>
    <w:rsid w:val="00EA72D0"/>
    <w:rsid w:val="00EB2FC6"/>
    <w:rsid w:val="00EC43F5"/>
    <w:rsid w:val="00ED045A"/>
    <w:rsid w:val="00EF62C8"/>
    <w:rsid w:val="00F2422E"/>
    <w:rsid w:val="00F35A0C"/>
    <w:rsid w:val="00F40E2E"/>
    <w:rsid w:val="00F620CA"/>
    <w:rsid w:val="00F74154"/>
    <w:rsid w:val="00F842D3"/>
    <w:rsid w:val="00F87092"/>
    <w:rsid w:val="00FC045D"/>
    <w:rsid w:val="00FC47C2"/>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51607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md/D18-RPMEUR-C-0005/" TargetMode="External"/><Relationship Id="rId18" Type="http://schemas.openxmlformats.org/officeDocument/2006/relationships/hyperlink" Target="https://www.itu.int/md/D18-RPMEUR-C-000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pub/R-ACT-WRC.14-2019/es" TargetMode="External"/><Relationship Id="rId17" Type="http://schemas.openxmlformats.org/officeDocument/2006/relationships/hyperlink" Target="https://www.itu.int/dms_pub/itu-t/opb/reg/T-REG-LIV.1-2016-PDF-S.pdf" TargetMode="External"/><Relationship Id="rId2" Type="http://schemas.openxmlformats.org/officeDocument/2006/relationships/numbering" Target="numbering.xml"/><Relationship Id="rId16" Type="http://schemas.openxmlformats.org/officeDocument/2006/relationships/hyperlink" Target="https://www.itu.int/md/D18-RPMEUR-C-00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EUR-C-00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pub/R-RES-R.4/es" TargetMode="External"/><Relationship Id="rId23" Type="http://schemas.openxmlformats.org/officeDocument/2006/relationships/fontTable" Target="fontTable.xml"/><Relationship Id="rId10" Type="http://schemas.openxmlformats.org/officeDocument/2006/relationships/hyperlink" Target="https://www.itu.int/pub/S-CONF-ACTF-2018/es" TargetMode="External"/><Relationship Id="rId19" Type="http://schemas.openxmlformats.org/officeDocument/2006/relationships/hyperlink" Target="https://www.itu.int/md/D18-RPMEUR-C-0004/"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R19-RA19-C-0077/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EAB4-BE38-4DFD-8889-D529234D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829</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6</cp:revision>
  <cp:lastPrinted>2016-05-13T07:33:00Z</cp:lastPrinted>
  <dcterms:created xsi:type="dcterms:W3CDTF">2020-12-10T14:12:00Z</dcterms:created>
  <dcterms:modified xsi:type="dcterms:W3CDTF">2020-12-17T09:28:00Z</dcterms:modified>
</cp:coreProperties>
</file>