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A704BA" w14:paraId="17753B25" w14:textId="77777777" w:rsidTr="00504609">
        <w:trPr>
          <w:cantSplit/>
        </w:trPr>
        <w:tc>
          <w:tcPr>
            <w:tcW w:w="6379" w:type="dxa"/>
          </w:tcPr>
          <w:p w14:paraId="733A8873" w14:textId="01E4654D" w:rsidR="0070796E" w:rsidRPr="00A704BA" w:rsidRDefault="00923456" w:rsidP="0098434D">
            <w:pPr>
              <w:spacing w:before="180"/>
              <w:rPr>
                <w:b/>
                <w:bCs/>
                <w:sz w:val="32"/>
                <w:szCs w:val="32"/>
                <w:lang w:val="fr-FR"/>
              </w:rPr>
            </w:pPr>
            <w:r w:rsidRPr="00A704BA">
              <w:rPr>
                <w:b/>
                <w:bCs/>
                <w:sz w:val="32"/>
                <w:szCs w:val="32"/>
                <w:lang w:val="fr-FR"/>
              </w:rPr>
              <w:t>Réunion préparatoire régionale pour l</w:t>
            </w:r>
            <w:r w:rsidR="00B03344" w:rsidRPr="00A704BA">
              <w:rPr>
                <w:b/>
                <w:bCs/>
                <w:sz w:val="32"/>
                <w:szCs w:val="32"/>
                <w:lang w:val="fr-FR"/>
              </w:rPr>
              <w:t>'</w:t>
            </w:r>
            <w:r w:rsidRPr="00A704BA">
              <w:rPr>
                <w:b/>
                <w:bCs/>
                <w:sz w:val="32"/>
                <w:szCs w:val="32"/>
                <w:lang w:val="fr-FR"/>
              </w:rPr>
              <w:t>Europe (RPM-EUR) en vue de la CMDT-21</w:t>
            </w:r>
          </w:p>
        </w:tc>
        <w:tc>
          <w:tcPr>
            <w:tcW w:w="3262" w:type="dxa"/>
          </w:tcPr>
          <w:p w14:paraId="279197B1" w14:textId="09B5E2EB" w:rsidR="0070796E" w:rsidRPr="00A704BA" w:rsidRDefault="00504609" w:rsidP="0098434D">
            <w:pPr>
              <w:spacing w:before="40"/>
              <w:ind w:right="142"/>
              <w:jc w:val="right"/>
              <w:rPr>
                <w:lang w:val="fr-FR"/>
              </w:rPr>
            </w:pPr>
            <w:r w:rsidRPr="00A704BA">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A704BA" w14:paraId="21659024" w14:textId="77777777" w:rsidTr="00504609">
        <w:trPr>
          <w:cantSplit/>
          <w:trHeight w:val="300"/>
        </w:trPr>
        <w:tc>
          <w:tcPr>
            <w:tcW w:w="9641" w:type="dxa"/>
            <w:gridSpan w:val="2"/>
            <w:tcBorders>
              <w:bottom w:val="single" w:sz="12" w:space="0" w:color="auto"/>
            </w:tcBorders>
          </w:tcPr>
          <w:p w14:paraId="076AA5C1" w14:textId="41B732F8" w:rsidR="006D0B95" w:rsidRPr="00A704BA" w:rsidRDefault="00504609" w:rsidP="0098434D">
            <w:pPr>
              <w:adjustRightInd/>
              <w:spacing w:before="0" w:after="60"/>
              <w:rPr>
                <w:b/>
                <w:bCs/>
                <w:szCs w:val="24"/>
                <w:lang w:val="fr-FR"/>
              </w:rPr>
            </w:pPr>
            <w:bookmarkStart w:id="0" w:name="Meeting"/>
            <w:bookmarkStart w:id="1" w:name="PlaceDate"/>
            <w:bookmarkEnd w:id="0"/>
            <w:bookmarkEnd w:id="1"/>
            <w:r w:rsidRPr="00A704BA">
              <w:rPr>
                <w:b/>
                <w:bCs/>
                <w:szCs w:val="24"/>
                <w:lang w:val="fr-FR"/>
              </w:rPr>
              <w:t xml:space="preserve">Virtuelle, </w:t>
            </w:r>
            <w:r w:rsidR="00923456" w:rsidRPr="00A704BA">
              <w:rPr>
                <w:b/>
                <w:bCs/>
                <w:szCs w:val="24"/>
                <w:lang w:val="fr-FR"/>
              </w:rPr>
              <w:t>18-19 janvier</w:t>
            </w:r>
            <w:r w:rsidRPr="00A704BA">
              <w:rPr>
                <w:b/>
                <w:bCs/>
                <w:szCs w:val="24"/>
                <w:lang w:val="fr-FR"/>
              </w:rPr>
              <w:t xml:space="preserve"> 2021</w:t>
            </w:r>
          </w:p>
        </w:tc>
      </w:tr>
      <w:tr w:rsidR="0070796E" w:rsidRPr="00A704BA" w14:paraId="02CA2556" w14:textId="77777777" w:rsidTr="00504609">
        <w:trPr>
          <w:cantSplit/>
          <w:trHeight w:val="238"/>
        </w:trPr>
        <w:tc>
          <w:tcPr>
            <w:tcW w:w="6379" w:type="dxa"/>
            <w:tcBorders>
              <w:top w:val="single" w:sz="12" w:space="0" w:color="auto"/>
            </w:tcBorders>
          </w:tcPr>
          <w:p w14:paraId="5057834D" w14:textId="77777777" w:rsidR="0070796E" w:rsidRPr="00A704BA" w:rsidRDefault="0070796E" w:rsidP="0098434D">
            <w:pPr>
              <w:spacing w:before="0"/>
              <w:rPr>
                <w:lang w:val="fr-FR"/>
              </w:rPr>
            </w:pPr>
          </w:p>
        </w:tc>
        <w:tc>
          <w:tcPr>
            <w:tcW w:w="3262" w:type="dxa"/>
            <w:tcBorders>
              <w:top w:val="single" w:sz="12" w:space="0" w:color="auto"/>
            </w:tcBorders>
          </w:tcPr>
          <w:p w14:paraId="48551317" w14:textId="77777777" w:rsidR="0070796E" w:rsidRPr="00A704BA" w:rsidRDefault="0070796E" w:rsidP="0098434D">
            <w:pPr>
              <w:spacing w:before="0"/>
              <w:rPr>
                <w:lang w:val="fr-FR"/>
              </w:rPr>
            </w:pPr>
          </w:p>
        </w:tc>
      </w:tr>
      <w:tr w:rsidR="0070796E" w:rsidRPr="00A704BA" w14:paraId="042F6D12" w14:textId="77777777" w:rsidTr="00504609">
        <w:trPr>
          <w:cantSplit/>
          <w:trHeight w:val="20"/>
        </w:trPr>
        <w:tc>
          <w:tcPr>
            <w:tcW w:w="6379" w:type="dxa"/>
            <w:vMerge w:val="restart"/>
          </w:tcPr>
          <w:p w14:paraId="20070EC3" w14:textId="77777777" w:rsidR="0070796E" w:rsidRPr="00A704BA" w:rsidRDefault="0070796E" w:rsidP="0098434D">
            <w:pPr>
              <w:rPr>
                <w:lang w:val="fr-FR"/>
              </w:rPr>
            </w:pPr>
          </w:p>
        </w:tc>
        <w:tc>
          <w:tcPr>
            <w:tcW w:w="3262" w:type="dxa"/>
          </w:tcPr>
          <w:p w14:paraId="49CE235C" w14:textId="11B00445" w:rsidR="0070796E" w:rsidRPr="00A704BA" w:rsidRDefault="0070796E" w:rsidP="0098434D">
            <w:pPr>
              <w:spacing w:before="0"/>
              <w:rPr>
                <w:b/>
                <w:bCs/>
                <w:szCs w:val="24"/>
                <w:lang w:val="fr-FR"/>
              </w:rPr>
            </w:pPr>
            <w:r w:rsidRPr="00A704BA">
              <w:rPr>
                <w:b/>
                <w:bCs/>
                <w:szCs w:val="24"/>
                <w:lang w:val="fr-FR"/>
              </w:rPr>
              <w:t>Document</w:t>
            </w:r>
            <w:r w:rsidR="006527BD" w:rsidRPr="00A704BA">
              <w:rPr>
                <w:b/>
                <w:bCs/>
                <w:szCs w:val="24"/>
                <w:lang w:val="fr-FR"/>
              </w:rPr>
              <w:t xml:space="preserve"> </w:t>
            </w:r>
            <w:bookmarkStart w:id="2" w:name="DocRef1"/>
            <w:bookmarkEnd w:id="2"/>
            <w:r w:rsidR="00FF089C" w:rsidRPr="00A704BA">
              <w:rPr>
                <w:b/>
                <w:bCs/>
                <w:szCs w:val="24"/>
                <w:lang w:val="fr-FR"/>
              </w:rPr>
              <w:t>RPM-</w:t>
            </w:r>
            <w:r w:rsidR="00923456" w:rsidRPr="00A704BA">
              <w:rPr>
                <w:b/>
                <w:bCs/>
                <w:szCs w:val="24"/>
                <w:lang w:val="fr-FR"/>
              </w:rPr>
              <w:t>EUR</w:t>
            </w:r>
            <w:r w:rsidR="00504609" w:rsidRPr="00A704BA">
              <w:rPr>
                <w:b/>
                <w:bCs/>
                <w:szCs w:val="24"/>
                <w:lang w:val="fr-FR"/>
              </w:rPr>
              <w:t>21</w:t>
            </w:r>
            <w:r w:rsidR="00FF089C" w:rsidRPr="00A704BA">
              <w:rPr>
                <w:b/>
                <w:bCs/>
                <w:szCs w:val="24"/>
                <w:lang w:val="fr-FR"/>
              </w:rPr>
              <w:t>/</w:t>
            </w:r>
            <w:r w:rsidR="00964A23" w:rsidRPr="00A704BA">
              <w:rPr>
                <w:b/>
                <w:bCs/>
                <w:szCs w:val="24"/>
                <w:lang w:val="fr-FR"/>
              </w:rPr>
              <w:t>3</w:t>
            </w:r>
            <w:r w:rsidR="00FF089C" w:rsidRPr="00A704BA">
              <w:rPr>
                <w:b/>
                <w:bCs/>
                <w:szCs w:val="24"/>
                <w:lang w:val="fr-FR"/>
              </w:rPr>
              <w:t>-</w:t>
            </w:r>
            <w:bookmarkStart w:id="3" w:name="DocNo1"/>
            <w:bookmarkEnd w:id="3"/>
            <w:r w:rsidR="0093043A" w:rsidRPr="00A704BA">
              <w:rPr>
                <w:b/>
                <w:bCs/>
                <w:szCs w:val="24"/>
                <w:lang w:val="fr-FR"/>
              </w:rPr>
              <w:t>F</w:t>
            </w:r>
          </w:p>
        </w:tc>
      </w:tr>
      <w:tr w:rsidR="0070796E" w:rsidRPr="00A704BA" w14:paraId="2EA9F9CE" w14:textId="77777777" w:rsidTr="00504609">
        <w:trPr>
          <w:cantSplit/>
          <w:trHeight w:val="23"/>
        </w:trPr>
        <w:tc>
          <w:tcPr>
            <w:tcW w:w="6379" w:type="dxa"/>
            <w:vMerge/>
          </w:tcPr>
          <w:p w14:paraId="2A780D8D" w14:textId="77777777" w:rsidR="0070796E" w:rsidRPr="00A704BA" w:rsidRDefault="0070796E" w:rsidP="0098434D">
            <w:pPr>
              <w:tabs>
                <w:tab w:val="left" w:pos="851"/>
              </w:tabs>
              <w:rPr>
                <w:b/>
                <w:lang w:val="fr-FR"/>
              </w:rPr>
            </w:pPr>
          </w:p>
        </w:tc>
        <w:tc>
          <w:tcPr>
            <w:tcW w:w="3262" w:type="dxa"/>
          </w:tcPr>
          <w:p w14:paraId="5AACB509" w14:textId="7CAF770D" w:rsidR="0070796E" w:rsidRPr="00A704BA" w:rsidRDefault="00B03344" w:rsidP="0098434D">
            <w:pPr>
              <w:spacing w:before="0"/>
              <w:rPr>
                <w:b/>
                <w:bCs/>
                <w:szCs w:val="24"/>
                <w:lang w:val="fr-FR"/>
              </w:rPr>
            </w:pPr>
            <w:bookmarkStart w:id="4" w:name="CreationDate"/>
            <w:bookmarkEnd w:id="4"/>
            <w:r w:rsidRPr="00A704BA">
              <w:rPr>
                <w:b/>
                <w:bCs/>
                <w:szCs w:val="24"/>
                <w:lang w:val="fr-FR"/>
              </w:rPr>
              <w:t>1</w:t>
            </w:r>
            <w:r w:rsidR="00964A23" w:rsidRPr="00A704BA">
              <w:rPr>
                <w:b/>
                <w:bCs/>
                <w:szCs w:val="24"/>
                <w:lang w:val="fr-FR"/>
              </w:rPr>
              <w:t>5 décembre</w:t>
            </w:r>
            <w:r w:rsidRPr="00A704BA">
              <w:rPr>
                <w:b/>
                <w:bCs/>
                <w:szCs w:val="24"/>
                <w:lang w:val="fr-FR"/>
              </w:rPr>
              <w:t xml:space="preserve"> 2020</w:t>
            </w:r>
          </w:p>
        </w:tc>
      </w:tr>
      <w:tr w:rsidR="0070796E" w:rsidRPr="00A704BA" w14:paraId="03F0AF90" w14:textId="77777777" w:rsidTr="00504609">
        <w:trPr>
          <w:cantSplit/>
          <w:trHeight w:val="333"/>
        </w:trPr>
        <w:tc>
          <w:tcPr>
            <w:tcW w:w="6379" w:type="dxa"/>
            <w:vMerge/>
          </w:tcPr>
          <w:p w14:paraId="49E11E04" w14:textId="77777777" w:rsidR="0070796E" w:rsidRPr="00A704BA" w:rsidRDefault="0070796E" w:rsidP="0098434D">
            <w:pPr>
              <w:tabs>
                <w:tab w:val="left" w:pos="851"/>
              </w:tabs>
              <w:rPr>
                <w:b/>
                <w:lang w:val="fr-FR"/>
              </w:rPr>
            </w:pPr>
          </w:p>
        </w:tc>
        <w:tc>
          <w:tcPr>
            <w:tcW w:w="3262" w:type="dxa"/>
          </w:tcPr>
          <w:p w14:paraId="5C49528C" w14:textId="2261D81F" w:rsidR="0070796E" w:rsidRPr="00A704BA" w:rsidRDefault="0070796E" w:rsidP="0098434D">
            <w:pPr>
              <w:spacing w:before="0" w:after="120"/>
              <w:rPr>
                <w:b/>
                <w:bCs/>
                <w:szCs w:val="24"/>
                <w:lang w:val="fr-FR"/>
              </w:rPr>
            </w:pPr>
            <w:r w:rsidRPr="00A704BA">
              <w:rPr>
                <w:b/>
                <w:bCs/>
                <w:szCs w:val="24"/>
                <w:lang w:val="fr-FR"/>
              </w:rPr>
              <w:t>Original:</w:t>
            </w:r>
            <w:r w:rsidR="005543B5" w:rsidRPr="00A704BA">
              <w:rPr>
                <w:b/>
                <w:bCs/>
                <w:szCs w:val="24"/>
                <w:lang w:val="fr-FR"/>
              </w:rPr>
              <w:t xml:space="preserve"> </w:t>
            </w:r>
            <w:bookmarkStart w:id="5" w:name="Original"/>
            <w:bookmarkEnd w:id="5"/>
            <w:r w:rsidR="00CA4787" w:rsidRPr="00A704BA">
              <w:rPr>
                <w:b/>
                <w:bCs/>
                <w:szCs w:val="24"/>
                <w:lang w:val="fr-FR"/>
              </w:rPr>
              <w:t>anglais</w:t>
            </w:r>
          </w:p>
        </w:tc>
      </w:tr>
      <w:tr w:rsidR="0070796E" w:rsidRPr="00445858" w14:paraId="655B5FD0" w14:textId="77777777" w:rsidTr="00504609">
        <w:trPr>
          <w:cantSplit/>
          <w:trHeight w:val="23"/>
        </w:trPr>
        <w:tc>
          <w:tcPr>
            <w:tcW w:w="9641" w:type="dxa"/>
            <w:gridSpan w:val="2"/>
          </w:tcPr>
          <w:p w14:paraId="438BCD9A" w14:textId="76235A4B" w:rsidR="0070796E" w:rsidRPr="00694A24" w:rsidRDefault="00B03344" w:rsidP="00694A24">
            <w:pPr>
              <w:pStyle w:val="Source"/>
              <w:spacing w:before="240"/>
              <w:jc w:val="center"/>
              <w:rPr>
                <w:sz w:val="28"/>
                <w:szCs w:val="28"/>
                <w:lang w:val="fr-FR"/>
              </w:rPr>
            </w:pPr>
            <w:r w:rsidRPr="00694A24">
              <w:rPr>
                <w:sz w:val="28"/>
                <w:szCs w:val="28"/>
                <w:lang w:val="fr-FR"/>
              </w:rPr>
              <w:t>Directrice du Bureau de développement des télécommunications</w:t>
            </w:r>
          </w:p>
        </w:tc>
      </w:tr>
      <w:tr w:rsidR="00421F93" w:rsidRPr="00445858" w14:paraId="72DD2DDB" w14:textId="77777777" w:rsidTr="00504609">
        <w:trPr>
          <w:cantSplit/>
          <w:trHeight w:val="23"/>
        </w:trPr>
        <w:tc>
          <w:tcPr>
            <w:tcW w:w="9641" w:type="dxa"/>
            <w:gridSpan w:val="2"/>
          </w:tcPr>
          <w:p w14:paraId="7D77AAB7" w14:textId="7230D9E9" w:rsidR="00421F93" w:rsidRPr="00F018AF" w:rsidRDefault="00764147" w:rsidP="00694A24">
            <w:pPr>
              <w:tabs>
                <w:tab w:val="left" w:pos="1928"/>
              </w:tabs>
              <w:spacing w:before="240" w:after="120"/>
              <w:ind w:left="1928" w:hanging="1928"/>
              <w:jc w:val="center"/>
              <w:rPr>
                <w:sz w:val="28"/>
                <w:szCs w:val="28"/>
                <w:lang w:val="fr-FR"/>
              </w:rPr>
            </w:pPr>
            <w:r w:rsidRPr="00F018AF">
              <w:rPr>
                <w:sz w:val="28"/>
                <w:szCs w:val="28"/>
                <w:lang w:val="fr-FR"/>
              </w:rPr>
              <w:t>Mise en œuvre de la gestion axée sur les résultats (GAR) au</w:t>
            </w:r>
            <w:r w:rsidR="00964A23" w:rsidRPr="00F018AF">
              <w:rPr>
                <w:sz w:val="28"/>
                <w:szCs w:val="28"/>
                <w:lang w:val="fr-FR"/>
              </w:rPr>
              <w:t xml:space="preserve"> BDT</w:t>
            </w:r>
          </w:p>
        </w:tc>
      </w:tr>
      <w:tr w:rsidR="00504609" w:rsidRPr="00445858" w14:paraId="3FF473AE" w14:textId="77777777" w:rsidTr="00964A23">
        <w:trPr>
          <w:cantSplit/>
          <w:trHeight w:val="23"/>
        </w:trPr>
        <w:tc>
          <w:tcPr>
            <w:tcW w:w="9641" w:type="dxa"/>
            <w:gridSpan w:val="2"/>
            <w:tcBorders>
              <w:bottom w:val="single" w:sz="4" w:space="0" w:color="auto"/>
            </w:tcBorders>
          </w:tcPr>
          <w:p w14:paraId="414CF233" w14:textId="77777777" w:rsidR="00504609" w:rsidRPr="00A704BA" w:rsidRDefault="00504609" w:rsidP="0098434D">
            <w:pPr>
              <w:tabs>
                <w:tab w:val="left" w:pos="1928"/>
              </w:tabs>
              <w:spacing w:after="120"/>
              <w:ind w:left="1928" w:hanging="1928"/>
              <w:jc w:val="center"/>
              <w:rPr>
                <w:sz w:val="28"/>
                <w:szCs w:val="28"/>
                <w:lang w:val="fr-FR"/>
              </w:rPr>
            </w:pPr>
          </w:p>
        </w:tc>
      </w:tr>
      <w:tr w:rsidR="00964A23" w:rsidRPr="00445858" w14:paraId="369DF928" w14:textId="77777777" w:rsidTr="00964A23">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19FE6B3A" w14:textId="744714A9" w:rsidR="00964A23" w:rsidRPr="00A704BA" w:rsidRDefault="00764147" w:rsidP="0098434D">
            <w:pPr>
              <w:pStyle w:val="Headingb"/>
              <w:rPr>
                <w:caps/>
                <w:lang w:val="fr-FR"/>
              </w:rPr>
            </w:pPr>
            <w:r w:rsidRPr="00A704BA">
              <w:rPr>
                <w:lang w:val="fr-FR"/>
              </w:rPr>
              <w:t>Point de l'ordre du jour</w:t>
            </w:r>
            <w:r w:rsidR="00964A23" w:rsidRPr="00A704BA">
              <w:rPr>
                <w:lang w:val="fr-FR"/>
              </w:rPr>
              <w:t>:</w:t>
            </w:r>
          </w:p>
          <w:p w14:paraId="506454C7" w14:textId="618A9EC8" w:rsidR="00964A23" w:rsidRPr="00A704BA" w:rsidRDefault="00764147" w:rsidP="0098434D">
            <w:pPr>
              <w:rPr>
                <w:caps/>
                <w:lang w:val="fr-FR"/>
              </w:rPr>
            </w:pPr>
            <w:r w:rsidRPr="00A704BA">
              <w:rPr>
                <w:lang w:val="fr-FR"/>
              </w:rPr>
              <w:t>Point</w:t>
            </w:r>
            <w:r w:rsidR="00964A23" w:rsidRPr="00A704BA">
              <w:rPr>
                <w:lang w:val="fr-FR"/>
              </w:rPr>
              <w:t xml:space="preserve"> 5</w:t>
            </w:r>
          </w:p>
          <w:p w14:paraId="14DBBFDD" w14:textId="2D80D1C9" w:rsidR="00964A23" w:rsidRPr="00A704BA" w:rsidRDefault="00964A23" w:rsidP="0098434D">
            <w:pPr>
              <w:pStyle w:val="Headingb"/>
              <w:rPr>
                <w:lang w:val="fr-FR"/>
              </w:rPr>
            </w:pPr>
            <w:r w:rsidRPr="00A704BA">
              <w:rPr>
                <w:lang w:val="fr-FR"/>
              </w:rPr>
              <w:t>Résumé:</w:t>
            </w:r>
          </w:p>
          <w:p w14:paraId="53E7FA5C" w14:textId="6B5328CA" w:rsidR="00964A23" w:rsidRPr="00A704BA" w:rsidRDefault="00964A23" w:rsidP="0098434D">
            <w:pPr>
              <w:rPr>
                <w:szCs w:val="24"/>
                <w:lang w:val="fr-FR"/>
              </w:rPr>
            </w:pPr>
            <w:r w:rsidRPr="00A704BA">
              <w:rPr>
                <w:szCs w:val="24"/>
                <w:lang w:val="fr-FR"/>
              </w:rPr>
              <w:t>En 2019, le</w:t>
            </w:r>
            <w:r w:rsidR="00627F6A" w:rsidRPr="00A704BA">
              <w:rPr>
                <w:szCs w:val="24"/>
                <w:lang w:val="fr-FR"/>
              </w:rPr>
              <w:t xml:space="preserve"> Bureau de développement des télécommunications</w:t>
            </w:r>
            <w:r w:rsidRPr="00A704BA">
              <w:rPr>
                <w:szCs w:val="24"/>
                <w:lang w:val="fr-FR"/>
              </w:rPr>
              <w:t xml:space="preserve"> </w:t>
            </w:r>
            <w:r w:rsidR="00627F6A" w:rsidRPr="00A704BA">
              <w:rPr>
                <w:szCs w:val="24"/>
                <w:lang w:val="fr-FR"/>
              </w:rPr>
              <w:t>(</w:t>
            </w:r>
            <w:r w:rsidRPr="00A704BA">
              <w:rPr>
                <w:szCs w:val="24"/>
                <w:lang w:val="fr-FR"/>
              </w:rPr>
              <w:t>BDT</w:t>
            </w:r>
            <w:r w:rsidR="00627F6A" w:rsidRPr="00A704BA">
              <w:rPr>
                <w:szCs w:val="24"/>
                <w:lang w:val="fr-FR"/>
              </w:rPr>
              <w:t>)</w:t>
            </w:r>
            <w:r w:rsidRPr="00A704BA">
              <w:rPr>
                <w:szCs w:val="24"/>
                <w:lang w:val="fr-FR"/>
              </w:rPr>
              <w:t xml:space="preserve"> a entamé une refonte complète de sa mise en œuvre de la gestion axée sur les résultats, afin que le Bureau soit à même de relever les défis que pose un environnement du développement en évolution rapide et qu'il soit "en adéquation avec sa mission". Cette réforme </w:t>
            </w:r>
            <w:r w:rsidR="00627F6A" w:rsidRPr="00A704BA">
              <w:rPr>
                <w:szCs w:val="24"/>
                <w:lang w:val="fr-FR"/>
              </w:rPr>
              <w:t>permettra d'instaurer</w:t>
            </w:r>
            <w:r w:rsidRPr="00A704BA">
              <w:rPr>
                <w:szCs w:val="24"/>
                <w:lang w:val="fr-FR"/>
              </w:rPr>
              <w:t xml:space="preserve"> la gestion axée sur les résultats</w:t>
            </w:r>
            <w:r w:rsidR="00627F6A" w:rsidRPr="00A704BA">
              <w:rPr>
                <w:szCs w:val="24"/>
                <w:lang w:val="fr-FR"/>
              </w:rPr>
              <w:t xml:space="preserve"> (GAR) pour</w:t>
            </w:r>
            <w:r w:rsidRPr="00A704BA">
              <w:rPr>
                <w:szCs w:val="24"/>
                <w:lang w:val="fr-FR"/>
              </w:rPr>
              <w:t xml:space="preserve"> la mise en œuvre de tous les programmes de travail</w:t>
            </w:r>
            <w:r w:rsidR="00627F6A" w:rsidRPr="00A704BA">
              <w:rPr>
                <w:szCs w:val="24"/>
                <w:lang w:val="fr-FR"/>
              </w:rPr>
              <w:t>,</w:t>
            </w:r>
            <w:r w:rsidRPr="00A704BA">
              <w:rPr>
                <w:szCs w:val="24"/>
                <w:lang w:val="fr-FR"/>
              </w:rPr>
              <w:t xml:space="preserve"> comme outil pour la prise de décisions et le suivi en matière de gestion, et d'obtenir des éléments concrets attestant de l'efficacité du BDT. La </w:t>
            </w:r>
            <w:r w:rsidR="00627F6A" w:rsidRPr="00A704BA">
              <w:rPr>
                <w:szCs w:val="24"/>
                <w:lang w:val="fr-FR"/>
              </w:rPr>
              <w:t>GAR</w:t>
            </w:r>
            <w:r w:rsidRPr="00A704BA">
              <w:rPr>
                <w:szCs w:val="24"/>
                <w:lang w:val="fr-FR"/>
              </w:rPr>
              <w:t xml:space="preserve"> servira en outre de plate-forme pour associer des partenaires internes et externes, et pour reproduire et déployer à grande échelle les projets et les initiatives relatives aux programmes de travail qui ont fait leurs preuves. </w:t>
            </w:r>
          </w:p>
          <w:p w14:paraId="6DDC442B" w14:textId="77777777" w:rsidR="00964A23" w:rsidRPr="00A704BA" w:rsidRDefault="00964A23" w:rsidP="0098434D">
            <w:pPr>
              <w:pStyle w:val="Headingb"/>
              <w:rPr>
                <w:lang w:val="fr-FR"/>
              </w:rPr>
            </w:pPr>
            <w:r w:rsidRPr="00A704BA">
              <w:rPr>
                <w:lang w:val="fr-FR"/>
              </w:rPr>
              <w:t>Suite à donner:</w:t>
            </w:r>
          </w:p>
          <w:p w14:paraId="50C86B23" w14:textId="6343E641" w:rsidR="00964A23" w:rsidRPr="00A704BA" w:rsidRDefault="001A2C2C" w:rsidP="0098434D">
            <w:pPr>
              <w:rPr>
                <w:lang w:val="fr-FR"/>
              </w:rPr>
            </w:pPr>
            <w:r w:rsidRPr="00A704BA">
              <w:rPr>
                <w:lang w:val="fr-FR"/>
              </w:rPr>
              <w:t xml:space="preserve">Les participants à la </w:t>
            </w:r>
            <w:r w:rsidR="00964A23" w:rsidRPr="00A704BA">
              <w:rPr>
                <w:lang w:val="fr-FR"/>
              </w:rPr>
              <w:t xml:space="preserve">RPM-EUR </w:t>
            </w:r>
            <w:r w:rsidRPr="00A704BA">
              <w:rPr>
                <w:lang w:val="fr-FR"/>
              </w:rPr>
              <w:t>sont invités à prendre note du présent document</w:t>
            </w:r>
            <w:r w:rsidR="00964A23" w:rsidRPr="00A704BA">
              <w:rPr>
                <w:lang w:val="fr-FR"/>
              </w:rPr>
              <w:t>.</w:t>
            </w:r>
          </w:p>
          <w:p w14:paraId="45F707DD" w14:textId="77777777" w:rsidR="00964A23" w:rsidRPr="00A704BA" w:rsidRDefault="00964A23" w:rsidP="0098434D">
            <w:pPr>
              <w:pStyle w:val="Headingb"/>
              <w:rPr>
                <w:lang w:val="fr-FR"/>
              </w:rPr>
            </w:pPr>
            <w:r w:rsidRPr="00A704BA">
              <w:rPr>
                <w:lang w:val="fr-FR"/>
              </w:rPr>
              <w:t>Références:</w:t>
            </w:r>
          </w:p>
          <w:p w14:paraId="77DB6426" w14:textId="063DED91" w:rsidR="00964A23" w:rsidRPr="00A704BA" w:rsidRDefault="00964A23" w:rsidP="0098434D">
            <w:pPr>
              <w:spacing w:after="120"/>
              <w:rPr>
                <w:lang w:val="fr-FR"/>
              </w:rPr>
            </w:pPr>
            <w:r w:rsidRPr="00A704BA">
              <w:rPr>
                <w:lang w:val="fr-FR"/>
              </w:rPr>
              <w:t>Plan d'action de Buenos Aires adopté par la Conférence mondiale de développement des télécommunications de 2017 (CMDT-17); Résolutions 25, 71 et 151 (Rév. Dubaï, 2018) de la Conférence de plénipotentiaires (</w:t>
            </w:r>
            <w:r w:rsidR="00694A24">
              <w:rPr>
                <w:lang w:val="fr-FR"/>
              </w:rPr>
              <w:t>PP); Résolutions 52 et 53 (Rév.</w:t>
            </w:r>
            <w:r w:rsidRPr="00A704BA">
              <w:rPr>
                <w:lang w:val="fr-FR"/>
              </w:rPr>
              <w:t>Dubaï, 2014) de la CMDT.</w:t>
            </w:r>
          </w:p>
        </w:tc>
      </w:tr>
    </w:tbl>
    <w:p w14:paraId="30E3740B" w14:textId="192D0D22" w:rsidR="00A3187B" w:rsidRPr="00A704BA" w:rsidRDefault="00A3187B" w:rsidP="0098434D">
      <w:pPr>
        <w:rPr>
          <w:lang w:val="fr-FR"/>
        </w:rPr>
      </w:pPr>
      <w:r w:rsidRPr="00A704BA">
        <w:rPr>
          <w:lang w:val="fr-FR"/>
        </w:rPr>
        <w:br w:type="page"/>
      </w:r>
    </w:p>
    <w:p w14:paraId="651A5DFA" w14:textId="47669E9D" w:rsidR="00A3187B" w:rsidRPr="00A704BA" w:rsidRDefault="00A3187B" w:rsidP="0098434D">
      <w:pPr>
        <w:pStyle w:val="Heading1"/>
        <w:rPr>
          <w:lang w:val="fr-FR"/>
        </w:rPr>
      </w:pPr>
      <w:r w:rsidRPr="00A704BA">
        <w:rPr>
          <w:lang w:val="fr-FR"/>
        </w:rPr>
        <w:lastRenderedPageBreak/>
        <w:t>1</w:t>
      </w:r>
      <w:r w:rsidRPr="00A704BA">
        <w:rPr>
          <w:lang w:val="fr-FR"/>
        </w:rPr>
        <w:tab/>
      </w:r>
      <w:r w:rsidR="00D44A7E" w:rsidRPr="00A704BA">
        <w:rPr>
          <w:lang w:val="fr-FR"/>
        </w:rPr>
        <w:t>Nécessité d'entreprendre</w:t>
      </w:r>
      <w:r w:rsidR="00201EA8" w:rsidRPr="00A704BA">
        <w:rPr>
          <w:lang w:val="fr-FR"/>
        </w:rPr>
        <w:t xml:space="preserve"> un</w:t>
      </w:r>
      <w:r w:rsidRPr="00A704BA">
        <w:rPr>
          <w:lang w:val="fr-FR"/>
        </w:rPr>
        <w:t xml:space="preserve"> projet ambitieux </w:t>
      </w:r>
      <w:r w:rsidR="00D44A7E" w:rsidRPr="00A704BA">
        <w:rPr>
          <w:lang w:val="fr-FR"/>
        </w:rPr>
        <w:t>visant</w:t>
      </w:r>
      <w:r w:rsidRPr="00A704BA">
        <w:rPr>
          <w:lang w:val="fr-FR"/>
        </w:rPr>
        <w:t xml:space="preserve"> à changer la gestion axée sur les résultats</w:t>
      </w:r>
    </w:p>
    <w:p w14:paraId="3F942FEA" w14:textId="44D2681E" w:rsidR="00A3187B" w:rsidRPr="00A704BA" w:rsidRDefault="00A3187B" w:rsidP="0098434D">
      <w:pPr>
        <w:rPr>
          <w:lang w:val="fr-FR"/>
        </w:rPr>
      </w:pPr>
      <w:r w:rsidRPr="00A704BA">
        <w:rPr>
          <w:lang w:val="fr-FR"/>
        </w:rPr>
        <w:t xml:space="preserve">Dans un contexte marqué par un environnement du développement en évolution rapide et </w:t>
      </w:r>
      <w:r w:rsidR="00D44A7E" w:rsidRPr="00A704BA">
        <w:rPr>
          <w:lang w:val="fr-FR"/>
        </w:rPr>
        <w:t>compte tenu d</w:t>
      </w:r>
      <w:r w:rsidRPr="00A704BA">
        <w:rPr>
          <w:lang w:val="fr-FR"/>
        </w:rPr>
        <w:t>es demande</w:t>
      </w:r>
      <w:bookmarkStart w:id="6" w:name="_GoBack"/>
      <w:bookmarkEnd w:id="6"/>
      <w:r w:rsidRPr="00A704BA">
        <w:rPr>
          <w:lang w:val="fr-FR"/>
        </w:rPr>
        <w:t xml:space="preserve">s réitérées </w:t>
      </w:r>
      <w:r w:rsidR="00D44A7E" w:rsidRPr="00A704BA">
        <w:rPr>
          <w:lang w:val="fr-FR"/>
        </w:rPr>
        <w:t>formulées par l</w:t>
      </w:r>
      <w:r w:rsidRPr="00A704BA">
        <w:rPr>
          <w:lang w:val="fr-FR"/>
        </w:rPr>
        <w:t xml:space="preserve">es États Membres </w:t>
      </w:r>
      <w:r w:rsidR="00D44A7E" w:rsidRPr="00A704BA">
        <w:rPr>
          <w:lang w:val="fr-FR"/>
        </w:rPr>
        <w:t>pour que soit mis en place</w:t>
      </w:r>
      <w:r w:rsidRPr="00A704BA">
        <w:rPr>
          <w:lang w:val="fr-FR"/>
        </w:rPr>
        <w:t xml:space="preserve"> un BDT qui travaille de manière efficace et rationnelle</w:t>
      </w:r>
      <w:r w:rsidRPr="00A704BA">
        <w:rPr>
          <w:rStyle w:val="FootnoteReference"/>
          <w:lang w:val="fr-FR"/>
        </w:rPr>
        <w:footnoteReference w:id="1"/>
      </w:r>
      <w:r w:rsidRPr="00A704BA">
        <w:rPr>
          <w:lang w:val="fr-FR"/>
        </w:rPr>
        <w:t xml:space="preserve">, le Bureau </w:t>
      </w:r>
      <w:r w:rsidR="00D44A7E" w:rsidRPr="00A704BA">
        <w:rPr>
          <w:lang w:val="fr-FR"/>
        </w:rPr>
        <w:t xml:space="preserve">de développement des télécommunications (BDT) </w:t>
      </w:r>
      <w:r w:rsidRPr="00A704BA">
        <w:rPr>
          <w:lang w:val="fr-FR"/>
        </w:rPr>
        <w:t xml:space="preserve">a entrepris </w:t>
      </w:r>
      <w:r w:rsidR="00D44A7E" w:rsidRPr="00A704BA">
        <w:rPr>
          <w:lang w:val="fr-FR"/>
        </w:rPr>
        <w:t>un examen approfondi de son cadre de gestion axée sur les résultats.</w:t>
      </w:r>
      <w:r w:rsidRPr="00A704BA">
        <w:rPr>
          <w:lang w:val="fr-FR"/>
        </w:rPr>
        <w:t xml:space="preserve"> Afin de maintenir et de renforcer l'efficacité du BDT, </w:t>
      </w:r>
      <w:r w:rsidR="00D44A7E" w:rsidRPr="00A704BA">
        <w:rPr>
          <w:lang w:val="fr-FR"/>
        </w:rPr>
        <w:t>il a été procédé à</w:t>
      </w:r>
      <w:r w:rsidRPr="00A704BA">
        <w:rPr>
          <w:lang w:val="fr-FR"/>
        </w:rPr>
        <w:t xml:space="preserve"> une analyse de base, dans le souci de bâtir un BDT qui soit "en adéquation avec sa mission". Cette analyse a mis en lumière ce qui suit:</w:t>
      </w:r>
    </w:p>
    <w:p w14:paraId="32FEF3A8" w14:textId="7C7B4BCF" w:rsidR="00A3187B" w:rsidRPr="00A704BA" w:rsidRDefault="00A3187B" w:rsidP="0098434D">
      <w:pPr>
        <w:pStyle w:val="enumlev1"/>
        <w:rPr>
          <w:lang w:val="fr-FR"/>
        </w:rPr>
      </w:pPr>
      <w:r w:rsidRPr="00A704BA">
        <w:rPr>
          <w:lang w:val="fr-FR"/>
        </w:rPr>
        <w:t>–</w:t>
      </w:r>
      <w:r w:rsidRPr="00A704BA">
        <w:rPr>
          <w:lang w:val="fr-FR"/>
        </w:rPr>
        <w:tab/>
      </w:r>
      <w:r w:rsidR="00D44A7E" w:rsidRPr="00A704BA">
        <w:rPr>
          <w:lang w:val="fr-FR"/>
        </w:rPr>
        <w:t>Les</w:t>
      </w:r>
      <w:r w:rsidRPr="00A704BA">
        <w:rPr>
          <w:lang w:val="fr-FR"/>
        </w:rPr>
        <w:t xml:space="preserve"> activités </w:t>
      </w:r>
      <w:r w:rsidR="00D44A7E" w:rsidRPr="00A704BA">
        <w:rPr>
          <w:lang w:val="fr-FR"/>
        </w:rPr>
        <w:t>étaient</w:t>
      </w:r>
      <w:r w:rsidRPr="00A704BA">
        <w:rPr>
          <w:lang w:val="fr-FR"/>
        </w:rPr>
        <w:t xml:space="preserve"> devenues fragmentées, raison pour laquelle il </w:t>
      </w:r>
      <w:r w:rsidR="00D44A7E" w:rsidRPr="00A704BA">
        <w:rPr>
          <w:lang w:val="fr-FR"/>
        </w:rPr>
        <w:t>était</w:t>
      </w:r>
      <w:r w:rsidRPr="00A704BA">
        <w:rPr>
          <w:lang w:val="fr-FR"/>
        </w:rPr>
        <w:t xml:space="preserve"> difficile d'associer des partenaires de manière systématique, de tirer parti des éventuelles synergies avec le</w:t>
      </w:r>
      <w:r w:rsidR="00D44A7E" w:rsidRPr="00A704BA">
        <w:rPr>
          <w:lang w:val="fr-FR"/>
        </w:rPr>
        <w:t>s</w:t>
      </w:r>
      <w:r w:rsidRPr="00A704BA">
        <w:rPr>
          <w:lang w:val="fr-FR"/>
        </w:rPr>
        <w:t xml:space="preserve"> Secteur de l'UIT et de recenser les résultats obtenus. </w:t>
      </w:r>
    </w:p>
    <w:p w14:paraId="79D65117" w14:textId="7FDFC6F4" w:rsidR="00A3187B" w:rsidRPr="00A704BA" w:rsidRDefault="00A3187B" w:rsidP="0098434D">
      <w:pPr>
        <w:pStyle w:val="enumlev1"/>
        <w:rPr>
          <w:lang w:val="fr-FR"/>
        </w:rPr>
      </w:pPr>
      <w:r w:rsidRPr="00A704BA">
        <w:rPr>
          <w:lang w:val="fr-FR"/>
        </w:rPr>
        <w:t>–</w:t>
      </w:r>
      <w:r w:rsidRPr="00A704BA">
        <w:rPr>
          <w:lang w:val="fr-FR"/>
        </w:rPr>
        <w:tab/>
      </w:r>
      <w:r w:rsidR="00454D3E" w:rsidRPr="00A704BA">
        <w:rPr>
          <w:lang w:val="fr-FR"/>
        </w:rPr>
        <w:t>Les</w:t>
      </w:r>
      <w:r w:rsidRPr="00A704BA">
        <w:rPr>
          <w:lang w:val="fr-FR"/>
        </w:rPr>
        <w:t xml:space="preserve"> programmes de travail étaient mis en œuvre de manière isolée et le volet opérationnel des programmes de travail était souvent déconnecté des projets et des initiatives régionales.</w:t>
      </w:r>
    </w:p>
    <w:p w14:paraId="2DF1D020" w14:textId="1A89BBA8" w:rsidR="00A3187B" w:rsidRPr="00A704BA" w:rsidRDefault="00A3187B" w:rsidP="0098434D">
      <w:pPr>
        <w:pStyle w:val="enumlev1"/>
        <w:rPr>
          <w:lang w:val="fr-FR"/>
        </w:rPr>
      </w:pPr>
      <w:r w:rsidRPr="00A704BA">
        <w:rPr>
          <w:lang w:val="fr-FR"/>
        </w:rPr>
        <w:t>–</w:t>
      </w:r>
      <w:r w:rsidRPr="00A704BA">
        <w:rPr>
          <w:lang w:val="fr-FR"/>
        </w:rPr>
        <w:tab/>
      </w:r>
      <w:r w:rsidR="00C172C6" w:rsidRPr="00A704BA">
        <w:rPr>
          <w:lang w:val="fr-FR"/>
        </w:rPr>
        <w:t>Les</w:t>
      </w:r>
      <w:r w:rsidRPr="00A704BA">
        <w:rPr>
          <w:lang w:val="fr-FR"/>
        </w:rPr>
        <w:t xml:space="preserve"> initiatives régionales, en particulier celles ayant trait à des domaines thématiques similaires et déployées dans diverses régions, ne tiraient pas parti des possibilités de transposition à plus grande échelle et de mobilisation de ressources</w:t>
      </w:r>
      <w:r w:rsidRPr="00A704BA">
        <w:rPr>
          <w:rStyle w:val="FootnoteReference"/>
          <w:lang w:val="fr-FR"/>
        </w:rPr>
        <w:footnoteReference w:id="2"/>
      </w:r>
      <w:r w:rsidRPr="00A704BA">
        <w:rPr>
          <w:lang w:val="fr-FR"/>
        </w:rPr>
        <w:t>.</w:t>
      </w:r>
    </w:p>
    <w:p w14:paraId="30CA1D57" w14:textId="10874220" w:rsidR="00A3187B" w:rsidRPr="00A704BA" w:rsidRDefault="00A3187B" w:rsidP="0098434D">
      <w:pPr>
        <w:pStyle w:val="enumlev1"/>
        <w:rPr>
          <w:lang w:val="fr-FR"/>
        </w:rPr>
      </w:pPr>
      <w:r w:rsidRPr="00A704BA">
        <w:rPr>
          <w:lang w:val="fr-FR"/>
        </w:rPr>
        <w:t>–</w:t>
      </w:r>
      <w:r w:rsidRPr="00A704BA">
        <w:rPr>
          <w:lang w:val="fr-FR"/>
        </w:rPr>
        <w:tab/>
      </w:r>
      <w:r w:rsidR="00F97B1A" w:rsidRPr="00A704BA">
        <w:rPr>
          <w:lang w:val="fr-FR"/>
        </w:rPr>
        <w:t>Le</w:t>
      </w:r>
      <w:r w:rsidRPr="00A704BA">
        <w:rPr>
          <w:lang w:val="fr-FR"/>
        </w:rPr>
        <w:t xml:space="preserve"> rôle </w:t>
      </w:r>
      <w:r w:rsidR="00F97B1A" w:rsidRPr="00A704BA">
        <w:rPr>
          <w:lang w:val="fr-FR"/>
        </w:rPr>
        <w:t xml:space="preserve">de l'UIT </w:t>
      </w:r>
      <w:r w:rsidRPr="00A704BA">
        <w:rPr>
          <w:lang w:val="fr-FR"/>
        </w:rPr>
        <w:t xml:space="preserve">en tant qu'institution spécialisée des Nations Unies pour les TIC, et en particulier l'objectif du BDT d'être le "partenaire pour la transformation numérique grâce à une connectivité efficace", n'étaient pas suffisamment reconnus par d'autres grandes organisations internationales et d'autres États Membres. </w:t>
      </w:r>
    </w:p>
    <w:p w14:paraId="705D9216" w14:textId="35AD5C30" w:rsidR="00B03344" w:rsidRPr="00A704BA" w:rsidRDefault="00A3187B" w:rsidP="0098434D">
      <w:pPr>
        <w:rPr>
          <w:lang w:val="fr-FR"/>
        </w:rPr>
      </w:pPr>
      <w:r w:rsidRPr="00A704BA">
        <w:rPr>
          <w:lang w:val="fr-FR"/>
        </w:rPr>
        <w:t xml:space="preserve">En résumé, </w:t>
      </w:r>
      <w:r w:rsidR="00F97B1A" w:rsidRPr="00A704BA">
        <w:rPr>
          <w:lang w:val="fr-FR"/>
        </w:rPr>
        <w:t>l'examen a montré</w:t>
      </w:r>
      <w:r w:rsidRPr="00A704BA">
        <w:rPr>
          <w:lang w:val="fr-FR"/>
        </w:rPr>
        <w:t xml:space="preserve"> qu'une approche plus cohérente était nécessaire afin de mettre en œuvre </w:t>
      </w:r>
      <w:r w:rsidR="00F97B1A" w:rsidRPr="00A704BA">
        <w:rPr>
          <w:lang w:val="fr-FR"/>
        </w:rPr>
        <w:t>les</w:t>
      </w:r>
      <w:r w:rsidRPr="00A704BA">
        <w:rPr>
          <w:lang w:val="fr-FR"/>
        </w:rPr>
        <w:t xml:space="preserve"> programmes de travail</w:t>
      </w:r>
      <w:r w:rsidR="00F97B1A" w:rsidRPr="00A704BA">
        <w:rPr>
          <w:lang w:val="fr-FR"/>
        </w:rPr>
        <w:t xml:space="preserve"> du BDT</w:t>
      </w:r>
      <w:r w:rsidRPr="00A704BA">
        <w:rPr>
          <w:lang w:val="fr-FR"/>
        </w:rPr>
        <w:t xml:space="preserve"> et de faire en sorte que le </w:t>
      </w:r>
      <w:r w:rsidR="00F97B1A" w:rsidRPr="00A704BA">
        <w:rPr>
          <w:lang w:val="fr-FR"/>
        </w:rPr>
        <w:t>Bureau</w:t>
      </w:r>
      <w:r w:rsidRPr="00A704BA">
        <w:rPr>
          <w:lang w:val="fr-FR"/>
        </w:rPr>
        <w:t xml:space="preserve"> soit considéré comme un partenaire </w:t>
      </w:r>
      <w:r w:rsidR="00F97B1A" w:rsidRPr="00A704BA">
        <w:rPr>
          <w:lang w:val="fr-FR"/>
        </w:rPr>
        <w:t>incontournable dans le domaine</w:t>
      </w:r>
      <w:r w:rsidRPr="00A704BA">
        <w:rPr>
          <w:lang w:val="fr-FR"/>
        </w:rPr>
        <w:t xml:space="preserve"> du développement.</w:t>
      </w:r>
    </w:p>
    <w:p w14:paraId="013297F6" w14:textId="45AD9738" w:rsidR="00964A23" w:rsidRPr="00A704BA" w:rsidRDefault="00A3187B" w:rsidP="0098434D">
      <w:pPr>
        <w:pStyle w:val="Heading1"/>
        <w:rPr>
          <w:lang w:val="fr-FR"/>
        </w:rPr>
      </w:pPr>
      <w:r w:rsidRPr="00A704BA">
        <w:rPr>
          <w:lang w:val="fr-FR"/>
        </w:rPr>
        <w:t>2</w:t>
      </w:r>
      <w:r w:rsidRPr="00A704BA">
        <w:rPr>
          <w:lang w:val="fr-FR"/>
        </w:rPr>
        <w:tab/>
      </w:r>
      <w:r w:rsidR="00527AC3" w:rsidRPr="00A704BA">
        <w:rPr>
          <w:lang w:val="fr-FR"/>
        </w:rPr>
        <w:t>Réforme de l'</w:t>
      </w:r>
      <w:r w:rsidRPr="00A704BA">
        <w:rPr>
          <w:lang w:val="fr-FR"/>
        </w:rPr>
        <w:t>approche en matière de programme de travail</w:t>
      </w:r>
    </w:p>
    <w:p w14:paraId="6807992F" w14:textId="2FE52283" w:rsidR="003D243A" w:rsidRPr="00A704BA" w:rsidRDefault="003D243A" w:rsidP="0098434D">
      <w:pPr>
        <w:rPr>
          <w:rFonts w:cstheme="minorHAnsi"/>
          <w:szCs w:val="24"/>
          <w:lang w:val="fr-FR"/>
        </w:rPr>
      </w:pPr>
      <w:r w:rsidRPr="00A704BA">
        <w:rPr>
          <w:rFonts w:cstheme="minorHAnsi"/>
          <w:szCs w:val="24"/>
          <w:lang w:val="fr-FR"/>
        </w:rPr>
        <w:t>Dans le prolongement d</w:t>
      </w:r>
      <w:r w:rsidR="004A330A" w:rsidRPr="00A704BA">
        <w:rPr>
          <w:rFonts w:cstheme="minorHAnsi"/>
          <w:szCs w:val="24"/>
          <w:lang w:val="fr-FR"/>
        </w:rPr>
        <w:t xml:space="preserve">es </w:t>
      </w:r>
      <w:r w:rsidRPr="00A704BA">
        <w:rPr>
          <w:rFonts w:cstheme="minorHAnsi"/>
          <w:szCs w:val="24"/>
          <w:lang w:val="fr-FR"/>
        </w:rPr>
        <w:t xml:space="preserve">efforts déployés précédemment, une approche GAR complète entièrement nouvelle a été </w:t>
      </w:r>
      <w:r w:rsidR="004A330A" w:rsidRPr="00A704BA">
        <w:rPr>
          <w:rFonts w:cstheme="minorHAnsi"/>
          <w:szCs w:val="24"/>
          <w:lang w:val="fr-FR"/>
        </w:rPr>
        <w:t>conçue</w:t>
      </w:r>
      <w:r w:rsidR="00E96ABC" w:rsidRPr="00A704BA">
        <w:rPr>
          <w:rFonts w:cstheme="minorHAnsi"/>
          <w:szCs w:val="24"/>
          <w:lang w:val="fr-FR"/>
        </w:rPr>
        <w:t xml:space="preserve"> pour</w:t>
      </w:r>
      <w:r w:rsidRPr="00A704BA">
        <w:rPr>
          <w:rFonts w:cstheme="minorHAnsi"/>
          <w:szCs w:val="24"/>
          <w:lang w:val="fr-FR"/>
        </w:rPr>
        <w:t>:</w:t>
      </w:r>
    </w:p>
    <w:p w14:paraId="112FD474" w14:textId="1CA2FCBD" w:rsidR="003D243A" w:rsidRPr="00A704BA" w:rsidRDefault="00A3187B" w:rsidP="0098434D">
      <w:pPr>
        <w:pStyle w:val="enumlev1"/>
        <w:rPr>
          <w:lang w:val="fr-FR"/>
        </w:rPr>
      </w:pPr>
      <w:r w:rsidRPr="00A704BA">
        <w:rPr>
          <w:lang w:val="fr-FR"/>
        </w:rPr>
        <w:t>–</w:t>
      </w:r>
      <w:r w:rsidRPr="00A704BA">
        <w:rPr>
          <w:lang w:val="fr-FR"/>
        </w:rPr>
        <w:tab/>
      </w:r>
      <w:r w:rsidR="00BA5632" w:rsidRPr="00A704BA">
        <w:rPr>
          <w:lang w:val="fr-FR"/>
        </w:rPr>
        <w:t>faire en sorte</w:t>
      </w:r>
      <w:r w:rsidR="003D243A" w:rsidRPr="00A704BA">
        <w:rPr>
          <w:lang w:val="fr-FR"/>
        </w:rPr>
        <w:t xml:space="preserve"> que la GAR au BDT ne soit plus</w:t>
      </w:r>
      <w:r w:rsidR="00BA5632" w:rsidRPr="00A704BA">
        <w:rPr>
          <w:lang w:val="fr-FR"/>
        </w:rPr>
        <w:t xml:space="preserve"> seulement utilisée comme</w:t>
      </w:r>
      <w:r w:rsidR="003D243A" w:rsidRPr="00A704BA">
        <w:rPr>
          <w:lang w:val="fr-FR"/>
        </w:rPr>
        <w:t xml:space="preserve"> un outil de planification et </w:t>
      </w:r>
      <w:r w:rsidR="00BA5632" w:rsidRPr="00A704BA">
        <w:rPr>
          <w:lang w:val="fr-FR"/>
        </w:rPr>
        <w:t>élargir</w:t>
      </w:r>
      <w:r w:rsidR="003D243A" w:rsidRPr="00A704BA">
        <w:rPr>
          <w:lang w:val="fr-FR"/>
        </w:rPr>
        <w:t xml:space="preserve"> son application pour se concentrer sur une mise en œuvre globale des programmes, </w:t>
      </w:r>
      <w:r w:rsidR="00BA5632" w:rsidRPr="00A704BA">
        <w:rPr>
          <w:lang w:val="fr-FR"/>
        </w:rPr>
        <w:t xml:space="preserve">avec des budgets affectés dans le Plan opérationnel, des projets et des initiatives régionales, </w:t>
      </w:r>
      <w:r w:rsidR="00E96ABC" w:rsidRPr="00A704BA">
        <w:rPr>
          <w:lang w:val="fr-FR"/>
        </w:rPr>
        <w:t>et sur la création de synergies entre les priorités thématiques et l'intégration harmonieuse des programmes de travail thématiques et régionaux menés depuis le siège;</w:t>
      </w:r>
    </w:p>
    <w:p w14:paraId="5DCBE7EA" w14:textId="1E9D5257" w:rsidR="00E96ABC" w:rsidRPr="00A704BA" w:rsidRDefault="00A3187B" w:rsidP="0098434D">
      <w:pPr>
        <w:pStyle w:val="enumlev1"/>
        <w:rPr>
          <w:lang w:val="fr-FR"/>
        </w:rPr>
      </w:pPr>
      <w:r w:rsidRPr="00A704BA">
        <w:rPr>
          <w:lang w:val="fr-FR"/>
        </w:rPr>
        <w:lastRenderedPageBreak/>
        <w:t>–</w:t>
      </w:r>
      <w:r w:rsidRPr="00A704BA">
        <w:rPr>
          <w:lang w:val="fr-FR"/>
        </w:rPr>
        <w:tab/>
      </w:r>
      <w:r w:rsidR="00E96ABC" w:rsidRPr="00A704BA">
        <w:rPr>
          <w:lang w:val="fr-FR"/>
        </w:rPr>
        <w:t xml:space="preserve">renforcer les fonctions de </w:t>
      </w:r>
      <w:r w:rsidR="004A330A" w:rsidRPr="00A704BA">
        <w:rPr>
          <w:lang w:val="fr-FR"/>
        </w:rPr>
        <w:t>surveillance</w:t>
      </w:r>
      <w:r w:rsidR="00E96ABC" w:rsidRPr="00A704BA">
        <w:rPr>
          <w:lang w:val="fr-FR"/>
        </w:rPr>
        <w:t xml:space="preserve"> et d'établissement de rapports dans le cadre d'examens de gestion trimestriels destinés à suivre les progrès accomplis concernant les programmes de travail du BDT et à traiter les grands risques opérationnels, qui sont désormais consignés dans un registre des risques; et</w:t>
      </w:r>
    </w:p>
    <w:p w14:paraId="58EBCC96" w14:textId="207ED5CE" w:rsidR="00E96ABC" w:rsidRPr="00A704BA" w:rsidRDefault="00A3187B" w:rsidP="0098434D">
      <w:pPr>
        <w:pStyle w:val="enumlev1"/>
        <w:rPr>
          <w:lang w:val="fr-FR"/>
        </w:rPr>
      </w:pPr>
      <w:r w:rsidRPr="00A704BA">
        <w:rPr>
          <w:lang w:val="fr-FR"/>
        </w:rPr>
        <w:t>–</w:t>
      </w:r>
      <w:r w:rsidRPr="00A704BA">
        <w:rPr>
          <w:lang w:val="fr-FR"/>
        </w:rPr>
        <w:tab/>
      </w:r>
      <w:r w:rsidR="00E96ABC" w:rsidRPr="00A704BA">
        <w:rPr>
          <w:lang w:val="fr-FR"/>
        </w:rPr>
        <w:t xml:space="preserve">encourager la formation à tous les </w:t>
      </w:r>
      <w:r w:rsidR="004A330A" w:rsidRPr="00A704BA">
        <w:rPr>
          <w:lang w:val="fr-FR"/>
        </w:rPr>
        <w:t>stades</w:t>
      </w:r>
      <w:r w:rsidR="00E96ABC" w:rsidRPr="00A704BA">
        <w:rPr>
          <w:lang w:val="fr-FR"/>
        </w:rPr>
        <w:t xml:space="preserve"> du cycle de la GAR, car ce </w:t>
      </w:r>
      <w:r w:rsidR="004A330A" w:rsidRPr="00A704BA">
        <w:rPr>
          <w:lang w:val="fr-FR"/>
        </w:rPr>
        <w:t>point</w:t>
      </w:r>
      <w:r w:rsidR="00E96ABC" w:rsidRPr="00A704BA">
        <w:rPr>
          <w:lang w:val="fr-FR"/>
        </w:rPr>
        <w:t xml:space="preserve"> est </w:t>
      </w:r>
      <w:r w:rsidR="004A330A" w:rsidRPr="00A704BA">
        <w:rPr>
          <w:lang w:val="fr-FR"/>
        </w:rPr>
        <w:t xml:space="preserve">un facteur </w:t>
      </w:r>
      <w:r w:rsidR="00E96ABC" w:rsidRPr="00A704BA">
        <w:rPr>
          <w:lang w:val="fr-FR"/>
        </w:rPr>
        <w:t>de plus en plus décisif dans la réussite de la mise en œuvre de la GAR, puisque le</w:t>
      </w:r>
      <w:r w:rsidR="004A330A" w:rsidRPr="00A704BA">
        <w:rPr>
          <w:lang w:val="fr-FR"/>
        </w:rPr>
        <w:t>s</w:t>
      </w:r>
      <w:r w:rsidR="00E96ABC" w:rsidRPr="00A704BA">
        <w:rPr>
          <w:lang w:val="fr-FR"/>
        </w:rPr>
        <w:t xml:space="preserve"> </w:t>
      </w:r>
      <w:r w:rsidR="004A330A" w:rsidRPr="00A704BA">
        <w:rPr>
          <w:lang w:val="fr-FR"/>
        </w:rPr>
        <w:t>résultats et les effets se produisent en dehors des aspects sur lesquels le BDT a un contrôle direct</w:t>
      </w:r>
      <w:r w:rsidR="00E96ABC" w:rsidRPr="00A704BA">
        <w:rPr>
          <w:lang w:val="fr-FR"/>
        </w:rPr>
        <w:t xml:space="preserve">. </w:t>
      </w:r>
      <w:r w:rsidR="004A330A" w:rsidRPr="00A704BA">
        <w:rPr>
          <w:lang w:val="fr-FR"/>
        </w:rPr>
        <w:t>À cet égard</w:t>
      </w:r>
      <w:r w:rsidR="00E96ABC" w:rsidRPr="00A704BA">
        <w:rPr>
          <w:lang w:val="fr-FR"/>
        </w:rPr>
        <w:t xml:space="preserve">, les priorités thématiques et les réseaux associés regroupant </w:t>
      </w:r>
      <w:r w:rsidR="004A330A" w:rsidRPr="00A704BA">
        <w:rPr>
          <w:lang w:val="fr-FR"/>
        </w:rPr>
        <w:t>les efforts déployés</w:t>
      </w:r>
      <w:r w:rsidR="00E96ABC" w:rsidRPr="00A704BA">
        <w:rPr>
          <w:lang w:val="fr-FR"/>
        </w:rPr>
        <w:t xml:space="preserve"> par le siège et les régions joueront un rôle important dans le renforcement du transfert et du partage de</w:t>
      </w:r>
      <w:r w:rsidR="004A330A" w:rsidRPr="00A704BA">
        <w:rPr>
          <w:lang w:val="fr-FR"/>
        </w:rPr>
        <w:t>s</w:t>
      </w:r>
      <w:r w:rsidR="00E96ABC" w:rsidRPr="00A704BA">
        <w:rPr>
          <w:lang w:val="fr-FR"/>
        </w:rPr>
        <w:t xml:space="preserve"> connaissances et il </w:t>
      </w:r>
      <w:r w:rsidR="004A330A" w:rsidRPr="00A704BA">
        <w:rPr>
          <w:lang w:val="fr-FR"/>
        </w:rPr>
        <w:t>sera nécessaire de</w:t>
      </w:r>
      <w:r w:rsidR="00E96ABC" w:rsidRPr="00A704BA">
        <w:rPr>
          <w:lang w:val="fr-FR"/>
        </w:rPr>
        <w:t xml:space="preserve"> créer une fonction d'évaluation du Secteur et </w:t>
      </w:r>
      <w:r w:rsidR="004A330A" w:rsidRPr="00A704BA">
        <w:rPr>
          <w:lang w:val="fr-FR"/>
        </w:rPr>
        <w:t xml:space="preserve">de </w:t>
      </w:r>
      <w:r w:rsidR="00E96ABC" w:rsidRPr="00A704BA">
        <w:rPr>
          <w:lang w:val="fr-FR"/>
        </w:rPr>
        <w:t>la renforcer pour réussir à savoir de manière</w:t>
      </w:r>
      <w:r w:rsidR="004A330A" w:rsidRPr="00A704BA">
        <w:rPr>
          <w:lang w:val="fr-FR"/>
        </w:rPr>
        <w:t xml:space="preserve"> plus</w:t>
      </w:r>
      <w:r w:rsidR="00E96ABC" w:rsidRPr="00A704BA">
        <w:rPr>
          <w:lang w:val="fr-FR"/>
        </w:rPr>
        <w:t xml:space="preserve"> fiable les effets produits aux différentes étapes de la chaîne de résultats.</w:t>
      </w:r>
    </w:p>
    <w:p w14:paraId="25BCABAA" w14:textId="544596E0" w:rsidR="00A3187B" w:rsidRPr="00A704BA" w:rsidRDefault="00A3187B" w:rsidP="0098434D">
      <w:pPr>
        <w:rPr>
          <w:lang w:val="fr-FR"/>
        </w:rPr>
      </w:pPr>
      <w:r w:rsidRPr="00A704BA">
        <w:rPr>
          <w:lang w:val="fr-FR"/>
        </w:rPr>
        <w:t xml:space="preserve">En conséquence, le BDT a élargi </w:t>
      </w:r>
      <w:r w:rsidR="004A330A" w:rsidRPr="00A704BA">
        <w:rPr>
          <w:lang w:val="fr-FR"/>
        </w:rPr>
        <w:t>son utilisation</w:t>
      </w:r>
      <w:r w:rsidRPr="00A704BA">
        <w:rPr>
          <w:lang w:val="fr-FR"/>
        </w:rPr>
        <w:t xml:space="preserve"> du cadre </w:t>
      </w:r>
      <w:r w:rsidR="004A330A" w:rsidRPr="00A704BA">
        <w:rPr>
          <w:lang w:val="fr-FR"/>
        </w:rPr>
        <w:t>GAR</w:t>
      </w:r>
      <w:r w:rsidRPr="00A704BA">
        <w:rPr>
          <w:lang w:val="fr-FR"/>
        </w:rPr>
        <w:t xml:space="preserve"> afin d'intégrer les éléments constitutifs suivants: </w:t>
      </w:r>
    </w:p>
    <w:p w14:paraId="5212693B" w14:textId="30917952" w:rsidR="00A3187B" w:rsidRPr="00A704BA" w:rsidRDefault="00A3187B" w:rsidP="0098434D">
      <w:pPr>
        <w:pStyle w:val="enumlev1"/>
        <w:rPr>
          <w:lang w:val="fr-FR"/>
        </w:rPr>
      </w:pPr>
      <w:r w:rsidRPr="00A704BA">
        <w:rPr>
          <w:lang w:val="fr-FR"/>
        </w:rPr>
        <w:t>–</w:t>
      </w:r>
      <w:r w:rsidRPr="00A704BA">
        <w:rPr>
          <w:lang w:val="fr-FR"/>
        </w:rPr>
        <w:tab/>
        <w:t xml:space="preserve">Des </w:t>
      </w:r>
      <w:r w:rsidRPr="00A704BA">
        <w:rPr>
          <w:b/>
          <w:bCs/>
          <w:i/>
          <w:iCs/>
          <w:lang w:val="fr-FR"/>
        </w:rPr>
        <w:t>chemins d'impact</w:t>
      </w:r>
      <w:r w:rsidRPr="00A704BA">
        <w:rPr>
          <w:lang w:val="fr-FR"/>
        </w:rPr>
        <w:t xml:space="preserve">, qui permettent d'assurer le suivi des axes de travail </w:t>
      </w:r>
      <w:r w:rsidR="004A330A" w:rsidRPr="00A704BA">
        <w:rPr>
          <w:lang w:val="fr-FR"/>
        </w:rPr>
        <w:t>thématiques définis dans les programmes (priorités thématiques)</w:t>
      </w:r>
      <w:r w:rsidRPr="00A704BA">
        <w:rPr>
          <w:lang w:val="fr-FR"/>
        </w:rPr>
        <w:t xml:space="preserve">, afin </w:t>
      </w:r>
      <w:r w:rsidR="00DC09A7" w:rsidRPr="00A704BA">
        <w:rPr>
          <w:lang w:val="fr-FR"/>
        </w:rPr>
        <w:t>d'identifier</w:t>
      </w:r>
      <w:r w:rsidRPr="00A704BA">
        <w:rPr>
          <w:lang w:val="fr-FR"/>
        </w:rPr>
        <w:t xml:space="preserve"> les </w:t>
      </w:r>
      <w:r w:rsidR="00DC09A7" w:rsidRPr="00A704BA">
        <w:rPr>
          <w:lang w:val="fr-FR"/>
        </w:rPr>
        <w:t>résultats</w:t>
      </w:r>
      <w:r w:rsidR="004A330A" w:rsidRPr="00A704BA">
        <w:rPr>
          <w:lang w:val="fr-FR"/>
        </w:rPr>
        <w:t xml:space="preserve"> obtenus</w:t>
      </w:r>
      <w:r w:rsidRPr="00A704BA">
        <w:rPr>
          <w:lang w:val="fr-FR"/>
        </w:rPr>
        <w:t xml:space="preserve">, les </w:t>
      </w:r>
      <w:r w:rsidR="004A330A" w:rsidRPr="00A704BA">
        <w:rPr>
          <w:lang w:val="fr-FR"/>
        </w:rPr>
        <w:t>groupes</w:t>
      </w:r>
      <w:r w:rsidRPr="00A704BA">
        <w:rPr>
          <w:lang w:val="fr-FR"/>
        </w:rPr>
        <w:t xml:space="preserve"> cibles </w:t>
      </w:r>
      <w:r w:rsidR="004A330A" w:rsidRPr="00A704BA">
        <w:rPr>
          <w:lang w:val="fr-FR"/>
        </w:rPr>
        <w:t>atteints</w:t>
      </w:r>
      <w:r w:rsidRPr="00A704BA">
        <w:rPr>
          <w:lang w:val="fr-FR"/>
        </w:rPr>
        <w:t>,</w:t>
      </w:r>
      <w:r w:rsidR="00DC09A7" w:rsidRPr="00A704BA">
        <w:rPr>
          <w:lang w:val="fr-FR"/>
        </w:rPr>
        <w:t xml:space="preserve"> ainsi que</w:t>
      </w:r>
      <w:r w:rsidRPr="00A704BA">
        <w:rPr>
          <w:lang w:val="fr-FR"/>
        </w:rPr>
        <w:t xml:space="preserve"> l'évolution de</w:t>
      </w:r>
      <w:r w:rsidR="00DC09A7" w:rsidRPr="00A704BA">
        <w:rPr>
          <w:lang w:val="fr-FR"/>
        </w:rPr>
        <w:t xml:space="preserve"> leur</w:t>
      </w:r>
      <w:r w:rsidRPr="00A704BA">
        <w:rPr>
          <w:lang w:val="fr-FR"/>
        </w:rPr>
        <w:t>s capacités et comportement</w:t>
      </w:r>
      <w:r w:rsidR="00DC09A7" w:rsidRPr="00A704BA">
        <w:rPr>
          <w:lang w:val="fr-FR"/>
        </w:rPr>
        <w:t>s</w:t>
      </w:r>
      <w:r w:rsidR="00072E5C" w:rsidRPr="00A704BA">
        <w:rPr>
          <w:lang w:val="fr-FR"/>
        </w:rPr>
        <w:t>.</w:t>
      </w:r>
    </w:p>
    <w:p w14:paraId="275BD96C" w14:textId="46A0E46A" w:rsidR="00A3187B" w:rsidRPr="00A704BA" w:rsidRDefault="00A3187B" w:rsidP="0098434D">
      <w:pPr>
        <w:pStyle w:val="enumlev1"/>
        <w:rPr>
          <w:lang w:val="fr-FR"/>
        </w:rPr>
      </w:pPr>
      <w:r w:rsidRPr="00A704BA">
        <w:rPr>
          <w:lang w:val="fr-FR"/>
        </w:rPr>
        <w:t>–</w:t>
      </w:r>
      <w:r w:rsidRPr="00A704BA">
        <w:rPr>
          <w:lang w:val="fr-FR"/>
        </w:rPr>
        <w:tab/>
        <w:t>L</w:t>
      </w:r>
      <w:r w:rsidR="00DC09A7" w:rsidRPr="00A704BA">
        <w:rPr>
          <w:lang w:val="fr-FR"/>
        </w:rPr>
        <w:t>es</w:t>
      </w:r>
      <w:r w:rsidRPr="00A704BA">
        <w:rPr>
          <w:lang w:val="fr-FR"/>
        </w:rPr>
        <w:t xml:space="preserve"> </w:t>
      </w:r>
      <w:r w:rsidRPr="00A704BA">
        <w:rPr>
          <w:b/>
          <w:bCs/>
          <w:i/>
          <w:iCs/>
          <w:lang w:val="fr-FR"/>
        </w:rPr>
        <w:t xml:space="preserve">hypothèses et risques opérationnels </w:t>
      </w:r>
      <w:r w:rsidRPr="00A704BA">
        <w:rPr>
          <w:lang w:val="fr-FR"/>
        </w:rPr>
        <w:t xml:space="preserve">sous-jacents, </w:t>
      </w:r>
      <w:r w:rsidR="00DC09A7" w:rsidRPr="00A704BA">
        <w:rPr>
          <w:lang w:val="fr-FR"/>
        </w:rPr>
        <w:t>qui permettent de manière systématique</w:t>
      </w:r>
      <w:r w:rsidRPr="00A704BA">
        <w:rPr>
          <w:lang w:val="fr-FR"/>
        </w:rPr>
        <w:t xml:space="preserve"> de surveiller </w:t>
      </w:r>
      <w:r w:rsidR="00DC09A7" w:rsidRPr="00A704BA">
        <w:rPr>
          <w:lang w:val="fr-FR"/>
        </w:rPr>
        <w:t>si les programmes restent pertinents, ainsi que de tirer rapidement des enseignements et de réajuster les</w:t>
      </w:r>
      <w:r w:rsidRPr="00A704BA">
        <w:rPr>
          <w:lang w:val="fr-FR"/>
        </w:rPr>
        <w:t xml:space="preserve"> premières hypothèses </w:t>
      </w:r>
      <w:r w:rsidR="00DC09A7" w:rsidRPr="00A704BA">
        <w:rPr>
          <w:lang w:val="fr-FR"/>
        </w:rPr>
        <w:t>concernant la</w:t>
      </w:r>
      <w:r w:rsidRPr="00A704BA">
        <w:rPr>
          <w:lang w:val="fr-FR"/>
        </w:rPr>
        <w:t xml:space="preserve"> planification</w:t>
      </w:r>
      <w:r w:rsidR="00DC09A7" w:rsidRPr="00A704BA">
        <w:rPr>
          <w:lang w:val="fr-FR"/>
        </w:rPr>
        <w:t xml:space="preserve"> et les risques</w:t>
      </w:r>
      <w:r w:rsidR="002710B5" w:rsidRPr="00A704BA">
        <w:rPr>
          <w:lang w:val="fr-FR"/>
        </w:rPr>
        <w:t xml:space="preserve"> pour</w:t>
      </w:r>
      <w:r w:rsidRPr="00A704BA">
        <w:rPr>
          <w:lang w:val="fr-FR"/>
        </w:rPr>
        <w:t xml:space="preserve"> remettre le programme sur les rails</w:t>
      </w:r>
      <w:r w:rsidR="002710B5" w:rsidRPr="00A704BA">
        <w:rPr>
          <w:lang w:val="fr-FR"/>
        </w:rPr>
        <w:t>, si nécessaire</w:t>
      </w:r>
      <w:r w:rsidR="00072E5C" w:rsidRPr="00A704BA">
        <w:rPr>
          <w:lang w:val="fr-FR"/>
        </w:rPr>
        <w:t>.</w:t>
      </w:r>
    </w:p>
    <w:p w14:paraId="09B0C7AC" w14:textId="734749F5" w:rsidR="00A3187B" w:rsidRPr="00A704BA" w:rsidRDefault="00A3187B" w:rsidP="0098434D">
      <w:pPr>
        <w:pStyle w:val="enumlev1"/>
        <w:rPr>
          <w:lang w:val="fr-FR"/>
        </w:rPr>
      </w:pPr>
      <w:r w:rsidRPr="00A704BA">
        <w:rPr>
          <w:lang w:val="fr-FR"/>
        </w:rPr>
        <w:t>–</w:t>
      </w:r>
      <w:r w:rsidRPr="00A704BA">
        <w:rPr>
          <w:lang w:val="fr-FR"/>
        </w:rPr>
        <w:tab/>
        <w:t>L</w:t>
      </w:r>
      <w:r w:rsidR="002710B5" w:rsidRPr="00A704BA">
        <w:rPr>
          <w:lang w:val="fr-FR"/>
        </w:rPr>
        <w:t>es</w:t>
      </w:r>
      <w:r w:rsidRPr="00A704BA">
        <w:rPr>
          <w:lang w:val="fr-FR"/>
        </w:rPr>
        <w:t xml:space="preserve"> liens entre chaque </w:t>
      </w:r>
      <w:r w:rsidR="002710B5" w:rsidRPr="00A704BA">
        <w:rPr>
          <w:lang w:val="fr-FR"/>
        </w:rPr>
        <w:t>priorité</w:t>
      </w:r>
      <w:r w:rsidRPr="00A704BA">
        <w:rPr>
          <w:lang w:val="fr-FR"/>
        </w:rPr>
        <w:t xml:space="preserve"> thématique (</w:t>
      </w:r>
      <w:r w:rsidR="002710B5" w:rsidRPr="00A704BA">
        <w:rPr>
          <w:lang w:val="fr-FR"/>
        </w:rPr>
        <w:t>c'est-à-dire</w:t>
      </w:r>
      <w:r w:rsidRPr="00A704BA">
        <w:rPr>
          <w:lang w:val="fr-FR"/>
        </w:rPr>
        <w:t xml:space="preserve"> les programmes de</w:t>
      </w:r>
      <w:r w:rsidR="002710B5" w:rsidRPr="00A704BA">
        <w:rPr>
          <w:lang w:val="fr-FR"/>
        </w:rPr>
        <w:t xml:space="preserve"> la</w:t>
      </w:r>
      <w:r w:rsidR="00445858">
        <w:rPr>
          <w:lang w:val="fr-FR"/>
        </w:rPr>
        <w:t xml:space="preserve"> CMDT), les </w:t>
      </w:r>
      <w:r w:rsidRPr="00A704BA">
        <w:rPr>
          <w:lang w:val="fr-FR"/>
        </w:rPr>
        <w:t xml:space="preserve">Commissions d'études de l'UIT-D </w:t>
      </w:r>
      <w:r w:rsidR="002710B5" w:rsidRPr="00A704BA">
        <w:rPr>
          <w:lang w:val="fr-FR"/>
        </w:rPr>
        <w:t>pertinentes</w:t>
      </w:r>
      <w:r w:rsidRPr="00A704BA">
        <w:rPr>
          <w:lang w:val="fr-FR"/>
        </w:rPr>
        <w:t xml:space="preserve"> et les aut</w:t>
      </w:r>
      <w:r w:rsidR="00445858">
        <w:rPr>
          <w:lang w:val="fr-FR"/>
        </w:rPr>
        <w:t>res Secteurs de l'UIT (UIT-T et </w:t>
      </w:r>
      <w:r w:rsidRPr="00A704BA">
        <w:rPr>
          <w:lang w:val="fr-FR"/>
        </w:rPr>
        <w:t>UIT</w:t>
      </w:r>
      <w:r w:rsidR="00072E5C" w:rsidRPr="00A704BA">
        <w:rPr>
          <w:lang w:val="fr-FR"/>
        </w:rPr>
        <w:noBreakHyphen/>
      </w:r>
      <w:r w:rsidRPr="00A704BA">
        <w:rPr>
          <w:lang w:val="fr-FR"/>
        </w:rPr>
        <w:t>R).</w:t>
      </w:r>
    </w:p>
    <w:p w14:paraId="5DE8D73E" w14:textId="58182639" w:rsidR="00A3187B" w:rsidRPr="00A704BA" w:rsidRDefault="00A3187B" w:rsidP="0098434D">
      <w:pPr>
        <w:pStyle w:val="enumlev1"/>
        <w:rPr>
          <w:lang w:val="fr-FR"/>
        </w:rPr>
      </w:pPr>
      <w:r w:rsidRPr="00A704BA">
        <w:rPr>
          <w:lang w:val="fr-FR"/>
        </w:rPr>
        <w:t>–</w:t>
      </w:r>
      <w:r w:rsidRPr="00A704BA">
        <w:rPr>
          <w:lang w:val="fr-FR"/>
        </w:rPr>
        <w:tab/>
        <w:t xml:space="preserve">Des </w:t>
      </w:r>
      <w:r w:rsidRPr="00A704BA">
        <w:rPr>
          <w:b/>
          <w:bCs/>
          <w:i/>
          <w:iCs/>
          <w:lang w:val="fr-FR"/>
        </w:rPr>
        <w:t xml:space="preserve">indicateurs fondamentaux de performance </w:t>
      </w:r>
      <w:r w:rsidRPr="00A704BA">
        <w:rPr>
          <w:lang w:val="fr-FR"/>
        </w:rPr>
        <w:t xml:space="preserve">SMART, qui fournissent les outils qualitatifs ou quantitatifs pour mesurer et </w:t>
      </w:r>
      <w:r w:rsidR="002710B5" w:rsidRPr="00A704BA">
        <w:rPr>
          <w:lang w:val="fr-FR"/>
        </w:rPr>
        <w:t>consigner</w:t>
      </w:r>
      <w:r w:rsidRPr="00A704BA">
        <w:rPr>
          <w:lang w:val="fr-FR"/>
        </w:rPr>
        <w:t xml:space="preserve"> les progrès accomplis en vue </w:t>
      </w:r>
      <w:r w:rsidR="002710B5" w:rsidRPr="00A704BA">
        <w:rPr>
          <w:lang w:val="fr-FR"/>
        </w:rPr>
        <w:t>d'atteindre les</w:t>
      </w:r>
      <w:r w:rsidRPr="00A704BA">
        <w:rPr>
          <w:lang w:val="fr-FR"/>
        </w:rPr>
        <w:t xml:space="preserve"> objectifs thématiques. </w:t>
      </w:r>
    </w:p>
    <w:p w14:paraId="292A8701" w14:textId="22220ED1" w:rsidR="00A3187B" w:rsidRPr="00A704BA" w:rsidRDefault="002710B5" w:rsidP="0098434D">
      <w:pPr>
        <w:rPr>
          <w:lang w:val="fr-FR"/>
        </w:rPr>
      </w:pPr>
      <w:r w:rsidRPr="00A704BA">
        <w:rPr>
          <w:lang w:val="fr-FR"/>
        </w:rPr>
        <w:t>Pour c</w:t>
      </w:r>
      <w:r w:rsidR="00A3187B" w:rsidRPr="00A704BA">
        <w:rPr>
          <w:lang w:val="fr-FR"/>
        </w:rPr>
        <w:t xml:space="preserve">haque </w:t>
      </w:r>
      <w:r w:rsidRPr="00A704BA">
        <w:rPr>
          <w:lang w:val="fr-FR"/>
        </w:rPr>
        <w:t>priorité</w:t>
      </w:r>
      <w:r w:rsidR="00A3187B" w:rsidRPr="00A704BA">
        <w:rPr>
          <w:lang w:val="fr-FR"/>
        </w:rPr>
        <w:t xml:space="preserve"> thématique a</w:t>
      </w:r>
      <w:r w:rsidRPr="00A704BA">
        <w:rPr>
          <w:lang w:val="fr-FR"/>
        </w:rPr>
        <w:t xml:space="preserve"> été</w:t>
      </w:r>
      <w:r w:rsidR="00A3187B" w:rsidRPr="00A704BA">
        <w:rPr>
          <w:lang w:val="fr-FR"/>
        </w:rPr>
        <w:t xml:space="preserve"> élaboré</w:t>
      </w:r>
      <w:r w:rsidRPr="00A704BA">
        <w:rPr>
          <w:lang w:val="fr-FR"/>
        </w:rPr>
        <w:t xml:space="preserve">e une théorie du changement fondée sur la GAR, qui est une approche globale et complète pour tenir compte des spécificités globales et régionales, comprenant </w:t>
      </w:r>
      <w:r w:rsidR="00A3187B" w:rsidRPr="00A704BA">
        <w:rPr>
          <w:lang w:val="fr-FR"/>
        </w:rPr>
        <w:t>tous les éléments constitutifs susmentionnés, dans le droit fil des priorités énoncées dans le Plan d'action de Buenos Aires.</w:t>
      </w:r>
    </w:p>
    <w:p w14:paraId="59821985" w14:textId="2D01ABAD" w:rsidR="00342A65" w:rsidRPr="00A704BA" w:rsidRDefault="00342A65" w:rsidP="0098434D">
      <w:pPr>
        <w:pStyle w:val="Heading1"/>
        <w:rPr>
          <w:lang w:val="fr-FR"/>
        </w:rPr>
      </w:pPr>
      <w:r w:rsidRPr="00A704BA">
        <w:rPr>
          <w:lang w:val="fr-FR"/>
        </w:rPr>
        <w:t>3</w:t>
      </w:r>
      <w:r w:rsidRPr="00A704BA">
        <w:rPr>
          <w:lang w:val="fr-FR"/>
        </w:rPr>
        <w:tab/>
      </w:r>
      <w:r w:rsidR="002710B5" w:rsidRPr="00A704BA">
        <w:rPr>
          <w:lang w:val="fr-FR"/>
        </w:rPr>
        <w:t>C</w:t>
      </w:r>
      <w:r w:rsidRPr="00A704BA">
        <w:rPr>
          <w:lang w:val="fr-FR"/>
        </w:rPr>
        <w:t>hangements</w:t>
      </w:r>
    </w:p>
    <w:p w14:paraId="50C67925" w14:textId="3B69FCE8" w:rsidR="00A3187B" w:rsidRPr="00A704BA" w:rsidRDefault="00342A65" w:rsidP="0098434D">
      <w:pPr>
        <w:rPr>
          <w:lang w:val="fr-FR"/>
        </w:rPr>
      </w:pPr>
      <w:r w:rsidRPr="00A704BA">
        <w:rPr>
          <w:lang w:val="fr-FR"/>
        </w:rPr>
        <w:t>En utilisant la gestion axée sur les résultats comme outil pour prendre des décisions en matière de gestion, en vue de mettre en œuvre le programme de travail du BDT, nous jetons les bases d'un BDT qui travaille de manière efficace et rationnelle, et qui est "en adéquation avec sa mission"</w:t>
      </w:r>
      <w:r w:rsidR="008B5F38" w:rsidRPr="00A704BA">
        <w:rPr>
          <w:lang w:val="fr-FR"/>
        </w:rPr>
        <w:t>.</w:t>
      </w:r>
    </w:p>
    <w:p w14:paraId="3B27D989" w14:textId="44304453" w:rsidR="00342A65" w:rsidRPr="00A704BA" w:rsidRDefault="00342A65" w:rsidP="0098434D">
      <w:pPr>
        <w:pStyle w:val="enumlev1"/>
        <w:rPr>
          <w:lang w:val="fr-FR"/>
        </w:rPr>
      </w:pPr>
      <w:r w:rsidRPr="00A704BA">
        <w:rPr>
          <w:lang w:val="fr-FR"/>
        </w:rPr>
        <w:t>–</w:t>
      </w:r>
      <w:r w:rsidRPr="00A704BA">
        <w:rPr>
          <w:lang w:val="fr-FR"/>
        </w:rPr>
        <w:tab/>
      </w:r>
      <w:r w:rsidR="00D028F0" w:rsidRPr="00A704BA">
        <w:rPr>
          <w:lang w:val="fr-FR"/>
        </w:rPr>
        <w:t>Un cadre de délégation de pouvoir, adopté à l'issue de longues discussion</w:t>
      </w:r>
      <w:r w:rsidR="009C4837" w:rsidRPr="00A704BA">
        <w:rPr>
          <w:lang w:val="fr-FR"/>
        </w:rPr>
        <w:t>s</w:t>
      </w:r>
      <w:r w:rsidR="00D028F0" w:rsidRPr="00A704BA">
        <w:rPr>
          <w:lang w:val="fr-FR"/>
        </w:rPr>
        <w:t xml:space="preserve">, est un élément constitutif </w:t>
      </w:r>
      <w:r w:rsidR="009C4837" w:rsidRPr="00A704BA">
        <w:rPr>
          <w:lang w:val="fr-FR"/>
        </w:rPr>
        <w:t xml:space="preserve">essentiel d'un modèle de fonctionnement moins centralisé reposant sur des réseaux thématiques; ce cadre précise la délégation des ressources et la répartition des responsabilités associée pour toutes les unités du BDT; il permet de suivre de multiples contributions à des programmes complexes, auxquels prennent par des équipes intersectorielles basées au siège, les bureaux régionaux et d'autres unités. </w:t>
      </w:r>
    </w:p>
    <w:p w14:paraId="7D5AE46F" w14:textId="5BB44A6D" w:rsidR="00342A65" w:rsidRPr="00A704BA" w:rsidRDefault="00342A65" w:rsidP="0098434D">
      <w:pPr>
        <w:pStyle w:val="enumlev1"/>
        <w:rPr>
          <w:lang w:val="fr-FR"/>
        </w:rPr>
      </w:pPr>
      <w:r w:rsidRPr="00A704BA">
        <w:rPr>
          <w:lang w:val="fr-FR"/>
        </w:rPr>
        <w:lastRenderedPageBreak/>
        <w:t>–</w:t>
      </w:r>
      <w:r w:rsidRPr="00A704BA">
        <w:rPr>
          <w:lang w:val="fr-FR"/>
        </w:rPr>
        <w:tab/>
      </w:r>
      <w:r w:rsidR="009C4837" w:rsidRPr="00A704BA">
        <w:rPr>
          <w:lang w:val="fr-FR"/>
        </w:rPr>
        <w:t xml:space="preserve">Des réunions d'examen trimestrielles sont tenues sur les travaux relatifs aux priorités thématiques et des ajustement peuvent être demandés, si nécessaire. </w:t>
      </w:r>
      <w:r w:rsidR="00386C18" w:rsidRPr="00A704BA">
        <w:rPr>
          <w:lang w:val="fr-FR"/>
        </w:rPr>
        <w:t>À l'image de</w:t>
      </w:r>
      <w:r w:rsidR="009C4837" w:rsidRPr="00A704BA">
        <w:rPr>
          <w:lang w:val="fr-FR"/>
        </w:rPr>
        <w:t xml:space="preserve"> l'approche de planification adoptée par le BDT, ces examens trimestriels suivent la même vision globale, qui englobe </w:t>
      </w:r>
      <w:r w:rsidRPr="00A704BA">
        <w:rPr>
          <w:lang w:val="fr-FR"/>
        </w:rPr>
        <w:t>toutes les ressources (humaines et financières)</w:t>
      </w:r>
      <w:r w:rsidR="009C4837" w:rsidRPr="00A704BA">
        <w:rPr>
          <w:lang w:val="fr-FR"/>
        </w:rPr>
        <w:t xml:space="preserve"> à disposition dans le cadre du budget prévu dans le Plan opérationnel, des projets, des initiatives régionales et des activités </w:t>
      </w:r>
      <w:r w:rsidR="00386C18" w:rsidRPr="00A704BA">
        <w:rPr>
          <w:lang w:val="fr-FR"/>
        </w:rPr>
        <w:t>financées par d'autres moyens.</w:t>
      </w:r>
    </w:p>
    <w:p w14:paraId="4D13649D" w14:textId="5818AADD" w:rsidR="00A3187B" w:rsidRPr="00A704BA" w:rsidRDefault="00342A65" w:rsidP="0098434D">
      <w:pPr>
        <w:pStyle w:val="enumlev1"/>
        <w:rPr>
          <w:lang w:val="fr-FR"/>
        </w:rPr>
      </w:pPr>
      <w:r w:rsidRPr="00A704BA">
        <w:rPr>
          <w:lang w:val="fr-FR"/>
        </w:rPr>
        <w:t>–</w:t>
      </w:r>
      <w:r w:rsidRPr="00A704BA">
        <w:rPr>
          <w:lang w:val="fr-FR"/>
        </w:rPr>
        <w:tab/>
        <w:t>Les évaluations des risques opérationnels sont enregistrées dans un registre des risques au niveau des unités, avant d'être agrégées à l'échelle du BDT</w:t>
      </w:r>
      <w:r w:rsidR="00386C18" w:rsidRPr="00A704BA">
        <w:rPr>
          <w:lang w:val="fr-FR"/>
        </w:rPr>
        <w:t>, ce qui permet</w:t>
      </w:r>
      <w:r w:rsidRPr="00A704BA">
        <w:rPr>
          <w:lang w:val="fr-FR"/>
        </w:rPr>
        <w:t xml:space="preserve"> </w:t>
      </w:r>
      <w:r w:rsidR="00386C18" w:rsidRPr="00A704BA">
        <w:rPr>
          <w:lang w:val="fr-FR"/>
        </w:rPr>
        <w:t>d'identifier</w:t>
      </w:r>
      <w:r w:rsidRPr="00A704BA">
        <w:rPr>
          <w:lang w:val="fr-FR"/>
        </w:rPr>
        <w:t xml:space="preserve"> les éléments qui posent un problème afin de résoudre les questions liées au programme qui sont restées en suspens</w:t>
      </w:r>
      <w:r w:rsidR="00386C18" w:rsidRPr="00A704BA">
        <w:rPr>
          <w:lang w:val="fr-FR"/>
        </w:rPr>
        <w:t xml:space="preserve"> et de prendre des décisions sans délai</w:t>
      </w:r>
      <w:r w:rsidRPr="00A704BA">
        <w:rPr>
          <w:lang w:val="fr-FR"/>
        </w:rPr>
        <w:t>.</w:t>
      </w:r>
    </w:p>
    <w:p w14:paraId="388C0367" w14:textId="13615B0C" w:rsidR="00342A65" w:rsidRPr="00A704BA" w:rsidRDefault="00342A65" w:rsidP="0098434D">
      <w:pPr>
        <w:pStyle w:val="enumlev1"/>
        <w:rPr>
          <w:lang w:val="fr-FR"/>
        </w:rPr>
      </w:pPr>
      <w:r w:rsidRPr="00A704BA">
        <w:rPr>
          <w:lang w:val="fr-FR"/>
        </w:rPr>
        <w:t>–</w:t>
      </w:r>
      <w:r w:rsidRPr="00A704BA">
        <w:rPr>
          <w:lang w:val="fr-FR"/>
        </w:rPr>
        <w:tab/>
      </w:r>
      <w:r w:rsidR="00386C18" w:rsidRPr="00A704BA">
        <w:rPr>
          <w:lang w:val="fr-FR"/>
        </w:rPr>
        <w:t>L</w:t>
      </w:r>
      <w:r w:rsidRPr="00A704BA">
        <w:rPr>
          <w:lang w:val="fr-FR"/>
        </w:rPr>
        <w:t>es indicateurs fondamentaux de performance sont mis à jour en continu sur un tableau de bord du BDT et feront l'objet de rapports périodiques.</w:t>
      </w:r>
    </w:p>
    <w:p w14:paraId="3957484C" w14:textId="1069A620" w:rsidR="00386C18" w:rsidRPr="00A704BA" w:rsidRDefault="00342A65" w:rsidP="0098434D">
      <w:pPr>
        <w:pStyle w:val="enumlev1"/>
        <w:rPr>
          <w:lang w:val="fr-FR"/>
        </w:rPr>
      </w:pPr>
      <w:r w:rsidRPr="00A704BA">
        <w:rPr>
          <w:lang w:val="fr-FR"/>
        </w:rPr>
        <w:t>–</w:t>
      </w:r>
      <w:r w:rsidRPr="00A704BA">
        <w:rPr>
          <w:lang w:val="fr-FR"/>
        </w:rPr>
        <w:tab/>
      </w:r>
      <w:r w:rsidR="00386C18" w:rsidRPr="00A704BA">
        <w:rPr>
          <w:lang w:val="fr-FR"/>
        </w:rPr>
        <w:t>En vue de 2021, le BDT a entrepris de réformer son processus de planification annuelle, dans le cadre duquel, pour chaque priorité thématique, le plan correspondant était soumis à toute une succession d'évaluations effectuées par des spécialistes sous de nombreux angles différents (affectation des ressources, IFP, risque, inclusion géographique, optimisation stratégique et effets possibles).</w:t>
      </w:r>
    </w:p>
    <w:p w14:paraId="461C9FAE" w14:textId="66742C09" w:rsidR="00342A65" w:rsidRPr="00A704BA" w:rsidRDefault="00342A65" w:rsidP="0098434D">
      <w:pPr>
        <w:pStyle w:val="enumlev1"/>
        <w:rPr>
          <w:lang w:val="fr-FR"/>
        </w:rPr>
      </w:pPr>
      <w:r w:rsidRPr="00A704BA">
        <w:rPr>
          <w:lang w:val="fr-FR"/>
        </w:rPr>
        <w:t>–</w:t>
      </w:r>
      <w:r w:rsidRPr="00A704BA">
        <w:rPr>
          <w:lang w:val="fr-FR"/>
        </w:rPr>
        <w:tab/>
      </w:r>
      <w:r w:rsidR="008B5F38" w:rsidRPr="00A704BA">
        <w:rPr>
          <w:lang w:val="fr-FR"/>
        </w:rPr>
        <w:t>L</w:t>
      </w:r>
      <w:r w:rsidR="00191D73" w:rsidRPr="00A704BA">
        <w:rPr>
          <w:lang w:val="fr-FR"/>
        </w:rPr>
        <w:t xml:space="preserve">es projets réussis, </w:t>
      </w:r>
      <w:r w:rsidR="008B5F38" w:rsidRPr="00A704BA">
        <w:rPr>
          <w:lang w:val="fr-FR"/>
        </w:rPr>
        <w:t>l</w:t>
      </w:r>
      <w:r w:rsidR="00191D73" w:rsidRPr="00A704BA">
        <w:rPr>
          <w:lang w:val="fr-FR"/>
        </w:rPr>
        <w:t xml:space="preserve">es "programmes phares" et </w:t>
      </w:r>
      <w:r w:rsidR="008B5F38" w:rsidRPr="00A704BA">
        <w:rPr>
          <w:lang w:val="fr-FR"/>
        </w:rPr>
        <w:t>l</w:t>
      </w:r>
      <w:r w:rsidR="00191D73" w:rsidRPr="00A704BA">
        <w:rPr>
          <w:lang w:val="fr-FR"/>
        </w:rPr>
        <w:t>es initiatives régionales</w:t>
      </w:r>
      <w:r w:rsidR="008B5F38" w:rsidRPr="00A704BA">
        <w:rPr>
          <w:lang w:val="fr-FR"/>
        </w:rPr>
        <w:t xml:space="preserve"> sont transposés à plus grande échelle. Ils font l'objet d'un suivi régulier car ils constituent des facteurs de réussite essentiels pour ce qui est de l'effet des programmes, puisque les préoccupations des partenaires et des membres sont traitées de façon plus ciblée.</w:t>
      </w:r>
      <w:r w:rsidR="00191D73" w:rsidRPr="00A704BA">
        <w:rPr>
          <w:lang w:val="fr-FR"/>
        </w:rPr>
        <w:t xml:space="preserve"> </w:t>
      </w:r>
    </w:p>
    <w:p w14:paraId="17527642" w14:textId="238555FB" w:rsidR="008B5F38" w:rsidRPr="00A704BA" w:rsidRDefault="00342A65" w:rsidP="0098434D">
      <w:pPr>
        <w:pStyle w:val="enumlev1"/>
        <w:rPr>
          <w:lang w:val="fr-FR"/>
        </w:rPr>
      </w:pPr>
      <w:r w:rsidRPr="00A704BA">
        <w:rPr>
          <w:lang w:val="fr-FR"/>
        </w:rPr>
        <w:t>–</w:t>
      </w:r>
      <w:r w:rsidRPr="00A704BA">
        <w:rPr>
          <w:lang w:val="fr-FR"/>
        </w:rPr>
        <w:tab/>
      </w:r>
      <w:r w:rsidR="008B5F38" w:rsidRPr="00A704BA">
        <w:rPr>
          <w:lang w:val="fr-FR"/>
        </w:rPr>
        <w:t xml:space="preserve">Enfin et surtout, la GAR facilitera la communication </w:t>
      </w:r>
      <w:r w:rsidR="00B86FF0" w:rsidRPr="00A704BA">
        <w:rPr>
          <w:lang w:val="fr-FR"/>
        </w:rPr>
        <w:t>externe</w:t>
      </w:r>
      <w:r w:rsidR="008B5F38" w:rsidRPr="00A704BA">
        <w:rPr>
          <w:lang w:val="fr-FR"/>
        </w:rPr>
        <w:t xml:space="preserve"> mais aussi interne, car il sera plus facile de comprendre et de suivre le descriptif des effets de nos programmes de travail.</w:t>
      </w:r>
    </w:p>
    <w:p w14:paraId="519E256C" w14:textId="79FA0A7E" w:rsidR="00A3187B" w:rsidRPr="00A704BA" w:rsidRDefault="009A3F72" w:rsidP="0098434D">
      <w:pPr>
        <w:rPr>
          <w:lang w:val="fr-FR"/>
        </w:rPr>
      </w:pPr>
      <w:r w:rsidRPr="00A704BA">
        <w:rPr>
          <w:lang w:val="fr-FR"/>
        </w:rPr>
        <w:t>Les mesures susmentionnées produiront des effets tangibles, que nous commençons déjà à ressentir, et que nous chercherons systématiquement à démontrer par des éléments concrets</w:t>
      </w:r>
      <w:r w:rsidR="00F051FB" w:rsidRPr="00A704BA">
        <w:rPr>
          <w:rStyle w:val="FootnoteReference"/>
          <w:rFonts w:cstheme="minorHAnsi"/>
          <w:szCs w:val="24"/>
          <w:lang w:val="fr-FR"/>
        </w:rPr>
        <w:footnoteReference w:id="3"/>
      </w:r>
      <w:r w:rsidRPr="00A704BA">
        <w:rPr>
          <w:lang w:val="fr-FR"/>
        </w:rPr>
        <w:t>.</w:t>
      </w:r>
    </w:p>
    <w:p w14:paraId="697D17D3" w14:textId="16D971CC" w:rsidR="002E02AD" w:rsidRPr="00A704BA" w:rsidRDefault="002E02AD" w:rsidP="0098434D">
      <w:pPr>
        <w:rPr>
          <w:rFonts w:cstheme="minorHAnsi"/>
          <w:szCs w:val="24"/>
          <w:lang w:val="fr-FR"/>
        </w:rPr>
      </w:pPr>
      <w:r w:rsidRPr="00A704BA">
        <w:rPr>
          <w:rFonts w:cstheme="minorHAnsi"/>
          <w:szCs w:val="24"/>
          <w:lang w:val="fr-FR"/>
        </w:rPr>
        <w:t>L'</w:t>
      </w:r>
      <w:r w:rsidR="009A3F72" w:rsidRPr="00A704BA">
        <w:rPr>
          <w:rFonts w:cstheme="minorHAnsi"/>
          <w:szCs w:val="24"/>
          <w:lang w:val="fr-FR"/>
        </w:rPr>
        <w:t>Annex</w:t>
      </w:r>
      <w:r w:rsidRPr="00A704BA">
        <w:rPr>
          <w:rFonts w:cstheme="minorHAnsi"/>
          <w:szCs w:val="24"/>
          <w:lang w:val="fr-FR"/>
        </w:rPr>
        <w:t>e</w:t>
      </w:r>
      <w:r w:rsidR="009A3F72" w:rsidRPr="00A704BA">
        <w:rPr>
          <w:rFonts w:cstheme="minorHAnsi"/>
          <w:szCs w:val="24"/>
          <w:lang w:val="fr-FR"/>
        </w:rPr>
        <w:t xml:space="preserve"> 1</w:t>
      </w:r>
      <w:r w:rsidRPr="00A704BA">
        <w:rPr>
          <w:rFonts w:cstheme="minorHAnsi"/>
          <w:szCs w:val="24"/>
          <w:lang w:val="fr-FR"/>
        </w:rPr>
        <w:t xml:space="preserve"> donne un aperçu des 10 priorités thématiques du BDT, avec les principaux défis à relever et les solutions proposées pour ce faire en utilisant la GAR comme cadre opérationnel.</w:t>
      </w:r>
    </w:p>
    <w:p w14:paraId="6E5C1B69" w14:textId="28573F28" w:rsidR="009A3F72" w:rsidRPr="00A704BA" w:rsidRDefault="009A3F72" w:rsidP="0098434D">
      <w:pPr>
        <w:pStyle w:val="Heading1"/>
        <w:rPr>
          <w:lang w:val="fr-FR"/>
        </w:rPr>
      </w:pPr>
      <w:r w:rsidRPr="00A704BA">
        <w:rPr>
          <w:lang w:val="fr-FR"/>
        </w:rPr>
        <w:t>4</w:t>
      </w:r>
      <w:r w:rsidRPr="00A704BA">
        <w:rPr>
          <w:lang w:val="fr-FR"/>
        </w:rPr>
        <w:tab/>
      </w:r>
      <w:r w:rsidR="002E02AD" w:rsidRPr="00A704BA">
        <w:rPr>
          <w:lang w:val="fr-FR"/>
        </w:rPr>
        <w:t>Vers une théorie du change</w:t>
      </w:r>
      <w:r w:rsidR="00445858">
        <w:rPr>
          <w:lang w:val="fr-FR"/>
        </w:rPr>
        <w:t>ment</w:t>
      </w:r>
      <w:r w:rsidR="002E02AD" w:rsidRPr="00A704BA">
        <w:rPr>
          <w:lang w:val="fr-FR"/>
        </w:rPr>
        <w:t xml:space="preserve"> à l'échelle du BDT</w:t>
      </w:r>
    </w:p>
    <w:p w14:paraId="25B44E14" w14:textId="09043160" w:rsidR="002E02AD" w:rsidRPr="00A704BA" w:rsidRDefault="002E02AD" w:rsidP="0098434D">
      <w:pPr>
        <w:rPr>
          <w:rFonts w:cstheme="minorHAnsi"/>
          <w:szCs w:val="24"/>
          <w:lang w:val="fr-FR"/>
        </w:rPr>
      </w:pPr>
      <w:r w:rsidRPr="00A704BA">
        <w:rPr>
          <w:rFonts w:cstheme="minorHAnsi"/>
          <w:szCs w:val="24"/>
          <w:lang w:val="fr-FR"/>
        </w:rPr>
        <w:t>Afin que la GAR puisse produire tous ses effets, une mesure supplémentaire devrait être prise en vue de réussir à aligner étroitement la vision et la mission de l'UIT-D (et donc, du BDT) et le programme de travail global du BDT dont l'objectif est de concréter ces vision et mission.</w:t>
      </w:r>
    </w:p>
    <w:p w14:paraId="35A3FA3F" w14:textId="604188FA" w:rsidR="002E02AD" w:rsidRPr="00A704BA" w:rsidRDefault="002E02AD" w:rsidP="0098434D">
      <w:pPr>
        <w:rPr>
          <w:rFonts w:cstheme="minorHAnsi"/>
          <w:szCs w:val="24"/>
          <w:lang w:val="fr-FR"/>
        </w:rPr>
      </w:pPr>
      <w:r w:rsidRPr="00A704BA">
        <w:rPr>
          <w:rFonts w:cstheme="minorHAnsi"/>
          <w:szCs w:val="24"/>
          <w:lang w:val="fr-FR"/>
        </w:rPr>
        <w:t xml:space="preserve">Pour ce faire, il convient d'envisager </w:t>
      </w:r>
      <w:r w:rsidR="003F7408" w:rsidRPr="00A704BA">
        <w:rPr>
          <w:rFonts w:cstheme="minorHAnsi"/>
          <w:szCs w:val="24"/>
          <w:lang w:val="fr-FR"/>
        </w:rPr>
        <w:t>de poursuivre</w:t>
      </w:r>
      <w:r w:rsidRPr="00A704BA">
        <w:rPr>
          <w:rFonts w:cstheme="minorHAnsi"/>
          <w:szCs w:val="24"/>
          <w:lang w:val="fr-FR"/>
        </w:rPr>
        <w:t xml:space="preserve"> le travail de simplification et d'intégration des priorités thématiques existantes pour aller vers le concept d'une théorie du changement à l'échelle du BDT, ce qui permettrait </w:t>
      </w:r>
      <w:r w:rsidR="003F7408" w:rsidRPr="00A704BA">
        <w:rPr>
          <w:rFonts w:cstheme="minorHAnsi"/>
          <w:szCs w:val="24"/>
          <w:lang w:val="fr-FR"/>
        </w:rPr>
        <w:t>une exécution plus concrète du mandat du BDT et une utilisation plus efficace de ressources disponibles.</w:t>
      </w:r>
    </w:p>
    <w:p w14:paraId="65388764" w14:textId="4C553708" w:rsidR="003F7408" w:rsidRPr="00A704BA" w:rsidRDefault="003F7408" w:rsidP="0098434D">
      <w:pPr>
        <w:rPr>
          <w:rFonts w:cstheme="minorHAnsi"/>
          <w:szCs w:val="24"/>
          <w:lang w:val="fr-FR"/>
        </w:rPr>
      </w:pPr>
      <w:r w:rsidRPr="00A704BA">
        <w:rPr>
          <w:rFonts w:cstheme="minorHAnsi"/>
          <w:szCs w:val="24"/>
          <w:lang w:val="fr-FR"/>
        </w:rPr>
        <w:lastRenderedPageBreak/>
        <w:t>Une réflexion a été menée au sein du BDT en vue d'étudier l'option consistant à élaborer une théorie du changement plus large, mais aussi plus intégrée et ciblée sur le plan thématique, afin de rendre compte de l'essence des objectifs de l'UIT-D conformément au plan stratégique de l'UIT en vigueur.</w:t>
      </w:r>
    </w:p>
    <w:p w14:paraId="17163DCF" w14:textId="3C130A78" w:rsidR="003F7408" w:rsidRPr="00A704BA" w:rsidRDefault="003F7408" w:rsidP="0098434D">
      <w:pPr>
        <w:rPr>
          <w:lang w:val="fr-FR"/>
        </w:rPr>
      </w:pPr>
      <w:r w:rsidRPr="00A704BA">
        <w:rPr>
          <w:lang w:val="fr-FR"/>
        </w:rPr>
        <w:t>La figure ci-dessous résume le</w:t>
      </w:r>
      <w:r w:rsidR="00FE7221" w:rsidRPr="00A704BA">
        <w:rPr>
          <w:lang w:val="fr-FR"/>
        </w:rPr>
        <w:t>s</w:t>
      </w:r>
      <w:r w:rsidRPr="00A704BA">
        <w:rPr>
          <w:lang w:val="fr-FR"/>
        </w:rPr>
        <w:t xml:space="preserve"> résultats de la discussion.</w:t>
      </w:r>
    </w:p>
    <w:bookmarkStart w:id="7" w:name="_MON_1669614359"/>
    <w:bookmarkEnd w:id="7"/>
    <w:p w14:paraId="5991DFE4" w14:textId="118B455D" w:rsidR="009A3F72" w:rsidRPr="00A704BA" w:rsidRDefault="00445858" w:rsidP="00555B2D">
      <w:pPr>
        <w:pStyle w:val="Figure"/>
        <w:spacing w:before="0"/>
        <w:rPr>
          <w:lang w:val="fr-FR"/>
        </w:rPr>
      </w:pPr>
      <w:r w:rsidRPr="00A704BA">
        <w:rPr>
          <w:lang w:val="fr-FR"/>
        </w:rPr>
        <w:object w:dxaOrig="9554" w:dyaOrig="5376" w14:anchorId="5251FC32">
          <v:shape id="_x0000_i1032" type="#_x0000_t75" style="width:478.1pt;height:269pt" o:ole="">
            <v:imagedata r:id="rId8" o:title=""/>
          </v:shape>
          <o:OLEObject Type="Embed" ProgID="PowerPoint.Slide.12" ShapeID="_x0000_i1032" DrawAspect="Content" ObjectID="_1669787959" r:id="rId9"/>
        </w:object>
      </w:r>
    </w:p>
    <w:p w14:paraId="15166159" w14:textId="34ECD560" w:rsidR="00145A7E" w:rsidRPr="00A704BA" w:rsidRDefault="00145A7E" w:rsidP="00445858">
      <w:pPr>
        <w:spacing w:before="240"/>
        <w:rPr>
          <w:lang w:val="fr-FR"/>
        </w:rPr>
      </w:pPr>
      <w:r w:rsidRPr="00A704BA">
        <w:rPr>
          <w:lang w:val="fr-FR"/>
        </w:rPr>
        <w:t xml:space="preserve">La logique suivie </w:t>
      </w:r>
      <w:r w:rsidR="00DD3D22" w:rsidRPr="00A704BA">
        <w:rPr>
          <w:lang w:val="fr-FR"/>
        </w:rPr>
        <w:t>consiste à traduire</w:t>
      </w:r>
      <w:r w:rsidRPr="00A704BA">
        <w:rPr>
          <w:lang w:val="fr-FR"/>
        </w:rPr>
        <w:t xml:space="preserve"> les deux principaux thèmes formulés dans l'énoncé de la mission de l'UIT-D (voir ci-dessus) </w:t>
      </w:r>
      <w:r w:rsidR="00DD3D22" w:rsidRPr="00A704BA">
        <w:rPr>
          <w:lang w:val="fr-FR"/>
        </w:rPr>
        <w:t>en</w:t>
      </w:r>
      <w:r w:rsidRPr="00A704BA">
        <w:rPr>
          <w:lang w:val="fr-FR"/>
        </w:rPr>
        <w:t xml:space="preserve"> deux vastes piliers </w:t>
      </w:r>
      <w:r w:rsidR="00DD3D22" w:rsidRPr="00A704BA">
        <w:rPr>
          <w:lang w:val="fr-FR"/>
        </w:rPr>
        <w:t xml:space="preserve">de résultats </w:t>
      </w:r>
      <w:r w:rsidRPr="00A704BA">
        <w:rPr>
          <w:lang w:val="fr-FR"/>
        </w:rPr>
        <w:t>thématiques au cœur des travaux de l'UIT-D, comme suit:</w:t>
      </w:r>
    </w:p>
    <w:p w14:paraId="3518991E" w14:textId="501193D0" w:rsidR="00F051FB" w:rsidRPr="00A704BA" w:rsidRDefault="00F051FB" w:rsidP="0098434D">
      <w:pPr>
        <w:pStyle w:val="enumlev1"/>
        <w:rPr>
          <w:lang w:val="fr-FR"/>
        </w:rPr>
      </w:pPr>
      <w:r w:rsidRPr="00A704BA">
        <w:rPr>
          <w:lang w:val="fr-FR"/>
        </w:rPr>
        <w:t>•</w:t>
      </w:r>
      <w:r w:rsidRPr="00A704BA">
        <w:rPr>
          <w:lang w:val="fr-FR"/>
        </w:rPr>
        <w:tab/>
      </w:r>
      <w:r w:rsidR="00145A7E" w:rsidRPr="00A704BA">
        <w:rPr>
          <w:lang w:val="fr-FR"/>
        </w:rPr>
        <w:t>Connectivité efficace</w:t>
      </w:r>
    </w:p>
    <w:p w14:paraId="0BB6DFCE" w14:textId="10DD7EC5" w:rsidR="00F051FB" w:rsidRPr="00A704BA" w:rsidRDefault="00F051FB" w:rsidP="0098434D">
      <w:pPr>
        <w:pStyle w:val="enumlev1"/>
        <w:rPr>
          <w:lang w:val="fr-FR"/>
        </w:rPr>
      </w:pPr>
      <w:r w:rsidRPr="00A704BA">
        <w:rPr>
          <w:lang w:val="fr-FR"/>
        </w:rPr>
        <w:t>•</w:t>
      </w:r>
      <w:r w:rsidRPr="00A704BA">
        <w:rPr>
          <w:lang w:val="fr-FR"/>
        </w:rPr>
        <w:tab/>
      </w:r>
      <w:r w:rsidR="00145A7E" w:rsidRPr="00A704BA">
        <w:rPr>
          <w:lang w:val="fr-FR"/>
        </w:rPr>
        <w:t>Société numérique</w:t>
      </w:r>
    </w:p>
    <w:p w14:paraId="35EB24B3" w14:textId="567E2EFF" w:rsidR="00210085" w:rsidRPr="00A704BA" w:rsidRDefault="00DD3D22" w:rsidP="0098434D">
      <w:pPr>
        <w:rPr>
          <w:rFonts w:cstheme="minorHAnsi"/>
          <w:szCs w:val="24"/>
          <w:lang w:val="fr-FR"/>
        </w:rPr>
      </w:pPr>
      <w:r w:rsidRPr="00A704BA">
        <w:rPr>
          <w:rFonts w:cstheme="minorHAnsi"/>
          <w:szCs w:val="24"/>
          <w:lang w:val="fr-FR"/>
        </w:rPr>
        <w:t>Plusieurs des objectifs des priorités thématiques, tels qu'énoncés dans le Plan d'action de Buenos</w:t>
      </w:r>
      <w:r w:rsidR="0098434D" w:rsidRPr="00A704BA">
        <w:rPr>
          <w:rFonts w:cstheme="minorHAnsi"/>
          <w:szCs w:val="24"/>
          <w:lang w:val="fr-FR"/>
        </w:rPr>
        <w:t> </w:t>
      </w:r>
      <w:r w:rsidRPr="00A704BA">
        <w:rPr>
          <w:rFonts w:cstheme="minorHAnsi"/>
          <w:szCs w:val="24"/>
          <w:lang w:val="fr-FR"/>
        </w:rPr>
        <w:t>Aires, contribuerai</w:t>
      </w:r>
      <w:r w:rsidR="00FE7221" w:rsidRPr="00A704BA">
        <w:rPr>
          <w:rFonts w:cstheme="minorHAnsi"/>
          <w:szCs w:val="24"/>
          <w:lang w:val="fr-FR"/>
        </w:rPr>
        <w:t>en</w:t>
      </w:r>
      <w:r w:rsidRPr="00A704BA">
        <w:rPr>
          <w:rFonts w:cstheme="minorHAnsi"/>
          <w:szCs w:val="24"/>
          <w:lang w:val="fr-FR"/>
        </w:rPr>
        <w:t>t directement à ces deux piliers de résultats</w:t>
      </w:r>
      <w:r w:rsidR="00FE7221" w:rsidRPr="00A704BA">
        <w:rPr>
          <w:rFonts w:cstheme="minorHAnsi"/>
          <w:szCs w:val="24"/>
          <w:lang w:val="fr-FR"/>
        </w:rPr>
        <w:t xml:space="preserve"> essentiels</w:t>
      </w:r>
      <w:r w:rsidRPr="00A704BA">
        <w:rPr>
          <w:rFonts w:cstheme="minorHAnsi"/>
          <w:szCs w:val="24"/>
          <w:lang w:val="fr-FR"/>
        </w:rPr>
        <w:t xml:space="preserve">, à savoir: </w:t>
      </w:r>
      <w:r w:rsidR="00210085" w:rsidRPr="00A704BA">
        <w:rPr>
          <w:rFonts w:cstheme="minorHAnsi"/>
          <w:szCs w:val="24"/>
          <w:lang w:val="fr-FR"/>
        </w:rPr>
        <w:t>Infrastructure</w:t>
      </w:r>
      <w:r w:rsidRPr="00A704BA">
        <w:rPr>
          <w:rFonts w:cstheme="minorHAnsi"/>
          <w:szCs w:val="24"/>
          <w:lang w:val="fr-FR"/>
        </w:rPr>
        <w:t xml:space="preserve">, </w:t>
      </w:r>
      <w:r w:rsidR="00210085" w:rsidRPr="00A704BA">
        <w:rPr>
          <w:rFonts w:cstheme="minorHAnsi"/>
          <w:szCs w:val="24"/>
          <w:lang w:val="fr-FR"/>
        </w:rPr>
        <w:t>Cyber</w:t>
      </w:r>
      <w:r w:rsidR="00FE7221" w:rsidRPr="00A704BA">
        <w:rPr>
          <w:rFonts w:cstheme="minorHAnsi"/>
          <w:szCs w:val="24"/>
          <w:lang w:val="fr-FR"/>
        </w:rPr>
        <w:t>s</w:t>
      </w:r>
      <w:r w:rsidR="00210085" w:rsidRPr="00A704BA">
        <w:rPr>
          <w:rFonts w:cstheme="minorHAnsi"/>
          <w:szCs w:val="24"/>
          <w:lang w:val="fr-FR"/>
        </w:rPr>
        <w:t xml:space="preserve">écurité </w:t>
      </w:r>
      <w:r w:rsidRPr="00A704BA">
        <w:rPr>
          <w:rFonts w:cstheme="minorHAnsi"/>
          <w:szCs w:val="24"/>
          <w:lang w:val="fr-FR"/>
        </w:rPr>
        <w:t>et</w:t>
      </w:r>
      <w:r w:rsidR="00210085" w:rsidRPr="00A704BA">
        <w:rPr>
          <w:rFonts w:cstheme="minorHAnsi"/>
          <w:szCs w:val="24"/>
          <w:lang w:val="fr-FR"/>
        </w:rPr>
        <w:t xml:space="preserve"> Télécommunications </w:t>
      </w:r>
      <w:r w:rsidRPr="00A704BA">
        <w:rPr>
          <w:rFonts w:cstheme="minorHAnsi"/>
          <w:szCs w:val="24"/>
          <w:lang w:val="fr-FR"/>
        </w:rPr>
        <w:t>d'urgence pour le premier</w:t>
      </w:r>
      <w:r w:rsidR="00210085" w:rsidRPr="00A704BA">
        <w:rPr>
          <w:rFonts w:cstheme="minorHAnsi"/>
          <w:szCs w:val="24"/>
          <w:lang w:val="fr-FR"/>
        </w:rPr>
        <w:t xml:space="preserve"> pilier </w:t>
      </w:r>
      <w:r w:rsidRPr="00A704BA">
        <w:rPr>
          <w:rFonts w:cstheme="minorHAnsi"/>
          <w:szCs w:val="24"/>
          <w:lang w:val="fr-FR"/>
        </w:rPr>
        <w:t xml:space="preserve">de résultats relatif à une </w:t>
      </w:r>
      <w:r w:rsidR="0098434D" w:rsidRPr="00A704BA">
        <w:rPr>
          <w:rFonts w:cstheme="minorHAnsi"/>
          <w:szCs w:val="24"/>
          <w:lang w:val="fr-FR"/>
        </w:rPr>
        <w:t>"</w:t>
      </w:r>
      <w:r w:rsidR="00FE7221" w:rsidRPr="00A704BA">
        <w:rPr>
          <w:rFonts w:cstheme="minorHAnsi"/>
          <w:szCs w:val="24"/>
          <w:lang w:val="fr-FR"/>
        </w:rPr>
        <w:t>C</w:t>
      </w:r>
      <w:r w:rsidRPr="00A704BA">
        <w:rPr>
          <w:rFonts w:cstheme="minorHAnsi"/>
          <w:szCs w:val="24"/>
          <w:lang w:val="fr-FR"/>
        </w:rPr>
        <w:t>onnectivité efficace</w:t>
      </w:r>
      <w:r w:rsidR="0098434D" w:rsidRPr="00A704BA">
        <w:rPr>
          <w:rFonts w:cstheme="minorHAnsi"/>
          <w:szCs w:val="24"/>
          <w:lang w:val="fr-FR"/>
        </w:rPr>
        <w:t>"</w:t>
      </w:r>
      <w:r w:rsidRPr="00A704BA">
        <w:rPr>
          <w:rFonts w:cstheme="minorHAnsi"/>
          <w:szCs w:val="24"/>
          <w:lang w:val="fr-FR"/>
        </w:rPr>
        <w:t xml:space="preserve">; tandis que </w:t>
      </w:r>
      <w:r w:rsidR="00210085" w:rsidRPr="00A704BA">
        <w:rPr>
          <w:rFonts w:cstheme="minorHAnsi"/>
          <w:szCs w:val="24"/>
          <w:lang w:val="fr-FR"/>
        </w:rPr>
        <w:t>I</w:t>
      </w:r>
      <w:r w:rsidRPr="00A704BA">
        <w:rPr>
          <w:rFonts w:cstheme="minorHAnsi"/>
          <w:szCs w:val="24"/>
          <w:lang w:val="fr-FR"/>
        </w:rPr>
        <w:t>nclusion numérique,</w:t>
      </w:r>
      <w:r w:rsidR="00210085" w:rsidRPr="00A704BA">
        <w:rPr>
          <w:rFonts w:cstheme="minorHAnsi"/>
          <w:szCs w:val="24"/>
          <w:lang w:val="fr-FR"/>
        </w:rPr>
        <w:t xml:space="preserve"> Services </w:t>
      </w:r>
      <w:r w:rsidRPr="00A704BA">
        <w:rPr>
          <w:rFonts w:cstheme="minorHAnsi"/>
          <w:szCs w:val="24"/>
          <w:lang w:val="fr-FR"/>
        </w:rPr>
        <w:t xml:space="preserve">numériques et </w:t>
      </w:r>
      <w:r w:rsidR="00210085" w:rsidRPr="00A704BA">
        <w:rPr>
          <w:rFonts w:cstheme="minorHAnsi"/>
          <w:szCs w:val="24"/>
          <w:lang w:val="fr-FR"/>
        </w:rPr>
        <w:t>Environnement contribue</w:t>
      </w:r>
      <w:r w:rsidR="00FE7221" w:rsidRPr="00A704BA">
        <w:rPr>
          <w:rFonts w:cstheme="minorHAnsi"/>
          <w:szCs w:val="24"/>
          <w:lang w:val="fr-FR"/>
        </w:rPr>
        <w:t>nt</w:t>
      </w:r>
      <w:r w:rsidR="00210085" w:rsidRPr="00A704BA">
        <w:rPr>
          <w:rFonts w:cstheme="minorHAnsi"/>
          <w:szCs w:val="24"/>
          <w:lang w:val="fr-FR"/>
        </w:rPr>
        <w:t xml:space="preserve"> à des services numériques porteurs de transform</w:t>
      </w:r>
      <w:r w:rsidR="00445858">
        <w:rPr>
          <w:rFonts w:cstheme="minorHAnsi"/>
          <w:szCs w:val="24"/>
          <w:lang w:val="fr-FR"/>
        </w:rPr>
        <w:t>ation au titre du second pilier</w:t>
      </w:r>
      <w:r w:rsidR="00210085" w:rsidRPr="00A704BA">
        <w:rPr>
          <w:rFonts w:cstheme="minorHAnsi"/>
          <w:szCs w:val="24"/>
          <w:lang w:val="fr-FR"/>
        </w:rPr>
        <w:t xml:space="preserve"> de résultats</w:t>
      </w:r>
      <w:r w:rsidR="00FE7221" w:rsidRPr="00A704BA">
        <w:rPr>
          <w:rFonts w:cstheme="minorHAnsi"/>
          <w:szCs w:val="24"/>
          <w:lang w:val="fr-FR"/>
        </w:rPr>
        <w:t xml:space="preserve"> essentiel</w:t>
      </w:r>
      <w:r w:rsidR="00210085" w:rsidRPr="00A704BA">
        <w:rPr>
          <w:rFonts w:cstheme="minorHAnsi"/>
          <w:szCs w:val="24"/>
          <w:lang w:val="fr-FR"/>
        </w:rPr>
        <w:t xml:space="preserve"> sur la </w:t>
      </w:r>
      <w:r w:rsidR="0098434D" w:rsidRPr="00A704BA">
        <w:rPr>
          <w:rFonts w:cstheme="minorHAnsi"/>
          <w:szCs w:val="24"/>
          <w:lang w:val="fr-FR"/>
        </w:rPr>
        <w:t>"</w:t>
      </w:r>
      <w:r w:rsidR="00FE7221" w:rsidRPr="00A704BA">
        <w:rPr>
          <w:rFonts w:cstheme="minorHAnsi"/>
          <w:szCs w:val="24"/>
          <w:lang w:val="fr-FR"/>
        </w:rPr>
        <w:t>S</w:t>
      </w:r>
      <w:r w:rsidR="00210085" w:rsidRPr="00A704BA">
        <w:rPr>
          <w:rFonts w:cstheme="minorHAnsi"/>
          <w:szCs w:val="24"/>
          <w:lang w:val="fr-FR"/>
        </w:rPr>
        <w:t>ociété numérique</w:t>
      </w:r>
      <w:r w:rsidR="0098434D" w:rsidRPr="00A704BA">
        <w:rPr>
          <w:rFonts w:cstheme="minorHAnsi"/>
          <w:szCs w:val="24"/>
          <w:lang w:val="fr-FR"/>
        </w:rPr>
        <w:t>"</w:t>
      </w:r>
      <w:r w:rsidR="00210085" w:rsidRPr="00A704BA">
        <w:rPr>
          <w:rFonts w:cstheme="minorHAnsi"/>
          <w:szCs w:val="24"/>
          <w:lang w:val="fr-FR"/>
        </w:rPr>
        <w:t>.</w:t>
      </w:r>
    </w:p>
    <w:p w14:paraId="13222E1B" w14:textId="2B6E6278" w:rsidR="00656299" w:rsidRPr="00A704BA" w:rsidRDefault="00210085" w:rsidP="0098434D">
      <w:pPr>
        <w:rPr>
          <w:rFonts w:cstheme="minorHAnsi"/>
          <w:szCs w:val="24"/>
          <w:lang w:val="fr-FR"/>
        </w:rPr>
      </w:pPr>
      <w:r w:rsidRPr="00A704BA">
        <w:rPr>
          <w:rFonts w:cstheme="minorHAnsi"/>
          <w:szCs w:val="24"/>
          <w:lang w:val="fr-FR"/>
        </w:rPr>
        <w:t xml:space="preserve">Ces deux piliers de résultats profitent de services </w:t>
      </w:r>
      <w:r w:rsidR="00FE7221" w:rsidRPr="00A704BA">
        <w:rPr>
          <w:rFonts w:cstheme="minorHAnsi"/>
          <w:szCs w:val="24"/>
          <w:lang w:val="fr-FR"/>
        </w:rPr>
        <w:t>catalyseurs</w:t>
      </w:r>
      <w:r w:rsidRPr="00A704BA">
        <w:rPr>
          <w:rFonts w:cstheme="minorHAnsi"/>
          <w:szCs w:val="24"/>
          <w:lang w:val="fr-FR"/>
        </w:rPr>
        <w:t xml:space="preserve"> découlant d'un troisième pilier (</w:t>
      </w:r>
      <w:r w:rsidR="0098434D" w:rsidRPr="00A704BA">
        <w:rPr>
          <w:rFonts w:cstheme="minorHAnsi"/>
          <w:szCs w:val="24"/>
          <w:lang w:val="fr-FR"/>
        </w:rPr>
        <w:t>"</w:t>
      </w:r>
      <w:r w:rsidR="00FE7221" w:rsidRPr="00A704BA">
        <w:rPr>
          <w:rFonts w:cstheme="minorHAnsi"/>
          <w:szCs w:val="24"/>
          <w:lang w:val="fr-FR"/>
        </w:rPr>
        <w:t>E</w:t>
      </w:r>
      <w:r w:rsidRPr="00A704BA">
        <w:rPr>
          <w:rFonts w:cstheme="minorHAnsi"/>
          <w:szCs w:val="24"/>
          <w:lang w:val="fr-FR"/>
        </w:rPr>
        <w:t>nvironnement favorable</w:t>
      </w:r>
      <w:r w:rsidR="0098434D" w:rsidRPr="00A704BA">
        <w:rPr>
          <w:rFonts w:cstheme="minorHAnsi"/>
          <w:szCs w:val="24"/>
          <w:lang w:val="fr-FR"/>
        </w:rPr>
        <w:t>"</w:t>
      </w:r>
      <w:r w:rsidRPr="00A704BA">
        <w:rPr>
          <w:rFonts w:cstheme="minorHAnsi"/>
          <w:szCs w:val="24"/>
          <w:lang w:val="fr-FR"/>
        </w:rPr>
        <w:t>); ces fonctions transversales des domaines thématiques prioritaires tels que Politique</w:t>
      </w:r>
      <w:r w:rsidR="00FE7221" w:rsidRPr="00A704BA">
        <w:rPr>
          <w:rFonts w:cstheme="minorHAnsi"/>
          <w:szCs w:val="24"/>
          <w:lang w:val="fr-FR"/>
        </w:rPr>
        <w:t>s</w:t>
      </w:r>
      <w:r w:rsidRPr="00A704BA">
        <w:rPr>
          <w:rFonts w:cstheme="minorHAnsi"/>
          <w:szCs w:val="24"/>
          <w:lang w:val="fr-FR"/>
        </w:rPr>
        <w:t xml:space="preserve"> générale</w:t>
      </w:r>
      <w:r w:rsidR="00FE7221" w:rsidRPr="00A704BA">
        <w:rPr>
          <w:rFonts w:cstheme="minorHAnsi"/>
          <w:szCs w:val="24"/>
          <w:lang w:val="fr-FR"/>
        </w:rPr>
        <w:t>s</w:t>
      </w:r>
      <w:r w:rsidRPr="00A704BA">
        <w:rPr>
          <w:rFonts w:cstheme="minorHAnsi"/>
          <w:szCs w:val="24"/>
          <w:lang w:val="fr-FR"/>
        </w:rPr>
        <w:t xml:space="preserve"> et réglementation</w:t>
      </w:r>
      <w:r w:rsidR="00FE7221" w:rsidRPr="00A704BA">
        <w:rPr>
          <w:rFonts w:cstheme="minorHAnsi"/>
          <w:szCs w:val="24"/>
          <w:lang w:val="fr-FR"/>
        </w:rPr>
        <w:t>s</w:t>
      </w:r>
      <w:r w:rsidRPr="00A704BA">
        <w:rPr>
          <w:rFonts w:cstheme="minorHAnsi"/>
          <w:szCs w:val="24"/>
          <w:lang w:val="fr-FR"/>
        </w:rPr>
        <w:t>, Écosystème</w:t>
      </w:r>
      <w:r w:rsidR="00FE7221" w:rsidRPr="00A704BA">
        <w:rPr>
          <w:rFonts w:cstheme="minorHAnsi"/>
          <w:szCs w:val="24"/>
          <w:lang w:val="fr-FR"/>
        </w:rPr>
        <w:t>s</w:t>
      </w:r>
      <w:r w:rsidRPr="00A704BA">
        <w:rPr>
          <w:rFonts w:cstheme="minorHAnsi"/>
          <w:szCs w:val="24"/>
          <w:lang w:val="fr-FR"/>
        </w:rPr>
        <w:t xml:space="preserve"> numérique</w:t>
      </w:r>
      <w:r w:rsidR="00FE7221" w:rsidRPr="00A704BA">
        <w:rPr>
          <w:rFonts w:cstheme="minorHAnsi"/>
          <w:szCs w:val="24"/>
          <w:lang w:val="fr-FR"/>
        </w:rPr>
        <w:t>s</w:t>
      </w:r>
      <w:r w:rsidRPr="00A704BA">
        <w:rPr>
          <w:rFonts w:cstheme="minorHAnsi"/>
          <w:szCs w:val="24"/>
          <w:lang w:val="fr-FR"/>
        </w:rPr>
        <w:t>, Renforcement des capacités et Statistiques jou</w:t>
      </w:r>
      <w:r w:rsidR="00FE7221" w:rsidRPr="00A704BA">
        <w:rPr>
          <w:rFonts w:cstheme="minorHAnsi"/>
          <w:szCs w:val="24"/>
          <w:lang w:val="fr-FR"/>
        </w:rPr>
        <w:t>e</w:t>
      </w:r>
      <w:r w:rsidRPr="00A704BA">
        <w:rPr>
          <w:rFonts w:cstheme="minorHAnsi"/>
          <w:szCs w:val="24"/>
          <w:lang w:val="fr-FR"/>
        </w:rPr>
        <w:t xml:space="preserve">nt un rôle de </w:t>
      </w:r>
      <w:r w:rsidR="00FE7221" w:rsidRPr="00A704BA">
        <w:rPr>
          <w:rFonts w:cstheme="minorHAnsi"/>
          <w:szCs w:val="24"/>
          <w:lang w:val="fr-FR"/>
        </w:rPr>
        <w:t>catalyseur</w:t>
      </w:r>
      <w:r w:rsidRPr="00A704BA">
        <w:rPr>
          <w:rFonts w:cstheme="minorHAnsi"/>
          <w:szCs w:val="24"/>
          <w:lang w:val="fr-FR"/>
        </w:rPr>
        <w:t xml:space="preserve"> et d'appui en ce qui concerne </w:t>
      </w:r>
      <w:r w:rsidR="00FE7221" w:rsidRPr="00A704BA">
        <w:rPr>
          <w:rFonts w:cstheme="minorHAnsi"/>
          <w:szCs w:val="24"/>
          <w:lang w:val="fr-FR"/>
        </w:rPr>
        <w:t>l'impact généré</w:t>
      </w:r>
      <w:r w:rsidRPr="00A704BA">
        <w:rPr>
          <w:rFonts w:cstheme="minorHAnsi"/>
          <w:szCs w:val="24"/>
          <w:lang w:val="fr-FR"/>
        </w:rPr>
        <w:t xml:space="preserve"> par les deux piliers de résultats essentiels.</w:t>
      </w:r>
    </w:p>
    <w:p w14:paraId="326F8B71" w14:textId="0A944C36" w:rsidR="00210085" w:rsidRPr="00A704BA" w:rsidRDefault="00210085" w:rsidP="0098434D">
      <w:pPr>
        <w:rPr>
          <w:rFonts w:cstheme="minorHAnsi"/>
          <w:szCs w:val="24"/>
          <w:lang w:val="fr-FR"/>
        </w:rPr>
      </w:pPr>
      <w:r w:rsidRPr="00A704BA">
        <w:rPr>
          <w:rFonts w:cstheme="minorHAnsi"/>
          <w:szCs w:val="24"/>
          <w:lang w:val="fr-FR"/>
        </w:rPr>
        <w:t xml:space="preserve">En outre, pour garantir un engagement approprié et la bonne exécution des projets, ainsi que pour </w:t>
      </w:r>
      <w:r w:rsidR="00FE7221" w:rsidRPr="00A704BA">
        <w:rPr>
          <w:rFonts w:cstheme="minorHAnsi"/>
          <w:szCs w:val="24"/>
          <w:lang w:val="fr-FR"/>
        </w:rPr>
        <w:t>faciliter</w:t>
      </w:r>
      <w:r w:rsidRPr="00A704BA">
        <w:rPr>
          <w:rFonts w:cstheme="minorHAnsi"/>
          <w:szCs w:val="24"/>
          <w:lang w:val="fr-FR"/>
        </w:rPr>
        <w:t xml:space="preserve"> le fonctionnement et la gouvernance connexe, deux autres piliers transversaux continueront d'appuyer l'exécution des activités thématiques du BDT (Coordination et Gouvernance organisationnelle).</w:t>
      </w:r>
    </w:p>
    <w:p w14:paraId="2D572CFA" w14:textId="62B3FCF5" w:rsidR="00210085" w:rsidRPr="00A704BA" w:rsidRDefault="00210085" w:rsidP="0098434D">
      <w:pPr>
        <w:rPr>
          <w:rFonts w:cstheme="minorHAnsi"/>
          <w:szCs w:val="24"/>
          <w:lang w:val="fr-FR"/>
        </w:rPr>
      </w:pPr>
      <w:r w:rsidRPr="00A704BA">
        <w:rPr>
          <w:rFonts w:cstheme="minorHAnsi"/>
          <w:szCs w:val="24"/>
          <w:lang w:val="fr-FR"/>
        </w:rPr>
        <w:lastRenderedPageBreak/>
        <w:t xml:space="preserve">La réussite de la mise en œuvre de l'architecture de résultats </w:t>
      </w:r>
      <w:r w:rsidR="0098434D" w:rsidRPr="00A704BA">
        <w:rPr>
          <w:rFonts w:cstheme="minorHAnsi"/>
          <w:szCs w:val="24"/>
          <w:lang w:val="fr-FR"/>
        </w:rPr>
        <w:t>"</w:t>
      </w:r>
      <w:r w:rsidRPr="00A704BA">
        <w:rPr>
          <w:rFonts w:cstheme="minorHAnsi"/>
          <w:szCs w:val="24"/>
          <w:lang w:val="fr-FR"/>
        </w:rPr>
        <w:t>f</w:t>
      </w:r>
      <w:r w:rsidR="00C86993">
        <w:rPr>
          <w:rFonts w:cstheme="minorHAnsi"/>
          <w:szCs w:val="24"/>
          <w:lang w:val="fr-FR"/>
        </w:rPr>
        <w:t>aisant intervenir l'ensemble du </w:t>
      </w:r>
      <w:r w:rsidRPr="00A704BA">
        <w:rPr>
          <w:rFonts w:cstheme="minorHAnsi"/>
          <w:szCs w:val="24"/>
          <w:lang w:val="fr-FR"/>
        </w:rPr>
        <w:t>BDT</w:t>
      </w:r>
      <w:r w:rsidR="0098434D" w:rsidRPr="00A704BA">
        <w:rPr>
          <w:rFonts w:cstheme="minorHAnsi"/>
          <w:szCs w:val="24"/>
          <w:lang w:val="fr-FR"/>
        </w:rPr>
        <w:t>"</w:t>
      </w:r>
      <w:r w:rsidRPr="00A704BA">
        <w:rPr>
          <w:rFonts w:cstheme="minorHAnsi"/>
          <w:szCs w:val="24"/>
          <w:lang w:val="fr-FR"/>
        </w:rPr>
        <w:t xml:space="preserve"> qui en découle ne nécessiterait pas de réorganisation de la structure</w:t>
      </w:r>
      <w:r w:rsidR="00FE7221" w:rsidRPr="00A704BA">
        <w:rPr>
          <w:rFonts w:cstheme="minorHAnsi"/>
          <w:szCs w:val="24"/>
          <w:lang w:val="fr-FR"/>
        </w:rPr>
        <w:t xml:space="preserve"> organisationnelle</w:t>
      </w:r>
      <w:r w:rsidR="00C86993">
        <w:rPr>
          <w:rFonts w:cstheme="minorHAnsi"/>
          <w:szCs w:val="24"/>
          <w:lang w:val="fr-FR"/>
        </w:rPr>
        <w:t xml:space="preserve"> du </w:t>
      </w:r>
      <w:r w:rsidRPr="00A704BA">
        <w:rPr>
          <w:rFonts w:cstheme="minorHAnsi"/>
          <w:szCs w:val="24"/>
          <w:lang w:val="fr-FR"/>
        </w:rPr>
        <w:t>BDT; elle repose davantage sur un changement des comportements, avec une coopération</w:t>
      </w:r>
      <w:r w:rsidR="00FE7221" w:rsidRPr="00A704BA">
        <w:rPr>
          <w:rFonts w:cstheme="minorHAnsi"/>
          <w:szCs w:val="24"/>
          <w:lang w:val="fr-FR"/>
        </w:rPr>
        <w:t xml:space="preserve"> plus étroite</w:t>
      </w:r>
      <w:r w:rsidRPr="00A704BA">
        <w:rPr>
          <w:rFonts w:cstheme="minorHAnsi"/>
          <w:szCs w:val="24"/>
          <w:lang w:val="fr-FR"/>
        </w:rPr>
        <w:t xml:space="preserve"> et de</w:t>
      </w:r>
      <w:r w:rsidR="00FE7221" w:rsidRPr="00A704BA">
        <w:rPr>
          <w:rFonts w:cstheme="minorHAnsi"/>
          <w:szCs w:val="24"/>
          <w:lang w:val="fr-FR"/>
        </w:rPr>
        <w:t>s</w:t>
      </w:r>
      <w:r w:rsidRPr="00A704BA">
        <w:rPr>
          <w:rFonts w:cstheme="minorHAnsi"/>
          <w:szCs w:val="24"/>
          <w:lang w:val="fr-FR"/>
        </w:rPr>
        <w:t xml:space="preserve"> synergie</w:t>
      </w:r>
      <w:r w:rsidR="00FE7221" w:rsidRPr="00A704BA">
        <w:rPr>
          <w:rFonts w:cstheme="minorHAnsi"/>
          <w:szCs w:val="24"/>
          <w:lang w:val="fr-FR"/>
        </w:rPr>
        <w:t>s</w:t>
      </w:r>
      <w:r w:rsidRPr="00A704BA">
        <w:rPr>
          <w:rFonts w:cstheme="minorHAnsi"/>
          <w:szCs w:val="24"/>
          <w:lang w:val="fr-FR"/>
        </w:rPr>
        <w:t xml:space="preserve"> </w:t>
      </w:r>
      <w:r w:rsidR="00FE7221" w:rsidRPr="00A704BA">
        <w:rPr>
          <w:rFonts w:cstheme="minorHAnsi"/>
          <w:szCs w:val="24"/>
          <w:lang w:val="fr-FR"/>
        </w:rPr>
        <w:t xml:space="preserve">renforcées </w:t>
      </w:r>
      <w:r w:rsidRPr="00A704BA">
        <w:rPr>
          <w:rFonts w:cstheme="minorHAnsi"/>
          <w:szCs w:val="24"/>
          <w:lang w:val="fr-FR"/>
        </w:rPr>
        <w:t>entre les différentes priorités thématiques et fonctions d'appui.</w:t>
      </w:r>
    </w:p>
    <w:p w14:paraId="38C80616" w14:textId="43EB22E2" w:rsidR="00210085" w:rsidRPr="00A704BA" w:rsidRDefault="00210085" w:rsidP="0098434D">
      <w:pPr>
        <w:rPr>
          <w:rFonts w:cstheme="minorHAnsi"/>
          <w:szCs w:val="24"/>
          <w:lang w:val="fr-FR"/>
        </w:rPr>
      </w:pPr>
      <w:r w:rsidRPr="00A704BA">
        <w:rPr>
          <w:rFonts w:cstheme="minorHAnsi"/>
          <w:szCs w:val="24"/>
          <w:lang w:val="fr-FR"/>
        </w:rPr>
        <w:t>Ce changement de culture et de</w:t>
      </w:r>
      <w:r w:rsidR="00FE7221" w:rsidRPr="00A704BA">
        <w:rPr>
          <w:rFonts w:cstheme="minorHAnsi"/>
          <w:szCs w:val="24"/>
          <w:lang w:val="fr-FR"/>
        </w:rPr>
        <w:t>s</w:t>
      </w:r>
      <w:r w:rsidRPr="00A704BA">
        <w:rPr>
          <w:rFonts w:cstheme="minorHAnsi"/>
          <w:szCs w:val="24"/>
          <w:lang w:val="fr-FR"/>
        </w:rPr>
        <w:t xml:space="preserve"> comportement</w:t>
      </w:r>
      <w:r w:rsidR="00FE7221" w:rsidRPr="00A704BA">
        <w:rPr>
          <w:rFonts w:cstheme="minorHAnsi"/>
          <w:szCs w:val="24"/>
          <w:lang w:val="fr-FR"/>
        </w:rPr>
        <w:t>s</w:t>
      </w:r>
      <w:r w:rsidRPr="00A704BA">
        <w:rPr>
          <w:rFonts w:cstheme="minorHAnsi"/>
          <w:szCs w:val="24"/>
          <w:lang w:val="fr-FR"/>
        </w:rPr>
        <w:t xml:space="preserve"> reposera sur une certaine clarté concernant la </w:t>
      </w:r>
      <w:r w:rsidR="0098434D" w:rsidRPr="00A704BA">
        <w:rPr>
          <w:rFonts w:cstheme="minorHAnsi"/>
          <w:szCs w:val="24"/>
          <w:lang w:val="fr-FR"/>
        </w:rPr>
        <w:t>"</w:t>
      </w:r>
      <w:r w:rsidRPr="00A704BA">
        <w:rPr>
          <w:rFonts w:cstheme="minorHAnsi"/>
          <w:szCs w:val="24"/>
          <w:lang w:val="fr-FR"/>
        </w:rPr>
        <w:t>délégation de pouvoir</w:t>
      </w:r>
      <w:r w:rsidR="0098434D" w:rsidRPr="00A704BA">
        <w:rPr>
          <w:rFonts w:cstheme="minorHAnsi"/>
          <w:szCs w:val="24"/>
          <w:lang w:val="fr-FR"/>
        </w:rPr>
        <w:t>"</w:t>
      </w:r>
      <w:r w:rsidRPr="00A704BA">
        <w:rPr>
          <w:rFonts w:cstheme="minorHAnsi"/>
          <w:szCs w:val="24"/>
          <w:lang w:val="fr-FR"/>
        </w:rPr>
        <w:t xml:space="preserve"> et les </w:t>
      </w:r>
      <w:r w:rsidR="0098434D" w:rsidRPr="00A704BA">
        <w:rPr>
          <w:rFonts w:cstheme="minorHAnsi"/>
          <w:szCs w:val="24"/>
          <w:lang w:val="fr-FR"/>
        </w:rPr>
        <w:t>"</w:t>
      </w:r>
      <w:r w:rsidR="009648C3" w:rsidRPr="00A704BA">
        <w:rPr>
          <w:rFonts w:cstheme="minorHAnsi"/>
          <w:szCs w:val="24"/>
          <w:lang w:val="fr-FR"/>
        </w:rPr>
        <w:t>pactes d'efficacité</w:t>
      </w:r>
      <w:r w:rsidR="0098434D" w:rsidRPr="00A704BA">
        <w:rPr>
          <w:rFonts w:cstheme="minorHAnsi"/>
          <w:szCs w:val="24"/>
          <w:lang w:val="fr-FR"/>
        </w:rPr>
        <w:t>"</w:t>
      </w:r>
      <w:r w:rsidRPr="00A704BA">
        <w:rPr>
          <w:rFonts w:cstheme="minorHAnsi"/>
          <w:szCs w:val="24"/>
          <w:lang w:val="fr-FR"/>
        </w:rPr>
        <w:t xml:space="preserve">, qui est nécessaire dans l'ensemble du BDT pour garantir un engagement mutuel réel </w:t>
      </w:r>
      <w:r w:rsidR="009648C3" w:rsidRPr="00A704BA">
        <w:rPr>
          <w:rFonts w:cstheme="minorHAnsi"/>
          <w:szCs w:val="24"/>
          <w:lang w:val="fr-FR"/>
        </w:rPr>
        <w:t xml:space="preserve">des </w:t>
      </w:r>
      <w:r w:rsidRPr="00A704BA">
        <w:rPr>
          <w:rFonts w:cstheme="minorHAnsi"/>
          <w:szCs w:val="24"/>
          <w:lang w:val="fr-FR"/>
        </w:rPr>
        <w:t xml:space="preserve">partenaires participants et permettre la fourniture de multiples contributions à des projets et programmes plus vastes. </w:t>
      </w:r>
      <w:r w:rsidR="00BC17CD" w:rsidRPr="00A704BA">
        <w:rPr>
          <w:rFonts w:cstheme="minorHAnsi"/>
          <w:szCs w:val="24"/>
          <w:lang w:val="fr-FR"/>
        </w:rPr>
        <w:t xml:space="preserve">Tous ces éléments constitutifs (délégation de pouvoir, </w:t>
      </w:r>
      <w:r w:rsidR="009648C3" w:rsidRPr="00A704BA">
        <w:rPr>
          <w:rFonts w:cstheme="minorHAnsi"/>
          <w:szCs w:val="24"/>
          <w:lang w:val="fr-FR"/>
        </w:rPr>
        <w:t>pactes</w:t>
      </w:r>
      <w:r w:rsidR="00BC17CD" w:rsidRPr="00A704BA">
        <w:rPr>
          <w:rFonts w:cstheme="minorHAnsi"/>
          <w:szCs w:val="24"/>
          <w:lang w:val="fr-FR"/>
        </w:rPr>
        <w:t xml:space="preserve"> d'efficacité) ont été examinés de manière approfondie et sont aujourd'hui en place.</w:t>
      </w:r>
    </w:p>
    <w:p w14:paraId="4EEB8E99" w14:textId="77777777" w:rsidR="00F051FB" w:rsidRPr="00A704BA" w:rsidRDefault="00F051FB" w:rsidP="0098434D">
      <w:pPr>
        <w:spacing w:before="360"/>
        <w:jc w:val="center"/>
        <w:rPr>
          <w:lang w:val="fr-FR"/>
        </w:rPr>
      </w:pPr>
      <w:r w:rsidRPr="00A704BA">
        <w:rPr>
          <w:lang w:val="fr-FR"/>
        </w:rPr>
        <w:t>______________</w:t>
      </w:r>
    </w:p>
    <w:sectPr w:rsidR="00F051FB" w:rsidRPr="00A704BA" w:rsidSect="00504609">
      <w:headerReference w:type="default" r:id="rId10"/>
      <w:footerReference w:type="default" r:id="rId11"/>
      <w:footerReference w:type="first" r:id="rId1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9D6D3" w14:textId="77777777" w:rsidR="00784B05" w:rsidRDefault="00784B05">
      <w:r>
        <w:separator/>
      </w:r>
    </w:p>
  </w:endnote>
  <w:endnote w:type="continuationSeparator" w:id="0">
    <w:p w14:paraId="28A2F12C" w14:textId="77777777" w:rsidR="00784B05" w:rsidRDefault="0078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4441" w14:textId="693439BA" w:rsidR="00F051FB" w:rsidRDefault="004857F9" w:rsidP="00F051FB">
    <w:pPr>
      <w:pStyle w:val="Footer"/>
    </w:pPr>
    <w:r>
      <w:fldChar w:fldCharType="begin"/>
    </w:r>
    <w:r>
      <w:instrText xml:space="preserve"> FILENAME \p  \* MERGEFORMAT </w:instrText>
    </w:r>
    <w:r>
      <w:fldChar w:fldCharType="separate"/>
    </w:r>
    <w:r>
      <w:t>P:\FRA\ITU-D\CONF-D\RPMS\EUR\000\003F.docx</w:t>
    </w:r>
    <w:r>
      <w:fldChar w:fldCharType="end"/>
    </w:r>
    <w:r w:rsidR="00F051FB">
      <w:t xml:space="preserve"> (481247)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B03344" w:rsidRPr="00445858" w14:paraId="38041CC2" w14:textId="77777777" w:rsidTr="00B03344">
      <w:tc>
        <w:tcPr>
          <w:tcW w:w="1431" w:type="dxa"/>
          <w:tcBorders>
            <w:top w:val="single" w:sz="4" w:space="0" w:color="000000"/>
          </w:tcBorders>
          <w:shd w:val="clear" w:color="auto" w:fill="auto"/>
        </w:tcPr>
        <w:p w14:paraId="2D3EB904" w14:textId="6442EBC6" w:rsidR="00B03344" w:rsidRPr="004D495C" w:rsidRDefault="00B03344" w:rsidP="00B0334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B03344" w:rsidRPr="004D495C" w:rsidRDefault="00B03344" w:rsidP="00B0334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48712779" w14:textId="4446F189" w:rsidR="00B03344" w:rsidRPr="00964A23" w:rsidRDefault="00B03344" w:rsidP="00B03344">
          <w:pPr>
            <w:pStyle w:val="FirstFooter"/>
            <w:tabs>
              <w:tab w:val="left" w:pos="2302"/>
            </w:tabs>
            <w:rPr>
              <w:sz w:val="18"/>
              <w:szCs w:val="18"/>
              <w:highlight w:val="yellow"/>
            </w:rPr>
          </w:pPr>
          <w:bookmarkStart w:id="10" w:name="OrgName"/>
          <w:bookmarkEnd w:id="10"/>
          <w:r w:rsidRPr="002F1235">
            <w:t>M. Stephen Bereaux, Adjoint à la Directrice du Bureau de développement des télécommunications</w:t>
          </w:r>
        </w:p>
      </w:tc>
    </w:tr>
    <w:tr w:rsidR="00B03344" w:rsidRPr="004D495C" w14:paraId="6EA353CC" w14:textId="77777777" w:rsidTr="00B03344">
      <w:tc>
        <w:tcPr>
          <w:tcW w:w="1431" w:type="dxa"/>
          <w:shd w:val="clear" w:color="auto" w:fill="auto"/>
        </w:tcPr>
        <w:p w14:paraId="10D0031D" w14:textId="77777777" w:rsidR="00B03344" w:rsidRPr="00964A23" w:rsidRDefault="00B03344" w:rsidP="00B03344">
          <w:pPr>
            <w:pStyle w:val="FirstFooter"/>
            <w:tabs>
              <w:tab w:val="left" w:pos="1559"/>
              <w:tab w:val="left" w:pos="3828"/>
            </w:tabs>
            <w:rPr>
              <w:sz w:val="20"/>
            </w:rPr>
          </w:pPr>
        </w:p>
      </w:tc>
      <w:tc>
        <w:tcPr>
          <w:tcW w:w="2251" w:type="dxa"/>
        </w:tcPr>
        <w:p w14:paraId="171431B3" w14:textId="77777777" w:rsidR="00B03344" w:rsidRPr="004D495C" w:rsidRDefault="00B03344" w:rsidP="00B03344">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shd w:val="clear" w:color="auto" w:fill="auto"/>
        </w:tcPr>
        <w:p w14:paraId="7CC36269" w14:textId="70ACED8F" w:rsidR="00B03344" w:rsidRPr="004D495C" w:rsidRDefault="00B03344" w:rsidP="00B03344">
          <w:pPr>
            <w:pStyle w:val="FirstFooter"/>
            <w:tabs>
              <w:tab w:val="left" w:pos="2302"/>
            </w:tabs>
            <w:rPr>
              <w:sz w:val="18"/>
              <w:szCs w:val="18"/>
              <w:highlight w:val="yellow"/>
              <w:lang w:val="en-US"/>
            </w:rPr>
          </w:pPr>
          <w:bookmarkStart w:id="11" w:name="PhoneNo"/>
          <w:bookmarkEnd w:id="11"/>
          <w:r w:rsidRPr="002F1235">
            <w:t>+41 22 730 5131</w:t>
          </w:r>
        </w:p>
      </w:tc>
    </w:tr>
    <w:tr w:rsidR="00B03344" w:rsidRPr="004D495C" w14:paraId="0B41BBE9" w14:textId="77777777" w:rsidTr="00B03344">
      <w:tc>
        <w:tcPr>
          <w:tcW w:w="1431" w:type="dxa"/>
          <w:shd w:val="clear" w:color="auto" w:fill="auto"/>
        </w:tcPr>
        <w:p w14:paraId="0AD2AA7B" w14:textId="77777777" w:rsidR="00B03344" w:rsidRPr="004D495C" w:rsidRDefault="00B03344" w:rsidP="00B03344">
          <w:pPr>
            <w:pStyle w:val="FirstFooter"/>
            <w:tabs>
              <w:tab w:val="left" w:pos="1559"/>
              <w:tab w:val="left" w:pos="3828"/>
            </w:tabs>
            <w:rPr>
              <w:sz w:val="20"/>
              <w:lang w:val="en-US"/>
            </w:rPr>
          </w:pPr>
        </w:p>
      </w:tc>
      <w:tc>
        <w:tcPr>
          <w:tcW w:w="2251" w:type="dxa"/>
        </w:tcPr>
        <w:p w14:paraId="4EE2DD6A" w14:textId="77777777" w:rsidR="00B03344" w:rsidRPr="004D495C" w:rsidRDefault="00B03344" w:rsidP="00B03344">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bookmarkStart w:id="12" w:name="Email"/>
      <w:bookmarkEnd w:id="12"/>
      <w:tc>
        <w:tcPr>
          <w:tcW w:w="5959" w:type="dxa"/>
          <w:shd w:val="clear" w:color="auto" w:fill="auto"/>
        </w:tcPr>
        <w:p w14:paraId="70551634" w14:textId="57727211" w:rsidR="00B03344" w:rsidRPr="004D495C" w:rsidRDefault="00B03344" w:rsidP="00B03344">
          <w:pPr>
            <w:pStyle w:val="FirstFooter"/>
            <w:tabs>
              <w:tab w:val="left" w:pos="2302"/>
            </w:tabs>
            <w:rPr>
              <w:sz w:val="18"/>
              <w:szCs w:val="18"/>
              <w:highlight w:val="yellow"/>
              <w:lang w:val="en-US"/>
            </w:rPr>
          </w:pPr>
          <w:r>
            <w:fldChar w:fldCharType="begin"/>
          </w:r>
          <w:r>
            <w:instrText xml:space="preserve"> HYPERLINK "mailto:</w:instrText>
          </w:r>
          <w:r w:rsidRPr="002F1235">
            <w:instrText>stephen.bereaux@itu.int</w:instrText>
          </w:r>
          <w:r>
            <w:instrText xml:space="preserve">" </w:instrText>
          </w:r>
          <w:r>
            <w:fldChar w:fldCharType="separate"/>
          </w:r>
          <w:r w:rsidRPr="0018049E">
            <w:rPr>
              <w:rStyle w:val="Hyperlink"/>
            </w:rPr>
            <w:t>stephen.bereaux@itu.int</w:t>
          </w:r>
          <w:r>
            <w:fldChar w:fldCharType="end"/>
          </w:r>
        </w:p>
      </w:tc>
    </w:tr>
  </w:tbl>
  <w:p w14:paraId="73D28639" w14:textId="409BB078" w:rsidR="00E2379D" w:rsidRPr="00555B2D" w:rsidRDefault="00555B2D" w:rsidP="00BA2A7B">
    <w:pPr>
      <w:jc w:val="center"/>
      <w:rPr>
        <w:sz w:val="18"/>
        <w:szCs w:val="18"/>
        <w:lang w:val="fr-FR"/>
      </w:rPr>
    </w:pPr>
    <w:hyperlink r:id="rId1" w:history="1">
      <w:r w:rsidRPr="00555B2D">
        <w:rPr>
          <w:rStyle w:val="Hyperlink"/>
          <w:sz w:val="18"/>
          <w:szCs w:val="18"/>
        </w:rPr>
        <w:t>RP</w:t>
      </w:r>
      <w:r w:rsidRPr="00555B2D">
        <w:rPr>
          <w:rStyle w:val="Hyperlink"/>
          <w:sz w:val="18"/>
          <w:szCs w:val="18"/>
        </w:rPr>
        <w:t>M</w:t>
      </w:r>
      <w:r w:rsidRPr="00555B2D">
        <w:rPr>
          <w:rStyle w:val="Hyperlink"/>
          <w:sz w:val="18"/>
          <w:szCs w:val="18"/>
        </w:rPr>
        <w:t>-EUR21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9946" w14:textId="77777777" w:rsidR="00784B05" w:rsidRDefault="00784B05">
      <w:r>
        <w:separator/>
      </w:r>
    </w:p>
  </w:footnote>
  <w:footnote w:type="continuationSeparator" w:id="0">
    <w:p w14:paraId="5ED640FC" w14:textId="77777777" w:rsidR="00784B05" w:rsidRDefault="00784B05">
      <w:r>
        <w:continuationSeparator/>
      </w:r>
    </w:p>
  </w:footnote>
  <w:footnote w:id="1">
    <w:p w14:paraId="70493183" w14:textId="2BB3534D" w:rsidR="00A3187B" w:rsidRPr="00A3187B" w:rsidRDefault="00A3187B" w:rsidP="00445858">
      <w:pPr>
        <w:pStyle w:val="FootnoteText"/>
        <w:spacing w:before="60"/>
        <w:ind w:left="259" w:hanging="259"/>
        <w:rPr>
          <w:sz w:val="20"/>
          <w:lang w:val="fr-FR"/>
        </w:rPr>
      </w:pPr>
      <w:r>
        <w:rPr>
          <w:rStyle w:val="FootnoteReference"/>
        </w:rPr>
        <w:footnoteRef/>
      </w:r>
      <w:r w:rsidRPr="00A3187B">
        <w:rPr>
          <w:lang w:val="fr-FR"/>
        </w:rPr>
        <w:tab/>
      </w:r>
      <w:r w:rsidRPr="00A3187B">
        <w:rPr>
          <w:sz w:val="22"/>
          <w:szCs w:val="22"/>
          <w:lang w:val="fr-FR"/>
        </w:rPr>
        <w:t>En particulier, voir la Résolution 151 (Rév. Dubaï, 2018) de la PP concernant la mise en œuvre de la gestion axée sur les résultats et la Résolution 71 (Rév. Dubaï, 2018) de la PP sur la mise en œuvre coordonnée du Plan stratégique de l'UIT, a</w:t>
      </w:r>
      <w:r w:rsidR="00555B2D">
        <w:rPr>
          <w:sz w:val="22"/>
          <w:szCs w:val="22"/>
          <w:lang w:val="fr-FR"/>
        </w:rPr>
        <w:t>insi que la Résolution 52 (Rév.</w:t>
      </w:r>
      <w:r w:rsidRPr="00A3187B">
        <w:rPr>
          <w:sz w:val="22"/>
          <w:szCs w:val="22"/>
          <w:lang w:val="fr-FR"/>
        </w:rPr>
        <w:t>Dubaï, 2014) de la CMDT sur le renforcement du rôle d'agent d'exécution du Secteur du développement des télécommunications de l'UIT.</w:t>
      </w:r>
    </w:p>
  </w:footnote>
  <w:footnote w:id="2">
    <w:p w14:paraId="42FD5DA2" w14:textId="2A0FF832" w:rsidR="00A3187B" w:rsidRPr="00A3187B" w:rsidRDefault="00A3187B" w:rsidP="00A3187B">
      <w:pPr>
        <w:pStyle w:val="FootnoteText"/>
        <w:spacing w:before="0"/>
        <w:ind w:left="259" w:hanging="259"/>
        <w:rPr>
          <w:sz w:val="20"/>
          <w:lang w:val="fr-FR"/>
        </w:rPr>
      </w:pPr>
      <w:r w:rsidRPr="00445858">
        <w:rPr>
          <w:rStyle w:val="FootnoteReference"/>
          <w:szCs w:val="18"/>
        </w:rPr>
        <w:footnoteRef/>
      </w:r>
      <w:r w:rsidRPr="00A3187B">
        <w:rPr>
          <w:sz w:val="20"/>
          <w:lang w:val="fr-FR"/>
        </w:rPr>
        <w:tab/>
      </w:r>
      <w:r w:rsidRPr="00A3187B">
        <w:rPr>
          <w:sz w:val="22"/>
          <w:szCs w:val="22"/>
          <w:lang w:val="fr-FR"/>
        </w:rPr>
        <w:t>En particulier, voir la Résolution 25 (Rév. Dubaï, 2018) de la PP sur le renforcement de la présence régi</w:t>
      </w:r>
      <w:r w:rsidR="00555B2D">
        <w:rPr>
          <w:sz w:val="22"/>
          <w:szCs w:val="22"/>
          <w:lang w:val="fr-FR"/>
        </w:rPr>
        <w:t>onale et la Résolution 53 (Rév.</w:t>
      </w:r>
      <w:r w:rsidRPr="00A3187B">
        <w:rPr>
          <w:sz w:val="22"/>
          <w:szCs w:val="22"/>
          <w:lang w:val="fr-FR"/>
        </w:rPr>
        <w:t>Dubaï, 2014) de la CMDT, dans laquelle il est demandé de développer un cadre stratégique et financier pour l'élaboration et la mise en œuvre du Plan d'action de Dubaï.</w:t>
      </w:r>
    </w:p>
  </w:footnote>
  <w:footnote w:id="3">
    <w:p w14:paraId="0871767E" w14:textId="35EFD674" w:rsidR="00F051FB" w:rsidRPr="00FE5E50" w:rsidRDefault="00F051FB" w:rsidP="00CF1DC5">
      <w:pPr>
        <w:pStyle w:val="FootnoteText"/>
        <w:rPr>
          <w:lang w:val="fr-FR"/>
        </w:rPr>
      </w:pPr>
      <w:r>
        <w:rPr>
          <w:rStyle w:val="FootnoteReference"/>
        </w:rPr>
        <w:footnoteRef/>
      </w:r>
      <w:r w:rsidRPr="00FE5E50">
        <w:rPr>
          <w:lang w:val="fr-FR"/>
        </w:rPr>
        <w:tab/>
      </w:r>
      <w:r w:rsidR="00CF1DC5" w:rsidRPr="00CF1DC5">
        <w:rPr>
          <w:sz w:val="22"/>
          <w:szCs w:val="22"/>
          <w:lang w:val="fr-FR"/>
        </w:rPr>
        <w:t>C</w:t>
      </w:r>
      <w:r w:rsidR="00FE5E50" w:rsidRPr="00FE5E50">
        <w:rPr>
          <w:sz w:val="22"/>
          <w:szCs w:val="18"/>
          <w:lang w:val="fr-FR"/>
        </w:rPr>
        <w:t>ette approche exhaustiv</w:t>
      </w:r>
      <w:r w:rsidR="00CF1DC5">
        <w:rPr>
          <w:sz w:val="22"/>
          <w:szCs w:val="18"/>
          <w:lang w:val="fr-FR"/>
        </w:rPr>
        <w:t>e exigera toutefois la mise</w:t>
      </w:r>
      <w:r w:rsidR="00FE5E50" w:rsidRPr="00FE5E50">
        <w:rPr>
          <w:sz w:val="22"/>
          <w:szCs w:val="18"/>
          <w:lang w:val="fr-FR"/>
        </w:rPr>
        <w:t xml:space="preserve"> en place de nouveaux systèmes pour suivre les progrès accomplis dans la mise en œuvre, pour rendre compte des </w:t>
      </w:r>
      <w:r w:rsidR="00CF1DC5">
        <w:rPr>
          <w:sz w:val="22"/>
          <w:szCs w:val="18"/>
          <w:lang w:val="fr-FR"/>
        </w:rPr>
        <w:t>IFP, des risques opérationnels</w:t>
      </w:r>
      <w:r w:rsidR="00FE5E50" w:rsidRPr="00FE5E50">
        <w:rPr>
          <w:sz w:val="22"/>
          <w:szCs w:val="18"/>
          <w:lang w:val="fr-FR"/>
        </w:rPr>
        <w:t xml:space="preserve"> et des dépenses liées aux produits, ainsi que pour assurer le suivi des activités. De cette manière, </w:t>
      </w:r>
      <w:r w:rsidR="00CF1DC5">
        <w:rPr>
          <w:sz w:val="22"/>
          <w:szCs w:val="18"/>
          <w:lang w:val="fr-FR"/>
        </w:rPr>
        <w:t>il sera possible</w:t>
      </w:r>
      <w:r w:rsidR="00FE5E50" w:rsidRPr="00FE5E50">
        <w:rPr>
          <w:sz w:val="22"/>
          <w:szCs w:val="18"/>
          <w:lang w:val="fr-FR"/>
        </w:rPr>
        <w:t xml:space="preserve"> </w:t>
      </w:r>
      <w:r w:rsidR="00CF1DC5">
        <w:rPr>
          <w:sz w:val="22"/>
          <w:szCs w:val="18"/>
          <w:lang w:val="fr-FR"/>
        </w:rPr>
        <w:t>d'</w:t>
      </w:r>
      <w:r w:rsidR="00FE5E50" w:rsidRPr="00FE5E50">
        <w:rPr>
          <w:sz w:val="22"/>
          <w:szCs w:val="18"/>
          <w:lang w:val="fr-FR"/>
        </w:rPr>
        <w:t>établir des liens directs entre, d'une part, notre budget et les dépenses encourues et, d'autre part, les priorités énoncées dans notre programme de travail, en attendant que la modernisation des systèmes informatiques soit menée à bien.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738B2333"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00FE5E50">
      <w:rPr>
        <w:sz w:val="22"/>
        <w:szCs w:val="22"/>
        <w:lang w:val="es-ES_tradnl"/>
      </w:rPr>
      <w:t>ITU</w:t>
    </w:r>
    <w:r w:rsidRPr="00FF089C">
      <w:rPr>
        <w:sz w:val="22"/>
        <w:szCs w:val="22"/>
        <w:lang w:val="es-ES_tradnl"/>
      </w:rPr>
      <w:t>-D/</w:t>
    </w:r>
    <w:bookmarkStart w:id="8" w:name="DocRef2"/>
    <w:bookmarkEnd w:id="8"/>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9" w:name="DocNo2"/>
    <w:bookmarkEnd w:id="9"/>
    <w:r w:rsidR="00964A23">
      <w:rPr>
        <w:sz w:val="22"/>
        <w:szCs w:val="22"/>
        <w:lang w:val="es-ES_tradnl"/>
      </w:rPr>
      <w:t>3</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857F9">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2"/>
  </w:num>
  <w:num w:numId="15">
    <w:abstractNumId w:val="18"/>
  </w:num>
  <w:num w:numId="16">
    <w:abstractNumId w:val="34"/>
  </w:num>
  <w:num w:numId="17">
    <w:abstractNumId w:val="29"/>
  </w:num>
  <w:num w:numId="18">
    <w:abstractNumId w:val="13"/>
  </w:num>
  <w:num w:numId="19">
    <w:abstractNumId w:val="19"/>
  </w:num>
  <w:num w:numId="20">
    <w:abstractNumId w:val="24"/>
  </w:num>
  <w:num w:numId="21">
    <w:abstractNumId w:val="30"/>
  </w:num>
  <w:num w:numId="22">
    <w:abstractNumId w:val="16"/>
  </w:num>
  <w:num w:numId="23">
    <w:abstractNumId w:val="20"/>
  </w:num>
  <w:num w:numId="24">
    <w:abstractNumId w:val="28"/>
  </w:num>
  <w:num w:numId="25">
    <w:abstractNumId w:val="28"/>
  </w:num>
  <w:num w:numId="26">
    <w:abstractNumId w:val="21"/>
  </w:num>
  <w:num w:numId="27">
    <w:abstractNumId w:val="15"/>
  </w:num>
  <w:num w:numId="28">
    <w:abstractNumId w:val="32"/>
  </w:num>
  <w:num w:numId="29">
    <w:abstractNumId w:val="11"/>
  </w:num>
  <w:num w:numId="30">
    <w:abstractNumId w:val="23"/>
  </w:num>
  <w:num w:numId="31">
    <w:abstractNumId w:val="33"/>
  </w:num>
  <w:num w:numId="32">
    <w:abstractNumId w:val="25"/>
  </w:num>
  <w:num w:numId="33">
    <w:abstractNumId w:val="27"/>
  </w:num>
  <w:num w:numId="34">
    <w:abstractNumId w:val="17"/>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3204"/>
    <w:rsid w:val="000370A8"/>
    <w:rsid w:val="0006050B"/>
    <w:rsid w:val="00072E5C"/>
    <w:rsid w:val="00080665"/>
    <w:rsid w:val="00085784"/>
    <w:rsid w:val="0009676A"/>
    <w:rsid w:val="000A0187"/>
    <w:rsid w:val="000A3328"/>
    <w:rsid w:val="000D0403"/>
    <w:rsid w:val="000D61A2"/>
    <w:rsid w:val="000D7961"/>
    <w:rsid w:val="000E397B"/>
    <w:rsid w:val="000F1580"/>
    <w:rsid w:val="000F6EBE"/>
    <w:rsid w:val="001229F6"/>
    <w:rsid w:val="00145A7E"/>
    <w:rsid w:val="00151478"/>
    <w:rsid w:val="0015200D"/>
    <w:rsid w:val="0015553B"/>
    <w:rsid w:val="00161A5A"/>
    <w:rsid w:val="00170AB9"/>
    <w:rsid w:val="00181928"/>
    <w:rsid w:val="001856D7"/>
    <w:rsid w:val="00187E51"/>
    <w:rsid w:val="00191D73"/>
    <w:rsid w:val="00192DBD"/>
    <w:rsid w:val="0019399A"/>
    <w:rsid w:val="001A2C2C"/>
    <w:rsid w:val="001A52E9"/>
    <w:rsid w:val="001B4B9B"/>
    <w:rsid w:val="001D3694"/>
    <w:rsid w:val="001E33AB"/>
    <w:rsid w:val="001E3BCF"/>
    <w:rsid w:val="00201EA8"/>
    <w:rsid w:val="002066B3"/>
    <w:rsid w:val="00210085"/>
    <w:rsid w:val="0021427F"/>
    <w:rsid w:val="00235915"/>
    <w:rsid w:val="00252877"/>
    <w:rsid w:val="00262B06"/>
    <w:rsid w:val="00270C45"/>
    <w:rsid w:val="002710B5"/>
    <w:rsid w:val="002748B0"/>
    <w:rsid w:val="00275198"/>
    <w:rsid w:val="0028054C"/>
    <w:rsid w:val="002869AF"/>
    <w:rsid w:val="00286A28"/>
    <w:rsid w:val="002900F9"/>
    <w:rsid w:val="00295878"/>
    <w:rsid w:val="002A3A4E"/>
    <w:rsid w:val="002B02FE"/>
    <w:rsid w:val="002B1A8F"/>
    <w:rsid w:val="002B2265"/>
    <w:rsid w:val="002C67D8"/>
    <w:rsid w:val="002D0049"/>
    <w:rsid w:val="002E02AD"/>
    <w:rsid w:val="003058DA"/>
    <w:rsid w:val="0030762F"/>
    <w:rsid w:val="00311333"/>
    <w:rsid w:val="00311BD3"/>
    <w:rsid w:val="00312685"/>
    <w:rsid w:val="00334C18"/>
    <w:rsid w:val="00342A65"/>
    <w:rsid w:val="003513DB"/>
    <w:rsid w:val="0036243F"/>
    <w:rsid w:val="00385ABF"/>
    <w:rsid w:val="00386C18"/>
    <w:rsid w:val="00392AF3"/>
    <w:rsid w:val="003A6A11"/>
    <w:rsid w:val="003B75F4"/>
    <w:rsid w:val="003C78E4"/>
    <w:rsid w:val="003D243A"/>
    <w:rsid w:val="003E20FF"/>
    <w:rsid w:val="003F7408"/>
    <w:rsid w:val="00406F1F"/>
    <w:rsid w:val="004077C9"/>
    <w:rsid w:val="004143EF"/>
    <w:rsid w:val="00414E6F"/>
    <w:rsid w:val="00415F06"/>
    <w:rsid w:val="00416D38"/>
    <w:rsid w:val="00421F93"/>
    <w:rsid w:val="004331DF"/>
    <w:rsid w:val="0043566B"/>
    <w:rsid w:val="004430CE"/>
    <w:rsid w:val="00444142"/>
    <w:rsid w:val="00445858"/>
    <w:rsid w:val="00454D3E"/>
    <w:rsid w:val="00457453"/>
    <w:rsid w:val="0046327F"/>
    <w:rsid w:val="00472A03"/>
    <w:rsid w:val="00475A24"/>
    <w:rsid w:val="00483313"/>
    <w:rsid w:val="004857F9"/>
    <w:rsid w:val="00487A55"/>
    <w:rsid w:val="00496015"/>
    <w:rsid w:val="004A0340"/>
    <w:rsid w:val="004A28F0"/>
    <w:rsid w:val="004A330A"/>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27AC3"/>
    <w:rsid w:val="005302F6"/>
    <w:rsid w:val="00542D84"/>
    <w:rsid w:val="00546F06"/>
    <w:rsid w:val="005543B5"/>
    <w:rsid w:val="00555B2D"/>
    <w:rsid w:val="0058604B"/>
    <w:rsid w:val="005B37AF"/>
    <w:rsid w:val="005B393A"/>
    <w:rsid w:val="005B45E9"/>
    <w:rsid w:val="005B5914"/>
    <w:rsid w:val="005B7A64"/>
    <w:rsid w:val="005C0E75"/>
    <w:rsid w:val="005C33BC"/>
    <w:rsid w:val="005D12FD"/>
    <w:rsid w:val="005E07F1"/>
    <w:rsid w:val="00622A8F"/>
    <w:rsid w:val="00627F6A"/>
    <w:rsid w:val="006354E9"/>
    <w:rsid w:val="0064011F"/>
    <w:rsid w:val="00641CA0"/>
    <w:rsid w:val="006444D5"/>
    <w:rsid w:val="0065094C"/>
    <w:rsid w:val="006527BD"/>
    <w:rsid w:val="00656299"/>
    <w:rsid w:val="00663234"/>
    <w:rsid w:val="00665DAF"/>
    <w:rsid w:val="00667E12"/>
    <w:rsid w:val="006748B0"/>
    <w:rsid w:val="00676C62"/>
    <w:rsid w:val="00677A58"/>
    <w:rsid w:val="00685848"/>
    <w:rsid w:val="00694A24"/>
    <w:rsid w:val="006A6F8F"/>
    <w:rsid w:val="006C0E12"/>
    <w:rsid w:val="006C7A7B"/>
    <w:rsid w:val="006D0B95"/>
    <w:rsid w:val="006D1217"/>
    <w:rsid w:val="006F1CE9"/>
    <w:rsid w:val="0070090A"/>
    <w:rsid w:val="0070796E"/>
    <w:rsid w:val="007274B6"/>
    <w:rsid w:val="00735AC3"/>
    <w:rsid w:val="00735B54"/>
    <w:rsid w:val="00755605"/>
    <w:rsid w:val="00762A1E"/>
    <w:rsid w:val="00764147"/>
    <w:rsid w:val="007679D2"/>
    <w:rsid w:val="00770299"/>
    <w:rsid w:val="00781933"/>
    <w:rsid w:val="00784B05"/>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B5F38"/>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648C3"/>
    <w:rsid w:val="00964A23"/>
    <w:rsid w:val="0097038C"/>
    <w:rsid w:val="0098434D"/>
    <w:rsid w:val="009A3F72"/>
    <w:rsid w:val="009A6FD6"/>
    <w:rsid w:val="009A7184"/>
    <w:rsid w:val="009B17EA"/>
    <w:rsid w:val="009B6F98"/>
    <w:rsid w:val="009C4837"/>
    <w:rsid w:val="009D7B40"/>
    <w:rsid w:val="009E3FEB"/>
    <w:rsid w:val="009E50D3"/>
    <w:rsid w:val="009F680F"/>
    <w:rsid w:val="00A13179"/>
    <w:rsid w:val="00A140EB"/>
    <w:rsid w:val="00A16064"/>
    <w:rsid w:val="00A3187B"/>
    <w:rsid w:val="00A52508"/>
    <w:rsid w:val="00A54CA6"/>
    <w:rsid w:val="00A65745"/>
    <w:rsid w:val="00A704BA"/>
    <w:rsid w:val="00A824E0"/>
    <w:rsid w:val="00A840C6"/>
    <w:rsid w:val="00AB4706"/>
    <w:rsid w:val="00AC3A1D"/>
    <w:rsid w:val="00AC7AC6"/>
    <w:rsid w:val="00AD2FB3"/>
    <w:rsid w:val="00AD799C"/>
    <w:rsid w:val="00AE1C97"/>
    <w:rsid w:val="00AE2BCA"/>
    <w:rsid w:val="00AF0A2E"/>
    <w:rsid w:val="00AF4619"/>
    <w:rsid w:val="00B03344"/>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86FF0"/>
    <w:rsid w:val="00BA2A7B"/>
    <w:rsid w:val="00BA5632"/>
    <w:rsid w:val="00BB67AF"/>
    <w:rsid w:val="00BC1350"/>
    <w:rsid w:val="00BC17CD"/>
    <w:rsid w:val="00BC6A2F"/>
    <w:rsid w:val="00BE77DE"/>
    <w:rsid w:val="00BF1682"/>
    <w:rsid w:val="00C161FC"/>
    <w:rsid w:val="00C172C6"/>
    <w:rsid w:val="00C26729"/>
    <w:rsid w:val="00C32268"/>
    <w:rsid w:val="00C37B27"/>
    <w:rsid w:val="00C53CE6"/>
    <w:rsid w:val="00C551FC"/>
    <w:rsid w:val="00C62651"/>
    <w:rsid w:val="00C648E4"/>
    <w:rsid w:val="00C75DBB"/>
    <w:rsid w:val="00C837F9"/>
    <w:rsid w:val="00C84158"/>
    <w:rsid w:val="00C84E60"/>
    <w:rsid w:val="00C86993"/>
    <w:rsid w:val="00CA4787"/>
    <w:rsid w:val="00CF1DC5"/>
    <w:rsid w:val="00CF63E1"/>
    <w:rsid w:val="00D00614"/>
    <w:rsid w:val="00D028F0"/>
    <w:rsid w:val="00D17DC5"/>
    <w:rsid w:val="00D27001"/>
    <w:rsid w:val="00D35307"/>
    <w:rsid w:val="00D44A7E"/>
    <w:rsid w:val="00D4563B"/>
    <w:rsid w:val="00D77235"/>
    <w:rsid w:val="00D80072"/>
    <w:rsid w:val="00D839D8"/>
    <w:rsid w:val="00D92439"/>
    <w:rsid w:val="00DA1664"/>
    <w:rsid w:val="00DA2F6F"/>
    <w:rsid w:val="00DA3130"/>
    <w:rsid w:val="00DB5B1B"/>
    <w:rsid w:val="00DB6C98"/>
    <w:rsid w:val="00DC09A7"/>
    <w:rsid w:val="00DD05EF"/>
    <w:rsid w:val="00DD3D22"/>
    <w:rsid w:val="00DD5A07"/>
    <w:rsid w:val="00DE3F2D"/>
    <w:rsid w:val="00DE460C"/>
    <w:rsid w:val="00E207C7"/>
    <w:rsid w:val="00E2379D"/>
    <w:rsid w:val="00E244D1"/>
    <w:rsid w:val="00E45EB4"/>
    <w:rsid w:val="00E7476B"/>
    <w:rsid w:val="00E74841"/>
    <w:rsid w:val="00E84413"/>
    <w:rsid w:val="00E96ABC"/>
    <w:rsid w:val="00E97390"/>
    <w:rsid w:val="00E97800"/>
    <w:rsid w:val="00EA3797"/>
    <w:rsid w:val="00EA467D"/>
    <w:rsid w:val="00EA6520"/>
    <w:rsid w:val="00EA72D0"/>
    <w:rsid w:val="00EF62C8"/>
    <w:rsid w:val="00F018AF"/>
    <w:rsid w:val="00F051FB"/>
    <w:rsid w:val="00F2422E"/>
    <w:rsid w:val="00F35A0C"/>
    <w:rsid w:val="00F40E2E"/>
    <w:rsid w:val="00F529F1"/>
    <w:rsid w:val="00F620CA"/>
    <w:rsid w:val="00F74154"/>
    <w:rsid w:val="00F842D3"/>
    <w:rsid w:val="00F87092"/>
    <w:rsid w:val="00F97B1A"/>
    <w:rsid w:val="00FC045D"/>
    <w:rsid w:val="00FC19A0"/>
    <w:rsid w:val="00FD281F"/>
    <w:rsid w:val="00FE5E50"/>
    <w:rsid w:val="00FE64B2"/>
    <w:rsid w:val="00FE722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ListParagraphChar">
    <w:name w:val="List Paragraph Char"/>
    <w:basedOn w:val="DefaultParagraphFont"/>
    <w:link w:val="ListParagraph"/>
    <w:uiPriority w:val="34"/>
    <w:locked/>
    <w:rsid w:val="00A3187B"/>
    <w:rPr>
      <w:rFonts w:ascii="Calibri" w:eastAsia="Times New Roman" w:hAnsi="Calibri"/>
      <w:sz w:val="24"/>
      <w:lang w:eastAsia="en-US"/>
    </w:rPr>
  </w:style>
  <w:style w:type="paragraph" w:customStyle="1" w:styleId="Figure">
    <w:name w:val="Figure"/>
    <w:basedOn w:val="enumlev1"/>
    <w:rsid w:val="00F0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Slide.sldx"/><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1978</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13</cp:revision>
  <cp:lastPrinted>2016-05-13T07:33:00Z</cp:lastPrinted>
  <dcterms:created xsi:type="dcterms:W3CDTF">2020-12-18T06:20:00Z</dcterms:created>
  <dcterms:modified xsi:type="dcterms:W3CDTF">2020-12-18T08:11:00Z</dcterms:modified>
</cp:coreProperties>
</file>