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1061"/>
        <w:tblW w:w="5005" w:type="pct"/>
        <w:tblLayout w:type="fixed"/>
        <w:tblLook w:val="0000" w:firstRow="0" w:lastRow="0" w:firstColumn="0" w:lastColumn="0" w:noHBand="0" w:noVBand="0"/>
      </w:tblPr>
      <w:tblGrid>
        <w:gridCol w:w="1997"/>
        <w:gridCol w:w="4382"/>
        <w:gridCol w:w="1945"/>
        <w:gridCol w:w="1315"/>
      </w:tblGrid>
      <w:tr w:rsidR="00EC3385" w:rsidRPr="00D15565" w14:paraId="4CF37CD2" w14:textId="77777777" w:rsidTr="00EC3385">
        <w:trPr>
          <w:cantSplit/>
          <w:trHeight w:val="1362"/>
        </w:trPr>
        <w:tc>
          <w:tcPr>
            <w:tcW w:w="1997" w:type="dxa"/>
            <w:tcBorders>
              <w:top w:val="single" w:sz="4" w:space="0" w:color="auto"/>
              <w:left w:val="single" w:sz="4" w:space="0" w:color="auto"/>
              <w:bottom w:val="single" w:sz="4" w:space="0" w:color="auto"/>
              <w:right w:val="single" w:sz="4" w:space="0" w:color="auto"/>
            </w:tcBorders>
          </w:tcPr>
          <w:p w14:paraId="0C2BF242" w14:textId="14018C9A" w:rsidR="00EC3385" w:rsidRPr="00D15565" w:rsidRDefault="00EC3385" w:rsidP="00EC3385">
            <w:pPr>
              <w:spacing w:after="120"/>
              <w:rPr>
                <w:rFonts w:cstheme="minorHAnsi"/>
                <w:b/>
                <w:bCs/>
                <w:sz w:val="32"/>
                <w:szCs w:val="32"/>
                <w:lang w:val="es-ES_tradnl"/>
              </w:rPr>
            </w:pPr>
            <w:r w:rsidRPr="00D15565">
              <w:rPr>
                <w:b/>
                <w:bCs/>
                <w:noProof/>
                <w:sz w:val="32"/>
                <w:szCs w:val="32"/>
                <w:lang w:val="es-ES_tradnl"/>
              </w:rPr>
              <w:drawing>
                <wp:inline distT="0" distB="0" distL="0" distR="0" wp14:anchorId="1A7BBE53" wp14:editId="1841297B">
                  <wp:extent cx="1066119" cy="913342"/>
                  <wp:effectExtent l="0" t="0" r="127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DC21 Logo Final_aligned_center_S.png"/>
                          <pic:cNvPicPr/>
                        </pic:nvPicPr>
                        <pic:blipFill rotWithShape="1">
                          <a:blip r:embed="rId12" cstate="print">
                            <a:extLst>
                              <a:ext uri="{28A0092B-C50C-407E-A947-70E740481C1C}">
                                <a14:useLocalDpi xmlns:a14="http://schemas.microsoft.com/office/drawing/2010/main" val="0"/>
                              </a:ext>
                            </a:extLst>
                          </a:blip>
                          <a:srcRect t="10684"/>
                          <a:stretch/>
                        </pic:blipFill>
                        <pic:spPr bwMode="auto">
                          <a:xfrm>
                            <a:off x="0" y="0"/>
                            <a:ext cx="1069903" cy="916584"/>
                          </a:xfrm>
                          <a:prstGeom prst="rect">
                            <a:avLst/>
                          </a:prstGeom>
                          <a:ln>
                            <a:noFill/>
                          </a:ln>
                          <a:extLst>
                            <a:ext uri="{53640926-AAD7-44D8-BBD7-CCE9431645EC}">
                              <a14:shadowObscured xmlns:a14="http://schemas.microsoft.com/office/drawing/2010/main"/>
                            </a:ext>
                          </a:extLst>
                        </pic:spPr>
                      </pic:pic>
                    </a:graphicData>
                  </a:graphic>
                </wp:inline>
              </w:drawing>
            </w:r>
          </w:p>
        </w:tc>
        <w:tc>
          <w:tcPr>
            <w:tcW w:w="6327" w:type="dxa"/>
            <w:gridSpan w:val="2"/>
            <w:tcBorders>
              <w:top w:val="single" w:sz="4" w:space="0" w:color="auto"/>
              <w:left w:val="single" w:sz="4" w:space="0" w:color="auto"/>
              <w:bottom w:val="single" w:sz="4" w:space="0" w:color="auto"/>
              <w:right w:val="single" w:sz="4" w:space="0" w:color="auto"/>
            </w:tcBorders>
          </w:tcPr>
          <w:p w14:paraId="3865F953" w14:textId="77777777" w:rsidR="005C665F" w:rsidRDefault="00EC3385" w:rsidP="005C665F">
            <w:pPr>
              <w:spacing w:after="120" w:line="240" w:lineRule="atLeast"/>
              <w:rPr>
                <w:b/>
                <w:bCs/>
                <w:sz w:val="32"/>
                <w:szCs w:val="32"/>
                <w:lang w:val="es-ES_tradnl"/>
              </w:rPr>
            </w:pPr>
            <w:r w:rsidRPr="00D15565">
              <w:rPr>
                <w:b/>
                <w:bCs/>
                <w:sz w:val="32"/>
                <w:szCs w:val="32"/>
                <w:lang w:val="es-ES_tradnl"/>
              </w:rPr>
              <w:t xml:space="preserve">Reunión Preparatoria Regional de la CMDT-21 </w:t>
            </w:r>
            <w:r w:rsidRPr="00D15565">
              <w:rPr>
                <w:b/>
                <w:bCs/>
                <w:sz w:val="32"/>
                <w:szCs w:val="32"/>
                <w:lang w:val="es-ES_tradnl"/>
              </w:rPr>
              <w:br/>
              <w:t xml:space="preserve">para </w:t>
            </w:r>
            <w:r w:rsidR="004B28CC" w:rsidRPr="00D15565">
              <w:rPr>
                <w:b/>
                <w:bCs/>
                <w:sz w:val="32"/>
                <w:szCs w:val="32"/>
                <w:lang w:val="es-ES_tradnl"/>
              </w:rPr>
              <w:t xml:space="preserve">la </w:t>
            </w:r>
            <w:r w:rsidRPr="00D15565">
              <w:rPr>
                <w:rFonts w:eastAsia="SimSun"/>
                <w:b/>
                <w:bCs/>
                <w:sz w:val="28"/>
                <w:szCs w:val="28"/>
                <w:lang w:val="es-ES_tradnl"/>
              </w:rPr>
              <w:t>CEI (RPR-CEI)</w:t>
            </w:r>
          </w:p>
          <w:p w14:paraId="5C580042" w14:textId="5DC70DB6" w:rsidR="00EC3385" w:rsidRPr="00D15565" w:rsidRDefault="00EC3385" w:rsidP="005C665F">
            <w:pPr>
              <w:spacing w:before="360" w:after="120" w:line="240" w:lineRule="atLeast"/>
              <w:rPr>
                <w:rFonts w:cstheme="minorHAnsi"/>
                <w:b/>
                <w:bCs/>
                <w:sz w:val="32"/>
                <w:szCs w:val="32"/>
                <w:lang w:val="es-ES_tradnl"/>
              </w:rPr>
            </w:pPr>
            <w:r w:rsidRPr="005C665F">
              <w:rPr>
                <w:b/>
                <w:bCs/>
                <w:sz w:val="26"/>
                <w:szCs w:val="26"/>
                <w:lang w:val="es-ES_tradnl"/>
              </w:rPr>
              <w:t>Virtual, 2</w:t>
            </w:r>
            <w:r w:rsidR="004B28CC" w:rsidRPr="005C665F">
              <w:rPr>
                <w:b/>
                <w:bCs/>
                <w:sz w:val="26"/>
                <w:szCs w:val="26"/>
                <w:lang w:val="es-ES_tradnl"/>
              </w:rPr>
              <w:t>1</w:t>
            </w:r>
            <w:r w:rsidRPr="005C665F">
              <w:rPr>
                <w:b/>
                <w:bCs/>
                <w:sz w:val="26"/>
                <w:szCs w:val="26"/>
                <w:lang w:val="es-ES_tradnl"/>
              </w:rPr>
              <w:t>-2</w:t>
            </w:r>
            <w:r w:rsidR="004B28CC" w:rsidRPr="005C665F">
              <w:rPr>
                <w:b/>
                <w:bCs/>
                <w:sz w:val="26"/>
                <w:szCs w:val="26"/>
                <w:lang w:val="es-ES_tradnl"/>
              </w:rPr>
              <w:t>2</w:t>
            </w:r>
            <w:r w:rsidRPr="005C665F">
              <w:rPr>
                <w:b/>
                <w:bCs/>
                <w:sz w:val="26"/>
                <w:szCs w:val="26"/>
                <w:lang w:val="es-ES_tradnl"/>
              </w:rPr>
              <w:t xml:space="preserve"> de abril de 2021</w:t>
            </w:r>
          </w:p>
        </w:tc>
        <w:tc>
          <w:tcPr>
            <w:tcW w:w="1315" w:type="dxa"/>
            <w:tcBorders>
              <w:top w:val="single" w:sz="4" w:space="0" w:color="auto"/>
              <w:left w:val="single" w:sz="4" w:space="0" w:color="auto"/>
              <w:bottom w:val="single" w:sz="4" w:space="0" w:color="auto"/>
              <w:right w:val="single" w:sz="4" w:space="0" w:color="auto"/>
            </w:tcBorders>
          </w:tcPr>
          <w:p w14:paraId="370EC6F5" w14:textId="544C4580" w:rsidR="00EC3385" w:rsidRPr="00D15565" w:rsidRDefault="00EC3385" w:rsidP="00EC3385">
            <w:pPr>
              <w:spacing w:before="240" w:line="240" w:lineRule="atLeast"/>
              <w:jc w:val="right"/>
              <w:rPr>
                <w:rFonts w:cstheme="minorHAnsi"/>
                <w:lang w:val="es-ES_tradnl"/>
              </w:rPr>
            </w:pPr>
            <w:bookmarkStart w:id="0" w:name="ditulogo"/>
            <w:bookmarkEnd w:id="0"/>
            <w:r w:rsidRPr="00D15565">
              <w:rPr>
                <w:noProof/>
                <w:lang w:val="es-ES_tradnl"/>
              </w:rPr>
              <w:drawing>
                <wp:inline distT="0" distB="0" distL="0" distR="0" wp14:anchorId="0D133358" wp14:editId="34A56367">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64B30" w:rsidRPr="00D15565" w14:paraId="65030058" w14:textId="77777777" w:rsidTr="00EC3385">
        <w:trPr>
          <w:cantSplit/>
        </w:trPr>
        <w:tc>
          <w:tcPr>
            <w:tcW w:w="6379" w:type="dxa"/>
            <w:gridSpan w:val="2"/>
            <w:tcBorders>
              <w:top w:val="single" w:sz="12" w:space="0" w:color="auto"/>
            </w:tcBorders>
          </w:tcPr>
          <w:p w14:paraId="340859A2" w14:textId="77777777" w:rsidR="00C64B30" w:rsidRPr="00D15565" w:rsidRDefault="00C64B30" w:rsidP="00C64B30">
            <w:pPr>
              <w:spacing w:before="0" w:after="48" w:line="240" w:lineRule="atLeast"/>
              <w:rPr>
                <w:rFonts w:cstheme="minorHAnsi"/>
                <w:b/>
                <w:smallCaps/>
                <w:sz w:val="20"/>
                <w:lang w:val="es-ES_tradnl"/>
              </w:rPr>
            </w:pPr>
            <w:bookmarkStart w:id="1" w:name="dhead"/>
          </w:p>
        </w:tc>
        <w:tc>
          <w:tcPr>
            <w:tcW w:w="3260" w:type="dxa"/>
            <w:gridSpan w:val="2"/>
            <w:tcBorders>
              <w:top w:val="single" w:sz="12" w:space="0" w:color="auto"/>
            </w:tcBorders>
          </w:tcPr>
          <w:p w14:paraId="3F63716C" w14:textId="77777777" w:rsidR="00C64B30" w:rsidRPr="00D15565" w:rsidRDefault="00C64B30" w:rsidP="00C64B30">
            <w:pPr>
              <w:spacing w:before="0" w:line="240" w:lineRule="atLeast"/>
              <w:rPr>
                <w:rFonts w:cstheme="minorHAnsi"/>
                <w:sz w:val="20"/>
                <w:lang w:val="es-ES_tradnl"/>
              </w:rPr>
            </w:pPr>
          </w:p>
        </w:tc>
      </w:tr>
      <w:tr w:rsidR="00C64B30" w:rsidRPr="00D15565" w14:paraId="11B1A72C" w14:textId="77777777" w:rsidTr="00EC3385">
        <w:trPr>
          <w:cantSplit/>
          <w:trHeight w:val="23"/>
        </w:trPr>
        <w:tc>
          <w:tcPr>
            <w:tcW w:w="6379" w:type="dxa"/>
            <w:gridSpan w:val="2"/>
            <w:shd w:val="clear" w:color="auto" w:fill="auto"/>
          </w:tcPr>
          <w:p w14:paraId="3F310E14" w14:textId="77777777" w:rsidR="00C64B30" w:rsidRPr="00D15565" w:rsidRDefault="00C64B30" w:rsidP="00C64B30">
            <w:pPr>
              <w:pStyle w:val="Committee"/>
              <w:framePr w:hSpace="0" w:wrap="auto" w:hAnchor="text" w:yAlign="inline"/>
              <w:rPr>
                <w:lang w:val="es-ES_tradnl"/>
              </w:rPr>
            </w:pPr>
            <w:bookmarkStart w:id="2" w:name="dnum" w:colFirst="1" w:colLast="1"/>
            <w:bookmarkStart w:id="3" w:name="dmeeting" w:colFirst="0" w:colLast="0"/>
            <w:bookmarkEnd w:id="1"/>
          </w:p>
        </w:tc>
        <w:tc>
          <w:tcPr>
            <w:tcW w:w="3260" w:type="dxa"/>
            <w:gridSpan w:val="2"/>
          </w:tcPr>
          <w:p w14:paraId="57F5F480" w14:textId="4EAE88B4" w:rsidR="00C64B30" w:rsidRPr="00D15565" w:rsidRDefault="00C64B30" w:rsidP="00C64B30">
            <w:pPr>
              <w:tabs>
                <w:tab w:val="left" w:pos="851"/>
              </w:tabs>
              <w:spacing w:before="0" w:line="240" w:lineRule="atLeast"/>
              <w:rPr>
                <w:rFonts w:cstheme="minorHAnsi"/>
                <w:szCs w:val="24"/>
                <w:lang w:val="es-ES_tradnl"/>
              </w:rPr>
            </w:pPr>
            <w:r w:rsidRPr="00D15565">
              <w:rPr>
                <w:rFonts w:cstheme="minorHAnsi"/>
                <w:b/>
                <w:bCs/>
                <w:szCs w:val="24"/>
                <w:lang w:val="es-ES_tradnl"/>
              </w:rPr>
              <w:t>Document</w:t>
            </w:r>
            <w:r w:rsidR="00981CBA" w:rsidRPr="00D15565">
              <w:rPr>
                <w:rFonts w:cstheme="minorHAnsi"/>
                <w:b/>
                <w:bCs/>
                <w:szCs w:val="24"/>
                <w:lang w:val="es-ES_tradnl"/>
              </w:rPr>
              <w:t>o</w:t>
            </w:r>
            <w:r w:rsidRPr="00D15565">
              <w:rPr>
                <w:rFonts w:cstheme="minorHAnsi"/>
                <w:b/>
                <w:bCs/>
                <w:szCs w:val="24"/>
                <w:lang w:val="es-ES_tradnl"/>
              </w:rPr>
              <w:t xml:space="preserve"> </w:t>
            </w:r>
            <w:bookmarkStart w:id="4" w:name="DocRef1"/>
            <w:bookmarkEnd w:id="4"/>
            <w:r w:rsidRPr="00D15565">
              <w:rPr>
                <w:rFonts w:cstheme="minorHAnsi"/>
                <w:b/>
                <w:bCs/>
                <w:szCs w:val="24"/>
                <w:lang w:val="es-ES_tradnl"/>
              </w:rPr>
              <w:t>RPM-</w:t>
            </w:r>
            <w:r w:rsidR="000D238F" w:rsidRPr="00D15565">
              <w:rPr>
                <w:rFonts w:cstheme="minorHAnsi"/>
                <w:b/>
                <w:bCs/>
                <w:szCs w:val="24"/>
                <w:lang w:val="es-ES_tradnl"/>
              </w:rPr>
              <w:t>CIS</w:t>
            </w:r>
            <w:r w:rsidR="0055118B" w:rsidRPr="00D15565">
              <w:rPr>
                <w:rFonts w:cstheme="minorHAnsi"/>
                <w:b/>
                <w:bCs/>
                <w:szCs w:val="24"/>
                <w:lang w:val="es-ES_tradnl"/>
              </w:rPr>
              <w:t>2</w:t>
            </w:r>
            <w:r w:rsidRPr="00D15565">
              <w:rPr>
                <w:rFonts w:cstheme="minorHAnsi"/>
                <w:b/>
                <w:bCs/>
                <w:szCs w:val="24"/>
                <w:lang w:val="es-ES_tradnl"/>
              </w:rPr>
              <w:t>1/</w:t>
            </w:r>
            <w:r w:rsidR="00627654" w:rsidRPr="00D15565">
              <w:rPr>
                <w:rFonts w:cstheme="minorHAnsi"/>
                <w:b/>
                <w:bCs/>
                <w:szCs w:val="24"/>
                <w:lang w:val="es-ES_tradnl"/>
              </w:rPr>
              <w:t>37</w:t>
            </w:r>
            <w:r w:rsidRPr="00D15565">
              <w:rPr>
                <w:rFonts w:cstheme="minorHAnsi"/>
                <w:b/>
                <w:bCs/>
                <w:szCs w:val="24"/>
                <w:lang w:val="es-ES_tradnl"/>
              </w:rPr>
              <w:t>-</w:t>
            </w:r>
            <w:r w:rsidR="00981CBA" w:rsidRPr="00D15565">
              <w:rPr>
                <w:rFonts w:cstheme="minorHAnsi"/>
                <w:b/>
                <w:bCs/>
                <w:szCs w:val="24"/>
                <w:lang w:val="es-ES_tradnl"/>
              </w:rPr>
              <w:t>S</w:t>
            </w:r>
          </w:p>
        </w:tc>
      </w:tr>
      <w:tr w:rsidR="00C64B30" w:rsidRPr="00D15565" w14:paraId="396CF34F" w14:textId="77777777" w:rsidTr="00EC3385">
        <w:trPr>
          <w:cantSplit/>
          <w:trHeight w:val="23"/>
        </w:trPr>
        <w:tc>
          <w:tcPr>
            <w:tcW w:w="6379" w:type="dxa"/>
            <w:gridSpan w:val="2"/>
            <w:shd w:val="clear" w:color="auto" w:fill="auto"/>
          </w:tcPr>
          <w:p w14:paraId="67670033" w14:textId="77777777" w:rsidR="00C64B30" w:rsidRPr="00D15565" w:rsidRDefault="00C64B30" w:rsidP="00C64B30">
            <w:pPr>
              <w:tabs>
                <w:tab w:val="left" w:pos="851"/>
              </w:tabs>
              <w:spacing w:before="0" w:line="240" w:lineRule="atLeast"/>
              <w:rPr>
                <w:rFonts w:cstheme="minorHAnsi"/>
                <w:b/>
                <w:szCs w:val="24"/>
                <w:lang w:val="es-ES_tradnl"/>
              </w:rPr>
            </w:pPr>
            <w:bookmarkStart w:id="5" w:name="ddate" w:colFirst="1" w:colLast="1"/>
            <w:bookmarkStart w:id="6" w:name="dblank" w:colFirst="0" w:colLast="0"/>
            <w:bookmarkEnd w:id="2"/>
            <w:bookmarkEnd w:id="3"/>
          </w:p>
        </w:tc>
        <w:tc>
          <w:tcPr>
            <w:tcW w:w="3260" w:type="dxa"/>
            <w:gridSpan w:val="2"/>
          </w:tcPr>
          <w:p w14:paraId="757F8DB9" w14:textId="35FDD8E5" w:rsidR="00C64B30" w:rsidRPr="00D15565" w:rsidRDefault="00627654" w:rsidP="00C64B30">
            <w:pPr>
              <w:spacing w:before="0" w:line="240" w:lineRule="atLeast"/>
              <w:rPr>
                <w:rFonts w:cstheme="minorHAnsi"/>
                <w:szCs w:val="24"/>
                <w:lang w:val="es-ES_tradnl"/>
              </w:rPr>
            </w:pPr>
            <w:r w:rsidRPr="00D15565">
              <w:rPr>
                <w:rFonts w:cstheme="minorHAnsi"/>
                <w:b/>
                <w:bCs/>
                <w:szCs w:val="24"/>
                <w:lang w:val="es-ES_tradnl"/>
              </w:rPr>
              <w:t xml:space="preserve">22 </w:t>
            </w:r>
            <w:r w:rsidR="00981CBA" w:rsidRPr="00D15565">
              <w:rPr>
                <w:rFonts w:cstheme="minorHAnsi"/>
                <w:b/>
                <w:bCs/>
                <w:szCs w:val="24"/>
                <w:lang w:val="es-ES_tradnl"/>
              </w:rPr>
              <w:t>de abril de</w:t>
            </w:r>
            <w:r w:rsidRPr="00D15565">
              <w:rPr>
                <w:rFonts w:cstheme="minorHAnsi"/>
                <w:b/>
                <w:bCs/>
                <w:szCs w:val="24"/>
                <w:lang w:val="es-ES_tradnl"/>
              </w:rPr>
              <w:t xml:space="preserve"> 2021</w:t>
            </w:r>
          </w:p>
        </w:tc>
      </w:tr>
      <w:tr w:rsidR="00C64B30" w:rsidRPr="00D15565" w14:paraId="61152BF9" w14:textId="77777777" w:rsidTr="00EC3385">
        <w:trPr>
          <w:cantSplit/>
          <w:trHeight w:val="23"/>
        </w:trPr>
        <w:tc>
          <w:tcPr>
            <w:tcW w:w="6379" w:type="dxa"/>
            <w:gridSpan w:val="2"/>
            <w:shd w:val="clear" w:color="auto" w:fill="auto"/>
          </w:tcPr>
          <w:p w14:paraId="23BEF657" w14:textId="77777777" w:rsidR="00C64B30" w:rsidRPr="00D15565" w:rsidRDefault="00C64B30" w:rsidP="00C64B30">
            <w:pPr>
              <w:tabs>
                <w:tab w:val="left" w:pos="851"/>
              </w:tabs>
              <w:spacing w:before="0" w:line="240" w:lineRule="atLeast"/>
              <w:rPr>
                <w:rFonts w:cstheme="minorHAnsi"/>
                <w:szCs w:val="24"/>
                <w:lang w:val="es-ES_tradnl"/>
              </w:rPr>
            </w:pPr>
            <w:bookmarkStart w:id="7" w:name="dbluepink" w:colFirst="0" w:colLast="0"/>
            <w:bookmarkStart w:id="8" w:name="dorlang" w:colFirst="1" w:colLast="1"/>
            <w:bookmarkEnd w:id="5"/>
            <w:bookmarkEnd w:id="6"/>
          </w:p>
        </w:tc>
        <w:tc>
          <w:tcPr>
            <w:tcW w:w="3260" w:type="dxa"/>
            <w:gridSpan w:val="2"/>
          </w:tcPr>
          <w:p w14:paraId="6FFD3CDF" w14:textId="10F65F34" w:rsidR="00C64B30" w:rsidRPr="00D15565" w:rsidRDefault="00C64B30" w:rsidP="00C64B30">
            <w:pPr>
              <w:tabs>
                <w:tab w:val="left" w:pos="993"/>
              </w:tabs>
              <w:spacing w:before="0"/>
              <w:rPr>
                <w:rFonts w:cstheme="minorHAnsi"/>
                <w:b/>
                <w:szCs w:val="24"/>
                <w:lang w:val="es-ES_tradnl"/>
              </w:rPr>
            </w:pPr>
            <w:r w:rsidRPr="00D15565">
              <w:rPr>
                <w:rFonts w:cstheme="minorHAnsi"/>
                <w:b/>
                <w:bCs/>
                <w:szCs w:val="24"/>
                <w:lang w:val="es-ES_tradnl"/>
              </w:rPr>
              <w:t xml:space="preserve">Original: </w:t>
            </w:r>
            <w:r w:rsidR="00981CBA" w:rsidRPr="00D15565">
              <w:rPr>
                <w:rFonts w:cstheme="minorHAnsi"/>
                <w:b/>
                <w:bCs/>
                <w:szCs w:val="24"/>
                <w:lang w:val="es-ES_tradnl"/>
              </w:rPr>
              <w:t>ruso</w:t>
            </w:r>
          </w:p>
        </w:tc>
      </w:tr>
      <w:tr w:rsidR="00C64B30" w:rsidRPr="005C665F" w14:paraId="610A5654" w14:textId="77777777" w:rsidTr="00EC3385">
        <w:trPr>
          <w:cantSplit/>
          <w:trHeight w:val="23"/>
        </w:trPr>
        <w:tc>
          <w:tcPr>
            <w:tcW w:w="9639" w:type="dxa"/>
            <w:gridSpan w:val="4"/>
            <w:shd w:val="clear" w:color="auto" w:fill="auto"/>
          </w:tcPr>
          <w:p w14:paraId="0444DE21" w14:textId="549CBB1D" w:rsidR="00C64B30" w:rsidRPr="00D15565" w:rsidRDefault="00981CBA" w:rsidP="00981CBA">
            <w:pPr>
              <w:pStyle w:val="Source"/>
              <w:spacing w:before="240" w:after="240"/>
              <w:rPr>
                <w:rFonts w:cstheme="minorHAnsi"/>
                <w:lang w:val="es-ES_tradnl"/>
              </w:rPr>
            </w:pPr>
            <w:r w:rsidRPr="00D15565">
              <w:rPr>
                <w:rFonts w:cstheme="minorHAnsi"/>
                <w:lang w:val="es-ES_tradnl"/>
              </w:rPr>
              <w:t xml:space="preserve">Presidente de la </w:t>
            </w:r>
            <w:r w:rsidRPr="00D15565">
              <w:rPr>
                <w:rFonts w:cstheme="minorHAnsi"/>
                <w:bCs/>
                <w:lang w:val="es-ES_tradnl"/>
              </w:rPr>
              <w:t xml:space="preserve">Reunión Preparatoria Regional de la CMDT-21 </w:t>
            </w:r>
            <w:r w:rsidRPr="00D15565">
              <w:rPr>
                <w:rFonts w:cstheme="minorHAnsi"/>
                <w:bCs/>
                <w:lang w:val="es-ES_tradnl"/>
              </w:rPr>
              <w:br/>
              <w:t xml:space="preserve">para </w:t>
            </w:r>
            <w:r w:rsidR="004B28CC" w:rsidRPr="00D15565">
              <w:rPr>
                <w:rFonts w:cstheme="minorHAnsi"/>
                <w:bCs/>
                <w:lang w:val="es-ES_tradnl"/>
              </w:rPr>
              <w:t xml:space="preserve">la </w:t>
            </w:r>
            <w:r w:rsidRPr="00D15565">
              <w:rPr>
                <w:rFonts w:cstheme="minorHAnsi"/>
                <w:bCs/>
                <w:lang w:val="es-ES_tradnl"/>
              </w:rPr>
              <w:t>CEI (RPR-CEI</w:t>
            </w:r>
            <w:r w:rsidR="00980A76" w:rsidRPr="00D15565">
              <w:rPr>
                <w:rFonts w:cstheme="minorHAnsi"/>
                <w:lang w:val="es-ES_tradnl"/>
              </w:rPr>
              <w:t>)</w:t>
            </w:r>
          </w:p>
        </w:tc>
      </w:tr>
      <w:tr w:rsidR="00C64B30" w:rsidRPr="005C665F" w14:paraId="374BA274" w14:textId="77777777" w:rsidTr="00EC3385">
        <w:trPr>
          <w:cantSplit/>
          <w:trHeight w:val="23"/>
        </w:trPr>
        <w:tc>
          <w:tcPr>
            <w:tcW w:w="9639" w:type="dxa"/>
            <w:gridSpan w:val="4"/>
            <w:shd w:val="clear" w:color="auto" w:fill="auto"/>
          </w:tcPr>
          <w:p w14:paraId="649EB326" w14:textId="3A13654A" w:rsidR="00C64B30" w:rsidRPr="00D15565" w:rsidRDefault="00981CBA" w:rsidP="00C64B30">
            <w:pPr>
              <w:pStyle w:val="Title1"/>
              <w:spacing w:before="120" w:after="120"/>
              <w:rPr>
                <w:rFonts w:cstheme="minorHAnsi"/>
                <w:caps w:val="0"/>
                <w:lang w:val="es-ES_tradnl"/>
              </w:rPr>
            </w:pPr>
            <w:r w:rsidRPr="00D15565">
              <w:rPr>
                <w:rFonts w:cstheme="minorHAnsi"/>
                <w:caps w:val="0"/>
                <w:lang w:val="es-ES_tradnl"/>
              </w:rPr>
              <w:t xml:space="preserve">Informe del </w:t>
            </w:r>
            <w:proofErr w:type="gramStart"/>
            <w:r w:rsidRPr="00D15565">
              <w:rPr>
                <w:rFonts w:cstheme="minorHAnsi"/>
                <w:caps w:val="0"/>
                <w:lang w:val="es-ES_tradnl"/>
              </w:rPr>
              <w:t>Presidente</w:t>
            </w:r>
            <w:proofErr w:type="gramEnd"/>
            <w:r w:rsidRPr="00D15565">
              <w:rPr>
                <w:rFonts w:cstheme="minorHAnsi"/>
                <w:caps w:val="0"/>
                <w:lang w:val="es-ES_tradnl"/>
              </w:rPr>
              <w:t xml:space="preserve"> de la</w:t>
            </w:r>
            <w:r w:rsidR="00980A76" w:rsidRPr="00D15565">
              <w:rPr>
                <w:rFonts w:cstheme="minorHAnsi"/>
                <w:caps w:val="0"/>
                <w:lang w:val="es-ES_tradnl"/>
              </w:rPr>
              <w:t xml:space="preserve"> RP</w:t>
            </w:r>
            <w:r w:rsidRPr="00D15565">
              <w:rPr>
                <w:rFonts w:cstheme="minorHAnsi"/>
                <w:caps w:val="0"/>
                <w:lang w:val="es-ES_tradnl"/>
              </w:rPr>
              <w:t>R</w:t>
            </w:r>
            <w:r w:rsidR="00980A76" w:rsidRPr="00D15565">
              <w:rPr>
                <w:rFonts w:cstheme="minorHAnsi"/>
                <w:caps w:val="0"/>
                <w:lang w:val="es-ES_tradnl"/>
              </w:rPr>
              <w:t>-C</w:t>
            </w:r>
            <w:r w:rsidRPr="00D15565">
              <w:rPr>
                <w:rFonts w:cstheme="minorHAnsi"/>
                <w:caps w:val="0"/>
                <w:lang w:val="es-ES_tradnl"/>
              </w:rPr>
              <w:t>E</w:t>
            </w:r>
            <w:r w:rsidR="00980A76" w:rsidRPr="00D15565">
              <w:rPr>
                <w:rFonts w:cstheme="minorHAnsi"/>
                <w:caps w:val="0"/>
                <w:lang w:val="es-ES_tradnl"/>
              </w:rPr>
              <w:t>I</w:t>
            </w:r>
          </w:p>
        </w:tc>
      </w:tr>
    </w:tbl>
    <w:p w14:paraId="529F5653" w14:textId="38C69853" w:rsidR="00D83BF5" w:rsidRPr="00D15565" w:rsidRDefault="008914AE" w:rsidP="00712E2F">
      <w:pPr>
        <w:pStyle w:val="Headingb"/>
        <w:rPr>
          <w:lang w:val="es-ES_tradnl"/>
        </w:rPr>
      </w:pPr>
      <w:bookmarkStart w:id="9" w:name="_Hlk70936735"/>
      <w:bookmarkStart w:id="10" w:name="_Hlk70936790"/>
      <w:bookmarkEnd w:id="7"/>
      <w:bookmarkEnd w:id="8"/>
      <w:r w:rsidRPr="00D15565">
        <w:rPr>
          <w:lang w:val="es-ES_tradnl"/>
        </w:rPr>
        <w:t>Introducción</w:t>
      </w:r>
    </w:p>
    <w:p w14:paraId="45BF9ED8" w14:textId="1D4A5A37" w:rsidR="00D83BF5" w:rsidRPr="00D15565" w:rsidRDefault="00981CBA" w:rsidP="00981CBA">
      <w:pPr>
        <w:spacing w:after="120"/>
        <w:rPr>
          <w:rFonts w:ascii="Calibri" w:hAnsi="Calibri" w:cs="Calibri"/>
          <w:b/>
          <w:color w:val="800000"/>
          <w:sz w:val="22"/>
          <w:lang w:val="es-ES_tradnl"/>
        </w:rPr>
      </w:pPr>
      <w:r w:rsidRPr="00D15565">
        <w:rPr>
          <w:lang w:val="es-ES_tradnl"/>
        </w:rPr>
        <w:t xml:space="preserve">La Oficina de Desarrollo de las Telecomunicaciones (BDT) de la Unión Internacional de Telecomunicaciones (UIT) ejerció las veces de anfitriona de la </w:t>
      </w:r>
      <w:r w:rsidRPr="00D15565">
        <w:rPr>
          <w:bCs/>
          <w:lang w:val="es-ES_tradnl"/>
        </w:rPr>
        <w:t>Reunión Preparatoria Regional de la CMDT-21 para</w:t>
      </w:r>
      <w:r w:rsidR="004B28CC" w:rsidRPr="00D15565">
        <w:rPr>
          <w:bCs/>
          <w:lang w:val="es-ES_tradnl"/>
        </w:rPr>
        <w:t xml:space="preserve"> la</w:t>
      </w:r>
      <w:r w:rsidRPr="00D15565">
        <w:rPr>
          <w:bCs/>
          <w:lang w:val="es-ES_tradnl"/>
        </w:rPr>
        <w:t xml:space="preserve"> CEI (RPR-CEI</w:t>
      </w:r>
      <w:r w:rsidRPr="00D15565">
        <w:rPr>
          <w:lang w:val="es-ES_tradnl"/>
        </w:rPr>
        <w:t>), que se celebró de forma virtual del 21 al 22 de abril de 2021.</w:t>
      </w:r>
      <w:r w:rsidR="007A537C" w:rsidRPr="00D15565">
        <w:rPr>
          <w:rFonts w:ascii="Calibri" w:hAnsi="Calibri" w:cs="Calibri"/>
          <w:b/>
          <w:color w:val="800000"/>
          <w:sz w:val="22"/>
          <w:lang w:val="es-ES_tradnl"/>
        </w:rPr>
        <w:t xml:space="preserve"> </w:t>
      </w:r>
    </w:p>
    <w:p w14:paraId="2337F787" w14:textId="03BD59A9" w:rsidR="00627654" w:rsidRPr="00D15565" w:rsidRDefault="00064051" w:rsidP="00FE34EB">
      <w:pPr>
        <w:rPr>
          <w:rFonts w:eastAsia="SimSun"/>
          <w:lang w:val="es-ES_tradnl"/>
        </w:rPr>
      </w:pPr>
      <w:r w:rsidRPr="00D15565">
        <w:rPr>
          <w:rFonts w:cstheme="minorHAnsi"/>
          <w:szCs w:val="24"/>
          <w:lang w:val="es-ES_tradnl"/>
        </w:rPr>
        <w:t xml:space="preserve">El objetivo de la RPR-CEI </w:t>
      </w:r>
      <w:r w:rsidRPr="00D15565">
        <w:rPr>
          <w:lang w:val="es-ES_tradnl"/>
        </w:rPr>
        <w:t>fue detectar los temas de interés a escala regional para fomentar el desarrollo de las telecomunicaciones/tecnologías de la información y la comunicación (TIC), habida cuenta de las contribuciones presentadas por</w:t>
      </w:r>
      <w:r w:rsidRPr="00D15565">
        <w:rPr>
          <w:rFonts w:eastAsia="SimSun"/>
          <w:lang w:val="es-ES_tradnl"/>
        </w:rPr>
        <w:t xml:space="preserve"> </w:t>
      </w:r>
      <w:r w:rsidRPr="00D15565">
        <w:rPr>
          <w:lang w:val="es-ES_tradnl"/>
        </w:rPr>
        <w:t xml:space="preserve">los Estados Miembros y los Miembros de Sector del UIT-D </w:t>
      </w:r>
      <w:r w:rsidR="00FE34EB" w:rsidRPr="00D15565">
        <w:rPr>
          <w:lang w:val="es-ES_tradnl"/>
        </w:rPr>
        <w:t xml:space="preserve">procedentes </w:t>
      </w:r>
      <w:r w:rsidRPr="00D15565">
        <w:rPr>
          <w:lang w:val="es-ES_tradnl"/>
        </w:rPr>
        <w:t>de dicha región. La reunión consensuó un conjunto de propuestas sobre cuestiones prioritarias para la región</w:t>
      </w:r>
      <w:r w:rsidR="00FE34EB" w:rsidRPr="00D15565">
        <w:rPr>
          <w:lang w:val="es-ES_tradnl"/>
        </w:rPr>
        <w:t>,</w:t>
      </w:r>
      <w:r w:rsidRPr="00D15565">
        <w:rPr>
          <w:lang w:val="es-ES_tradnl"/>
        </w:rPr>
        <w:t xml:space="preserve"> en las que basar las contribuciones a la Conferencia Mundial de Desarrollo de las Telecomunicaciones (CMDT-21), </w:t>
      </w:r>
      <w:r w:rsidR="00FE34EB" w:rsidRPr="00D15565">
        <w:rPr>
          <w:lang w:val="es-ES_tradnl"/>
        </w:rPr>
        <w:t>cuyos participantes</w:t>
      </w:r>
      <w:r w:rsidRPr="00D15565">
        <w:rPr>
          <w:lang w:val="es-ES_tradnl"/>
        </w:rPr>
        <w:t xml:space="preserve"> examinarán las actividades que el Sector de Desarrollo de las Telecomunicaciones de la UIT (UIT-D) llevará a cabo durante el próximo cuatrienio (2022</w:t>
      </w:r>
      <w:r w:rsidRPr="00D15565">
        <w:rPr>
          <w:lang w:val="es-ES_tradnl"/>
        </w:rPr>
        <w:noBreakHyphen/>
        <w:t>2025).</w:t>
      </w:r>
    </w:p>
    <w:p w14:paraId="6BAA8BFB" w14:textId="332F0C3E" w:rsidR="00591044" w:rsidRPr="00D15565" w:rsidRDefault="00064051" w:rsidP="00064051">
      <w:pPr>
        <w:rPr>
          <w:rFonts w:eastAsia="SimSun"/>
          <w:lang w:val="es-ES_tradnl"/>
        </w:rPr>
      </w:pPr>
      <w:r w:rsidRPr="00D15565">
        <w:rPr>
          <w:rFonts w:eastAsia="SimSun"/>
          <w:lang w:val="es-ES_tradnl"/>
        </w:rPr>
        <w:t xml:space="preserve">En el presente informe se rinde cuenta de los trabajos y resultados de la </w:t>
      </w:r>
      <w:r w:rsidR="00591044" w:rsidRPr="00D15565">
        <w:rPr>
          <w:rFonts w:eastAsia="SimSun"/>
          <w:lang w:val="es-ES_tradnl"/>
        </w:rPr>
        <w:t>reunión.</w:t>
      </w:r>
    </w:p>
    <w:p w14:paraId="21CA9F5E" w14:textId="08C90011" w:rsidR="00591044" w:rsidRPr="00D15565" w:rsidRDefault="00591044" w:rsidP="00591044">
      <w:pPr>
        <w:pStyle w:val="Headingb"/>
        <w:rPr>
          <w:lang w:val="es-ES_tradnl"/>
        </w:rPr>
      </w:pPr>
      <w:r w:rsidRPr="00D15565">
        <w:rPr>
          <w:lang w:val="es-ES_tradnl"/>
        </w:rPr>
        <w:t>Participación</w:t>
      </w:r>
    </w:p>
    <w:p w14:paraId="3FCE45FE" w14:textId="5B9DACE1" w:rsidR="00627654" w:rsidRPr="00D15565" w:rsidRDefault="00A60468" w:rsidP="008914AE">
      <w:pPr>
        <w:rPr>
          <w:lang w:val="es-ES_tradnl"/>
        </w:rPr>
      </w:pPr>
      <w:r w:rsidRPr="00D15565">
        <w:rPr>
          <w:lang w:val="es-ES_tradnl"/>
        </w:rPr>
        <w:t xml:space="preserve">Asistieron a la reunión </w:t>
      </w:r>
      <w:r w:rsidR="00064051" w:rsidRPr="00D15565">
        <w:rPr>
          <w:lang w:val="es-ES_tradnl"/>
        </w:rPr>
        <w:t>87</w:t>
      </w:r>
      <w:r w:rsidRPr="00D15565">
        <w:rPr>
          <w:lang w:val="es-ES_tradnl"/>
        </w:rPr>
        <w:t xml:space="preserve"> delegados en representación de </w:t>
      </w:r>
      <w:r w:rsidR="00064051" w:rsidRPr="00D15565">
        <w:rPr>
          <w:lang w:val="es-ES_tradnl"/>
        </w:rPr>
        <w:t>7</w:t>
      </w:r>
      <w:r w:rsidRPr="00D15565">
        <w:rPr>
          <w:lang w:val="es-ES_tradnl"/>
        </w:rPr>
        <w:t xml:space="preserve"> Estados Miembros de la CEI y </w:t>
      </w:r>
      <w:r w:rsidR="00064051" w:rsidRPr="00D15565">
        <w:rPr>
          <w:lang w:val="es-ES_tradnl"/>
        </w:rPr>
        <w:t>15</w:t>
      </w:r>
      <w:r w:rsidR="0099535F">
        <w:rPr>
          <w:lang w:val="es-ES_tradnl"/>
        </w:rPr>
        <w:t> </w:t>
      </w:r>
      <w:r w:rsidRPr="00D15565">
        <w:rPr>
          <w:lang w:val="es-ES_tradnl"/>
        </w:rPr>
        <w:t xml:space="preserve">Estados Miembros de otras regiones. La lista de participantes puede consultarse en </w:t>
      </w:r>
      <w:hyperlink r:id="rId14" w:history="1">
        <w:r w:rsidR="00627654" w:rsidRPr="00D15565">
          <w:rPr>
            <w:rStyle w:val="Hyperlink"/>
            <w:lang w:val="es-ES_tradnl"/>
          </w:rPr>
          <w:t>e</w:t>
        </w:r>
        <w:r w:rsidR="00064051" w:rsidRPr="00D15565">
          <w:rPr>
            <w:rStyle w:val="Hyperlink"/>
            <w:lang w:val="es-ES_tradnl"/>
          </w:rPr>
          <w:t>ste enlac</w:t>
        </w:r>
        <w:r w:rsidR="00627654" w:rsidRPr="00D15565">
          <w:rPr>
            <w:rStyle w:val="Hyperlink"/>
            <w:lang w:val="es-ES_tradnl"/>
          </w:rPr>
          <w:t>e</w:t>
        </w:r>
      </w:hyperlink>
      <w:r w:rsidR="00627654" w:rsidRPr="00D15565">
        <w:rPr>
          <w:lang w:val="es-ES_tradnl"/>
        </w:rPr>
        <w:t>.</w:t>
      </w:r>
    </w:p>
    <w:bookmarkEnd w:id="9"/>
    <w:bookmarkEnd w:id="10"/>
    <w:p w14:paraId="633DA580" w14:textId="6E4CB67F" w:rsidR="00075C63" w:rsidRPr="00D15565" w:rsidRDefault="00075C63" w:rsidP="00712E2F">
      <w:pPr>
        <w:tabs>
          <w:tab w:val="clear" w:pos="1134"/>
          <w:tab w:val="clear" w:pos="1871"/>
          <w:tab w:val="clear" w:pos="2268"/>
        </w:tabs>
        <w:overflowPunct/>
        <w:autoSpaceDE/>
        <w:autoSpaceDN/>
        <w:adjustRightInd/>
        <w:spacing w:before="0"/>
        <w:textAlignment w:val="auto"/>
        <w:rPr>
          <w:szCs w:val="24"/>
          <w:lang w:val="es-ES_tradnl"/>
        </w:rPr>
      </w:pPr>
      <w:r w:rsidRPr="00D15565">
        <w:rPr>
          <w:szCs w:val="24"/>
          <w:lang w:val="es-ES_tradnl"/>
        </w:rPr>
        <w:br w:type="page"/>
      </w:r>
    </w:p>
    <w:p w14:paraId="4F0301F5" w14:textId="6B74242F" w:rsidR="00075C63" w:rsidRPr="00571621" w:rsidRDefault="00B441D6" w:rsidP="00571621">
      <w:pPr>
        <w:pStyle w:val="Heading1"/>
      </w:pPr>
      <w:r w:rsidRPr="00571621">
        <w:lastRenderedPageBreak/>
        <w:t>1</w:t>
      </w:r>
      <w:r w:rsidRPr="00571621">
        <w:tab/>
      </w:r>
      <w:proofErr w:type="spellStart"/>
      <w:r w:rsidR="00A60468" w:rsidRPr="00571621">
        <w:t>Ceremonia</w:t>
      </w:r>
      <w:proofErr w:type="spellEnd"/>
      <w:r w:rsidR="00A60468" w:rsidRPr="00571621">
        <w:t xml:space="preserve"> de </w:t>
      </w:r>
      <w:proofErr w:type="spellStart"/>
      <w:r w:rsidR="00A60468" w:rsidRPr="00571621">
        <w:t>apertura</w:t>
      </w:r>
      <w:proofErr w:type="spellEnd"/>
    </w:p>
    <w:p w14:paraId="76FE6697" w14:textId="23E5DFAF" w:rsidR="00B441D6" w:rsidRPr="00D15565" w:rsidRDefault="00C23247" w:rsidP="00712E2F">
      <w:pPr>
        <w:rPr>
          <w:lang w:val="es-ES_tradnl"/>
        </w:rPr>
      </w:pPr>
      <w:r w:rsidRPr="00D15565">
        <w:rPr>
          <w:rFonts w:cstheme="minorHAnsi"/>
          <w:color w:val="000000"/>
          <w:lang w:val="es-ES_tradnl"/>
        </w:rPr>
        <w:t>Durante la ceremonia de apertura, se presentaron los saludos de los siguientes participantes de alto nivel:</w:t>
      </w:r>
    </w:p>
    <w:p w14:paraId="3B3B0DED" w14:textId="52A0CDB0" w:rsidR="008A4526" w:rsidRPr="00D15565" w:rsidRDefault="008A4526" w:rsidP="00712E2F">
      <w:pPr>
        <w:rPr>
          <w:b/>
          <w:bCs/>
          <w:lang w:val="es-ES_tradnl"/>
        </w:rPr>
      </w:pPr>
      <w:r w:rsidRPr="00D15565">
        <w:rPr>
          <w:b/>
          <w:bCs/>
          <w:lang w:val="es-ES_tradnl"/>
        </w:rPr>
        <w:t xml:space="preserve">Sra. Doreen Bogdan-Martin, </w:t>
      </w:r>
      <w:proofErr w:type="gramStart"/>
      <w:r w:rsidRPr="00D15565">
        <w:rPr>
          <w:lang w:val="es-ES_tradnl"/>
        </w:rPr>
        <w:t>Directora</w:t>
      </w:r>
      <w:proofErr w:type="gramEnd"/>
      <w:r w:rsidRPr="00D15565">
        <w:rPr>
          <w:lang w:val="es-ES_tradnl"/>
        </w:rPr>
        <w:t>, Oficina de Desarrollo de las Telecomunicaciones, UIT</w:t>
      </w:r>
      <w:r w:rsidR="00571621">
        <w:rPr>
          <w:lang w:val="es-ES_tradnl"/>
        </w:rPr>
        <w:t>.</w:t>
      </w:r>
    </w:p>
    <w:p w14:paraId="1E273E5B" w14:textId="7D9E3C5C" w:rsidR="008A4526" w:rsidRPr="00D15565" w:rsidRDefault="008A4526" w:rsidP="00712E2F">
      <w:pPr>
        <w:rPr>
          <w:b/>
          <w:bCs/>
          <w:szCs w:val="24"/>
          <w:lang w:val="es-ES_tradnl"/>
        </w:rPr>
      </w:pPr>
      <w:r w:rsidRPr="00D15565">
        <w:rPr>
          <w:b/>
          <w:bCs/>
          <w:szCs w:val="24"/>
          <w:lang w:val="es-ES_tradnl"/>
        </w:rPr>
        <w:t>Sr</w:t>
      </w:r>
      <w:r w:rsidR="00781996" w:rsidRPr="00D15565">
        <w:rPr>
          <w:b/>
          <w:bCs/>
          <w:szCs w:val="24"/>
          <w:lang w:val="es-ES_tradnl"/>
        </w:rPr>
        <w:t>.</w:t>
      </w:r>
      <w:r w:rsidRPr="00D15565">
        <w:rPr>
          <w:rFonts w:ascii="Calibri" w:eastAsia="SimSun" w:hAnsi="Calibri" w:cs="Arial"/>
          <w:b/>
          <w:bCs/>
          <w:szCs w:val="24"/>
          <w:lang w:val="es-ES_tradnl" w:eastAsia="zh-CN"/>
        </w:rPr>
        <w:t xml:space="preserve"> Nurudin Mukhitdinov,</w:t>
      </w:r>
      <w:r w:rsidRPr="00D15565">
        <w:rPr>
          <w:rFonts w:ascii="Calibri" w:eastAsia="SimSun" w:hAnsi="Calibri" w:cs="Arial"/>
          <w:szCs w:val="24"/>
          <w:lang w:val="es-ES_tradnl" w:eastAsia="zh-CN"/>
        </w:rPr>
        <w:t xml:space="preserve"> Director General</w:t>
      </w:r>
      <w:r w:rsidR="00781996" w:rsidRPr="00D15565">
        <w:rPr>
          <w:rFonts w:ascii="Calibri" w:eastAsia="SimSun" w:hAnsi="Calibri" w:cs="Arial"/>
          <w:szCs w:val="24"/>
          <w:lang w:val="es-ES_tradnl" w:eastAsia="zh-CN"/>
        </w:rPr>
        <w:t>,</w:t>
      </w:r>
      <w:r w:rsidRPr="00D15565">
        <w:rPr>
          <w:rFonts w:ascii="Calibri" w:eastAsia="SimSun" w:hAnsi="Calibri" w:cs="Arial"/>
          <w:szCs w:val="24"/>
          <w:lang w:val="es-ES_tradnl" w:eastAsia="zh-CN"/>
        </w:rPr>
        <w:t xml:space="preserve"> Comité Ejecutivo</w:t>
      </w:r>
      <w:r w:rsidR="00781996" w:rsidRPr="00D15565">
        <w:rPr>
          <w:rFonts w:ascii="Calibri" w:eastAsia="SimSun" w:hAnsi="Calibri" w:cs="Arial"/>
          <w:szCs w:val="24"/>
          <w:lang w:val="es-ES_tradnl" w:eastAsia="zh-CN"/>
        </w:rPr>
        <w:t>,</w:t>
      </w:r>
      <w:r w:rsidRPr="00D15565">
        <w:rPr>
          <w:rFonts w:ascii="Calibri" w:eastAsia="SimSun" w:hAnsi="Calibri" w:cs="Arial"/>
          <w:szCs w:val="24"/>
          <w:lang w:val="es-ES_tradnl" w:eastAsia="zh-CN"/>
        </w:rPr>
        <w:t xml:space="preserve"> Comunidad Regional de Comunicaciones (CRC)</w:t>
      </w:r>
      <w:r w:rsidR="00571621">
        <w:rPr>
          <w:lang w:val="es-ES_tradnl"/>
        </w:rPr>
        <w:t>.</w:t>
      </w:r>
    </w:p>
    <w:p w14:paraId="29D6D019" w14:textId="35E61A5F" w:rsidR="00450870" w:rsidRPr="00D15565" w:rsidRDefault="00781996" w:rsidP="00712E2F">
      <w:pPr>
        <w:rPr>
          <w:szCs w:val="24"/>
          <w:lang w:val="es-ES_tradnl"/>
        </w:rPr>
      </w:pPr>
      <w:r w:rsidRPr="00D15565">
        <w:rPr>
          <w:b/>
          <w:bCs/>
          <w:szCs w:val="24"/>
          <w:lang w:val="es-ES_tradnl"/>
        </w:rPr>
        <w:t>Sr.</w:t>
      </w:r>
      <w:r w:rsidR="00C80D27" w:rsidRPr="00D15565">
        <w:rPr>
          <w:b/>
          <w:bCs/>
          <w:szCs w:val="24"/>
          <w:lang w:val="es-ES_tradnl"/>
        </w:rPr>
        <w:t xml:space="preserve"> Elmir Velizade</w:t>
      </w:r>
      <w:r w:rsidR="00C80D27" w:rsidRPr="00D15565">
        <w:rPr>
          <w:lang w:val="es-ES_tradnl"/>
        </w:rPr>
        <w:t xml:space="preserve">, </w:t>
      </w:r>
      <w:r w:rsidRPr="00D15565">
        <w:rPr>
          <w:lang w:val="es-ES_tradnl"/>
        </w:rPr>
        <w:t>Viceministro de Transportes, Comunicaciones y Altas Tecnologías de la República de Azerbaiyán.</w:t>
      </w:r>
    </w:p>
    <w:p w14:paraId="5D205D8F" w14:textId="34FA395C" w:rsidR="00450870" w:rsidRPr="00D15565" w:rsidRDefault="00450870" w:rsidP="00712E2F">
      <w:pPr>
        <w:pStyle w:val="Heading1"/>
        <w:rPr>
          <w:rFonts w:ascii="Calibri" w:hAnsi="Calibri" w:cs="Calibri"/>
          <w:sz w:val="22"/>
          <w:lang w:val="es-ES_tradnl"/>
        </w:rPr>
      </w:pPr>
      <w:r w:rsidRPr="00D15565">
        <w:rPr>
          <w:lang w:val="es-ES_tradnl"/>
        </w:rPr>
        <w:t>2</w:t>
      </w:r>
      <w:r w:rsidRPr="00D15565">
        <w:rPr>
          <w:lang w:val="es-ES_tradnl"/>
        </w:rPr>
        <w:tab/>
      </w:r>
      <w:r w:rsidR="00A60468" w:rsidRPr="00D15565">
        <w:rPr>
          <w:lang w:val="es-ES_tradnl"/>
        </w:rPr>
        <w:t xml:space="preserve">Elección del Presidente y </w:t>
      </w:r>
      <w:r w:rsidR="00781996" w:rsidRPr="00D15565">
        <w:rPr>
          <w:lang w:val="es-ES_tradnl"/>
        </w:rPr>
        <w:t>el</w:t>
      </w:r>
      <w:r w:rsidR="00A60468" w:rsidRPr="00D15565">
        <w:rPr>
          <w:lang w:val="es-ES_tradnl"/>
        </w:rPr>
        <w:t xml:space="preserve"> Vicepresidente</w:t>
      </w:r>
    </w:p>
    <w:p w14:paraId="7C1E154E" w14:textId="293D6D17" w:rsidR="00781996" w:rsidRPr="00D15565" w:rsidRDefault="00781996" w:rsidP="00781996">
      <w:pPr>
        <w:rPr>
          <w:lang w:val="es-ES_tradnl"/>
        </w:rPr>
      </w:pPr>
      <w:r w:rsidRPr="00D15565">
        <w:rPr>
          <w:lang w:val="es-ES_tradnl"/>
        </w:rPr>
        <w:t>De acuerdo con la propuesta formulada por la Administración de la Federación de Rusia, así como con las consultas informales celebradas con los Estados Miembros de la UIT de la región de la CEI, el Sr. Rashid Ismailov (Federación de Rusia), Presidente de PJSC VimpelCom, fue elegido por unanimidad Presidente de la RPR-CEI. La reunión también aceptó la recomendación de los jefes de delegación y nombró al Sr. Alexey Borodin (Federación de Rusia), Representante de PJSC Rostelecom en Ginebra, Vicepresidente de la reunión.</w:t>
      </w:r>
    </w:p>
    <w:p w14:paraId="545FF7BD" w14:textId="0DB37C4F" w:rsidR="00450870" w:rsidRPr="00D15565" w:rsidRDefault="00781996" w:rsidP="00781996">
      <w:pPr>
        <w:rPr>
          <w:lang w:val="es-ES_tradnl"/>
        </w:rPr>
      </w:pPr>
      <w:r w:rsidRPr="00D15565">
        <w:rPr>
          <w:lang w:val="es-ES_tradnl"/>
        </w:rPr>
        <w:t>El Presidente indicó que la Sra. Natalia Mochu, Directora Regional de la Oficina Regional de la UIT para la CEI, asumiría el cargo de Secretaria de la RPR-CEI.</w:t>
      </w:r>
    </w:p>
    <w:p w14:paraId="72675F38" w14:textId="0533A1A6" w:rsidR="00450870" w:rsidRPr="00D15565" w:rsidRDefault="00450870" w:rsidP="00712E2F">
      <w:pPr>
        <w:pStyle w:val="Heading1"/>
        <w:rPr>
          <w:lang w:val="es-ES_tradnl"/>
        </w:rPr>
      </w:pPr>
      <w:r w:rsidRPr="00D15565">
        <w:rPr>
          <w:lang w:val="es-ES_tradnl"/>
        </w:rPr>
        <w:t>3</w:t>
      </w:r>
      <w:r w:rsidRPr="00D15565">
        <w:rPr>
          <w:lang w:val="es-ES_tradnl"/>
        </w:rPr>
        <w:tab/>
      </w:r>
      <w:r w:rsidR="00836BC9" w:rsidRPr="00D15565">
        <w:rPr>
          <w:lang w:val="es-ES_tradnl"/>
        </w:rPr>
        <w:t>Aprobación del orden del día y del plan de gestión del tiempo</w:t>
      </w:r>
    </w:p>
    <w:p w14:paraId="56B5FCEF" w14:textId="2D75BA7B" w:rsidR="00450870" w:rsidRPr="00D15565" w:rsidRDefault="00AA7409" w:rsidP="00712E2F">
      <w:pPr>
        <w:rPr>
          <w:rFonts w:ascii="Calibri" w:hAnsi="Calibri" w:cs="Calibri"/>
          <w:bCs/>
          <w:sz w:val="22"/>
          <w:lang w:val="es-ES_tradnl"/>
        </w:rPr>
      </w:pPr>
      <w:r w:rsidRPr="00D15565">
        <w:rPr>
          <w:lang w:val="es-ES_tradnl"/>
        </w:rPr>
        <w:t xml:space="preserve">La reunión aprobó el orden del día que figura en el </w:t>
      </w:r>
      <w:hyperlink r:id="rId15" w:history="1">
        <w:r w:rsidR="00571621">
          <w:rPr>
            <w:rStyle w:val="Hyperlink"/>
            <w:lang w:val="es-ES_tradnl"/>
          </w:rPr>
          <w:t>D</w:t>
        </w:r>
        <w:r w:rsidR="00450870" w:rsidRPr="00D15565">
          <w:rPr>
            <w:rStyle w:val="Hyperlink"/>
            <w:lang w:val="es-ES_tradnl"/>
          </w:rPr>
          <w:t>ocum</w:t>
        </w:r>
        <w:r w:rsidR="00450870" w:rsidRPr="00D15565">
          <w:rPr>
            <w:rStyle w:val="Hyperlink"/>
            <w:lang w:val="es-ES_tradnl"/>
          </w:rPr>
          <w:t>e</w:t>
        </w:r>
        <w:r w:rsidR="00450870" w:rsidRPr="00D15565">
          <w:rPr>
            <w:rStyle w:val="Hyperlink"/>
            <w:lang w:val="es-ES_tradnl"/>
          </w:rPr>
          <w:t>nt</w:t>
        </w:r>
        <w:r w:rsidR="00836BC9" w:rsidRPr="00D15565">
          <w:rPr>
            <w:rStyle w:val="Hyperlink"/>
            <w:lang w:val="es-ES_tradnl"/>
          </w:rPr>
          <w:t>o</w:t>
        </w:r>
        <w:r w:rsidR="00450870" w:rsidRPr="00D15565">
          <w:rPr>
            <w:rStyle w:val="Hyperlink"/>
            <w:lang w:val="es-ES_tradnl"/>
          </w:rPr>
          <w:t> 1</w:t>
        </w:r>
      </w:hyperlink>
      <w:r w:rsidR="00450870" w:rsidRPr="00D15565">
        <w:rPr>
          <w:lang w:val="es-ES_tradnl"/>
        </w:rPr>
        <w:t>.</w:t>
      </w:r>
    </w:p>
    <w:p w14:paraId="1E70744F" w14:textId="1953EA37" w:rsidR="00450870" w:rsidRPr="00D15565" w:rsidRDefault="00AA7409" w:rsidP="00836BC9">
      <w:pPr>
        <w:rPr>
          <w:lang w:val="es-ES_tradnl"/>
        </w:rPr>
      </w:pPr>
      <w:r w:rsidRPr="00D15565">
        <w:rPr>
          <w:lang w:val="es-ES_tradnl"/>
        </w:rPr>
        <w:t xml:space="preserve">La Secretaría de la BDT observó que se </w:t>
      </w:r>
      <w:r w:rsidR="00836BC9" w:rsidRPr="00D15565">
        <w:rPr>
          <w:lang w:val="es-ES_tradnl"/>
        </w:rPr>
        <w:t>habían recibido</w:t>
      </w:r>
      <w:r w:rsidRPr="00D15565">
        <w:rPr>
          <w:lang w:val="es-ES_tradnl"/>
        </w:rPr>
        <w:t xml:space="preserve"> 3</w:t>
      </w:r>
      <w:r w:rsidR="00836BC9" w:rsidRPr="00D15565">
        <w:rPr>
          <w:lang w:val="es-ES_tradnl"/>
        </w:rPr>
        <w:t>6</w:t>
      </w:r>
      <w:r w:rsidRPr="00D15565">
        <w:rPr>
          <w:lang w:val="es-ES_tradnl"/>
        </w:rPr>
        <w:t xml:space="preserve"> contribuciones</w:t>
      </w:r>
      <w:r w:rsidR="00836BC9" w:rsidRPr="00D15565">
        <w:rPr>
          <w:lang w:val="es-ES_tradnl"/>
        </w:rPr>
        <w:t xml:space="preserve"> para la RPR-CEI</w:t>
      </w:r>
      <w:r w:rsidR="005D6059" w:rsidRPr="00D15565">
        <w:rPr>
          <w:lang w:val="es-ES_tradnl"/>
        </w:rPr>
        <w:t>.</w:t>
      </w:r>
      <w:r w:rsidRPr="00D15565">
        <w:rPr>
          <w:lang w:val="es-ES_tradnl"/>
        </w:rPr>
        <w:t xml:space="preserve"> </w:t>
      </w:r>
      <w:r w:rsidR="000576A2" w:rsidRPr="00D15565">
        <w:rPr>
          <w:lang w:val="es-ES_tradnl"/>
        </w:rPr>
        <w:t xml:space="preserve">Una vez examinadas todas las contribuciones relativas a las esferas de acción del UIT-D, la reunión adoptó el plan de gestión del tiempo propuesto en </w:t>
      </w:r>
      <w:r w:rsidRPr="00D15565">
        <w:rPr>
          <w:lang w:val="es-ES_tradnl"/>
        </w:rPr>
        <w:t xml:space="preserve">el </w:t>
      </w:r>
      <w:hyperlink r:id="rId16" w:history="1">
        <w:r w:rsidR="00571621">
          <w:rPr>
            <w:rStyle w:val="Hyperlink"/>
            <w:rFonts w:ascii="Calibri" w:hAnsi="Calibri"/>
            <w:lang w:val="es-ES_tradnl"/>
          </w:rPr>
          <w:t>D</w:t>
        </w:r>
        <w:r w:rsidRPr="00D15565">
          <w:rPr>
            <w:rStyle w:val="Hyperlink"/>
            <w:rFonts w:ascii="Calibri" w:hAnsi="Calibri"/>
            <w:lang w:val="es-ES_tradnl"/>
          </w:rPr>
          <w:t>ocumento D</w:t>
        </w:r>
        <w:r w:rsidRPr="00D15565">
          <w:rPr>
            <w:rStyle w:val="Hyperlink"/>
            <w:rFonts w:ascii="Calibri" w:hAnsi="Calibri"/>
            <w:lang w:val="es-ES_tradnl"/>
          </w:rPr>
          <w:t>T</w:t>
        </w:r>
        <w:r w:rsidRPr="00D15565">
          <w:rPr>
            <w:rStyle w:val="Hyperlink"/>
            <w:rFonts w:ascii="Calibri" w:hAnsi="Calibri"/>
            <w:lang w:val="es-ES_tradnl"/>
          </w:rPr>
          <w:t>/1</w:t>
        </w:r>
      </w:hyperlink>
      <w:r w:rsidRPr="00D15565">
        <w:rPr>
          <w:lang w:val="es-ES_tradnl"/>
        </w:rPr>
        <w:t xml:space="preserve">. Todos los documentos de la reunión están disponibles en el </w:t>
      </w:r>
      <w:r w:rsidRPr="00571621">
        <w:rPr>
          <w:rFonts w:ascii="Calibri" w:hAnsi="Calibri"/>
          <w:lang w:val="es-ES_tradnl"/>
        </w:rPr>
        <w:t xml:space="preserve">sitio </w:t>
      </w:r>
      <w:r w:rsidRPr="00571621">
        <w:rPr>
          <w:rFonts w:ascii="Calibri" w:hAnsi="Calibri"/>
          <w:lang w:val="es-ES_tradnl"/>
        </w:rPr>
        <w:t>w</w:t>
      </w:r>
      <w:r w:rsidRPr="00571621">
        <w:rPr>
          <w:rFonts w:ascii="Calibri" w:hAnsi="Calibri"/>
          <w:lang w:val="es-ES_tradnl"/>
        </w:rPr>
        <w:t>eb</w:t>
      </w:r>
      <w:r w:rsidRPr="00D15565">
        <w:rPr>
          <w:lang w:val="es-ES_tradnl"/>
        </w:rPr>
        <w:t xml:space="preserve"> de la RPR-CEI.</w:t>
      </w:r>
    </w:p>
    <w:p w14:paraId="17034EA5" w14:textId="10702745" w:rsidR="00450870" w:rsidRPr="00D15565" w:rsidRDefault="00450870" w:rsidP="00712E2F">
      <w:pPr>
        <w:pStyle w:val="Heading1"/>
        <w:rPr>
          <w:lang w:val="es-ES_tradnl"/>
        </w:rPr>
      </w:pPr>
      <w:r w:rsidRPr="00D15565">
        <w:rPr>
          <w:lang w:val="es-ES_tradnl"/>
        </w:rPr>
        <w:t>4</w:t>
      </w:r>
      <w:r w:rsidRPr="00D15565">
        <w:rPr>
          <w:lang w:val="es-ES_tradnl"/>
        </w:rPr>
        <w:tab/>
      </w:r>
      <w:r w:rsidR="0062561C" w:rsidRPr="00D15565">
        <w:rPr>
          <w:lang w:val="es-ES_tradnl"/>
        </w:rPr>
        <w:t xml:space="preserve">Tendencias digitales en </w:t>
      </w:r>
      <w:r w:rsidR="000576A2" w:rsidRPr="00D15565">
        <w:rPr>
          <w:lang w:val="es-ES_tradnl"/>
        </w:rPr>
        <w:t>la región de la CEI</w:t>
      </w:r>
    </w:p>
    <w:p w14:paraId="2D03CF75" w14:textId="4EC390B2" w:rsidR="001A4673" w:rsidRPr="00D15565" w:rsidRDefault="00FA64BD" w:rsidP="0013285C">
      <w:pPr>
        <w:rPr>
          <w:lang w:val="es-ES_tradnl"/>
        </w:rPr>
      </w:pPr>
      <w:hyperlink r:id="rId17">
        <w:r w:rsidR="00FF03CE" w:rsidRPr="00D15565">
          <w:rPr>
            <w:rFonts w:ascii="Calibri" w:hAnsi="Calibri"/>
            <w:b/>
            <w:bCs/>
            <w:color w:val="0000FF"/>
            <w:u w:val="single"/>
            <w:lang w:val="es-ES_tradnl"/>
          </w:rPr>
          <w:t>Documento 2</w:t>
        </w:r>
      </w:hyperlink>
      <w:r w:rsidR="00FF03CE" w:rsidRPr="00D15565">
        <w:rPr>
          <w:rFonts w:ascii="Calibri" w:hAnsi="Calibri"/>
          <w:lang w:val="es-ES_tradnl"/>
        </w:rPr>
        <w:t xml:space="preserve">: </w:t>
      </w:r>
      <w:r w:rsidR="001A4673" w:rsidRPr="00D15565">
        <w:rPr>
          <w:rFonts w:ascii="Calibri" w:hAnsi="Calibri"/>
          <w:lang w:val="es-ES_tradnl"/>
        </w:rPr>
        <w:t xml:space="preserve">La Sra. Natalia Mochu, Directora Regional de la Oficina Regional de la UIT para la CEI, presentó el documento </w:t>
      </w:r>
      <w:r w:rsidR="000105BE" w:rsidRPr="00D15565">
        <w:rPr>
          <w:rFonts w:ascii="Calibri" w:hAnsi="Calibri"/>
          <w:lang w:val="es-ES_tradnl"/>
        </w:rPr>
        <w:t xml:space="preserve">relativo a las </w:t>
      </w:r>
      <w:r w:rsidR="001A4673" w:rsidRPr="00D15565">
        <w:rPr>
          <w:rFonts w:ascii="Calibri" w:hAnsi="Calibri"/>
          <w:lang w:val="es-ES_tradnl"/>
        </w:rPr>
        <w:t>tendencias digitales en la región de la CEI en 2021, en el que se ofrece una visión general de las tendencias y la evolución de la infraestructura de TIC, el acceso a la misma y su utilización en la región de la CEI. E</w:t>
      </w:r>
      <w:r w:rsidR="000105BE" w:rsidRPr="00D15565">
        <w:rPr>
          <w:rFonts w:ascii="Calibri" w:hAnsi="Calibri"/>
          <w:lang w:val="es-ES_tradnl"/>
        </w:rPr>
        <w:t>n e</w:t>
      </w:r>
      <w:r w:rsidR="001A4673" w:rsidRPr="00D15565">
        <w:rPr>
          <w:rFonts w:ascii="Calibri" w:hAnsi="Calibri"/>
          <w:lang w:val="es-ES_tradnl"/>
        </w:rPr>
        <w:t xml:space="preserve">l documento </w:t>
      </w:r>
      <w:r w:rsidR="000105BE" w:rsidRPr="00D15565">
        <w:rPr>
          <w:rFonts w:ascii="Calibri" w:hAnsi="Calibri"/>
          <w:lang w:val="es-ES_tradnl"/>
        </w:rPr>
        <w:t xml:space="preserve">se </w:t>
      </w:r>
      <w:r w:rsidR="001A4673" w:rsidRPr="00D15565">
        <w:rPr>
          <w:rFonts w:ascii="Calibri" w:hAnsi="Calibri"/>
          <w:lang w:val="es-ES_tradnl"/>
        </w:rPr>
        <w:t>ilustra</w:t>
      </w:r>
      <w:r w:rsidR="000105BE" w:rsidRPr="00D15565">
        <w:rPr>
          <w:rFonts w:ascii="Calibri" w:hAnsi="Calibri"/>
          <w:lang w:val="es-ES_tradnl"/>
        </w:rPr>
        <w:t>n</w:t>
      </w:r>
      <w:r w:rsidR="001A4673" w:rsidRPr="00D15565">
        <w:rPr>
          <w:rFonts w:ascii="Calibri" w:hAnsi="Calibri"/>
          <w:lang w:val="es-ES_tradnl"/>
        </w:rPr>
        <w:t xml:space="preserve"> los avances</w:t>
      </w:r>
      <w:r w:rsidR="00FE34EB" w:rsidRPr="00D15565">
        <w:rPr>
          <w:rFonts w:ascii="Calibri" w:hAnsi="Calibri"/>
          <w:lang w:val="es-ES_tradnl"/>
        </w:rPr>
        <w:t xml:space="preserve"> logrados</w:t>
      </w:r>
      <w:r w:rsidR="001A4673" w:rsidRPr="00D15565">
        <w:rPr>
          <w:rFonts w:ascii="Calibri" w:hAnsi="Calibri"/>
          <w:lang w:val="es-ES_tradnl"/>
        </w:rPr>
        <w:t xml:space="preserve"> en el desarrollo de las TIC desde la Conferencia Mundial de Desarrollo de las Telecomunicaciones de 2017 (CMDT-17), que se celebró del 9 al 20 de octubre de 2017 en Buenos Aires (Argentina).También se realiza un seguimiento de</w:t>
      </w:r>
      <w:r w:rsidR="001A4673" w:rsidRPr="00D15565">
        <w:rPr>
          <w:lang w:val="es-ES_tradnl"/>
        </w:rPr>
        <w:t xml:space="preserve"> </w:t>
      </w:r>
      <w:r w:rsidR="001A4673" w:rsidRPr="00D15565">
        <w:rPr>
          <w:rFonts w:ascii="Calibri" w:hAnsi="Calibri"/>
          <w:lang w:val="es-ES_tradnl"/>
        </w:rPr>
        <w:t xml:space="preserve">la evolución de las políticas y los reglamentos, los servicios y las aplicaciones digitales, la cuestiones de ciberseguridad y las competencias digitales, y se examina la ejecución de las iniciativas regionales de la UIT para la CEI. </w:t>
      </w:r>
      <w:r w:rsidR="001A4673" w:rsidRPr="00D15565">
        <w:rPr>
          <w:lang w:val="es-ES_tradnl"/>
        </w:rPr>
        <w:t xml:space="preserve">Los miembros de la UIT pueden utilizar este documento como referencia para analizar los avances y determinar las prioridades de desarrollo de las TIC </w:t>
      </w:r>
      <w:r w:rsidR="0013285C" w:rsidRPr="00D15565">
        <w:rPr>
          <w:lang w:val="es-ES_tradnl"/>
        </w:rPr>
        <w:t xml:space="preserve">en </w:t>
      </w:r>
      <w:r w:rsidR="000105BE" w:rsidRPr="00D15565">
        <w:rPr>
          <w:lang w:val="es-ES_tradnl"/>
        </w:rPr>
        <w:t>esta</w:t>
      </w:r>
      <w:r w:rsidR="0013285C" w:rsidRPr="00D15565">
        <w:rPr>
          <w:lang w:val="es-ES_tradnl"/>
        </w:rPr>
        <w:t xml:space="preserve"> región.</w:t>
      </w:r>
    </w:p>
    <w:p w14:paraId="5315E635" w14:textId="6B1F87CD" w:rsidR="00450870" w:rsidRPr="00D15565" w:rsidRDefault="005D6059" w:rsidP="00712E2F">
      <w:pPr>
        <w:rPr>
          <w:lang w:val="es-ES_tradnl"/>
        </w:rPr>
      </w:pPr>
      <w:bookmarkStart w:id="11" w:name="_Hlk70940864"/>
      <w:r w:rsidRPr="00D15565">
        <w:rPr>
          <w:lang w:val="es-ES_tradnl"/>
        </w:rPr>
        <w:t>La RPR-CEI tomó nota del documento.</w:t>
      </w:r>
      <w:bookmarkEnd w:id="11"/>
    </w:p>
    <w:p w14:paraId="7450535D" w14:textId="3C2B8D5E" w:rsidR="00450870" w:rsidRPr="00D15565" w:rsidRDefault="00450870" w:rsidP="00712E2F">
      <w:pPr>
        <w:pStyle w:val="Heading1"/>
        <w:rPr>
          <w:lang w:val="es-ES_tradnl"/>
        </w:rPr>
      </w:pPr>
      <w:r w:rsidRPr="00D15565">
        <w:rPr>
          <w:lang w:val="es-ES_tradnl"/>
        </w:rPr>
        <w:lastRenderedPageBreak/>
        <w:t>5</w:t>
      </w:r>
      <w:r w:rsidRPr="00D15565">
        <w:rPr>
          <w:lang w:val="es-ES_tradnl"/>
        </w:rPr>
        <w:tab/>
      </w:r>
      <w:r w:rsidR="0036033C" w:rsidRPr="00D15565">
        <w:rPr>
          <w:lang w:val="es-ES_tradnl"/>
        </w:rPr>
        <w:t>Información relativa a la implementación del Plan de Acción de Buenos Aires</w:t>
      </w:r>
      <w:r w:rsidR="00DE0469" w:rsidRPr="00D15565">
        <w:rPr>
          <w:lang w:val="es-ES_tradnl"/>
        </w:rPr>
        <w:t xml:space="preserve"> de la CMDT-17</w:t>
      </w:r>
      <w:r w:rsidR="0036033C" w:rsidRPr="00D15565">
        <w:rPr>
          <w:lang w:val="es-ES_tradnl"/>
        </w:rPr>
        <w:t xml:space="preserve"> (incluidas las iniciativas regionales) y contribución a la implementación del Plan de Acción de la CMSI y los Objetivos de Desarrollo Sostenible</w:t>
      </w:r>
    </w:p>
    <w:bookmarkStart w:id="12" w:name="_Hlk70340029"/>
    <w:p w14:paraId="6CFEDA85" w14:textId="6298AC38" w:rsidR="00DE0469" w:rsidRPr="00D15565" w:rsidRDefault="00470658" w:rsidP="00DE0469">
      <w:pPr>
        <w:rPr>
          <w:lang w:val="es-ES_tradnl"/>
        </w:rPr>
      </w:pPr>
      <w:r w:rsidRPr="00D15565">
        <w:rPr>
          <w:b/>
          <w:bCs/>
          <w:lang w:val="es-ES_tradnl"/>
        </w:rPr>
        <w:fldChar w:fldCharType="begin"/>
      </w:r>
      <w:r w:rsidRPr="00D15565">
        <w:rPr>
          <w:b/>
          <w:bCs/>
          <w:lang w:val="es-ES_tradnl"/>
        </w:rPr>
        <w:instrText>HYPERLINK "https://www.itu.int/md/D18-RPMCIS-C-0003/en"</w:instrText>
      </w:r>
      <w:r w:rsidRPr="00D15565">
        <w:rPr>
          <w:b/>
          <w:bCs/>
          <w:lang w:val="es-ES_tradnl"/>
        </w:rPr>
        <w:fldChar w:fldCharType="separate"/>
      </w:r>
      <w:r w:rsidRPr="00D15565">
        <w:rPr>
          <w:rStyle w:val="Hyperlink"/>
          <w:b/>
          <w:bCs/>
          <w:lang w:val="es-ES_tradnl"/>
        </w:rPr>
        <w:t>Document</w:t>
      </w:r>
      <w:r w:rsidR="00DE0469" w:rsidRPr="00D15565">
        <w:rPr>
          <w:rStyle w:val="Hyperlink"/>
          <w:b/>
          <w:bCs/>
          <w:lang w:val="es-ES_tradnl"/>
        </w:rPr>
        <w:t>o</w:t>
      </w:r>
      <w:r w:rsidRPr="00D15565">
        <w:rPr>
          <w:rStyle w:val="Hyperlink"/>
          <w:b/>
          <w:bCs/>
          <w:lang w:val="es-ES_tradnl"/>
        </w:rPr>
        <w:t> 3</w:t>
      </w:r>
      <w:r w:rsidRPr="00D15565">
        <w:rPr>
          <w:b/>
          <w:bCs/>
          <w:lang w:val="es-ES_tradnl"/>
        </w:rPr>
        <w:fldChar w:fldCharType="end"/>
      </w:r>
      <w:bookmarkEnd w:id="12"/>
      <w:r w:rsidR="00DE0469" w:rsidRPr="00D15565">
        <w:rPr>
          <w:lang w:val="es-ES_tradnl"/>
        </w:rPr>
        <w:t xml:space="preserve">: El Sr. Stephen Bereaux, Director Adjunto de la BDT, presentó el documento </w:t>
      </w:r>
      <w:r w:rsidR="00C23482" w:rsidRPr="00D15565">
        <w:rPr>
          <w:lang w:val="es-ES_tradnl"/>
        </w:rPr>
        <w:t xml:space="preserve">relativo a la </w:t>
      </w:r>
      <w:r w:rsidR="00DE0469" w:rsidRPr="00D15565">
        <w:rPr>
          <w:lang w:val="es-ES_tradnl"/>
        </w:rPr>
        <w:t>aplicación de la gestión basada en los resultados (GBR) en la BDT. En 2019, la BDT inició una reforma integral de su forma de aplicar la GBR, con el objetivo tanto de dotarse de los medios necesarios para afrontar los desafíos inherentes a la rápida evolución del panorama de desarrollo, como de adecuarse a su propósito. Esta reforma permitió integrar la GBR en la ejecución de todos los programas de trabajo, como herramienta para la supervisión y la toma de decisiones de gestión, así como para demostrar la influencia de la BDT. La GBR también establece una plataforma a efectos de la colaboración con los socios internos y externos, y de la recreación y ampliación de los proyectos e iniciativas del programa de trabajo que se hayan coronado con éxito.</w:t>
      </w:r>
    </w:p>
    <w:p w14:paraId="6BEA92C2" w14:textId="7E4F5E3E" w:rsidR="00F65180" w:rsidRPr="00D15565" w:rsidRDefault="005D6059" w:rsidP="00712E2F">
      <w:pPr>
        <w:rPr>
          <w:lang w:val="es-ES_tradnl"/>
        </w:rPr>
      </w:pPr>
      <w:r w:rsidRPr="00D15565">
        <w:rPr>
          <w:lang w:val="es-ES_tradnl"/>
        </w:rPr>
        <w:t>La RPR-CEI tomó nota del documento.</w:t>
      </w:r>
    </w:p>
    <w:p w14:paraId="2509D7CB" w14:textId="50495CAF" w:rsidR="003D4042" w:rsidRPr="00D15565" w:rsidRDefault="00FA64BD" w:rsidP="003D4042">
      <w:pPr>
        <w:rPr>
          <w:lang w:val="es-ES_tradnl"/>
        </w:rPr>
      </w:pPr>
      <w:hyperlink r:id="rId18" w:history="1">
        <w:r w:rsidR="00F65180" w:rsidRPr="00D15565">
          <w:rPr>
            <w:rStyle w:val="Hyperlink"/>
            <w:b/>
            <w:bCs/>
            <w:lang w:val="es-ES_tradnl"/>
          </w:rPr>
          <w:t>Document</w:t>
        </w:r>
        <w:r w:rsidR="00992DD1" w:rsidRPr="00D15565">
          <w:rPr>
            <w:rStyle w:val="Hyperlink"/>
            <w:b/>
            <w:bCs/>
            <w:lang w:val="es-ES_tradnl"/>
          </w:rPr>
          <w:t>o</w:t>
        </w:r>
        <w:r w:rsidR="00F65180" w:rsidRPr="00D15565">
          <w:rPr>
            <w:rStyle w:val="Hyperlink"/>
            <w:b/>
            <w:bCs/>
            <w:lang w:val="es-ES_tradnl"/>
          </w:rPr>
          <w:t> 4</w:t>
        </w:r>
      </w:hyperlink>
      <w:r w:rsidR="008B614E" w:rsidRPr="00D15565">
        <w:rPr>
          <w:rStyle w:val="Hyperlink"/>
          <w:color w:val="auto"/>
          <w:u w:val="none"/>
          <w:lang w:val="es-ES_tradnl"/>
        </w:rPr>
        <w:t>:</w:t>
      </w:r>
      <w:r w:rsidR="00F65180" w:rsidRPr="00D15565">
        <w:rPr>
          <w:lang w:val="es-ES_tradnl"/>
        </w:rPr>
        <w:t xml:space="preserve"> </w:t>
      </w:r>
      <w:r w:rsidR="00C53011" w:rsidRPr="00D15565">
        <w:rPr>
          <w:lang w:val="es-ES_tradnl"/>
        </w:rPr>
        <w:t>El Sr. Stephen Bereaux, Director Adjunto de la BDT, y la Sra. Natalia Mochu, Directora Regional de la Oficina Regional de la UIT para la CEI</w:t>
      </w:r>
      <w:r w:rsidR="00CA316B" w:rsidRPr="00D15565">
        <w:rPr>
          <w:lang w:val="es-ES_tradnl"/>
        </w:rPr>
        <w:t>,</w:t>
      </w:r>
      <w:r w:rsidR="00C53011" w:rsidRPr="00D15565">
        <w:rPr>
          <w:lang w:val="es-ES_tradnl"/>
        </w:rPr>
        <w:t xml:space="preserve"> present</w:t>
      </w:r>
      <w:r w:rsidR="00CA316B" w:rsidRPr="00D15565">
        <w:rPr>
          <w:lang w:val="es-ES_tradnl"/>
        </w:rPr>
        <w:t>aron</w:t>
      </w:r>
      <w:r w:rsidR="00C53011" w:rsidRPr="00D15565">
        <w:rPr>
          <w:lang w:val="es-ES_tradnl"/>
        </w:rPr>
        <w:t xml:space="preserve"> el </w:t>
      </w:r>
      <w:r w:rsidR="00C23482" w:rsidRPr="00D15565">
        <w:rPr>
          <w:lang w:val="es-ES_tradnl"/>
        </w:rPr>
        <w:t>documento que contenía la</w:t>
      </w:r>
      <w:r w:rsidR="00C53011" w:rsidRPr="00D15565">
        <w:rPr>
          <w:bCs/>
          <w:lang w:val="es-ES_tradnl"/>
        </w:rPr>
        <w:t xml:space="preserve"> </w:t>
      </w:r>
      <w:r w:rsidR="00C53011" w:rsidRPr="00D15565">
        <w:rPr>
          <w:lang w:val="es-ES_tradnl"/>
        </w:rPr>
        <w:t>información relativa a la implementación del Plan de Acción de Buenos Aires de la CMDT</w:t>
      </w:r>
      <w:r w:rsidR="00C53011" w:rsidRPr="00D15565">
        <w:rPr>
          <w:lang w:val="es-ES_tradnl"/>
        </w:rPr>
        <w:noBreakHyphen/>
        <w:t>17 (incluidas las iniciativas regionales) y</w:t>
      </w:r>
      <w:r w:rsidR="00C23482" w:rsidRPr="00D15565">
        <w:rPr>
          <w:lang w:val="es-ES_tradnl"/>
        </w:rPr>
        <w:t xml:space="preserve"> la</w:t>
      </w:r>
      <w:r w:rsidR="00C53011" w:rsidRPr="00D15565">
        <w:rPr>
          <w:lang w:val="es-ES_tradnl"/>
        </w:rPr>
        <w:t xml:space="preserve"> contribución a la implementación del Plan de Acción de la CMSI y de los Objetivos de Desarrollo Sostenible (ODS).</w:t>
      </w:r>
      <w:r w:rsidR="00F65180" w:rsidRPr="00D15565">
        <w:rPr>
          <w:lang w:val="es-ES_tradnl"/>
        </w:rPr>
        <w:t xml:space="preserve"> </w:t>
      </w:r>
      <w:r w:rsidR="003D4042" w:rsidRPr="00D15565">
        <w:rPr>
          <w:lang w:val="es-ES_tradnl"/>
        </w:rPr>
        <w:t xml:space="preserve">La CMDT-17, que se celebró en Buenos Aires (Argentina) del 9 al 20 de octubre de 2017, adoptó el </w:t>
      </w:r>
      <w:hyperlink r:id="rId19" w:history="1">
        <w:r w:rsidR="003D4042" w:rsidRPr="00D15565">
          <w:rPr>
            <w:rStyle w:val="Hyperlink"/>
            <w:lang w:val="es-ES_tradnl"/>
          </w:rPr>
          <w:t>Plan de Acción de Buenos Aires</w:t>
        </w:r>
      </w:hyperlink>
      <w:r w:rsidR="003D4042" w:rsidRPr="00D15565">
        <w:rPr>
          <w:lang w:val="es-ES_tradnl"/>
        </w:rPr>
        <w:t xml:space="preserve"> (PABA). En este plan, que comprende los programas del UIT-D, una serie de iniciativas regionales y las Resoluciones, Recomendaciones y Cuestiones de Comisiones de Estudio nuevas y revisadas, se definen el mandato, los objetivos y las prioridades del UIT-D para el periodo 2018</w:t>
      </w:r>
      <w:r w:rsidR="00673DB3">
        <w:rPr>
          <w:lang w:val="es-ES_tradnl"/>
        </w:rPr>
        <w:noBreakHyphen/>
      </w:r>
      <w:r w:rsidR="003D4042" w:rsidRPr="00D15565">
        <w:rPr>
          <w:lang w:val="es-ES_tradnl"/>
        </w:rPr>
        <w:t>2021. En el Plan también se armonizan los trabajos del UIT-D con los objetivos estratégicos de la UIT, a fin de ayudar a los países a aprovechar plenamente los beneficios de las TIC.</w:t>
      </w:r>
    </w:p>
    <w:p w14:paraId="7942ABD4" w14:textId="564EB750" w:rsidR="00F65180" w:rsidRPr="00D15565" w:rsidRDefault="002A08AB" w:rsidP="003D4042">
      <w:pPr>
        <w:rPr>
          <w:rFonts w:ascii="Calibri" w:hAnsi="Calibri"/>
          <w:lang w:val="es-ES_tradnl"/>
        </w:rPr>
      </w:pPr>
      <w:r w:rsidRPr="00D15565">
        <w:rPr>
          <w:rFonts w:ascii="Calibri" w:hAnsi="Calibri"/>
          <w:lang w:val="es-ES_tradnl"/>
        </w:rPr>
        <w:t>En e</w:t>
      </w:r>
      <w:r w:rsidR="003D4042" w:rsidRPr="00D15565">
        <w:rPr>
          <w:rFonts w:ascii="Calibri" w:hAnsi="Calibri"/>
          <w:lang w:val="es-ES_tradnl"/>
        </w:rPr>
        <w:t>ste</w:t>
      </w:r>
      <w:r w:rsidRPr="00D15565">
        <w:rPr>
          <w:rFonts w:ascii="Calibri" w:hAnsi="Calibri"/>
          <w:lang w:val="es-ES_tradnl"/>
        </w:rPr>
        <w:t xml:space="preserve"> documento </w:t>
      </w:r>
      <w:r w:rsidR="003D4042" w:rsidRPr="00D15565">
        <w:rPr>
          <w:rFonts w:ascii="Calibri" w:hAnsi="Calibri"/>
          <w:lang w:val="es-ES_tradnl"/>
        </w:rPr>
        <w:t>se facilita información sobre la ejecución del PABA y su contribución a la implementación del Plan de Acción de la CMSI y los ODS. También se destacan los cambios a los que se ha sometido la BDT, brazo ejecutor del UIT-D, para seguir el ritmo del dinámico entorno al que atiende.</w:t>
      </w:r>
      <w:r w:rsidRPr="00D15565">
        <w:rPr>
          <w:rFonts w:ascii="Calibri" w:hAnsi="Calibri"/>
          <w:lang w:val="es-ES_tradnl"/>
        </w:rPr>
        <w:t xml:space="preserve"> La importancia fundamental de las TIC y su misión de impulsar el desarrollo socioeconómico y allanar el camino hacia la recuperación económica se ha</w:t>
      </w:r>
      <w:r w:rsidR="00162382" w:rsidRPr="00D15565">
        <w:rPr>
          <w:rFonts w:ascii="Calibri" w:hAnsi="Calibri"/>
          <w:lang w:val="es-ES_tradnl"/>
        </w:rPr>
        <w:t>n</w:t>
      </w:r>
      <w:r w:rsidRPr="00D15565">
        <w:rPr>
          <w:rFonts w:ascii="Calibri" w:hAnsi="Calibri"/>
          <w:lang w:val="es-ES_tradnl"/>
        </w:rPr>
        <w:t xml:space="preserve"> demostrado una vez más con la pandemia COVID-19</w:t>
      </w:r>
      <w:r w:rsidR="00162382" w:rsidRPr="00D15565">
        <w:rPr>
          <w:rFonts w:ascii="Calibri" w:hAnsi="Calibri"/>
          <w:lang w:val="es-ES_tradnl"/>
        </w:rPr>
        <w:t>,</w:t>
      </w:r>
      <w:r w:rsidRPr="00D15565">
        <w:rPr>
          <w:rFonts w:ascii="Calibri" w:hAnsi="Calibri"/>
          <w:lang w:val="es-ES_tradnl"/>
        </w:rPr>
        <w:t xml:space="preserve"> que</w:t>
      </w:r>
      <w:r w:rsidR="00316735" w:rsidRPr="00D15565">
        <w:rPr>
          <w:rFonts w:ascii="Calibri" w:hAnsi="Calibri"/>
          <w:lang w:val="es-ES_tradnl"/>
        </w:rPr>
        <w:t xml:space="preserve"> ha</w:t>
      </w:r>
      <w:r w:rsidRPr="00D15565">
        <w:rPr>
          <w:rFonts w:ascii="Calibri" w:hAnsi="Calibri"/>
          <w:lang w:val="es-ES_tradnl"/>
        </w:rPr>
        <w:t xml:space="preserve"> afectado a todos los países del mundo. Esta crisis también ha puesto de manifiesto la necesidad de una mayor agilidad y capacidad de respuesta de la BDT para poder liderar los esfuerzos dirigidos a conseguir que los ciudadanos de todos los países del mundo estén conectados.</w:t>
      </w:r>
    </w:p>
    <w:p w14:paraId="42734679" w14:textId="7E219937" w:rsidR="00F65180" w:rsidRPr="00D15565" w:rsidRDefault="005D6059" w:rsidP="00712E2F">
      <w:pPr>
        <w:rPr>
          <w:lang w:val="es-ES_tradnl"/>
        </w:rPr>
      </w:pPr>
      <w:r w:rsidRPr="00D15565">
        <w:rPr>
          <w:lang w:val="es-ES_tradnl"/>
        </w:rPr>
        <w:t>La RPR-CEI tomó nota del documento.</w:t>
      </w:r>
    </w:p>
    <w:p w14:paraId="44337ED9" w14:textId="39A74352" w:rsidR="00F65180" w:rsidRPr="00D15565" w:rsidRDefault="00F65180" w:rsidP="00712E2F">
      <w:pPr>
        <w:pStyle w:val="Heading1"/>
        <w:rPr>
          <w:lang w:val="es-ES_tradnl"/>
        </w:rPr>
      </w:pPr>
      <w:r w:rsidRPr="00D15565">
        <w:rPr>
          <w:lang w:val="es-ES_tradnl"/>
        </w:rPr>
        <w:t>6</w:t>
      </w:r>
      <w:r w:rsidRPr="00D15565">
        <w:rPr>
          <w:lang w:val="es-ES_tradnl"/>
        </w:rPr>
        <w:tab/>
      </w:r>
      <w:bookmarkStart w:id="13" w:name="_Hlk70340830"/>
      <w:r w:rsidR="0036033C" w:rsidRPr="00D15565">
        <w:rPr>
          <w:lang w:val="es-ES_tradnl"/>
        </w:rPr>
        <w:t xml:space="preserve">Informe sobre la implementación de los resultados de otras </w:t>
      </w:r>
      <w:r w:rsidR="00316735" w:rsidRPr="00D15565">
        <w:rPr>
          <w:lang w:val="es-ES_tradnl"/>
        </w:rPr>
        <w:t>Conferencias</w:t>
      </w:r>
      <w:r w:rsidR="0036033C" w:rsidRPr="00D15565">
        <w:rPr>
          <w:lang w:val="es-ES_tradnl"/>
        </w:rPr>
        <w:t xml:space="preserve">, </w:t>
      </w:r>
      <w:r w:rsidR="00316735" w:rsidRPr="00D15565">
        <w:rPr>
          <w:lang w:val="es-ES_tradnl"/>
        </w:rPr>
        <w:t xml:space="preserve">Asambleas </w:t>
      </w:r>
      <w:r w:rsidR="0036033C" w:rsidRPr="00D15565">
        <w:rPr>
          <w:lang w:val="es-ES_tradnl"/>
        </w:rPr>
        <w:t>y reuniones</w:t>
      </w:r>
      <w:r w:rsidR="00316735" w:rsidRPr="00D15565">
        <w:rPr>
          <w:lang w:val="es-ES_tradnl"/>
        </w:rPr>
        <w:t xml:space="preserve"> de la UIT</w:t>
      </w:r>
      <w:r w:rsidR="0036033C" w:rsidRPr="00D15565">
        <w:rPr>
          <w:lang w:val="es-ES_tradnl"/>
        </w:rPr>
        <w:t xml:space="preserve"> relacionados con los trabajos del UIT-D: PP-18, CMR-19, AR-19, y AMNT-16</w:t>
      </w:r>
      <w:bookmarkEnd w:id="13"/>
    </w:p>
    <w:p w14:paraId="2DE2D542" w14:textId="54EB11FB" w:rsidR="00B328C4" w:rsidRPr="00D15565" w:rsidRDefault="00FA64BD" w:rsidP="00316735">
      <w:pPr>
        <w:rPr>
          <w:szCs w:val="24"/>
          <w:lang w:val="es-ES_tradnl"/>
        </w:rPr>
      </w:pPr>
      <w:hyperlink r:id="rId20" w:history="1">
        <w:r w:rsidR="00B328C4" w:rsidRPr="00D15565">
          <w:rPr>
            <w:rStyle w:val="Hyperlink"/>
            <w:b/>
            <w:bCs/>
            <w:lang w:val="es-ES_tradnl"/>
          </w:rPr>
          <w:t>Document</w:t>
        </w:r>
        <w:r w:rsidR="00316735" w:rsidRPr="00D15565">
          <w:rPr>
            <w:rStyle w:val="Hyperlink"/>
            <w:b/>
            <w:bCs/>
            <w:lang w:val="es-ES_tradnl"/>
          </w:rPr>
          <w:t>o</w:t>
        </w:r>
        <w:r w:rsidR="00B328C4" w:rsidRPr="00D15565">
          <w:rPr>
            <w:rStyle w:val="Hyperlink"/>
            <w:b/>
            <w:bCs/>
            <w:lang w:val="es-ES_tradnl"/>
          </w:rPr>
          <w:t> 5</w:t>
        </w:r>
      </w:hyperlink>
      <w:r w:rsidR="00316735" w:rsidRPr="00D15565">
        <w:rPr>
          <w:rStyle w:val="Hyperlink"/>
          <w:b/>
          <w:bCs/>
          <w:lang w:val="es-ES_tradnl"/>
        </w:rPr>
        <w:t>:</w:t>
      </w:r>
      <w:r w:rsidR="00B328C4" w:rsidRPr="00D15565">
        <w:rPr>
          <w:lang w:val="es-ES_tradnl"/>
        </w:rPr>
        <w:t xml:space="preserve"> </w:t>
      </w:r>
      <w:r w:rsidR="00316735" w:rsidRPr="00D15565">
        <w:rPr>
          <w:lang w:val="es-ES_tradnl"/>
        </w:rPr>
        <w:t xml:space="preserve">El Sr. Marco Obiso, Jefe del </w:t>
      </w:r>
      <w:r w:rsidR="00316735" w:rsidRPr="00D15565">
        <w:rPr>
          <w:rFonts w:cstheme="minorHAnsi"/>
          <w:szCs w:val="24"/>
          <w:lang w:val="es-ES_tradnl"/>
        </w:rPr>
        <w:t xml:space="preserve">Departamento de </w:t>
      </w:r>
      <w:bookmarkStart w:id="14" w:name="_Hlk70432759"/>
      <w:r w:rsidR="00316735" w:rsidRPr="00D15565">
        <w:rPr>
          <w:rFonts w:cstheme="minorHAnsi"/>
          <w:szCs w:val="24"/>
          <w:lang w:val="es-ES_tradnl"/>
        </w:rPr>
        <w:t>Redes y Sociedad Digitales</w:t>
      </w:r>
      <w:bookmarkEnd w:id="14"/>
      <w:r w:rsidR="00162382" w:rsidRPr="00D15565">
        <w:rPr>
          <w:rFonts w:cstheme="minorHAnsi"/>
          <w:szCs w:val="24"/>
          <w:lang w:val="es-ES_tradnl"/>
        </w:rPr>
        <w:t xml:space="preserve"> de la BDT</w:t>
      </w:r>
      <w:r w:rsidR="00316735" w:rsidRPr="00D15565">
        <w:rPr>
          <w:lang w:val="es-ES_tradnl"/>
        </w:rPr>
        <w:t xml:space="preserve">, presentó el informe sobre la implementación de los resultados de otras Conferencias, Asambleas y reuniones de la UIT relacionados con los trabajos del UIT-D </w:t>
      </w:r>
      <w:r w:rsidR="00162382" w:rsidRPr="00D15565">
        <w:rPr>
          <w:lang w:val="es-ES_tradnl"/>
        </w:rPr>
        <w:t>(</w:t>
      </w:r>
      <w:r w:rsidR="00316735" w:rsidRPr="00D15565">
        <w:rPr>
          <w:lang w:val="es-ES_tradnl"/>
        </w:rPr>
        <w:t>PP-18, CMR</w:t>
      </w:r>
      <w:r w:rsidR="00316735" w:rsidRPr="00D15565">
        <w:rPr>
          <w:lang w:val="es-ES_tradnl"/>
        </w:rPr>
        <w:noBreakHyphen/>
        <w:t>19, AR-19, y AMNT-16), en el que se resumen</w:t>
      </w:r>
      <w:bookmarkStart w:id="15" w:name="_Hlk70866043"/>
      <w:r w:rsidR="00316735" w:rsidRPr="00D15565">
        <w:rPr>
          <w:lang w:val="es-ES_tradnl"/>
        </w:rPr>
        <w:t xml:space="preserve"> </w:t>
      </w:r>
      <w:r w:rsidR="002C6330" w:rsidRPr="00D15565">
        <w:rPr>
          <w:rFonts w:ascii="Calibri" w:hAnsi="Calibri"/>
          <w:szCs w:val="24"/>
          <w:lang w:val="es-ES_tradnl"/>
        </w:rPr>
        <w:t xml:space="preserve">los resultados de las </w:t>
      </w:r>
      <w:r w:rsidR="00162382" w:rsidRPr="00D15565">
        <w:rPr>
          <w:rFonts w:ascii="Calibri" w:hAnsi="Calibri"/>
          <w:szCs w:val="24"/>
          <w:lang w:val="es-ES_tradnl"/>
        </w:rPr>
        <w:t>Conferencias</w:t>
      </w:r>
      <w:r w:rsidR="002C6330" w:rsidRPr="00D15565">
        <w:rPr>
          <w:rFonts w:ascii="Calibri" w:hAnsi="Calibri"/>
          <w:szCs w:val="24"/>
          <w:lang w:val="es-ES_tradnl"/>
        </w:rPr>
        <w:t xml:space="preserve">, </w:t>
      </w:r>
      <w:r w:rsidR="00162382" w:rsidRPr="00D15565">
        <w:rPr>
          <w:rFonts w:ascii="Calibri" w:hAnsi="Calibri"/>
          <w:szCs w:val="24"/>
          <w:lang w:val="es-ES_tradnl"/>
        </w:rPr>
        <w:t xml:space="preserve">Asambleas </w:t>
      </w:r>
      <w:r w:rsidR="002C6330" w:rsidRPr="00D15565">
        <w:rPr>
          <w:rFonts w:ascii="Calibri" w:hAnsi="Calibri"/>
          <w:szCs w:val="24"/>
          <w:lang w:val="es-ES_tradnl"/>
        </w:rPr>
        <w:t>y reuniones de la UIT</w:t>
      </w:r>
      <w:r w:rsidR="00316735" w:rsidRPr="00D15565">
        <w:rPr>
          <w:rFonts w:ascii="Calibri" w:hAnsi="Calibri"/>
          <w:szCs w:val="24"/>
          <w:lang w:val="es-ES_tradnl"/>
        </w:rPr>
        <w:t xml:space="preserve"> que </w:t>
      </w:r>
      <w:r w:rsidR="00316735" w:rsidRPr="00D15565">
        <w:rPr>
          <w:rFonts w:ascii="Calibri" w:hAnsi="Calibri"/>
          <w:szCs w:val="24"/>
          <w:lang w:val="es-ES_tradnl"/>
        </w:rPr>
        <w:lastRenderedPageBreak/>
        <w:t>revisten interés para los trabajos del UIT-D y se ofrece información actualizada sobre</w:t>
      </w:r>
      <w:r w:rsidR="002C6330" w:rsidRPr="00D15565">
        <w:rPr>
          <w:rFonts w:ascii="Calibri" w:hAnsi="Calibri"/>
          <w:szCs w:val="24"/>
          <w:lang w:val="es-ES_tradnl"/>
        </w:rPr>
        <w:t xml:space="preserve"> su </w:t>
      </w:r>
      <w:r w:rsidR="00316735" w:rsidRPr="00D15565">
        <w:rPr>
          <w:rFonts w:ascii="Calibri" w:hAnsi="Calibri"/>
          <w:szCs w:val="24"/>
          <w:lang w:val="es-ES_tradnl"/>
        </w:rPr>
        <w:t xml:space="preserve">nivel </w:t>
      </w:r>
      <w:r w:rsidR="002C6330" w:rsidRPr="00D15565">
        <w:rPr>
          <w:rFonts w:ascii="Calibri" w:hAnsi="Calibri"/>
          <w:szCs w:val="24"/>
          <w:lang w:val="es-ES_tradnl"/>
        </w:rPr>
        <w:t>de aplicación</w:t>
      </w:r>
      <w:r w:rsidR="00316735" w:rsidRPr="00D15565">
        <w:rPr>
          <w:rFonts w:ascii="Calibri" w:hAnsi="Calibri"/>
          <w:szCs w:val="24"/>
          <w:lang w:val="es-ES_tradnl"/>
        </w:rPr>
        <w:t>.</w:t>
      </w:r>
    </w:p>
    <w:bookmarkEnd w:id="15"/>
    <w:p w14:paraId="30640B50" w14:textId="7D994400" w:rsidR="00B328C4" w:rsidRPr="00D15565" w:rsidRDefault="005D6059" w:rsidP="00712E2F">
      <w:pPr>
        <w:rPr>
          <w:lang w:val="es-ES_tradnl"/>
        </w:rPr>
      </w:pPr>
      <w:r w:rsidRPr="00D15565">
        <w:rPr>
          <w:lang w:val="es-ES_tradnl"/>
        </w:rPr>
        <w:t>La RPR-CEI tomó nota del documento.</w:t>
      </w:r>
    </w:p>
    <w:p w14:paraId="24CC73B5" w14:textId="24EE0B5E" w:rsidR="00B328C4" w:rsidRPr="00D15565" w:rsidRDefault="00B328C4" w:rsidP="00712E2F">
      <w:pPr>
        <w:pStyle w:val="Heading1"/>
        <w:rPr>
          <w:lang w:val="es-ES_tradnl"/>
        </w:rPr>
      </w:pPr>
      <w:r w:rsidRPr="00D15565">
        <w:rPr>
          <w:lang w:val="es-ES_tradnl"/>
        </w:rPr>
        <w:t>7</w:t>
      </w:r>
      <w:r w:rsidRPr="00D15565">
        <w:rPr>
          <w:lang w:val="es-ES_tradnl"/>
        </w:rPr>
        <w:tab/>
      </w:r>
      <w:r w:rsidR="0036033C" w:rsidRPr="00D15565">
        <w:rPr>
          <w:lang w:val="es-ES_tradnl"/>
        </w:rPr>
        <w:t>Preparativos para la CMDT-21</w:t>
      </w:r>
    </w:p>
    <w:p w14:paraId="6BF4351C" w14:textId="5255778C" w:rsidR="0036033C" w:rsidRPr="00D15565" w:rsidRDefault="00B328C4" w:rsidP="00712E2F">
      <w:pPr>
        <w:pStyle w:val="Heading2"/>
        <w:rPr>
          <w:lang w:val="es-ES_tradnl"/>
        </w:rPr>
      </w:pPr>
      <w:r w:rsidRPr="00D15565">
        <w:rPr>
          <w:lang w:val="es-ES_tradnl"/>
        </w:rPr>
        <w:t>7.1</w:t>
      </w:r>
      <w:r w:rsidRPr="00D15565">
        <w:rPr>
          <w:lang w:val="es-ES_tradnl"/>
        </w:rPr>
        <w:tab/>
      </w:r>
      <w:r w:rsidR="0036033C" w:rsidRPr="00D15565">
        <w:rPr>
          <w:lang w:val="es-ES_tradnl"/>
        </w:rPr>
        <w:t>Informe del Grupo de Trabajo del GADT sobre los preparativos de la CMDT</w:t>
      </w:r>
    </w:p>
    <w:p w14:paraId="10E1BB14" w14:textId="439E9CA5" w:rsidR="00B328C4" w:rsidRPr="00D15565" w:rsidRDefault="00FA64BD" w:rsidP="003168B7">
      <w:pPr>
        <w:rPr>
          <w:lang w:val="es-ES_tradnl"/>
        </w:rPr>
      </w:pPr>
      <w:hyperlink r:id="rId21">
        <w:r w:rsidR="003E07A0" w:rsidRPr="00D15565">
          <w:rPr>
            <w:rStyle w:val="Hyperlink"/>
            <w:b/>
            <w:bCs/>
            <w:lang w:val="es-ES_tradnl"/>
          </w:rPr>
          <w:t>Documento 6</w:t>
        </w:r>
      </w:hyperlink>
      <w:r w:rsidR="003E07A0" w:rsidRPr="00D15565">
        <w:rPr>
          <w:lang w:val="es-ES_tradnl"/>
        </w:rPr>
        <w:t>:</w:t>
      </w:r>
      <w:r w:rsidR="002F4305" w:rsidRPr="00D15565">
        <w:rPr>
          <w:lang w:val="es-ES_tradnl"/>
        </w:rPr>
        <w:t xml:space="preserve"> </w:t>
      </w:r>
      <w:r w:rsidR="003168B7" w:rsidRPr="00D15565">
        <w:rPr>
          <w:lang w:val="es-ES_tradnl"/>
        </w:rPr>
        <w:t>El Sr. Stephen Bereaux, Director Adjunto de la BDT</w:t>
      </w:r>
      <w:r w:rsidR="00183564" w:rsidRPr="00D15565">
        <w:rPr>
          <w:lang w:val="es-ES_tradnl"/>
        </w:rPr>
        <w:t>,</w:t>
      </w:r>
      <w:r w:rsidR="003168B7" w:rsidRPr="00D15565">
        <w:rPr>
          <w:lang w:val="es-ES_tradnl"/>
        </w:rPr>
        <w:t xml:space="preserve"> presentó </w:t>
      </w:r>
      <w:r w:rsidR="0036033C" w:rsidRPr="00D15565">
        <w:rPr>
          <w:lang w:val="es-ES_tradnl"/>
        </w:rPr>
        <w:t xml:space="preserve">el </w:t>
      </w:r>
      <w:r w:rsidR="003168B7" w:rsidRPr="00D15565">
        <w:rPr>
          <w:lang w:val="es-ES_tradnl"/>
        </w:rPr>
        <w:t>documento que contenía el i</w:t>
      </w:r>
      <w:r w:rsidR="0036033C" w:rsidRPr="00D15565">
        <w:rPr>
          <w:lang w:val="es-ES_tradnl"/>
        </w:rPr>
        <w:t>nforme final del Grupo de Trabajo del GADT sobre los preparativos de la CMDT (GT</w:t>
      </w:r>
      <w:r w:rsidR="00673DB3">
        <w:rPr>
          <w:lang w:val="es-ES_tradnl"/>
        </w:rPr>
        <w:noBreakHyphen/>
      </w:r>
      <w:r w:rsidR="0036033C" w:rsidRPr="00D15565">
        <w:rPr>
          <w:lang w:val="es-ES_tradnl"/>
        </w:rPr>
        <w:t>GADT-</w:t>
      </w:r>
      <w:proofErr w:type="spellStart"/>
      <w:r w:rsidR="0036033C" w:rsidRPr="00D15565">
        <w:rPr>
          <w:lang w:val="es-ES_tradnl"/>
        </w:rPr>
        <w:t>Prep</w:t>
      </w:r>
      <w:proofErr w:type="spellEnd"/>
      <w:r w:rsidR="0036033C" w:rsidRPr="00D15565">
        <w:rPr>
          <w:lang w:val="es-ES_tradnl"/>
        </w:rPr>
        <w:t>)</w:t>
      </w:r>
      <w:r w:rsidR="003168B7" w:rsidRPr="00D15565">
        <w:rPr>
          <w:lang w:val="es-ES_tradnl"/>
        </w:rPr>
        <w:t>, incluidos los puntos en torno a los cuales el grupo no llegó a un consenso y el GADT-20/3 tomó una decisión.</w:t>
      </w:r>
    </w:p>
    <w:p w14:paraId="59BAE665" w14:textId="6AA5EDDA" w:rsidR="00B0605A" w:rsidRPr="00D15565" w:rsidRDefault="003E07A0" w:rsidP="00712E2F">
      <w:pPr>
        <w:rPr>
          <w:lang w:val="es-ES_tradnl"/>
        </w:rPr>
      </w:pPr>
      <w:r w:rsidRPr="00D15565">
        <w:rPr>
          <w:lang w:val="es-ES_tradnl"/>
        </w:rPr>
        <w:t>La RPR-CEI tomó nota del documento</w:t>
      </w:r>
      <w:r w:rsidR="00B0605A" w:rsidRPr="00D15565">
        <w:rPr>
          <w:lang w:val="es-ES_tradnl"/>
        </w:rPr>
        <w:t>.</w:t>
      </w:r>
    </w:p>
    <w:p w14:paraId="053570A2" w14:textId="04513C52" w:rsidR="00B328C4" w:rsidRPr="00D15565" w:rsidRDefault="00B0605A" w:rsidP="00712E2F">
      <w:pPr>
        <w:pStyle w:val="Heading2"/>
        <w:rPr>
          <w:lang w:val="es-ES_tradnl"/>
        </w:rPr>
      </w:pPr>
      <w:r w:rsidRPr="00D15565">
        <w:rPr>
          <w:lang w:val="es-ES_tradnl"/>
        </w:rPr>
        <w:t>7.2</w:t>
      </w:r>
      <w:r w:rsidRPr="00D15565">
        <w:rPr>
          <w:lang w:val="es-ES_tradnl"/>
        </w:rPr>
        <w:tab/>
      </w:r>
      <w:r w:rsidR="003E07A0" w:rsidRPr="00D15565">
        <w:rPr>
          <w:lang w:val="es-ES_tradnl"/>
        </w:rPr>
        <w:t>Informe del Grupo de Trabajo del GADT sobre las Resoluciones, la Declaración y las prioridades temáticas de la CMDT</w:t>
      </w:r>
    </w:p>
    <w:p w14:paraId="5EEB64A6" w14:textId="1333A9A6" w:rsidR="00E569AE" w:rsidRPr="00D15565" w:rsidRDefault="00FA64BD" w:rsidP="003168B7">
      <w:pPr>
        <w:tabs>
          <w:tab w:val="clear" w:pos="1134"/>
          <w:tab w:val="clear" w:pos="1871"/>
          <w:tab w:val="clear" w:pos="2268"/>
        </w:tabs>
        <w:rPr>
          <w:rFonts w:ascii="Calibri" w:hAnsi="Calibri"/>
          <w:lang w:val="es-ES_tradnl"/>
        </w:rPr>
      </w:pPr>
      <w:hyperlink r:id="rId22">
        <w:r w:rsidR="00E569AE" w:rsidRPr="00D15565">
          <w:rPr>
            <w:rFonts w:ascii="Calibri" w:hAnsi="Calibri"/>
            <w:b/>
            <w:bCs/>
            <w:color w:val="0000FF"/>
            <w:u w:val="single"/>
            <w:lang w:val="es-ES_tradnl"/>
          </w:rPr>
          <w:t>Documento 7</w:t>
        </w:r>
      </w:hyperlink>
      <w:r w:rsidR="00E569AE" w:rsidRPr="00D15565">
        <w:rPr>
          <w:rFonts w:ascii="Calibri" w:hAnsi="Calibri"/>
          <w:lang w:val="es-ES_tradnl"/>
        </w:rPr>
        <w:t xml:space="preserve">: </w:t>
      </w:r>
      <w:r w:rsidR="003168B7" w:rsidRPr="00D15565">
        <w:rPr>
          <w:rFonts w:cstheme="minorHAnsi"/>
          <w:szCs w:val="24"/>
          <w:lang w:val="es-ES_tradnl"/>
        </w:rPr>
        <w:t xml:space="preserve">La presentación del informe del Grupo de Trabajo del GADT sobre las Resoluciones, la Declaración y las prioridades temáticas (GT-GADT-RDPT) corrió a cargo de su </w:t>
      </w:r>
      <w:proofErr w:type="gramStart"/>
      <w:r w:rsidR="003168B7" w:rsidRPr="00D15565">
        <w:rPr>
          <w:rFonts w:cstheme="minorHAnsi"/>
          <w:szCs w:val="24"/>
          <w:lang w:val="es-ES_tradnl"/>
        </w:rPr>
        <w:t>Presidente</w:t>
      </w:r>
      <w:proofErr w:type="gramEnd"/>
      <w:r w:rsidR="003168B7" w:rsidRPr="00D15565">
        <w:rPr>
          <w:rFonts w:cstheme="minorHAnsi"/>
          <w:szCs w:val="24"/>
          <w:lang w:val="es-ES_tradnl"/>
        </w:rPr>
        <w:t>, Sr.</w:t>
      </w:r>
      <w:r w:rsidR="00A81897">
        <w:rPr>
          <w:rFonts w:cstheme="minorHAnsi"/>
          <w:szCs w:val="24"/>
          <w:lang w:val="es-ES_tradnl"/>
        </w:rPr>
        <w:t> </w:t>
      </w:r>
      <w:r w:rsidR="003168B7" w:rsidRPr="00D15565">
        <w:rPr>
          <w:rFonts w:cstheme="minorHAnsi"/>
          <w:szCs w:val="24"/>
          <w:lang w:val="es-ES_tradnl"/>
        </w:rPr>
        <w:t>Ahmad Reza Sharafat.</w:t>
      </w:r>
      <w:r w:rsidR="00E569AE" w:rsidRPr="00D15565">
        <w:rPr>
          <w:rFonts w:ascii="Calibri" w:hAnsi="Calibri"/>
          <w:lang w:val="es-ES_tradnl"/>
        </w:rPr>
        <w:t xml:space="preserve"> </w:t>
      </w:r>
      <w:r w:rsidR="003168B7" w:rsidRPr="00D15565">
        <w:rPr>
          <w:rFonts w:ascii="Calibri" w:hAnsi="Calibri"/>
          <w:lang w:val="es-ES_tradnl"/>
        </w:rPr>
        <w:t>En este informe se detalla la marcha de los trabajos del GT-GADT-RDPT</w:t>
      </w:r>
      <w:r w:rsidR="00E569AE" w:rsidRPr="00D15565">
        <w:rPr>
          <w:rFonts w:ascii="Calibri" w:hAnsi="Calibri"/>
          <w:lang w:val="es-ES_tradnl"/>
        </w:rPr>
        <w:t>. El Grupo</w:t>
      </w:r>
      <w:r w:rsidR="003168B7" w:rsidRPr="00D15565">
        <w:rPr>
          <w:rFonts w:ascii="Calibri" w:hAnsi="Calibri"/>
          <w:lang w:val="es-ES_tradnl"/>
        </w:rPr>
        <w:t xml:space="preserve"> proseguirá su labor </w:t>
      </w:r>
      <w:r w:rsidR="00E569AE" w:rsidRPr="00D15565">
        <w:rPr>
          <w:rFonts w:ascii="Calibri" w:hAnsi="Calibri"/>
          <w:lang w:val="es-ES_tradnl"/>
        </w:rPr>
        <w:t xml:space="preserve">y presentará su </w:t>
      </w:r>
      <w:r w:rsidR="003168B7" w:rsidRPr="00D15565">
        <w:rPr>
          <w:rFonts w:ascii="Calibri" w:hAnsi="Calibri"/>
          <w:lang w:val="es-ES_tradnl"/>
        </w:rPr>
        <w:t>próximo informe</w:t>
      </w:r>
      <w:r w:rsidR="00E569AE" w:rsidRPr="00D15565">
        <w:rPr>
          <w:rFonts w:ascii="Calibri" w:hAnsi="Calibri"/>
          <w:lang w:val="es-ES_tradnl"/>
        </w:rPr>
        <w:t xml:space="preserve"> al GADT</w:t>
      </w:r>
      <w:r w:rsidR="00E569AE" w:rsidRPr="00D15565">
        <w:rPr>
          <w:rFonts w:ascii="Calibri" w:hAnsi="Calibri"/>
          <w:lang w:val="es-ES_tradnl"/>
        </w:rPr>
        <w:noBreakHyphen/>
        <w:t>21.</w:t>
      </w:r>
    </w:p>
    <w:p w14:paraId="386FCB4C" w14:textId="4DD09DA5" w:rsidR="00D82137" w:rsidRPr="00D15565" w:rsidRDefault="005D6059" w:rsidP="00712E2F">
      <w:pPr>
        <w:rPr>
          <w:lang w:val="es-ES_tradnl"/>
        </w:rPr>
      </w:pPr>
      <w:r w:rsidRPr="00D15565">
        <w:rPr>
          <w:lang w:val="es-ES_tradnl"/>
        </w:rPr>
        <w:t>La RPR-CEI tomó nota del documento.</w:t>
      </w:r>
    </w:p>
    <w:p w14:paraId="5F8928C6" w14:textId="7FA84FAA" w:rsidR="00D82137" w:rsidRPr="00D15565" w:rsidRDefault="00D82137" w:rsidP="00712E2F">
      <w:pPr>
        <w:pStyle w:val="Heading2"/>
        <w:rPr>
          <w:lang w:val="es-ES_tradnl"/>
        </w:rPr>
      </w:pPr>
      <w:r w:rsidRPr="00D15565">
        <w:rPr>
          <w:lang w:val="es-ES_tradnl"/>
        </w:rPr>
        <w:t>7.3</w:t>
      </w:r>
      <w:r w:rsidRPr="00D15565">
        <w:rPr>
          <w:lang w:val="es-ES_tradnl"/>
        </w:rPr>
        <w:tab/>
      </w:r>
      <w:r w:rsidR="003E07A0" w:rsidRPr="00D15565">
        <w:rPr>
          <w:lang w:val="es-ES_tradnl"/>
        </w:rPr>
        <w:t>Grupo de Trabajo del GADT sobre los Planes Estratégico y Operacional</w:t>
      </w:r>
    </w:p>
    <w:p w14:paraId="37EB0562" w14:textId="6ADB58B8" w:rsidR="00D82137" w:rsidRPr="00D15565" w:rsidRDefault="00FA64BD" w:rsidP="005A56C1">
      <w:pPr>
        <w:rPr>
          <w:lang w:val="es-ES_tradnl"/>
        </w:rPr>
      </w:pPr>
      <w:hyperlink r:id="rId23" w:history="1">
        <w:r w:rsidR="003E07A0" w:rsidRPr="00D15565">
          <w:rPr>
            <w:rFonts w:ascii="Calibri" w:hAnsi="Calibri"/>
            <w:b/>
            <w:bCs/>
            <w:color w:val="0000FF"/>
            <w:u w:val="single"/>
            <w:lang w:val="es-ES_tradnl"/>
          </w:rPr>
          <w:t>Documento 8</w:t>
        </w:r>
      </w:hyperlink>
      <w:r w:rsidR="003E07A0" w:rsidRPr="00D15565">
        <w:rPr>
          <w:rFonts w:ascii="Calibri" w:hAnsi="Calibri"/>
          <w:lang w:val="es-ES_tradnl"/>
        </w:rPr>
        <w:t xml:space="preserve">: </w:t>
      </w:r>
      <w:r w:rsidR="003168B7" w:rsidRPr="00D15565">
        <w:rPr>
          <w:rFonts w:ascii="Calibri" w:hAnsi="Calibri"/>
          <w:lang w:val="es-ES_tradnl"/>
        </w:rPr>
        <w:t>La</w:t>
      </w:r>
      <w:r w:rsidR="007445DC" w:rsidRPr="00D15565">
        <w:rPr>
          <w:rFonts w:ascii="Calibri" w:hAnsi="Calibri"/>
          <w:lang w:val="es-ES_tradnl"/>
        </w:rPr>
        <w:t xml:space="preserve"> Sra.</w:t>
      </w:r>
      <w:r w:rsidR="003168B7" w:rsidRPr="00D15565">
        <w:rPr>
          <w:rFonts w:ascii="Calibri" w:hAnsi="Calibri"/>
          <w:lang w:val="es-ES_tradnl"/>
        </w:rPr>
        <w:t xml:space="preserve"> Blanca González, </w:t>
      </w:r>
      <w:proofErr w:type="gramStart"/>
      <w:r w:rsidR="003168B7" w:rsidRPr="00D15565">
        <w:rPr>
          <w:rFonts w:ascii="Calibri" w:hAnsi="Calibri"/>
          <w:lang w:val="es-ES_tradnl"/>
        </w:rPr>
        <w:t>Vicepresidenta</w:t>
      </w:r>
      <w:proofErr w:type="gramEnd"/>
      <w:r w:rsidR="003168B7" w:rsidRPr="00D15565">
        <w:rPr>
          <w:rFonts w:ascii="Calibri" w:hAnsi="Calibri"/>
          <w:lang w:val="es-ES_tradnl"/>
        </w:rPr>
        <w:t xml:space="preserve"> del GADT, presentó el informe de la reunión del Grupo de Trabajo del GADT sobre los Planes Estratégico y Operacional (GT-GADT-PEO). En este documento se rinde cuenta de las actividades llevadas a cabo por el GT-GADT-PEO desde su creación. Además, se formulan diversas recomendaciones de cara al futuro, que el GADT aprobó en su reunión de noviembre de 2020.</w:t>
      </w:r>
    </w:p>
    <w:p w14:paraId="241F61EA" w14:textId="1A29AA80" w:rsidR="00D82137" w:rsidRPr="00D15565" w:rsidRDefault="00B93F05" w:rsidP="00712E2F">
      <w:pPr>
        <w:rPr>
          <w:lang w:val="es-ES_tradnl"/>
        </w:rPr>
      </w:pPr>
      <w:r w:rsidRPr="00D15565">
        <w:rPr>
          <w:lang w:val="es-ES_tradnl"/>
        </w:rPr>
        <w:t>La RPR-CEI tomó nota del documento.</w:t>
      </w:r>
    </w:p>
    <w:p w14:paraId="4B7A0BB1" w14:textId="567B2FEE" w:rsidR="00D82137" w:rsidRPr="00D15565" w:rsidRDefault="00D82137" w:rsidP="00712E2F">
      <w:pPr>
        <w:pStyle w:val="Heading1"/>
        <w:rPr>
          <w:lang w:val="es-ES_tradnl"/>
        </w:rPr>
      </w:pPr>
      <w:r w:rsidRPr="00D15565">
        <w:rPr>
          <w:lang w:val="es-ES_tradnl"/>
        </w:rPr>
        <w:t>8</w:t>
      </w:r>
      <w:r w:rsidRPr="00D15565">
        <w:rPr>
          <w:lang w:val="es-ES_tradnl"/>
        </w:rPr>
        <w:tab/>
      </w:r>
      <w:r w:rsidR="005A56C1" w:rsidRPr="00D15565">
        <w:rPr>
          <w:lang w:val="es-ES_tradnl"/>
        </w:rPr>
        <w:t>Determinación de las prioridades regionales</w:t>
      </w:r>
    </w:p>
    <w:p w14:paraId="484ECB97" w14:textId="12FEF6DF" w:rsidR="00D82137" w:rsidRPr="00D15565" w:rsidRDefault="00BB29EA" w:rsidP="00BB29EA">
      <w:pPr>
        <w:rPr>
          <w:lang w:val="es-ES_tradnl"/>
        </w:rPr>
      </w:pPr>
      <w:r w:rsidRPr="00D15565">
        <w:rPr>
          <w:lang w:val="es-ES_tradnl"/>
        </w:rPr>
        <w:t>En el marco</w:t>
      </w:r>
      <w:r w:rsidR="005A56C1" w:rsidRPr="00D15565">
        <w:rPr>
          <w:lang w:val="es-ES_tradnl"/>
        </w:rPr>
        <w:t xml:space="preserve"> del punto 8 del orden del día se examinaron las siguientes contribuciones:</w:t>
      </w:r>
    </w:p>
    <w:p w14:paraId="0010B2F7" w14:textId="5061C759" w:rsidR="00D82137" w:rsidRPr="00D15565" w:rsidRDefault="00FA64BD" w:rsidP="00BB29EA">
      <w:pPr>
        <w:rPr>
          <w:szCs w:val="24"/>
          <w:lang w:val="es-ES_tradnl"/>
        </w:rPr>
      </w:pPr>
      <w:hyperlink r:id="rId24" w:history="1">
        <w:r w:rsidR="00D82137" w:rsidRPr="00D15565">
          <w:rPr>
            <w:rStyle w:val="Hyperlink"/>
            <w:b/>
            <w:bCs/>
            <w:lang w:val="es-ES_tradnl"/>
          </w:rPr>
          <w:t>Document</w:t>
        </w:r>
        <w:r w:rsidR="00627B6D" w:rsidRPr="00D15565">
          <w:rPr>
            <w:rStyle w:val="Hyperlink"/>
            <w:b/>
            <w:bCs/>
            <w:lang w:val="es-ES_tradnl"/>
          </w:rPr>
          <w:t>o</w:t>
        </w:r>
        <w:r w:rsidR="00D82137" w:rsidRPr="00D15565">
          <w:rPr>
            <w:rStyle w:val="Hyperlink"/>
            <w:b/>
            <w:bCs/>
            <w:lang w:val="es-ES_tradnl"/>
          </w:rPr>
          <w:t> 9</w:t>
        </w:r>
      </w:hyperlink>
      <w:r w:rsidR="00BB29EA" w:rsidRPr="00D15565">
        <w:rPr>
          <w:rStyle w:val="Hyperlink"/>
          <w:u w:val="none"/>
          <w:lang w:val="es-ES_tradnl"/>
        </w:rPr>
        <w:t>:</w:t>
      </w:r>
      <w:r w:rsidR="00D82137" w:rsidRPr="00D15565">
        <w:rPr>
          <w:lang w:val="es-ES_tradnl"/>
        </w:rPr>
        <w:t xml:space="preserve"> </w:t>
      </w:r>
      <w:r w:rsidR="00BB29EA" w:rsidRPr="00D15565">
        <w:rPr>
          <w:lang w:val="es-ES_tradnl"/>
        </w:rPr>
        <w:t xml:space="preserve">El Sr. Sergey Melnik, Universidad Técnica de Comunicaciones e Informática de Moscú (MTUCI), presentó el documento </w:t>
      </w:r>
      <w:r w:rsidR="007445DC" w:rsidRPr="00D15565">
        <w:rPr>
          <w:lang w:val="es-ES_tradnl"/>
        </w:rPr>
        <w:t xml:space="preserve">relativo al </w:t>
      </w:r>
      <w:r w:rsidR="005A56C1" w:rsidRPr="00D15565">
        <w:rPr>
          <w:lang w:val="es-ES_tradnl"/>
        </w:rPr>
        <w:t xml:space="preserve">sistema de medición del tiempo, la frecuencia y el volumen de datos en las redes digitales de TIC. El objetivo de </w:t>
      </w:r>
      <w:r w:rsidR="00BB29EA" w:rsidRPr="00D15565">
        <w:rPr>
          <w:lang w:val="es-ES_tradnl"/>
        </w:rPr>
        <w:t>est</w:t>
      </w:r>
      <w:r w:rsidR="005A56C1" w:rsidRPr="00D15565">
        <w:rPr>
          <w:lang w:val="es-ES_tradnl"/>
        </w:rPr>
        <w:t>a contribución e</w:t>
      </w:r>
      <w:r w:rsidR="00890C51" w:rsidRPr="00D15565">
        <w:rPr>
          <w:lang w:val="es-ES_tradnl"/>
        </w:rPr>
        <w:t>ra</w:t>
      </w:r>
      <w:r w:rsidR="005A56C1" w:rsidRPr="00D15565">
        <w:rPr>
          <w:lang w:val="es-ES_tradnl"/>
        </w:rPr>
        <w:t xml:space="preserve"> proponer una nueva iniciativa</w:t>
      </w:r>
      <w:r w:rsidR="00BB29EA" w:rsidRPr="00D15565">
        <w:rPr>
          <w:lang w:val="es-ES_tradnl"/>
        </w:rPr>
        <w:t xml:space="preserve"> a efectos de la definición de p</w:t>
      </w:r>
      <w:r w:rsidR="005A56C1" w:rsidRPr="00D15565">
        <w:rPr>
          <w:lang w:val="es-ES_tradnl"/>
        </w:rPr>
        <w:t>rocedimientos</w:t>
      </w:r>
      <w:r w:rsidR="00BB29EA" w:rsidRPr="00D15565">
        <w:rPr>
          <w:lang w:val="es-ES_tradnl"/>
        </w:rPr>
        <w:t xml:space="preserve"> y normas</w:t>
      </w:r>
      <w:r w:rsidR="005A56C1" w:rsidRPr="00D15565">
        <w:rPr>
          <w:lang w:val="es-ES_tradnl"/>
        </w:rPr>
        <w:t xml:space="preserve"> de medición de parámetros de transmisión de</w:t>
      </w:r>
      <w:r w:rsidR="00BB29EA" w:rsidRPr="00D15565">
        <w:rPr>
          <w:lang w:val="es-ES_tradnl"/>
        </w:rPr>
        <w:t xml:space="preserve"> </w:t>
      </w:r>
      <w:r w:rsidR="005A56C1" w:rsidRPr="00D15565">
        <w:rPr>
          <w:lang w:val="es-ES_tradnl"/>
        </w:rPr>
        <w:t xml:space="preserve">datos digitales a través de canales de comunicación, Internet y </w:t>
      </w:r>
      <w:r w:rsidR="00BB29EA" w:rsidRPr="00D15565">
        <w:rPr>
          <w:lang w:val="es-ES_tradnl"/>
        </w:rPr>
        <w:t>redes de</w:t>
      </w:r>
      <w:r w:rsidR="005A56C1" w:rsidRPr="00D15565">
        <w:rPr>
          <w:lang w:val="es-ES_tradnl"/>
        </w:rPr>
        <w:t xml:space="preserve"> telefonía</w:t>
      </w:r>
      <w:r w:rsidR="00FA15CF" w:rsidRPr="00D15565">
        <w:rPr>
          <w:lang w:val="es-ES_tradnl"/>
        </w:rPr>
        <w:t>,</w:t>
      </w:r>
      <w:r w:rsidR="005A56C1" w:rsidRPr="00D15565">
        <w:rPr>
          <w:lang w:val="es-ES_tradnl"/>
        </w:rPr>
        <w:t xml:space="preserve"> en</w:t>
      </w:r>
      <w:r w:rsidR="00BB29EA" w:rsidRPr="00D15565">
        <w:rPr>
          <w:lang w:val="es-ES_tradnl"/>
        </w:rPr>
        <w:t xml:space="preserve"> el contexto de</w:t>
      </w:r>
      <w:r w:rsidR="005A56C1" w:rsidRPr="00D15565">
        <w:rPr>
          <w:lang w:val="es-ES_tradnl"/>
        </w:rPr>
        <w:t xml:space="preserve"> los sistemas de comunicación </w:t>
      </w:r>
      <w:r w:rsidR="00BB29EA" w:rsidRPr="00D15565">
        <w:rPr>
          <w:lang w:val="es-ES_tradnl"/>
        </w:rPr>
        <w:t>presentes</w:t>
      </w:r>
      <w:r w:rsidR="005A56C1" w:rsidRPr="00D15565">
        <w:rPr>
          <w:lang w:val="es-ES_tradnl"/>
        </w:rPr>
        <w:t xml:space="preserve"> y futuros. Esta iniciativa contribuir</w:t>
      </w:r>
      <w:r w:rsidR="00890C51" w:rsidRPr="00D15565">
        <w:rPr>
          <w:lang w:val="es-ES_tradnl"/>
        </w:rPr>
        <w:t>ía</w:t>
      </w:r>
      <w:r w:rsidR="005A56C1" w:rsidRPr="00D15565">
        <w:rPr>
          <w:lang w:val="es-ES_tradnl"/>
        </w:rPr>
        <w:t xml:space="preserve"> al desarrollo económico y social de los países.</w:t>
      </w:r>
    </w:p>
    <w:p w14:paraId="47DAB438" w14:textId="4A43BAB3" w:rsidR="00DD288F" w:rsidRPr="00D15565" w:rsidRDefault="00FA64BD" w:rsidP="004056A0">
      <w:pPr>
        <w:rPr>
          <w:lang w:val="es-ES_tradnl"/>
        </w:rPr>
      </w:pPr>
      <w:hyperlink r:id="rId25" w:history="1">
        <w:r w:rsidR="00DD288F" w:rsidRPr="00D15565">
          <w:rPr>
            <w:rStyle w:val="Hyperlink"/>
            <w:b/>
            <w:bCs/>
            <w:lang w:val="es-ES_tradnl"/>
          </w:rPr>
          <w:t>Document</w:t>
        </w:r>
        <w:r w:rsidR="00627B6D" w:rsidRPr="00D15565">
          <w:rPr>
            <w:rStyle w:val="Hyperlink"/>
            <w:b/>
            <w:bCs/>
            <w:lang w:val="es-ES_tradnl"/>
          </w:rPr>
          <w:t>o</w:t>
        </w:r>
        <w:r w:rsidR="00DD288F" w:rsidRPr="00D15565">
          <w:rPr>
            <w:rStyle w:val="Hyperlink"/>
            <w:b/>
            <w:bCs/>
            <w:lang w:val="es-ES_tradnl"/>
          </w:rPr>
          <w:t> 10</w:t>
        </w:r>
      </w:hyperlink>
      <w:r w:rsidR="00BB29EA" w:rsidRPr="00D15565">
        <w:rPr>
          <w:rStyle w:val="Hyperlink"/>
          <w:u w:val="none"/>
          <w:lang w:val="es-ES_tradnl"/>
        </w:rPr>
        <w:t>:</w:t>
      </w:r>
      <w:r w:rsidR="00DD288F" w:rsidRPr="00D15565">
        <w:rPr>
          <w:lang w:val="es-ES_tradnl"/>
        </w:rPr>
        <w:t xml:space="preserve"> </w:t>
      </w:r>
      <w:r w:rsidR="00982CD3" w:rsidRPr="00D15565">
        <w:rPr>
          <w:lang w:val="es-ES_tradnl"/>
        </w:rPr>
        <w:t xml:space="preserve">El Sr. Evgeny Solovyov, Ministerio de Comunicaciones e Informatización de la República de Bielorrusia, presentó </w:t>
      </w:r>
      <w:r w:rsidR="00FA15CF" w:rsidRPr="00D15565">
        <w:rPr>
          <w:lang w:val="es-ES_tradnl"/>
        </w:rPr>
        <w:t>el documento en el que se propone la</w:t>
      </w:r>
      <w:r w:rsidR="005A56C1" w:rsidRPr="00D15565">
        <w:rPr>
          <w:lang w:val="es-ES_tradnl"/>
        </w:rPr>
        <w:t xml:space="preserve"> iniciativa regional para la CMDT-21</w:t>
      </w:r>
      <w:r w:rsidR="00982CD3" w:rsidRPr="00D15565">
        <w:rPr>
          <w:lang w:val="es-ES_tradnl"/>
        </w:rPr>
        <w:t xml:space="preserve"> relativa al</w:t>
      </w:r>
      <w:r w:rsidR="005A56C1" w:rsidRPr="00D15565">
        <w:rPr>
          <w:lang w:val="es-ES_tradnl"/>
        </w:rPr>
        <w:t xml:space="preserve"> </w:t>
      </w:r>
      <w:r w:rsidR="00982CD3" w:rsidRPr="00D15565">
        <w:rPr>
          <w:lang w:val="es-ES_tradnl"/>
        </w:rPr>
        <w:t>d</w:t>
      </w:r>
      <w:r w:rsidR="005A56C1" w:rsidRPr="00D15565">
        <w:rPr>
          <w:lang w:val="es-ES_tradnl"/>
        </w:rPr>
        <w:t xml:space="preserve">esarrollo de ciudades y comunidades inteligentes, incluidas regiones inteligentes, ciudades inteligentes </w:t>
      </w:r>
      <w:r w:rsidR="00982CD3" w:rsidRPr="00D15565">
        <w:rPr>
          <w:lang w:val="es-ES_tradnl"/>
        </w:rPr>
        <w:t>y sostenibles</w:t>
      </w:r>
      <w:r w:rsidR="005A56C1" w:rsidRPr="00D15565">
        <w:rPr>
          <w:lang w:val="es-ES_tradnl"/>
        </w:rPr>
        <w:t xml:space="preserve"> y </w:t>
      </w:r>
      <w:r w:rsidR="00982CD3" w:rsidRPr="00D15565">
        <w:rPr>
          <w:lang w:val="es-ES_tradnl"/>
        </w:rPr>
        <w:t>aldeas</w:t>
      </w:r>
      <w:r w:rsidR="005A56C1" w:rsidRPr="00D15565">
        <w:rPr>
          <w:lang w:val="es-ES_tradnl"/>
        </w:rPr>
        <w:t xml:space="preserve"> inteligentes. En la región de la CEI, las </w:t>
      </w:r>
      <w:r w:rsidR="004056A0" w:rsidRPr="00D15565">
        <w:rPr>
          <w:lang w:val="es-ES_tradnl"/>
        </w:rPr>
        <w:t>ciudades y comunidades inteligentes (C+CI)</w:t>
      </w:r>
      <w:r w:rsidR="005A56C1" w:rsidRPr="00D15565">
        <w:rPr>
          <w:lang w:val="es-ES_tradnl"/>
        </w:rPr>
        <w:t xml:space="preserve"> est</w:t>
      </w:r>
      <w:r w:rsidR="00890C51" w:rsidRPr="00D15565">
        <w:rPr>
          <w:lang w:val="es-ES_tradnl"/>
        </w:rPr>
        <w:t>aba</w:t>
      </w:r>
      <w:r w:rsidR="005A56C1" w:rsidRPr="00D15565">
        <w:rPr>
          <w:lang w:val="es-ES_tradnl"/>
        </w:rPr>
        <w:t xml:space="preserve">n ganando popularidad </w:t>
      </w:r>
      <w:r w:rsidR="004056A0" w:rsidRPr="00D15565">
        <w:rPr>
          <w:lang w:val="es-ES_tradnl"/>
        </w:rPr>
        <w:t xml:space="preserve">en </w:t>
      </w:r>
      <w:r w:rsidR="00FA15CF" w:rsidRPr="00D15565">
        <w:rPr>
          <w:lang w:val="es-ES_tradnl"/>
        </w:rPr>
        <w:t xml:space="preserve">cuanto </w:t>
      </w:r>
      <w:r w:rsidR="00A81897">
        <w:rPr>
          <w:lang w:val="es-ES_tradnl"/>
        </w:rPr>
        <w:t>al</w:t>
      </w:r>
      <w:r w:rsidR="005A56C1" w:rsidRPr="00D15565">
        <w:rPr>
          <w:lang w:val="es-ES_tradnl"/>
        </w:rPr>
        <w:t xml:space="preserve"> enfoque de desarrollo socioeconómico. El concepto no sólo abarca</w:t>
      </w:r>
      <w:r w:rsidR="00890C51" w:rsidRPr="00D15565">
        <w:rPr>
          <w:lang w:val="es-ES_tradnl"/>
        </w:rPr>
        <w:t>ba</w:t>
      </w:r>
      <w:r w:rsidR="005A56C1" w:rsidRPr="00D15565">
        <w:rPr>
          <w:lang w:val="es-ES_tradnl"/>
        </w:rPr>
        <w:t xml:space="preserve"> el desarrollo de ciudades inteligentes</w:t>
      </w:r>
      <w:r w:rsidR="004056A0" w:rsidRPr="00D15565">
        <w:rPr>
          <w:lang w:val="es-ES_tradnl"/>
        </w:rPr>
        <w:t xml:space="preserve"> y</w:t>
      </w:r>
      <w:r w:rsidR="005A56C1" w:rsidRPr="00D15565">
        <w:rPr>
          <w:lang w:val="es-ES_tradnl"/>
        </w:rPr>
        <w:t xml:space="preserve"> </w:t>
      </w:r>
      <w:r w:rsidR="005A56C1" w:rsidRPr="00D15565">
        <w:rPr>
          <w:lang w:val="es-ES_tradnl"/>
        </w:rPr>
        <w:lastRenderedPageBreak/>
        <w:t xml:space="preserve">sostenibles, sino también de </w:t>
      </w:r>
      <w:r w:rsidR="004056A0" w:rsidRPr="00D15565">
        <w:rPr>
          <w:lang w:val="es-ES_tradnl"/>
        </w:rPr>
        <w:t>aldeas</w:t>
      </w:r>
      <w:r w:rsidR="005A56C1" w:rsidRPr="00D15565">
        <w:rPr>
          <w:lang w:val="es-ES_tradnl"/>
        </w:rPr>
        <w:t xml:space="preserve"> y regiones inteligentes en su conjunto. Este enfoque </w:t>
      </w:r>
      <w:r w:rsidR="004056A0" w:rsidRPr="00D15565">
        <w:rPr>
          <w:lang w:val="es-ES_tradnl"/>
        </w:rPr>
        <w:t>constitu</w:t>
      </w:r>
      <w:r w:rsidR="00890C51" w:rsidRPr="00D15565">
        <w:rPr>
          <w:lang w:val="es-ES_tradnl"/>
        </w:rPr>
        <w:t xml:space="preserve">ía </w:t>
      </w:r>
      <w:r w:rsidR="005A56C1" w:rsidRPr="00D15565">
        <w:rPr>
          <w:lang w:val="es-ES_tradnl"/>
        </w:rPr>
        <w:t xml:space="preserve">una tendencia moderna que </w:t>
      </w:r>
      <w:r w:rsidR="004056A0" w:rsidRPr="00D15565">
        <w:rPr>
          <w:lang w:val="es-ES_tradnl"/>
        </w:rPr>
        <w:t>ha</w:t>
      </w:r>
      <w:r w:rsidR="00890C51" w:rsidRPr="00D15565">
        <w:rPr>
          <w:lang w:val="es-ES_tradnl"/>
        </w:rPr>
        <w:t>bía</w:t>
      </w:r>
      <w:r w:rsidR="004056A0" w:rsidRPr="00D15565">
        <w:rPr>
          <w:lang w:val="es-ES_tradnl"/>
        </w:rPr>
        <w:t xml:space="preserve"> de ser </w:t>
      </w:r>
      <w:r w:rsidR="005A56C1" w:rsidRPr="00D15565">
        <w:rPr>
          <w:lang w:val="es-ES_tradnl"/>
        </w:rPr>
        <w:t xml:space="preserve">analizada, desarrollada y complementada. En ese sentido, la UIT </w:t>
      </w:r>
      <w:r w:rsidR="00890C51" w:rsidRPr="00D15565">
        <w:rPr>
          <w:lang w:val="es-ES_tradnl"/>
        </w:rPr>
        <w:t>podía</w:t>
      </w:r>
      <w:r w:rsidR="005A56C1" w:rsidRPr="00D15565">
        <w:rPr>
          <w:lang w:val="es-ES_tradnl"/>
        </w:rPr>
        <w:t xml:space="preserve"> ayudar activamente a los Estados Miembros de la región a</w:t>
      </w:r>
      <w:r w:rsidR="004056A0" w:rsidRPr="00D15565">
        <w:rPr>
          <w:lang w:val="es-ES_tradnl"/>
        </w:rPr>
        <w:t xml:space="preserve"> formular</w:t>
      </w:r>
      <w:r w:rsidR="005A56C1" w:rsidRPr="00D15565">
        <w:rPr>
          <w:lang w:val="es-ES_tradnl"/>
        </w:rPr>
        <w:t xml:space="preserve"> marcos </w:t>
      </w:r>
      <w:r w:rsidR="009A78A3" w:rsidRPr="00D15565">
        <w:rPr>
          <w:lang w:val="es-ES_tradnl"/>
        </w:rPr>
        <w:t>jurídicos</w:t>
      </w:r>
      <w:r w:rsidR="005A56C1" w:rsidRPr="00D15565">
        <w:rPr>
          <w:lang w:val="es-ES_tradnl"/>
        </w:rPr>
        <w:t xml:space="preserve"> y reglamentarios, crear la infraestructura necesaria, introducir servicios y aplicaciones modern</w:t>
      </w:r>
      <w:r w:rsidR="009A78A3" w:rsidRPr="00D15565">
        <w:rPr>
          <w:lang w:val="es-ES_tradnl"/>
        </w:rPr>
        <w:t>o</w:t>
      </w:r>
      <w:r w:rsidR="005A56C1" w:rsidRPr="00D15565">
        <w:rPr>
          <w:lang w:val="es-ES_tradnl"/>
        </w:rPr>
        <w:t xml:space="preserve">s en diferentes </w:t>
      </w:r>
      <w:r w:rsidR="004056A0" w:rsidRPr="00D15565">
        <w:rPr>
          <w:lang w:val="es-ES_tradnl"/>
        </w:rPr>
        <w:t>ámbitos de las C+CI</w:t>
      </w:r>
      <w:r w:rsidR="005A56C1" w:rsidRPr="00D15565">
        <w:rPr>
          <w:lang w:val="es-ES_tradnl"/>
        </w:rPr>
        <w:t xml:space="preserve"> (educación, sanidad, turismo, transporte, energía, seguridad, medio ambiente, etc.) y </w:t>
      </w:r>
      <w:r w:rsidR="004056A0" w:rsidRPr="00D15565">
        <w:rPr>
          <w:lang w:val="es-ES_tradnl"/>
        </w:rPr>
        <w:t>mejorar</w:t>
      </w:r>
      <w:r w:rsidR="005A56C1" w:rsidRPr="00D15565">
        <w:rPr>
          <w:lang w:val="es-ES_tradnl"/>
        </w:rPr>
        <w:t xml:space="preserve"> la alfabetización digital de la población, las empresas y las autoridades en materia de </w:t>
      </w:r>
      <w:r w:rsidR="004056A0" w:rsidRPr="00D15565">
        <w:rPr>
          <w:lang w:val="es-ES_tradnl"/>
        </w:rPr>
        <w:t>C+CI.</w:t>
      </w:r>
    </w:p>
    <w:p w14:paraId="218C903B" w14:textId="0B3120AC" w:rsidR="00DD288F" w:rsidRPr="00D15565" w:rsidRDefault="005A56C1" w:rsidP="00627B6D">
      <w:pPr>
        <w:rPr>
          <w:lang w:val="es-ES_tradnl"/>
        </w:rPr>
      </w:pPr>
      <w:bookmarkStart w:id="16" w:name="_Hlk70416458"/>
      <w:r w:rsidRPr="00D15565">
        <w:rPr>
          <w:b/>
          <w:bCs/>
          <w:lang w:val="es-ES_tradnl"/>
        </w:rPr>
        <w:t xml:space="preserve">El Ministerio de Transportes, Comunicaciones y Altas Tecnologías de la República de Azerbaiyán </w:t>
      </w:r>
      <w:r w:rsidRPr="00D15565">
        <w:rPr>
          <w:lang w:val="es-ES_tradnl"/>
        </w:rPr>
        <w:t xml:space="preserve">propuso una nueva iniciativa regional para la CMDT-21 </w:t>
      </w:r>
      <w:r w:rsidR="00627B6D" w:rsidRPr="00D15565">
        <w:rPr>
          <w:lang w:val="es-ES_tradnl"/>
        </w:rPr>
        <w:t>relativa a la c</w:t>
      </w:r>
      <w:r w:rsidRPr="00D15565">
        <w:rPr>
          <w:lang w:val="es-ES_tradnl"/>
        </w:rPr>
        <w:t>iberseguridad</w:t>
      </w:r>
      <w:r w:rsidR="00627B6D" w:rsidRPr="00D15565">
        <w:rPr>
          <w:lang w:val="es-ES_tradnl"/>
        </w:rPr>
        <w:t xml:space="preserve"> y, más concretamente, a la</w:t>
      </w:r>
      <w:r w:rsidRPr="00D15565">
        <w:rPr>
          <w:lang w:val="es-ES_tradnl"/>
        </w:rPr>
        <w:t xml:space="preserve"> creación de capacidades y </w:t>
      </w:r>
      <w:r w:rsidR="00627B6D" w:rsidRPr="00D15565">
        <w:rPr>
          <w:lang w:val="es-ES_tradnl"/>
        </w:rPr>
        <w:t xml:space="preserve">el </w:t>
      </w:r>
      <w:r w:rsidRPr="00D15565">
        <w:rPr>
          <w:lang w:val="es-ES_tradnl"/>
        </w:rPr>
        <w:t xml:space="preserve">fortalecimiento de la cooperación regional </w:t>
      </w:r>
      <w:r w:rsidR="00627B6D" w:rsidRPr="00D15565">
        <w:rPr>
          <w:lang w:val="es-ES_tradnl"/>
        </w:rPr>
        <w:t>a fin de</w:t>
      </w:r>
      <w:r w:rsidRPr="00D15565">
        <w:rPr>
          <w:lang w:val="es-ES_tradnl"/>
        </w:rPr>
        <w:t xml:space="preserve"> garantizar una respuesta oportuna a las ciberamenazas. Los principales objetivos de la iniciativa regional propuesta </w:t>
      </w:r>
      <w:r w:rsidR="00966851" w:rsidRPr="00D15565">
        <w:rPr>
          <w:lang w:val="es-ES_tradnl"/>
        </w:rPr>
        <w:t>era</w:t>
      </w:r>
      <w:r w:rsidRPr="00D15565">
        <w:rPr>
          <w:lang w:val="es-ES_tradnl"/>
        </w:rPr>
        <w:t>n</w:t>
      </w:r>
      <w:bookmarkEnd w:id="16"/>
      <w:r w:rsidR="00794391" w:rsidRPr="00D15565">
        <w:rPr>
          <w:lang w:val="es-ES_tradnl"/>
        </w:rPr>
        <w:t>:</w:t>
      </w:r>
    </w:p>
    <w:p w14:paraId="2476A959" w14:textId="4545AD66" w:rsidR="005A56C1" w:rsidRPr="00D15565" w:rsidRDefault="00794391" w:rsidP="005A56C1">
      <w:pPr>
        <w:pStyle w:val="enumlev1"/>
        <w:rPr>
          <w:lang w:val="es-ES_tradnl"/>
        </w:rPr>
      </w:pPr>
      <w:r w:rsidRPr="00D15565">
        <w:rPr>
          <w:lang w:val="es-ES_tradnl"/>
        </w:rPr>
        <w:t>1)</w:t>
      </w:r>
      <w:r w:rsidRPr="00D15565">
        <w:rPr>
          <w:lang w:val="es-ES_tradnl"/>
        </w:rPr>
        <w:tab/>
      </w:r>
      <w:r w:rsidR="00627B6D" w:rsidRPr="00D15565">
        <w:rPr>
          <w:lang w:val="es-ES_tradnl"/>
        </w:rPr>
        <w:t>llevar a cabo</w:t>
      </w:r>
      <w:r w:rsidR="005A56C1" w:rsidRPr="00D15565">
        <w:rPr>
          <w:lang w:val="es-ES_tradnl"/>
        </w:rPr>
        <w:t xml:space="preserve"> simulacros de ciberseguridad </w:t>
      </w:r>
      <w:r w:rsidR="00627B6D" w:rsidRPr="00D15565">
        <w:rPr>
          <w:lang w:val="es-ES_tradnl"/>
        </w:rPr>
        <w:t xml:space="preserve">a escala nacional y </w:t>
      </w:r>
      <w:r w:rsidR="005A56C1" w:rsidRPr="00D15565">
        <w:rPr>
          <w:lang w:val="es-ES_tradnl"/>
        </w:rPr>
        <w:t>regional;</w:t>
      </w:r>
    </w:p>
    <w:p w14:paraId="774B9146" w14:textId="1299AC61" w:rsidR="005A56C1" w:rsidRPr="00D15565" w:rsidRDefault="005A56C1" w:rsidP="00627B6D">
      <w:pPr>
        <w:pStyle w:val="enumlev1"/>
        <w:rPr>
          <w:lang w:val="es-ES_tradnl"/>
        </w:rPr>
      </w:pPr>
      <w:r w:rsidRPr="00D15565">
        <w:rPr>
          <w:lang w:val="es-ES_tradnl"/>
        </w:rPr>
        <w:t xml:space="preserve">2) </w:t>
      </w:r>
      <w:r w:rsidRPr="00D15565">
        <w:rPr>
          <w:lang w:val="es-ES_tradnl"/>
        </w:rPr>
        <w:tab/>
      </w:r>
      <w:r w:rsidR="00627B6D" w:rsidRPr="00D15565">
        <w:rPr>
          <w:lang w:val="es-ES_tradnl"/>
        </w:rPr>
        <w:t>crear</w:t>
      </w:r>
      <w:r w:rsidRPr="00D15565">
        <w:rPr>
          <w:lang w:val="es-ES_tradnl"/>
        </w:rPr>
        <w:t xml:space="preserve"> centros gubernamentales y nacionales de respuesta a ciberincidentes</w:t>
      </w:r>
      <w:r w:rsidR="00627B6D" w:rsidRPr="00D15565">
        <w:rPr>
          <w:lang w:val="es-ES_tradnl"/>
        </w:rPr>
        <w:t xml:space="preserve"> y mejorar los existentes</w:t>
      </w:r>
      <w:r w:rsidRPr="00D15565">
        <w:rPr>
          <w:lang w:val="es-ES_tradnl"/>
        </w:rPr>
        <w:t>;</w:t>
      </w:r>
    </w:p>
    <w:p w14:paraId="29111162" w14:textId="55C997B4" w:rsidR="005A56C1" w:rsidRPr="00D15565" w:rsidRDefault="005A56C1" w:rsidP="005A56C1">
      <w:pPr>
        <w:pStyle w:val="enumlev1"/>
        <w:rPr>
          <w:lang w:val="es-ES_tradnl"/>
        </w:rPr>
      </w:pPr>
      <w:r w:rsidRPr="00D15565">
        <w:rPr>
          <w:lang w:val="es-ES_tradnl"/>
        </w:rPr>
        <w:t xml:space="preserve">3) </w:t>
      </w:r>
      <w:r w:rsidRPr="00D15565">
        <w:rPr>
          <w:lang w:val="es-ES_tradnl"/>
        </w:rPr>
        <w:tab/>
      </w:r>
      <w:r w:rsidR="00627B6D" w:rsidRPr="00D15565">
        <w:rPr>
          <w:lang w:val="es-ES_tradnl"/>
        </w:rPr>
        <w:t>f</w:t>
      </w:r>
      <w:r w:rsidRPr="00D15565">
        <w:rPr>
          <w:lang w:val="es-ES_tradnl"/>
        </w:rPr>
        <w:t xml:space="preserve">acilitar </w:t>
      </w:r>
      <w:r w:rsidR="00627B6D" w:rsidRPr="00D15565">
        <w:rPr>
          <w:lang w:val="es-ES_tradnl"/>
        </w:rPr>
        <w:t>la elaboración</w:t>
      </w:r>
      <w:r w:rsidRPr="00D15565">
        <w:rPr>
          <w:lang w:val="es-ES_tradnl"/>
        </w:rPr>
        <w:t xml:space="preserve"> de estrategias nacionales de ciberseguridad;</w:t>
      </w:r>
      <w:r w:rsidR="00627B6D" w:rsidRPr="00D15565">
        <w:rPr>
          <w:lang w:val="es-ES_tradnl"/>
        </w:rPr>
        <w:t xml:space="preserve"> e</w:t>
      </w:r>
    </w:p>
    <w:p w14:paraId="231EA7AD" w14:textId="11172B85" w:rsidR="00794391" w:rsidRPr="00D15565" w:rsidRDefault="005A56C1" w:rsidP="00627B6D">
      <w:pPr>
        <w:pStyle w:val="enumlev1"/>
        <w:rPr>
          <w:lang w:val="es-ES_tradnl"/>
        </w:rPr>
      </w:pPr>
      <w:r w:rsidRPr="00D15565">
        <w:rPr>
          <w:lang w:val="es-ES_tradnl"/>
        </w:rPr>
        <w:t xml:space="preserve">4) </w:t>
      </w:r>
      <w:r w:rsidRPr="00D15565">
        <w:rPr>
          <w:lang w:val="es-ES_tradnl"/>
        </w:rPr>
        <w:tab/>
      </w:r>
      <w:r w:rsidR="00627B6D" w:rsidRPr="00D15565">
        <w:rPr>
          <w:lang w:val="es-ES_tradnl"/>
        </w:rPr>
        <w:t>impartir cursos de</w:t>
      </w:r>
      <w:r w:rsidRPr="00D15565">
        <w:rPr>
          <w:lang w:val="es-ES_tradnl"/>
        </w:rPr>
        <w:t xml:space="preserve"> formación y seminarios especializados.</w:t>
      </w:r>
    </w:p>
    <w:p w14:paraId="67455E1D" w14:textId="28A46058" w:rsidR="005A56C1" w:rsidRPr="00D15565" w:rsidRDefault="005A56C1" w:rsidP="00712E2F">
      <w:pPr>
        <w:rPr>
          <w:lang w:val="es-ES_tradnl"/>
        </w:rPr>
      </w:pPr>
      <w:r w:rsidRPr="00D15565">
        <w:rPr>
          <w:lang w:val="es-ES_tradnl"/>
        </w:rPr>
        <w:t>El Ministerio de Transportes, Comunicaciones y Altas Tecnologías de la República de Azerbaiyán también propuso celebrar simulacros regionales de ciberseguridad de la UIT</w:t>
      </w:r>
      <w:r w:rsidR="00627B6D" w:rsidRPr="00D15565">
        <w:rPr>
          <w:lang w:val="es-ES_tradnl"/>
        </w:rPr>
        <w:t xml:space="preserve"> en Bakú con una periodicidad anual</w:t>
      </w:r>
      <w:r w:rsidRPr="00D15565">
        <w:rPr>
          <w:lang w:val="es-ES_tradnl"/>
        </w:rPr>
        <w:t>.</w:t>
      </w:r>
    </w:p>
    <w:p w14:paraId="43EC9FB9" w14:textId="7C1DAB4E" w:rsidR="00794391" w:rsidRPr="00D15565" w:rsidRDefault="00FA64BD" w:rsidP="008B4619">
      <w:pPr>
        <w:rPr>
          <w:rFonts w:cstheme="minorHAnsi"/>
          <w:lang w:val="es-ES_tradnl"/>
        </w:rPr>
      </w:pPr>
      <w:hyperlink r:id="rId26" w:history="1">
        <w:r w:rsidR="00794391" w:rsidRPr="00D15565">
          <w:rPr>
            <w:rStyle w:val="Hyperlink"/>
            <w:b/>
            <w:bCs/>
            <w:lang w:val="es-ES_tradnl"/>
          </w:rPr>
          <w:t>Document</w:t>
        </w:r>
        <w:r w:rsidR="00627B6D" w:rsidRPr="00D15565">
          <w:rPr>
            <w:rStyle w:val="Hyperlink"/>
            <w:b/>
            <w:bCs/>
            <w:lang w:val="es-ES_tradnl"/>
          </w:rPr>
          <w:t>o</w:t>
        </w:r>
        <w:r w:rsidR="00794391" w:rsidRPr="00D15565">
          <w:rPr>
            <w:rStyle w:val="Hyperlink"/>
            <w:b/>
            <w:bCs/>
            <w:lang w:val="es-ES_tradnl"/>
          </w:rPr>
          <w:t> 11</w:t>
        </w:r>
      </w:hyperlink>
      <w:r w:rsidR="00627B6D" w:rsidRPr="00D15565">
        <w:rPr>
          <w:rStyle w:val="Hyperlink"/>
          <w:b/>
          <w:bCs/>
          <w:lang w:val="es-ES_tradnl"/>
        </w:rPr>
        <w:t>:</w:t>
      </w:r>
      <w:r w:rsidR="00794391" w:rsidRPr="00D15565">
        <w:rPr>
          <w:lang w:val="es-ES_tradnl"/>
        </w:rPr>
        <w:t xml:space="preserve"> </w:t>
      </w:r>
      <w:r w:rsidR="008B4619" w:rsidRPr="00D15565">
        <w:rPr>
          <w:lang w:val="es-ES_tradnl"/>
        </w:rPr>
        <w:t>La Sra. Natalia Mochu, Directora Regional de la Oficina Regional de la UIT para la CEI, presentó el documento</w:t>
      </w:r>
      <w:r w:rsidR="00966851" w:rsidRPr="00D15565">
        <w:rPr>
          <w:lang w:val="es-ES_tradnl"/>
        </w:rPr>
        <w:t xml:space="preserve"> que contenía la </w:t>
      </w:r>
      <w:r w:rsidR="008B4619" w:rsidRPr="00D15565">
        <w:rPr>
          <w:lang w:val="es-ES_tradnl"/>
        </w:rPr>
        <w:t>p</w:t>
      </w:r>
      <w:r w:rsidR="005A56C1" w:rsidRPr="00D15565">
        <w:rPr>
          <w:lang w:val="es-ES_tradnl"/>
        </w:rPr>
        <w:t xml:space="preserve">ropuesta de la República Kirguisa </w:t>
      </w:r>
      <w:r w:rsidR="00966851" w:rsidRPr="00D15565">
        <w:rPr>
          <w:lang w:val="es-ES_tradnl"/>
        </w:rPr>
        <w:t>de</w:t>
      </w:r>
      <w:r w:rsidR="005A56C1" w:rsidRPr="00D15565">
        <w:rPr>
          <w:lang w:val="es-ES_tradnl"/>
        </w:rPr>
        <w:t xml:space="preserve"> ampliar </w:t>
      </w:r>
      <w:r w:rsidR="008B4619" w:rsidRPr="00D15565">
        <w:rPr>
          <w:lang w:val="es-ES_tradnl"/>
        </w:rPr>
        <w:t>la esfera</w:t>
      </w:r>
      <w:r w:rsidR="005A56C1" w:rsidRPr="00D15565">
        <w:rPr>
          <w:lang w:val="es-ES_tradnl"/>
        </w:rPr>
        <w:t xml:space="preserve"> prioritari</w:t>
      </w:r>
      <w:r w:rsidR="008B4619" w:rsidRPr="00D15565">
        <w:rPr>
          <w:lang w:val="es-ES_tradnl"/>
        </w:rPr>
        <w:t xml:space="preserve">a </w:t>
      </w:r>
      <w:r w:rsidR="005A56C1" w:rsidRPr="00D15565">
        <w:rPr>
          <w:lang w:val="es-ES_tradnl"/>
        </w:rPr>
        <w:t xml:space="preserve">de la ciberseguridad. El </w:t>
      </w:r>
      <w:r w:rsidR="00966851" w:rsidRPr="00D15565">
        <w:rPr>
          <w:lang w:val="es-ES_tradnl"/>
        </w:rPr>
        <w:t xml:space="preserve">objetivo de la </w:t>
      </w:r>
      <w:r w:rsidR="005A56C1" w:rsidRPr="00D15565">
        <w:rPr>
          <w:lang w:val="es-ES_tradnl"/>
        </w:rPr>
        <w:t>propuesta de la Administración de la República Kirguisa</w:t>
      </w:r>
      <w:r w:rsidR="008B4619" w:rsidRPr="00D15565">
        <w:rPr>
          <w:lang w:val="es-ES_tradnl"/>
        </w:rPr>
        <w:t xml:space="preserve"> e</w:t>
      </w:r>
      <w:r w:rsidR="00966851" w:rsidRPr="00D15565">
        <w:rPr>
          <w:lang w:val="es-ES_tradnl"/>
        </w:rPr>
        <w:t>ra</w:t>
      </w:r>
      <w:r w:rsidR="005A56C1" w:rsidRPr="00D15565">
        <w:rPr>
          <w:lang w:val="es-ES_tradnl"/>
        </w:rPr>
        <w:t xml:space="preserve"> </w:t>
      </w:r>
      <w:r w:rsidR="008B4619" w:rsidRPr="00D15565">
        <w:rPr>
          <w:lang w:val="es-ES_tradnl"/>
        </w:rPr>
        <w:t>definir</w:t>
      </w:r>
      <w:r w:rsidR="005A56C1" w:rsidRPr="00D15565">
        <w:rPr>
          <w:lang w:val="es-ES_tradnl"/>
        </w:rPr>
        <w:t xml:space="preserve"> la ciberseguridad como </w:t>
      </w:r>
      <w:r w:rsidR="008B4619" w:rsidRPr="00D15565">
        <w:rPr>
          <w:lang w:val="es-ES_tradnl"/>
        </w:rPr>
        <w:t>esfera</w:t>
      </w:r>
      <w:r w:rsidR="005A56C1" w:rsidRPr="00D15565">
        <w:rPr>
          <w:lang w:val="es-ES_tradnl"/>
        </w:rPr>
        <w:t xml:space="preserve"> prioritaria y </w:t>
      </w:r>
      <w:r w:rsidR="008B4619" w:rsidRPr="00D15565">
        <w:rPr>
          <w:lang w:val="es-ES_tradnl"/>
        </w:rPr>
        <w:t>ampliar</w:t>
      </w:r>
      <w:r w:rsidR="005A56C1" w:rsidRPr="00D15565">
        <w:rPr>
          <w:lang w:val="es-ES_tradnl"/>
        </w:rPr>
        <w:t xml:space="preserve"> la asistencia </w:t>
      </w:r>
      <w:r w:rsidR="008B4619" w:rsidRPr="00D15565">
        <w:rPr>
          <w:lang w:val="es-ES_tradnl"/>
        </w:rPr>
        <w:t xml:space="preserve">prestada </w:t>
      </w:r>
      <w:r w:rsidR="005A56C1" w:rsidRPr="00D15565">
        <w:rPr>
          <w:lang w:val="es-ES_tradnl"/>
        </w:rPr>
        <w:t xml:space="preserve">a los países </w:t>
      </w:r>
      <w:r w:rsidR="008B4619" w:rsidRPr="00D15565">
        <w:rPr>
          <w:lang w:val="es-ES_tradnl"/>
        </w:rPr>
        <w:t xml:space="preserve">con miras al refuerzo de </w:t>
      </w:r>
      <w:r w:rsidR="005A56C1" w:rsidRPr="00D15565">
        <w:rPr>
          <w:lang w:val="es-ES_tradnl"/>
        </w:rPr>
        <w:t xml:space="preserve">la ciberseguridad. La República Kirguisa </w:t>
      </w:r>
      <w:r w:rsidR="008B4619" w:rsidRPr="00D15565">
        <w:rPr>
          <w:lang w:val="es-ES_tradnl"/>
        </w:rPr>
        <w:t>formul</w:t>
      </w:r>
      <w:r w:rsidR="00966851" w:rsidRPr="00D15565">
        <w:rPr>
          <w:lang w:val="es-ES_tradnl"/>
        </w:rPr>
        <w:t>ó</w:t>
      </w:r>
      <w:r w:rsidR="005A56C1" w:rsidRPr="00D15565">
        <w:rPr>
          <w:lang w:val="es-ES_tradnl"/>
        </w:rPr>
        <w:t xml:space="preserve"> las propuestas correspondientes para ampliar la asistencia y la ayuda a los países en desarrollo en </w:t>
      </w:r>
      <w:r w:rsidR="008B4619" w:rsidRPr="00D15565">
        <w:rPr>
          <w:lang w:val="es-ES_tradnl"/>
        </w:rPr>
        <w:t>el ámbito</w:t>
      </w:r>
      <w:r w:rsidR="005A56C1" w:rsidRPr="00D15565">
        <w:rPr>
          <w:lang w:val="es-ES_tradnl"/>
        </w:rPr>
        <w:t xml:space="preserve"> de </w:t>
      </w:r>
      <w:r w:rsidR="008B4619" w:rsidRPr="00D15565">
        <w:rPr>
          <w:lang w:val="es-ES_tradnl"/>
        </w:rPr>
        <w:t xml:space="preserve">la </w:t>
      </w:r>
      <w:r w:rsidR="005A56C1" w:rsidRPr="00D15565">
        <w:rPr>
          <w:lang w:val="es-ES_tradnl"/>
        </w:rPr>
        <w:t>ciberseguridad.</w:t>
      </w:r>
    </w:p>
    <w:p w14:paraId="08700207" w14:textId="1682E882" w:rsidR="00794391" w:rsidRPr="00D15565" w:rsidRDefault="00FA64BD" w:rsidP="00E8537B">
      <w:pPr>
        <w:rPr>
          <w:lang w:val="es-ES_tradnl"/>
        </w:rPr>
      </w:pPr>
      <w:hyperlink r:id="rId27" w:history="1">
        <w:r w:rsidR="00794391" w:rsidRPr="00D15565">
          <w:rPr>
            <w:rStyle w:val="Hyperlink"/>
            <w:b/>
            <w:bCs/>
            <w:lang w:val="es-ES_tradnl"/>
          </w:rPr>
          <w:t>Document</w:t>
        </w:r>
        <w:r w:rsidR="00627B6D" w:rsidRPr="00D15565">
          <w:rPr>
            <w:rStyle w:val="Hyperlink"/>
            <w:b/>
            <w:bCs/>
            <w:lang w:val="es-ES_tradnl"/>
          </w:rPr>
          <w:t>o</w:t>
        </w:r>
        <w:r w:rsidR="00794391" w:rsidRPr="00D15565">
          <w:rPr>
            <w:rStyle w:val="Hyperlink"/>
            <w:b/>
            <w:bCs/>
            <w:lang w:val="es-ES_tradnl"/>
          </w:rPr>
          <w:t> 20</w:t>
        </w:r>
      </w:hyperlink>
      <w:r w:rsidR="00627B6D" w:rsidRPr="00D15565">
        <w:rPr>
          <w:rStyle w:val="Hyperlink"/>
          <w:b/>
          <w:bCs/>
          <w:lang w:val="es-ES_tradnl"/>
        </w:rPr>
        <w:t>:</w:t>
      </w:r>
      <w:r w:rsidR="00794391" w:rsidRPr="00D15565">
        <w:rPr>
          <w:lang w:val="es-ES_tradnl"/>
        </w:rPr>
        <w:t xml:space="preserve"> </w:t>
      </w:r>
      <w:r w:rsidR="008B4619" w:rsidRPr="00D15565">
        <w:rPr>
          <w:lang w:val="es-ES_tradnl"/>
        </w:rPr>
        <w:t>La Sra. Ainura Sadyrbaeva, Instituto de Electrónica y Telecomunicaciones de la República Kirguisa, presentó el documento</w:t>
      </w:r>
      <w:r w:rsidR="00890C51" w:rsidRPr="00D15565">
        <w:rPr>
          <w:lang w:val="es-ES_tradnl"/>
        </w:rPr>
        <w:t xml:space="preserve"> que contenía el </w:t>
      </w:r>
      <w:r w:rsidR="008B4619" w:rsidRPr="00D15565">
        <w:rPr>
          <w:lang w:val="es-ES_tradnl"/>
        </w:rPr>
        <w:t>p</w:t>
      </w:r>
      <w:r w:rsidR="005A56C1" w:rsidRPr="00D15565">
        <w:rPr>
          <w:lang w:val="es-ES_tradnl"/>
        </w:rPr>
        <w:t>royecto de iniciativa regional de la CEI</w:t>
      </w:r>
      <w:r w:rsidR="00E8537B" w:rsidRPr="00D15565">
        <w:rPr>
          <w:lang w:val="es-ES_tradnl"/>
        </w:rPr>
        <w:t xml:space="preserve"> relativa al</w:t>
      </w:r>
      <w:r w:rsidR="005A56C1" w:rsidRPr="00D15565">
        <w:rPr>
          <w:lang w:val="es-ES_tradnl"/>
        </w:rPr>
        <w:t xml:space="preserve"> </w:t>
      </w:r>
      <w:r w:rsidR="00E8537B" w:rsidRPr="00D15565">
        <w:rPr>
          <w:lang w:val="es-ES_tradnl"/>
        </w:rPr>
        <w:t>d</w:t>
      </w:r>
      <w:r w:rsidR="005A56C1" w:rsidRPr="00D15565">
        <w:rPr>
          <w:lang w:val="es-ES_tradnl"/>
        </w:rPr>
        <w:t xml:space="preserve">esarrollo y </w:t>
      </w:r>
      <w:r w:rsidR="00E8537B" w:rsidRPr="00D15565">
        <w:rPr>
          <w:lang w:val="es-ES_tradnl"/>
        </w:rPr>
        <w:t xml:space="preserve">el refuerzo </w:t>
      </w:r>
      <w:r w:rsidR="005A56C1" w:rsidRPr="00D15565">
        <w:rPr>
          <w:lang w:val="es-ES_tradnl"/>
        </w:rPr>
        <w:t xml:space="preserve">de la alfabetización digital de las personas con discapacidad y con necesidades específicas. </w:t>
      </w:r>
      <w:r w:rsidR="00890C51" w:rsidRPr="00D15565">
        <w:rPr>
          <w:lang w:val="es-ES_tradnl"/>
        </w:rPr>
        <w:t>En ese momento</w:t>
      </w:r>
      <w:r w:rsidR="005A56C1" w:rsidRPr="00D15565">
        <w:rPr>
          <w:lang w:val="es-ES_tradnl"/>
        </w:rPr>
        <w:t>, todos los países</w:t>
      </w:r>
      <w:r w:rsidR="00E8537B" w:rsidRPr="00D15565">
        <w:rPr>
          <w:lang w:val="es-ES_tradnl"/>
        </w:rPr>
        <w:t xml:space="preserve"> se hall</w:t>
      </w:r>
      <w:r w:rsidR="00890C51" w:rsidRPr="00D15565">
        <w:rPr>
          <w:lang w:val="es-ES_tradnl"/>
        </w:rPr>
        <w:t>ab</w:t>
      </w:r>
      <w:r w:rsidR="00E8537B" w:rsidRPr="00D15565">
        <w:rPr>
          <w:lang w:val="es-ES_tradnl"/>
        </w:rPr>
        <w:t>an en fase de transición a</w:t>
      </w:r>
      <w:r w:rsidR="005A56C1" w:rsidRPr="00D15565">
        <w:rPr>
          <w:lang w:val="es-ES_tradnl"/>
        </w:rPr>
        <w:t xml:space="preserve"> una economía digital y el número de profesiones </w:t>
      </w:r>
      <w:r w:rsidR="00E8537B" w:rsidRPr="00D15565">
        <w:rPr>
          <w:lang w:val="es-ES_tradnl"/>
        </w:rPr>
        <w:t xml:space="preserve">para las que no se </w:t>
      </w:r>
      <w:r w:rsidR="00890C51" w:rsidRPr="00D15565">
        <w:rPr>
          <w:lang w:val="es-ES_tradnl"/>
        </w:rPr>
        <w:t>requerían</w:t>
      </w:r>
      <w:r w:rsidR="00E8537B" w:rsidRPr="00D15565">
        <w:rPr>
          <w:lang w:val="es-ES_tradnl"/>
        </w:rPr>
        <w:t xml:space="preserve"> </w:t>
      </w:r>
      <w:r w:rsidR="005A56C1" w:rsidRPr="00D15565">
        <w:rPr>
          <w:lang w:val="es-ES_tradnl"/>
        </w:rPr>
        <w:t>competencias digitales est</w:t>
      </w:r>
      <w:r w:rsidR="00890C51" w:rsidRPr="00D15565">
        <w:rPr>
          <w:lang w:val="es-ES_tradnl"/>
        </w:rPr>
        <w:t>aba</w:t>
      </w:r>
      <w:r w:rsidR="005A56C1" w:rsidRPr="00D15565">
        <w:rPr>
          <w:lang w:val="es-ES_tradnl"/>
        </w:rPr>
        <w:t xml:space="preserve"> disminuyendo. La pandemia de COVID-19 ha</w:t>
      </w:r>
      <w:r w:rsidR="00890C51" w:rsidRPr="00D15565">
        <w:rPr>
          <w:lang w:val="es-ES_tradnl"/>
        </w:rPr>
        <w:t>bía</w:t>
      </w:r>
      <w:r w:rsidR="005A56C1" w:rsidRPr="00D15565">
        <w:rPr>
          <w:lang w:val="es-ES_tradnl"/>
        </w:rPr>
        <w:t xml:space="preserve"> obligado a todo</w:t>
      </w:r>
      <w:r w:rsidR="00E8537B" w:rsidRPr="00D15565">
        <w:rPr>
          <w:lang w:val="es-ES_tradnl"/>
        </w:rPr>
        <w:t xml:space="preserve"> el mundo </w:t>
      </w:r>
      <w:r w:rsidR="005A56C1" w:rsidRPr="00D15565">
        <w:rPr>
          <w:lang w:val="es-ES_tradnl"/>
        </w:rPr>
        <w:t>a</w:t>
      </w:r>
      <w:r w:rsidR="00E8537B" w:rsidRPr="00D15565">
        <w:rPr>
          <w:lang w:val="es-ES_tradnl"/>
        </w:rPr>
        <w:t xml:space="preserve"> </w:t>
      </w:r>
      <w:r w:rsidR="00890C51" w:rsidRPr="00D15565">
        <w:rPr>
          <w:lang w:val="es-ES_tradnl"/>
        </w:rPr>
        <w:t>reconsiderar</w:t>
      </w:r>
      <w:r w:rsidR="00E8537B" w:rsidRPr="00D15565">
        <w:rPr>
          <w:lang w:val="es-ES_tradnl"/>
        </w:rPr>
        <w:t xml:space="preserve"> las tecnologías y </w:t>
      </w:r>
      <w:r w:rsidR="005A56C1" w:rsidRPr="00D15565">
        <w:rPr>
          <w:lang w:val="es-ES_tradnl"/>
        </w:rPr>
        <w:t xml:space="preserve">los métodos de trabajo </w:t>
      </w:r>
      <w:r w:rsidR="00E8537B" w:rsidRPr="00D15565">
        <w:rPr>
          <w:lang w:val="es-ES_tradnl"/>
        </w:rPr>
        <w:t xml:space="preserve">utilizados </w:t>
      </w:r>
      <w:r w:rsidR="005A56C1" w:rsidRPr="00D15565">
        <w:rPr>
          <w:lang w:val="es-ES_tradnl"/>
        </w:rPr>
        <w:t>y ha</w:t>
      </w:r>
      <w:r w:rsidR="00890C51" w:rsidRPr="00D15565">
        <w:rPr>
          <w:lang w:val="es-ES_tradnl"/>
        </w:rPr>
        <w:t>bía</w:t>
      </w:r>
      <w:r w:rsidR="005A56C1" w:rsidRPr="00D15565">
        <w:rPr>
          <w:lang w:val="es-ES_tradnl"/>
        </w:rPr>
        <w:t xml:space="preserve"> acelerado aún más la transición a las tecnologías digitales en todas las esferas de actividad humana. Esta situación ha</w:t>
      </w:r>
      <w:r w:rsidR="00890C51" w:rsidRPr="00D15565">
        <w:rPr>
          <w:lang w:val="es-ES_tradnl"/>
        </w:rPr>
        <w:t>bía</w:t>
      </w:r>
      <w:r w:rsidR="005A56C1" w:rsidRPr="00D15565">
        <w:rPr>
          <w:lang w:val="es-ES_tradnl"/>
        </w:rPr>
        <w:t xml:space="preserve"> agravado los retos a los que se enfrenta</w:t>
      </w:r>
      <w:r w:rsidR="00890C51" w:rsidRPr="00D15565">
        <w:rPr>
          <w:lang w:val="es-ES_tradnl"/>
        </w:rPr>
        <w:t>ba</w:t>
      </w:r>
      <w:r w:rsidR="005A56C1" w:rsidRPr="00D15565">
        <w:rPr>
          <w:lang w:val="es-ES_tradnl"/>
        </w:rPr>
        <w:t xml:space="preserve">n las personas con discapacidad, reduciendo significativamente el número total de puestos de trabajo disponibles y convirtiendo las competencias digitales en un requisito </w:t>
      </w:r>
      <w:r w:rsidR="00E8537B" w:rsidRPr="00D15565">
        <w:rPr>
          <w:lang w:val="es-ES_tradnl"/>
        </w:rPr>
        <w:t>fundamental</w:t>
      </w:r>
      <w:r w:rsidR="005A56C1" w:rsidRPr="00D15565">
        <w:rPr>
          <w:lang w:val="es-ES_tradnl"/>
        </w:rPr>
        <w:t xml:space="preserve"> para la contratación. </w:t>
      </w:r>
      <w:r w:rsidR="00E8537B" w:rsidRPr="00D15565">
        <w:rPr>
          <w:lang w:val="es-ES_tradnl"/>
        </w:rPr>
        <w:t xml:space="preserve">De ahí que el desarrollo y el refuerzo de la alfabetización digital de las personas con discapacidad </w:t>
      </w:r>
      <w:r w:rsidR="00890C51" w:rsidRPr="00D15565">
        <w:rPr>
          <w:lang w:val="es-ES_tradnl"/>
        </w:rPr>
        <w:t>fuera</w:t>
      </w:r>
      <w:r w:rsidR="005A56C1" w:rsidRPr="00D15565">
        <w:rPr>
          <w:lang w:val="es-ES_tradnl"/>
        </w:rPr>
        <w:t xml:space="preserve"> más importante que nunca. </w:t>
      </w:r>
      <w:r w:rsidR="00E8537B" w:rsidRPr="00D15565">
        <w:rPr>
          <w:lang w:val="es-ES_tradnl"/>
        </w:rPr>
        <w:t>El objetivo de la</w:t>
      </w:r>
      <w:r w:rsidR="005A56C1" w:rsidRPr="00D15565">
        <w:rPr>
          <w:lang w:val="es-ES_tradnl"/>
        </w:rPr>
        <w:t xml:space="preserve"> iniciativa regional propuesta </w:t>
      </w:r>
      <w:r w:rsidR="00E8537B" w:rsidRPr="00D15565">
        <w:rPr>
          <w:lang w:val="es-ES_tradnl"/>
        </w:rPr>
        <w:t>e</w:t>
      </w:r>
      <w:r w:rsidR="00890C51" w:rsidRPr="00D15565">
        <w:rPr>
          <w:lang w:val="es-ES_tradnl"/>
        </w:rPr>
        <w:t xml:space="preserve">ra </w:t>
      </w:r>
      <w:r w:rsidR="005A56C1" w:rsidRPr="00D15565">
        <w:rPr>
          <w:lang w:val="es-ES_tradnl"/>
        </w:rPr>
        <w:t>determinar las condiciones</w:t>
      </w:r>
      <w:r w:rsidR="00E8537B" w:rsidRPr="00D15565">
        <w:rPr>
          <w:lang w:val="es-ES_tradnl"/>
        </w:rPr>
        <w:t xml:space="preserve"> necesarias</w:t>
      </w:r>
      <w:r w:rsidR="005A56C1" w:rsidRPr="00D15565">
        <w:rPr>
          <w:lang w:val="es-ES_tradnl"/>
        </w:rPr>
        <w:t xml:space="preserve"> para</w:t>
      </w:r>
      <w:r w:rsidR="00890C51" w:rsidRPr="00D15565">
        <w:rPr>
          <w:lang w:val="es-ES_tradnl"/>
        </w:rPr>
        <w:t xml:space="preserve"> garantizar la sostenibilidad </w:t>
      </w:r>
      <w:r w:rsidR="005A56C1" w:rsidRPr="00D15565">
        <w:rPr>
          <w:lang w:val="es-ES_tradnl"/>
        </w:rPr>
        <w:t xml:space="preserve">de los servicios de desarrollo de la alfabetización digital de las personas con discapacidad y </w:t>
      </w:r>
      <w:r w:rsidR="00E8537B" w:rsidRPr="00D15565">
        <w:rPr>
          <w:lang w:val="es-ES_tradnl"/>
        </w:rPr>
        <w:t>formular</w:t>
      </w:r>
      <w:r w:rsidR="005A56C1" w:rsidRPr="00D15565">
        <w:rPr>
          <w:lang w:val="es-ES_tradnl"/>
        </w:rPr>
        <w:t xml:space="preserve"> las recomendaciones adecuadas.</w:t>
      </w:r>
    </w:p>
    <w:p w14:paraId="744977C1" w14:textId="15E40E63" w:rsidR="001906E7" w:rsidRPr="00D15565" w:rsidRDefault="00FA64BD" w:rsidP="00A81897">
      <w:pPr>
        <w:keepNext/>
        <w:keepLines/>
        <w:rPr>
          <w:lang w:val="es-ES_tradnl"/>
        </w:rPr>
      </w:pPr>
      <w:hyperlink r:id="rId28" w:history="1">
        <w:r w:rsidR="001906E7" w:rsidRPr="00D15565">
          <w:rPr>
            <w:rStyle w:val="Hyperlink"/>
            <w:b/>
            <w:bCs/>
            <w:lang w:val="es-ES_tradnl"/>
          </w:rPr>
          <w:t>Document</w:t>
        </w:r>
        <w:r w:rsidR="00E8537B" w:rsidRPr="00D15565">
          <w:rPr>
            <w:rStyle w:val="Hyperlink"/>
            <w:b/>
            <w:bCs/>
            <w:lang w:val="es-ES_tradnl"/>
          </w:rPr>
          <w:t>o</w:t>
        </w:r>
        <w:r w:rsidR="001906E7" w:rsidRPr="00D15565">
          <w:rPr>
            <w:rStyle w:val="Hyperlink"/>
            <w:b/>
            <w:bCs/>
            <w:lang w:val="es-ES_tradnl"/>
          </w:rPr>
          <w:t> 31</w:t>
        </w:r>
      </w:hyperlink>
      <w:r w:rsidR="00E8537B" w:rsidRPr="00D15565">
        <w:rPr>
          <w:rStyle w:val="Hyperlink"/>
          <w:u w:val="none"/>
          <w:lang w:val="es-ES_tradnl"/>
        </w:rPr>
        <w:t>:</w:t>
      </w:r>
      <w:r w:rsidR="001906E7" w:rsidRPr="00D15565">
        <w:rPr>
          <w:lang w:val="es-ES_tradnl"/>
        </w:rPr>
        <w:t xml:space="preserve"> </w:t>
      </w:r>
      <w:r w:rsidR="00E8537B" w:rsidRPr="00D15565">
        <w:rPr>
          <w:lang w:val="es-ES_tradnl"/>
        </w:rPr>
        <w:t>La Sra. Natalia Mochu, Directora Regional de la Oficina Regional de la UIT para la CEI, presentó el documento</w:t>
      </w:r>
      <w:r w:rsidR="00890C51" w:rsidRPr="00D15565">
        <w:rPr>
          <w:lang w:val="es-ES_tradnl"/>
        </w:rPr>
        <w:t xml:space="preserve"> en </w:t>
      </w:r>
      <w:r w:rsidR="00660C96" w:rsidRPr="00D15565">
        <w:rPr>
          <w:lang w:val="es-ES_tradnl"/>
        </w:rPr>
        <w:t xml:space="preserve">el </w:t>
      </w:r>
      <w:r w:rsidR="00890C51" w:rsidRPr="00D15565">
        <w:rPr>
          <w:lang w:val="es-ES_tradnl"/>
        </w:rPr>
        <w:t xml:space="preserve">que se abordaba la </w:t>
      </w:r>
      <w:r w:rsidR="00E8537B" w:rsidRPr="00D15565">
        <w:rPr>
          <w:lang w:val="es-ES_tradnl"/>
        </w:rPr>
        <w:t>n</w:t>
      </w:r>
      <w:r w:rsidR="005A56C1" w:rsidRPr="00D15565">
        <w:rPr>
          <w:lang w:val="es-ES_tradnl"/>
        </w:rPr>
        <w:t>ueva iniciativa regional de la CMDT-21</w:t>
      </w:r>
      <w:r w:rsidR="00A638F7" w:rsidRPr="00D15565">
        <w:rPr>
          <w:lang w:val="es-ES_tradnl"/>
        </w:rPr>
        <w:t xml:space="preserve"> relativa a la</w:t>
      </w:r>
      <w:r w:rsidR="005A56C1" w:rsidRPr="00D15565">
        <w:rPr>
          <w:lang w:val="es-ES_tradnl"/>
        </w:rPr>
        <w:t xml:space="preserve"> </w:t>
      </w:r>
      <w:r w:rsidR="00A638F7" w:rsidRPr="00D15565">
        <w:rPr>
          <w:lang w:val="es-ES_tradnl"/>
        </w:rPr>
        <w:t>s</w:t>
      </w:r>
      <w:r w:rsidR="005A56C1" w:rsidRPr="00D15565">
        <w:rPr>
          <w:lang w:val="es-ES_tradnl"/>
        </w:rPr>
        <w:t>eguridad de la información (ciberseguridad) y protección de los datos personales. El Ministerio de Desarrollo Digital, Innovaci</w:t>
      </w:r>
      <w:r w:rsidR="00A638F7" w:rsidRPr="00D15565">
        <w:rPr>
          <w:lang w:val="es-ES_tradnl"/>
        </w:rPr>
        <w:t>ón</w:t>
      </w:r>
      <w:r w:rsidR="005A56C1" w:rsidRPr="00D15565">
        <w:rPr>
          <w:lang w:val="es-ES_tradnl"/>
        </w:rPr>
        <w:t xml:space="preserve"> e Industria Aeroespacial de la República de Kazajstán observa</w:t>
      </w:r>
      <w:r w:rsidR="00660C96" w:rsidRPr="00D15565">
        <w:rPr>
          <w:lang w:val="es-ES_tradnl"/>
        </w:rPr>
        <w:t>ba</w:t>
      </w:r>
      <w:r w:rsidR="005A56C1" w:rsidRPr="00D15565">
        <w:rPr>
          <w:lang w:val="es-ES_tradnl"/>
        </w:rPr>
        <w:t xml:space="preserve"> una aceleración de los procesos de informatización en todas las esferas de actividad del Estado, las organizaciones y la sociedad civil. Un</w:t>
      </w:r>
      <w:r w:rsidR="00806BF3" w:rsidRPr="00D15565">
        <w:rPr>
          <w:lang w:val="es-ES_tradnl"/>
        </w:rPr>
        <w:t>o de los objetivos</w:t>
      </w:r>
      <w:r w:rsidR="005A56C1" w:rsidRPr="00D15565">
        <w:rPr>
          <w:lang w:val="es-ES_tradnl"/>
        </w:rPr>
        <w:t xml:space="preserve"> más importantes de</w:t>
      </w:r>
      <w:r w:rsidR="00806BF3" w:rsidRPr="00D15565">
        <w:rPr>
          <w:lang w:val="es-ES_tradnl"/>
        </w:rPr>
        <w:t>l proceso</w:t>
      </w:r>
      <w:r w:rsidR="005A56C1" w:rsidRPr="00D15565">
        <w:rPr>
          <w:lang w:val="es-ES_tradnl"/>
        </w:rPr>
        <w:t xml:space="preserve"> </w:t>
      </w:r>
      <w:r w:rsidR="009A3C01">
        <w:rPr>
          <w:lang w:val="es-ES_tradnl"/>
        </w:rPr>
        <w:t xml:space="preserve">de </w:t>
      </w:r>
      <w:r w:rsidR="005A56C1" w:rsidRPr="00D15565">
        <w:rPr>
          <w:lang w:val="es-ES_tradnl"/>
        </w:rPr>
        <w:t xml:space="preserve">informatización </w:t>
      </w:r>
      <w:r w:rsidR="00806BF3" w:rsidRPr="00D15565">
        <w:rPr>
          <w:lang w:val="es-ES_tradnl"/>
        </w:rPr>
        <w:t>consist</w:t>
      </w:r>
      <w:r w:rsidR="00660C96" w:rsidRPr="00D15565">
        <w:rPr>
          <w:lang w:val="es-ES_tradnl"/>
        </w:rPr>
        <w:t>ía</w:t>
      </w:r>
      <w:r w:rsidR="00806BF3" w:rsidRPr="00D15565">
        <w:rPr>
          <w:lang w:val="es-ES_tradnl"/>
        </w:rPr>
        <w:t xml:space="preserve"> en</w:t>
      </w:r>
      <w:r w:rsidR="005A56C1" w:rsidRPr="00D15565">
        <w:rPr>
          <w:lang w:val="es-ES_tradnl"/>
        </w:rPr>
        <w:t xml:space="preserve"> garantizar la seguridad de la información y la protección de los datos personales. En ese sentido, se propon</w:t>
      </w:r>
      <w:r w:rsidR="00660C96" w:rsidRPr="00D15565">
        <w:rPr>
          <w:lang w:val="es-ES_tradnl"/>
        </w:rPr>
        <w:t>ía</w:t>
      </w:r>
      <w:r w:rsidR="005A56C1" w:rsidRPr="00D15565">
        <w:rPr>
          <w:lang w:val="es-ES_tradnl"/>
        </w:rPr>
        <w:t xml:space="preserve"> que la seguridad de la información (ciberseguridad) </w:t>
      </w:r>
      <w:r w:rsidR="00806BF3" w:rsidRPr="00D15565">
        <w:rPr>
          <w:lang w:val="es-ES_tradnl"/>
        </w:rPr>
        <w:t>integr</w:t>
      </w:r>
      <w:r w:rsidR="00660C96" w:rsidRPr="00D15565">
        <w:rPr>
          <w:lang w:val="es-ES_tradnl"/>
        </w:rPr>
        <w:t>as</w:t>
      </w:r>
      <w:r w:rsidR="00806BF3" w:rsidRPr="00D15565">
        <w:rPr>
          <w:lang w:val="es-ES_tradnl"/>
        </w:rPr>
        <w:t>e</w:t>
      </w:r>
      <w:r w:rsidR="005A56C1" w:rsidRPr="00D15565">
        <w:rPr>
          <w:lang w:val="es-ES_tradnl"/>
        </w:rPr>
        <w:t xml:space="preserve"> una de las prioridades regionales del UIT-D para el nuevo ciclo.</w:t>
      </w:r>
    </w:p>
    <w:p w14:paraId="55F7CBFE" w14:textId="2B756B76" w:rsidR="00C3563D" w:rsidRPr="00D15565" w:rsidRDefault="00FA64BD" w:rsidP="00660C96">
      <w:pPr>
        <w:rPr>
          <w:lang w:val="es-ES_tradnl"/>
        </w:rPr>
      </w:pPr>
      <w:hyperlink r:id="rId29" w:history="1">
        <w:r w:rsidR="001906E7" w:rsidRPr="00D15565">
          <w:rPr>
            <w:rStyle w:val="Hyperlink"/>
            <w:b/>
            <w:bCs/>
            <w:lang w:val="es-ES_tradnl"/>
          </w:rPr>
          <w:t>Document</w:t>
        </w:r>
        <w:r w:rsidR="00E8537B" w:rsidRPr="00D15565">
          <w:rPr>
            <w:rStyle w:val="Hyperlink"/>
            <w:b/>
            <w:bCs/>
            <w:lang w:val="es-ES_tradnl"/>
          </w:rPr>
          <w:t>o</w:t>
        </w:r>
        <w:r w:rsidR="001906E7" w:rsidRPr="00D15565">
          <w:rPr>
            <w:rStyle w:val="Hyperlink"/>
            <w:b/>
            <w:bCs/>
            <w:lang w:val="es-ES_tradnl"/>
          </w:rPr>
          <w:t> 35</w:t>
        </w:r>
      </w:hyperlink>
      <w:r w:rsidR="00E8537B" w:rsidRPr="00D15565">
        <w:rPr>
          <w:rStyle w:val="Hyperlink"/>
          <w:u w:val="none"/>
          <w:lang w:val="es-ES_tradnl"/>
        </w:rPr>
        <w:t>:</w:t>
      </w:r>
      <w:r w:rsidR="001906E7" w:rsidRPr="00D15565">
        <w:rPr>
          <w:lang w:val="es-ES_tradnl"/>
        </w:rPr>
        <w:t xml:space="preserve"> </w:t>
      </w:r>
      <w:r w:rsidR="00806BF3" w:rsidRPr="00D15565">
        <w:rPr>
          <w:lang w:val="es-ES_tradnl"/>
        </w:rPr>
        <w:t>La Sra. Ekaterina Fomicheva, PJSC Rostelecom, presentó el documento</w:t>
      </w:r>
      <w:r w:rsidR="00660C96" w:rsidRPr="00D15565">
        <w:rPr>
          <w:lang w:val="es-ES_tradnl"/>
        </w:rPr>
        <w:t xml:space="preserve"> que contenía el proyecto</w:t>
      </w:r>
      <w:r w:rsidR="005A56C1" w:rsidRPr="00D15565">
        <w:rPr>
          <w:lang w:val="es-ES_tradnl"/>
        </w:rPr>
        <w:t xml:space="preserve"> de iniciativa regional de la CEI</w:t>
      </w:r>
      <w:r w:rsidR="00806BF3" w:rsidRPr="00D15565">
        <w:rPr>
          <w:lang w:val="es-ES_tradnl"/>
        </w:rPr>
        <w:t xml:space="preserve"> relativa a las competencias </w:t>
      </w:r>
      <w:r w:rsidR="005A56C1" w:rsidRPr="00D15565">
        <w:rPr>
          <w:lang w:val="es-ES_tradnl"/>
        </w:rPr>
        <w:t>digitales. En los últimos años, el mundo ha</w:t>
      </w:r>
      <w:r w:rsidR="00660C96" w:rsidRPr="00D15565">
        <w:rPr>
          <w:lang w:val="es-ES_tradnl"/>
        </w:rPr>
        <w:t>bía</w:t>
      </w:r>
      <w:r w:rsidR="005A56C1" w:rsidRPr="00D15565">
        <w:rPr>
          <w:lang w:val="es-ES_tradnl"/>
        </w:rPr>
        <w:t xml:space="preserve"> </w:t>
      </w:r>
      <w:r w:rsidR="00806BF3" w:rsidRPr="00D15565">
        <w:rPr>
          <w:lang w:val="es-ES_tradnl"/>
        </w:rPr>
        <w:t>sido testigo del</w:t>
      </w:r>
      <w:r w:rsidR="005A56C1" w:rsidRPr="00D15565">
        <w:rPr>
          <w:lang w:val="es-ES_tradnl"/>
        </w:rPr>
        <w:t xml:space="preserve"> rápido crecimiento de las tecnologías digitales. </w:t>
      </w:r>
      <w:r w:rsidR="00660C96" w:rsidRPr="00D15565">
        <w:rPr>
          <w:lang w:val="es-ES_tradnl"/>
        </w:rPr>
        <w:t>En ese momento</w:t>
      </w:r>
      <w:r w:rsidR="00806BF3" w:rsidRPr="00D15565">
        <w:rPr>
          <w:lang w:val="es-ES_tradnl"/>
        </w:rPr>
        <w:t>, l</w:t>
      </w:r>
      <w:r w:rsidR="005A56C1" w:rsidRPr="00D15565">
        <w:rPr>
          <w:lang w:val="es-ES_tradnl"/>
        </w:rPr>
        <w:t xml:space="preserve">a mayoría de los Estados </w:t>
      </w:r>
      <w:r w:rsidR="00806BF3" w:rsidRPr="00D15565">
        <w:rPr>
          <w:lang w:val="es-ES_tradnl"/>
        </w:rPr>
        <w:t>aplica</w:t>
      </w:r>
      <w:r w:rsidR="00660C96" w:rsidRPr="00D15565">
        <w:rPr>
          <w:lang w:val="es-ES_tradnl"/>
        </w:rPr>
        <w:t>ba</w:t>
      </w:r>
      <w:r w:rsidR="005A56C1" w:rsidRPr="00D15565">
        <w:rPr>
          <w:lang w:val="es-ES_tradnl"/>
        </w:rPr>
        <w:t xml:space="preserve"> estrategias</w:t>
      </w:r>
      <w:r w:rsidR="00806BF3" w:rsidRPr="00D15565">
        <w:rPr>
          <w:lang w:val="es-ES_tradnl"/>
        </w:rPr>
        <w:t xml:space="preserve"> y</w:t>
      </w:r>
      <w:r w:rsidR="005A56C1" w:rsidRPr="00D15565">
        <w:rPr>
          <w:lang w:val="es-ES_tradnl"/>
        </w:rPr>
        <w:t>/</w:t>
      </w:r>
      <w:r w:rsidR="00806BF3" w:rsidRPr="00D15565">
        <w:rPr>
          <w:lang w:val="es-ES_tradnl"/>
        </w:rPr>
        <w:t xml:space="preserve">o </w:t>
      </w:r>
      <w:r w:rsidR="005A56C1" w:rsidRPr="00D15565">
        <w:rPr>
          <w:lang w:val="es-ES_tradnl"/>
        </w:rPr>
        <w:t>programas nacionales para el desarrollo de la economía digital</w:t>
      </w:r>
      <w:r w:rsidR="00806BF3" w:rsidRPr="00D15565">
        <w:rPr>
          <w:lang w:val="es-ES_tradnl"/>
        </w:rPr>
        <w:t>, lo que propicia</w:t>
      </w:r>
      <w:r w:rsidR="00660C96" w:rsidRPr="00D15565">
        <w:rPr>
          <w:lang w:val="es-ES_tradnl"/>
        </w:rPr>
        <w:t>ba</w:t>
      </w:r>
      <w:r w:rsidR="00806BF3" w:rsidRPr="00D15565">
        <w:rPr>
          <w:lang w:val="es-ES_tradnl"/>
        </w:rPr>
        <w:t xml:space="preserve"> el advenimiento de</w:t>
      </w:r>
      <w:r w:rsidR="005A56C1" w:rsidRPr="00D15565">
        <w:rPr>
          <w:lang w:val="es-ES_tradnl"/>
        </w:rPr>
        <w:t xml:space="preserve"> nuevas actividades y profesiones en las que se da</w:t>
      </w:r>
      <w:r w:rsidR="00660C96" w:rsidRPr="00D15565">
        <w:rPr>
          <w:lang w:val="es-ES_tradnl"/>
        </w:rPr>
        <w:t>ba</w:t>
      </w:r>
      <w:r w:rsidR="005A56C1" w:rsidRPr="00D15565">
        <w:rPr>
          <w:lang w:val="es-ES_tradnl"/>
        </w:rPr>
        <w:t xml:space="preserve"> prioridad a los especialistas </w:t>
      </w:r>
      <w:r w:rsidR="00806BF3" w:rsidRPr="00D15565">
        <w:rPr>
          <w:lang w:val="es-ES_tradnl"/>
        </w:rPr>
        <w:t>dotados de</w:t>
      </w:r>
      <w:r w:rsidR="005A56C1" w:rsidRPr="00D15565">
        <w:rPr>
          <w:lang w:val="es-ES_tradnl"/>
        </w:rPr>
        <w:t xml:space="preserve"> </w:t>
      </w:r>
      <w:r w:rsidR="00992DD1" w:rsidRPr="00D15565">
        <w:rPr>
          <w:lang w:val="es-ES_tradnl"/>
        </w:rPr>
        <w:t>competencias</w:t>
      </w:r>
      <w:r w:rsidR="005A56C1" w:rsidRPr="00D15565">
        <w:rPr>
          <w:lang w:val="es-ES_tradnl"/>
        </w:rPr>
        <w:t xml:space="preserve"> y conocimientos digitales específicos.</w:t>
      </w:r>
    </w:p>
    <w:p w14:paraId="1E59C344" w14:textId="2338B5D9" w:rsidR="00C3563D" w:rsidRPr="00D15565" w:rsidRDefault="005A56C1" w:rsidP="004F0EDC">
      <w:pPr>
        <w:rPr>
          <w:lang w:val="es-ES_tradnl"/>
        </w:rPr>
      </w:pPr>
      <w:r w:rsidRPr="00D15565">
        <w:rPr>
          <w:lang w:val="es-ES_tradnl"/>
        </w:rPr>
        <w:t>Durante la pandemia de COVID-19, muchos ciudadanos</w:t>
      </w:r>
      <w:r w:rsidR="00806BF3" w:rsidRPr="00D15565">
        <w:rPr>
          <w:lang w:val="es-ES_tradnl"/>
        </w:rPr>
        <w:t xml:space="preserve"> se ha</w:t>
      </w:r>
      <w:r w:rsidR="00660C96" w:rsidRPr="00D15565">
        <w:rPr>
          <w:lang w:val="es-ES_tradnl"/>
        </w:rPr>
        <w:t>bía</w:t>
      </w:r>
      <w:r w:rsidR="00806BF3" w:rsidRPr="00D15565">
        <w:rPr>
          <w:lang w:val="es-ES_tradnl"/>
        </w:rPr>
        <w:t>n dado cuenta de la importancia que rev</w:t>
      </w:r>
      <w:r w:rsidR="00660C96" w:rsidRPr="00D15565">
        <w:rPr>
          <w:lang w:val="es-ES_tradnl"/>
        </w:rPr>
        <w:t>e</w:t>
      </w:r>
      <w:r w:rsidR="00806BF3" w:rsidRPr="00D15565">
        <w:rPr>
          <w:lang w:val="es-ES_tradnl"/>
        </w:rPr>
        <w:t>st</w:t>
      </w:r>
      <w:r w:rsidR="00660C96" w:rsidRPr="00D15565">
        <w:rPr>
          <w:lang w:val="es-ES_tradnl"/>
        </w:rPr>
        <w:t>ía</w:t>
      </w:r>
      <w:r w:rsidR="00806BF3" w:rsidRPr="00D15565">
        <w:rPr>
          <w:lang w:val="es-ES_tradnl"/>
        </w:rPr>
        <w:t xml:space="preserve">n </w:t>
      </w:r>
      <w:r w:rsidRPr="00D15565">
        <w:rPr>
          <w:lang w:val="es-ES_tradnl"/>
        </w:rPr>
        <w:t xml:space="preserve">las TIC en </w:t>
      </w:r>
      <w:r w:rsidR="00806BF3" w:rsidRPr="00D15565">
        <w:rPr>
          <w:lang w:val="es-ES_tradnl"/>
        </w:rPr>
        <w:t xml:space="preserve">unas </w:t>
      </w:r>
      <w:r w:rsidRPr="00D15565">
        <w:rPr>
          <w:lang w:val="es-ES_tradnl"/>
        </w:rPr>
        <w:t xml:space="preserve">condiciones tan difíciles, </w:t>
      </w:r>
      <w:r w:rsidR="00806BF3" w:rsidRPr="00D15565">
        <w:rPr>
          <w:lang w:val="es-ES_tradnl"/>
        </w:rPr>
        <w:t>en las que</w:t>
      </w:r>
      <w:r w:rsidRPr="00D15565">
        <w:rPr>
          <w:lang w:val="es-ES_tradnl"/>
        </w:rPr>
        <w:t xml:space="preserve"> una persona </w:t>
      </w:r>
      <w:r w:rsidR="00660C96" w:rsidRPr="00D15565">
        <w:rPr>
          <w:lang w:val="es-ES_tradnl"/>
        </w:rPr>
        <w:t>podía</w:t>
      </w:r>
      <w:r w:rsidR="00806BF3" w:rsidRPr="00D15565">
        <w:rPr>
          <w:lang w:val="es-ES_tradnl"/>
        </w:rPr>
        <w:t xml:space="preserve"> </w:t>
      </w:r>
      <w:r w:rsidR="004F0EDC" w:rsidRPr="00D15565">
        <w:rPr>
          <w:lang w:val="es-ES_tradnl"/>
        </w:rPr>
        <w:t>quedarse</w:t>
      </w:r>
      <w:r w:rsidR="00806BF3" w:rsidRPr="00D15565">
        <w:rPr>
          <w:lang w:val="es-ES_tradnl"/>
        </w:rPr>
        <w:t xml:space="preserve"> </w:t>
      </w:r>
      <w:r w:rsidRPr="00D15565">
        <w:rPr>
          <w:lang w:val="es-ES_tradnl"/>
        </w:rPr>
        <w:t xml:space="preserve">completamente aislada. Los ciudadanos </w:t>
      </w:r>
      <w:r w:rsidR="004F0EDC" w:rsidRPr="00D15565">
        <w:rPr>
          <w:lang w:val="es-ES_tradnl"/>
        </w:rPr>
        <w:t>ha</w:t>
      </w:r>
      <w:r w:rsidR="00660C96" w:rsidRPr="00D15565">
        <w:rPr>
          <w:lang w:val="es-ES_tradnl"/>
        </w:rPr>
        <w:t>bía</w:t>
      </w:r>
      <w:r w:rsidR="004F0EDC" w:rsidRPr="00D15565">
        <w:rPr>
          <w:lang w:val="es-ES_tradnl"/>
        </w:rPr>
        <w:t>n tenido que</w:t>
      </w:r>
      <w:r w:rsidRPr="00D15565">
        <w:rPr>
          <w:lang w:val="es-ES_tradnl"/>
        </w:rPr>
        <w:t xml:space="preserve"> adaptarse a nuevas</w:t>
      </w:r>
      <w:r w:rsidR="004F0EDC" w:rsidRPr="00D15565">
        <w:rPr>
          <w:lang w:val="es-ES_tradnl"/>
        </w:rPr>
        <w:t xml:space="preserve"> situaciones </w:t>
      </w:r>
      <w:r w:rsidRPr="00D15565">
        <w:rPr>
          <w:lang w:val="es-ES_tradnl"/>
        </w:rPr>
        <w:t xml:space="preserve">y el mercado </w:t>
      </w:r>
      <w:r w:rsidR="004F0EDC" w:rsidRPr="00D15565">
        <w:rPr>
          <w:lang w:val="es-ES_tradnl"/>
        </w:rPr>
        <w:t xml:space="preserve">se </w:t>
      </w:r>
      <w:r w:rsidRPr="00D15565">
        <w:rPr>
          <w:lang w:val="es-ES_tradnl"/>
        </w:rPr>
        <w:t>ha</w:t>
      </w:r>
      <w:r w:rsidR="00660C96" w:rsidRPr="00D15565">
        <w:rPr>
          <w:lang w:val="es-ES_tradnl"/>
        </w:rPr>
        <w:t>bía</w:t>
      </w:r>
      <w:r w:rsidR="004F0EDC" w:rsidRPr="00D15565">
        <w:rPr>
          <w:lang w:val="es-ES_tradnl"/>
        </w:rPr>
        <w:t xml:space="preserve"> visto obligado a </w:t>
      </w:r>
      <w:r w:rsidRPr="00D15565">
        <w:rPr>
          <w:lang w:val="es-ES_tradnl"/>
        </w:rPr>
        <w:t>ofrecer rápidamente nuevas soluciones digitales en diversos ámbitos,</w:t>
      </w:r>
      <w:r w:rsidR="004F0EDC" w:rsidRPr="00D15565">
        <w:rPr>
          <w:lang w:val="es-ES_tradnl"/>
        </w:rPr>
        <w:t xml:space="preserve"> </w:t>
      </w:r>
      <w:r w:rsidR="00660C96" w:rsidRPr="00D15565">
        <w:rPr>
          <w:lang w:val="es-ES_tradnl"/>
        </w:rPr>
        <w:t>entre ellos</w:t>
      </w:r>
      <w:r w:rsidRPr="00D15565">
        <w:rPr>
          <w:lang w:val="es-ES_tradnl"/>
        </w:rPr>
        <w:t xml:space="preserve"> la sanidad, la educación y las comunicaciones. Además de los servicios esenciales, también ha</w:t>
      </w:r>
      <w:r w:rsidR="00660C96" w:rsidRPr="00D15565">
        <w:rPr>
          <w:lang w:val="es-ES_tradnl"/>
        </w:rPr>
        <w:t>bía</w:t>
      </w:r>
      <w:r w:rsidRPr="00D15565">
        <w:rPr>
          <w:lang w:val="es-ES_tradnl"/>
        </w:rPr>
        <w:t xml:space="preserve"> sido importante ofrecer servicios en línea </w:t>
      </w:r>
      <w:r w:rsidR="004F0EDC" w:rsidRPr="00D15565">
        <w:rPr>
          <w:lang w:val="es-ES_tradnl"/>
        </w:rPr>
        <w:t>que permitieran</w:t>
      </w:r>
      <w:r w:rsidRPr="00D15565">
        <w:rPr>
          <w:lang w:val="es-ES_tradnl"/>
        </w:rPr>
        <w:t xml:space="preserve"> acceder al arte y la cultura.</w:t>
      </w:r>
    </w:p>
    <w:p w14:paraId="2A6F33A3" w14:textId="38065C73" w:rsidR="001906E7" w:rsidRPr="00D15565" w:rsidRDefault="007A2840" w:rsidP="005317C0">
      <w:pPr>
        <w:rPr>
          <w:lang w:val="es-ES_tradnl"/>
        </w:rPr>
      </w:pPr>
      <w:r w:rsidRPr="00D15565">
        <w:rPr>
          <w:lang w:val="es-ES_tradnl"/>
        </w:rPr>
        <w:t>Hasta que los países levant</w:t>
      </w:r>
      <w:r w:rsidR="00660C96" w:rsidRPr="00D15565">
        <w:rPr>
          <w:lang w:val="es-ES_tradnl"/>
        </w:rPr>
        <w:t>as</w:t>
      </w:r>
      <w:r w:rsidRPr="00D15565">
        <w:rPr>
          <w:lang w:val="es-ES_tradnl"/>
        </w:rPr>
        <w:t>en</w:t>
      </w:r>
      <w:r w:rsidR="005A56C1" w:rsidRPr="00D15565">
        <w:rPr>
          <w:lang w:val="es-ES_tradnl"/>
        </w:rPr>
        <w:t xml:space="preserve"> todas las restricciones relacionadas con </w:t>
      </w:r>
      <w:r w:rsidRPr="00D15565">
        <w:rPr>
          <w:lang w:val="es-ES_tradnl"/>
        </w:rPr>
        <w:t xml:space="preserve">la </w:t>
      </w:r>
      <w:r w:rsidR="005A56C1" w:rsidRPr="00D15565">
        <w:rPr>
          <w:lang w:val="es-ES_tradnl"/>
        </w:rPr>
        <w:t xml:space="preserve">COVID-19, </w:t>
      </w:r>
      <w:r w:rsidRPr="00D15565">
        <w:rPr>
          <w:lang w:val="es-ES_tradnl"/>
        </w:rPr>
        <w:t>seguir</w:t>
      </w:r>
      <w:r w:rsidR="00660C96" w:rsidRPr="00D15565">
        <w:rPr>
          <w:lang w:val="es-ES_tradnl"/>
        </w:rPr>
        <w:t xml:space="preserve">ía </w:t>
      </w:r>
      <w:r w:rsidRPr="00D15565">
        <w:rPr>
          <w:lang w:val="es-ES_tradnl"/>
        </w:rPr>
        <w:t>registrándose una fuerte</w:t>
      </w:r>
      <w:r w:rsidR="005A56C1" w:rsidRPr="00D15565">
        <w:rPr>
          <w:lang w:val="es-ES_tradnl"/>
        </w:rPr>
        <w:t xml:space="preserve"> demanda de servicios en línea en el ámbito del arte y la cultura, </w:t>
      </w:r>
      <w:r w:rsidRPr="00D15565">
        <w:rPr>
          <w:lang w:val="es-ES_tradnl"/>
        </w:rPr>
        <w:t>por ejemplo,</w:t>
      </w:r>
      <w:r w:rsidR="005A56C1" w:rsidRPr="00D15565">
        <w:rPr>
          <w:lang w:val="es-ES_tradnl"/>
        </w:rPr>
        <w:t xml:space="preserve"> visitas virtuales a exposiciones de museos y galerías. Además, la realidad virtual (RV) e</w:t>
      </w:r>
      <w:r w:rsidR="007160D4" w:rsidRPr="00D15565">
        <w:rPr>
          <w:lang w:val="es-ES_tradnl"/>
        </w:rPr>
        <w:t>ra</w:t>
      </w:r>
      <w:r w:rsidR="005A56C1" w:rsidRPr="00D15565">
        <w:rPr>
          <w:lang w:val="es-ES_tradnl"/>
        </w:rPr>
        <w:t xml:space="preserve"> capaz de teletransportar a las personas a lugares que quizá nunca </w:t>
      </w:r>
      <w:r w:rsidR="007160D4" w:rsidRPr="00D15565">
        <w:rPr>
          <w:lang w:val="es-ES_tradnl"/>
        </w:rPr>
        <w:t>pudieran</w:t>
      </w:r>
      <w:r w:rsidR="005A56C1" w:rsidRPr="00D15565">
        <w:rPr>
          <w:lang w:val="es-ES_tradnl"/>
        </w:rPr>
        <w:t xml:space="preserve"> visitar. En ese sentido, las visitas virtuales a los museos h</w:t>
      </w:r>
      <w:r w:rsidR="007160D4" w:rsidRPr="00D15565">
        <w:rPr>
          <w:lang w:val="es-ES_tradnl"/>
        </w:rPr>
        <w:t>abí</w:t>
      </w:r>
      <w:r w:rsidR="005A56C1" w:rsidRPr="00D15565">
        <w:rPr>
          <w:lang w:val="es-ES_tradnl"/>
        </w:rPr>
        <w:t xml:space="preserve">an ido ganando popularidad. La tecnología moderna </w:t>
      </w:r>
      <w:r w:rsidR="005317C0" w:rsidRPr="00D15565">
        <w:rPr>
          <w:lang w:val="es-ES_tradnl"/>
        </w:rPr>
        <w:t>acerc</w:t>
      </w:r>
      <w:r w:rsidR="007160D4" w:rsidRPr="00D15565">
        <w:rPr>
          <w:lang w:val="es-ES_tradnl"/>
        </w:rPr>
        <w:t>ab</w:t>
      </w:r>
      <w:r w:rsidR="005317C0" w:rsidRPr="00D15565">
        <w:rPr>
          <w:lang w:val="es-ES_tradnl"/>
        </w:rPr>
        <w:t>a</w:t>
      </w:r>
      <w:r w:rsidR="005A56C1" w:rsidRPr="00D15565">
        <w:rPr>
          <w:lang w:val="es-ES_tradnl"/>
        </w:rPr>
        <w:t xml:space="preserve"> a las personas </w:t>
      </w:r>
      <w:r w:rsidR="005317C0" w:rsidRPr="00D15565">
        <w:rPr>
          <w:lang w:val="es-ES_tradnl"/>
        </w:rPr>
        <w:t>a</w:t>
      </w:r>
      <w:r w:rsidR="005A56C1" w:rsidRPr="00D15565">
        <w:rPr>
          <w:lang w:val="es-ES_tradnl"/>
        </w:rPr>
        <w:t xml:space="preserve"> las mayores obras maestras y </w:t>
      </w:r>
      <w:r w:rsidR="005317C0" w:rsidRPr="00D15565">
        <w:rPr>
          <w:lang w:val="es-ES_tradnl"/>
        </w:rPr>
        <w:t xml:space="preserve">a </w:t>
      </w:r>
      <w:r w:rsidR="005A56C1" w:rsidRPr="00D15565">
        <w:rPr>
          <w:lang w:val="es-ES_tradnl"/>
        </w:rPr>
        <w:t xml:space="preserve">reliquias excepcionales; sin embargo, muchos ciudadanos, en particular las personas </w:t>
      </w:r>
      <w:r w:rsidR="005317C0" w:rsidRPr="00D15565">
        <w:rPr>
          <w:lang w:val="es-ES_tradnl"/>
        </w:rPr>
        <w:t>de edad avanzada</w:t>
      </w:r>
      <w:r w:rsidR="005A56C1" w:rsidRPr="00D15565">
        <w:rPr>
          <w:lang w:val="es-ES_tradnl"/>
        </w:rPr>
        <w:t>,</w:t>
      </w:r>
      <w:r w:rsidR="005317C0" w:rsidRPr="00D15565">
        <w:rPr>
          <w:lang w:val="es-ES_tradnl"/>
        </w:rPr>
        <w:t xml:space="preserve"> carec</w:t>
      </w:r>
      <w:r w:rsidR="007160D4" w:rsidRPr="00D15565">
        <w:rPr>
          <w:lang w:val="es-ES_tradnl"/>
        </w:rPr>
        <w:t>ía</w:t>
      </w:r>
      <w:r w:rsidR="005317C0" w:rsidRPr="00D15565">
        <w:rPr>
          <w:lang w:val="es-ES_tradnl"/>
        </w:rPr>
        <w:t>n de las competencias</w:t>
      </w:r>
      <w:r w:rsidR="005A56C1" w:rsidRPr="00D15565">
        <w:rPr>
          <w:lang w:val="es-ES_tradnl"/>
        </w:rPr>
        <w:t xml:space="preserve"> digitales necesarias para aprovechar la amplia gama de oportunidades que </w:t>
      </w:r>
      <w:r w:rsidR="007160D4" w:rsidRPr="00D15565">
        <w:rPr>
          <w:lang w:val="es-ES_tradnl"/>
        </w:rPr>
        <w:t>tenían ante sí</w:t>
      </w:r>
      <w:r w:rsidR="005A56C1" w:rsidRPr="00D15565">
        <w:rPr>
          <w:lang w:val="es-ES_tradnl"/>
        </w:rPr>
        <w:t>.</w:t>
      </w:r>
    </w:p>
    <w:p w14:paraId="0AA91076" w14:textId="154E8742" w:rsidR="005A56C1" w:rsidRPr="00D15565" w:rsidRDefault="00FA64BD" w:rsidP="00173710">
      <w:pPr>
        <w:rPr>
          <w:lang w:val="es-ES_tradnl"/>
        </w:rPr>
      </w:pPr>
      <w:hyperlink r:id="rId30" w:history="1">
        <w:r w:rsidR="001906E7" w:rsidRPr="00D15565">
          <w:rPr>
            <w:rStyle w:val="Hyperlink"/>
            <w:b/>
            <w:bCs/>
            <w:lang w:val="es-ES_tradnl"/>
          </w:rPr>
          <w:t>Document</w:t>
        </w:r>
        <w:r w:rsidR="00315FFD" w:rsidRPr="00D15565">
          <w:rPr>
            <w:rStyle w:val="Hyperlink"/>
            <w:b/>
            <w:bCs/>
            <w:lang w:val="es-ES_tradnl"/>
          </w:rPr>
          <w:t>o</w:t>
        </w:r>
        <w:r w:rsidR="001906E7" w:rsidRPr="00D15565">
          <w:rPr>
            <w:rStyle w:val="Hyperlink"/>
            <w:b/>
            <w:bCs/>
            <w:lang w:val="es-ES_tradnl"/>
          </w:rPr>
          <w:t> 36</w:t>
        </w:r>
      </w:hyperlink>
      <w:r w:rsidR="00315FFD" w:rsidRPr="00D15565">
        <w:rPr>
          <w:rStyle w:val="Hyperlink"/>
          <w:b/>
          <w:bCs/>
          <w:lang w:val="es-ES_tradnl"/>
        </w:rPr>
        <w:t>:</w:t>
      </w:r>
      <w:r w:rsidR="001906E7" w:rsidRPr="00D15565">
        <w:rPr>
          <w:lang w:val="es-ES_tradnl"/>
        </w:rPr>
        <w:t xml:space="preserve"> </w:t>
      </w:r>
      <w:r w:rsidR="00315FFD" w:rsidRPr="00D15565">
        <w:rPr>
          <w:lang w:val="es-ES_tradnl"/>
        </w:rPr>
        <w:t xml:space="preserve">La Sra. Ekaterina Fomicheva, PJSC Rostelecom, presentó el documento </w:t>
      </w:r>
      <w:r w:rsidR="0061618D" w:rsidRPr="00D15565">
        <w:rPr>
          <w:lang w:val="es-ES_tradnl"/>
        </w:rPr>
        <w:t>relativo a la Iniciativa Regional</w:t>
      </w:r>
      <w:r w:rsidR="005A56C1" w:rsidRPr="00D15565">
        <w:rPr>
          <w:lang w:val="es-ES_tradnl"/>
        </w:rPr>
        <w:t xml:space="preserve"> 5: Desarrollo de infraestructuras para fomentar la innovación y la</w:t>
      </w:r>
      <w:r w:rsidR="00315FFD" w:rsidRPr="00D15565">
        <w:rPr>
          <w:lang w:val="es-ES_tradnl"/>
        </w:rPr>
        <w:t xml:space="preserve"> creación de</w:t>
      </w:r>
      <w:r w:rsidR="005A56C1" w:rsidRPr="00D15565">
        <w:rPr>
          <w:lang w:val="es-ES_tradnl"/>
        </w:rPr>
        <w:t xml:space="preserve"> asociaciones en</w:t>
      </w:r>
      <w:r w:rsidR="00315FFD" w:rsidRPr="00D15565">
        <w:rPr>
          <w:lang w:val="es-ES_tradnl"/>
        </w:rPr>
        <w:t xml:space="preserve"> el ámbito de</w:t>
      </w:r>
      <w:r w:rsidR="005A56C1" w:rsidRPr="00D15565">
        <w:rPr>
          <w:lang w:val="es-ES_tradnl"/>
        </w:rPr>
        <w:t xml:space="preserve"> las nuevas tecnologías - IoT, incluida la Internet industrial, ciudades y comunidades inteligentes, redes de próxima generación 5G/IMT-2020 y NET-2030, tecnologías cuánticas, inteligencia artificial (IA), salud digital, competencias digitales</w:t>
      </w:r>
      <w:r w:rsidR="00315FFD" w:rsidRPr="00D15565">
        <w:rPr>
          <w:lang w:val="es-ES_tradnl"/>
        </w:rPr>
        <w:t xml:space="preserve"> y</w:t>
      </w:r>
      <w:r w:rsidR="005A56C1" w:rsidRPr="00D15565">
        <w:rPr>
          <w:lang w:val="es-ES_tradnl"/>
        </w:rPr>
        <w:t xml:space="preserve"> protección del medio ambiente</w:t>
      </w:r>
      <w:r w:rsidR="00315FFD" w:rsidRPr="00D15565">
        <w:rPr>
          <w:lang w:val="es-ES_tradnl"/>
        </w:rPr>
        <w:t>)</w:t>
      </w:r>
      <w:r w:rsidR="005A56C1" w:rsidRPr="00D15565">
        <w:rPr>
          <w:lang w:val="es-ES_tradnl"/>
        </w:rPr>
        <w:t>. La CMDT-17 adoptó cinco iniciativas regionales para los Estados Miembros de la UIT</w:t>
      </w:r>
      <w:r w:rsidR="000830D6" w:rsidRPr="00D15565">
        <w:rPr>
          <w:lang w:val="es-ES_tradnl"/>
        </w:rPr>
        <w:t xml:space="preserve"> procedentes</w:t>
      </w:r>
      <w:r w:rsidR="005A56C1" w:rsidRPr="00D15565">
        <w:rPr>
          <w:lang w:val="es-ES_tradnl"/>
        </w:rPr>
        <w:t xml:space="preserve"> de la CEI. Las iniciativas regionales se </w:t>
      </w:r>
      <w:r w:rsidR="000830D6" w:rsidRPr="00D15565">
        <w:rPr>
          <w:lang w:val="es-ES_tradnl"/>
        </w:rPr>
        <w:t>centra</w:t>
      </w:r>
      <w:r w:rsidR="0061618D" w:rsidRPr="00D15565">
        <w:rPr>
          <w:lang w:val="es-ES_tradnl"/>
        </w:rPr>
        <w:t>ba</w:t>
      </w:r>
      <w:r w:rsidR="000830D6" w:rsidRPr="00D15565">
        <w:rPr>
          <w:lang w:val="es-ES_tradnl"/>
        </w:rPr>
        <w:t>n en una serie de esfera</w:t>
      </w:r>
      <w:r w:rsidR="005A56C1" w:rsidRPr="00D15565">
        <w:rPr>
          <w:lang w:val="es-ES_tradnl"/>
        </w:rPr>
        <w:t xml:space="preserve">s prioritarias específicas </w:t>
      </w:r>
      <w:r w:rsidR="000830D6" w:rsidRPr="00D15565">
        <w:rPr>
          <w:lang w:val="es-ES_tradnl"/>
        </w:rPr>
        <w:t xml:space="preserve">del ámbito </w:t>
      </w:r>
      <w:r w:rsidR="005A56C1" w:rsidRPr="00D15565">
        <w:rPr>
          <w:lang w:val="es-ES_tradnl"/>
        </w:rPr>
        <w:t>de</w:t>
      </w:r>
      <w:r w:rsidR="000830D6" w:rsidRPr="00D15565">
        <w:rPr>
          <w:lang w:val="es-ES_tradnl"/>
        </w:rPr>
        <w:t xml:space="preserve"> las</w:t>
      </w:r>
      <w:r w:rsidR="005A56C1" w:rsidRPr="00D15565">
        <w:rPr>
          <w:lang w:val="es-ES_tradnl"/>
        </w:rPr>
        <w:t xml:space="preserve"> telecomunicaciones/TIC</w:t>
      </w:r>
      <w:r w:rsidR="00173710" w:rsidRPr="00D15565">
        <w:rPr>
          <w:lang w:val="es-ES_tradnl"/>
        </w:rPr>
        <w:t xml:space="preserve"> y </w:t>
      </w:r>
      <w:r w:rsidR="0061618D" w:rsidRPr="00D15565">
        <w:rPr>
          <w:lang w:val="es-ES_tradnl"/>
        </w:rPr>
        <w:t>se apoyaban en</w:t>
      </w:r>
      <w:r w:rsidR="00173710" w:rsidRPr="00D15565">
        <w:rPr>
          <w:lang w:val="es-ES_tradnl"/>
        </w:rPr>
        <w:t xml:space="preserve"> la creación de</w:t>
      </w:r>
      <w:r w:rsidR="005A56C1" w:rsidRPr="00D15565">
        <w:rPr>
          <w:lang w:val="es-ES_tradnl"/>
        </w:rPr>
        <w:t xml:space="preserve"> asociaciones y</w:t>
      </w:r>
      <w:r w:rsidR="00173710" w:rsidRPr="00D15565">
        <w:rPr>
          <w:lang w:val="es-ES_tradnl"/>
        </w:rPr>
        <w:t xml:space="preserve"> la</w:t>
      </w:r>
      <w:r w:rsidR="005A56C1" w:rsidRPr="00D15565">
        <w:rPr>
          <w:lang w:val="es-ES_tradnl"/>
        </w:rPr>
        <w:t xml:space="preserve"> movilización de recursos para la ejecución de proyectos específicos. Esta iniciativa regional </w:t>
      </w:r>
      <w:r w:rsidR="00173710" w:rsidRPr="00D15565">
        <w:rPr>
          <w:lang w:val="es-ES_tradnl"/>
        </w:rPr>
        <w:t>obra</w:t>
      </w:r>
      <w:r w:rsidR="0061618D" w:rsidRPr="00D15565">
        <w:rPr>
          <w:lang w:val="es-ES_tradnl"/>
        </w:rPr>
        <w:t>ba</w:t>
      </w:r>
      <w:r w:rsidR="00173710" w:rsidRPr="00D15565">
        <w:rPr>
          <w:lang w:val="es-ES_tradnl"/>
        </w:rPr>
        <w:t xml:space="preserve"> en favor del </w:t>
      </w:r>
      <w:r w:rsidR="005A56C1" w:rsidRPr="00D15565">
        <w:rPr>
          <w:lang w:val="es-ES_tradnl"/>
        </w:rPr>
        <w:t>desarroll</w:t>
      </w:r>
      <w:r w:rsidR="00173710" w:rsidRPr="00D15565">
        <w:rPr>
          <w:lang w:val="es-ES_tradnl"/>
        </w:rPr>
        <w:t>o de</w:t>
      </w:r>
      <w:r w:rsidR="005A56C1" w:rsidRPr="00D15565">
        <w:rPr>
          <w:lang w:val="es-ES_tradnl"/>
        </w:rPr>
        <w:t xml:space="preserve"> la infraestructura de telecomunicaciones/TIC y </w:t>
      </w:r>
      <w:r w:rsidR="00173710" w:rsidRPr="00D15565">
        <w:rPr>
          <w:lang w:val="es-ES_tradnl"/>
        </w:rPr>
        <w:t>el fomento de</w:t>
      </w:r>
      <w:r w:rsidR="005A56C1" w:rsidRPr="00D15565">
        <w:rPr>
          <w:lang w:val="es-ES_tradnl"/>
        </w:rPr>
        <w:t xml:space="preserve"> la innovación y la</w:t>
      </w:r>
      <w:r w:rsidR="00173710" w:rsidRPr="00D15565">
        <w:rPr>
          <w:lang w:val="es-ES_tradnl"/>
        </w:rPr>
        <w:t xml:space="preserve"> creación de</w:t>
      </w:r>
      <w:r w:rsidR="005A56C1" w:rsidRPr="00D15565">
        <w:rPr>
          <w:lang w:val="es-ES_tradnl"/>
        </w:rPr>
        <w:t xml:space="preserve"> asociaciones </w:t>
      </w:r>
      <w:r w:rsidR="00173710" w:rsidRPr="00D15565">
        <w:rPr>
          <w:lang w:val="es-ES_tradnl"/>
        </w:rPr>
        <w:t>a efectos de</w:t>
      </w:r>
      <w:r w:rsidR="005A56C1" w:rsidRPr="00D15565">
        <w:rPr>
          <w:lang w:val="es-ES_tradnl"/>
        </w:rPr>
        <w:t xml:space="preserve"> la </w:t>
      </w:r>
      <w:r w:rsidR="00173710" w:rsidRPr="00D15565">
        <w:rPr>
          <w:lang w:val="es-ES_tradnl"/>
        </w:rPr>
        <w:t>implementación</w:t>
      </w:r>
      <w:r w:rsidR="005A56C1" w:rsidRPr="00D15565">
        <w:rPr>
          <w:lang w:val="es-ES_tradnl"/>
        </w:rPr>
        <w:t xml:space="preserve"> de nuevas tecnologías</w:t>
      </w:r>
      <w:r w:rsidR="00173710" w:rsidRPr="00D15565">
        <w:rPr>
          <w:lang w:val="es-ES_tradnl"/>
        </w:rPr>
        <w:t>, en particular la IoT, incluida la Internet industrial, las ciudades y comunidades inteligentes, las redes de próxima generación 5G/IMT-2020 y NET-2030, las tecnologías cuánticas, la inteligencia artificial (IA), la salud digital, las competencias digitales y la protección del medio ambiente</w:t>
      </w:r>
      <w:r w:rsidR="005A56C1" w:rsidRPr="00D15565">
        <w:rPr>
          <w:lang w:val="es-ES_tradnl"/>
        </w:rPr>
        <w:t>.</w:t>
      </w:r>
    </w:p>
    <w:p w14:paraId="357D386D" w14:textId="3CF555B9" w:rsidR="001906E7" w:rsidRPr="00D15565" w:rsidRDefault="005A56C1" w:rsidP="00173710">
      <w:pPr>
        <w:rPr>
          <w:highlight w:val="cyan"/>
          <w:lang w:val="es-ES_tradnl"/>
        </w:rPr>
      </w:pPr>
      <w:r w:rsidRPr="00D15565">
        <w:rPr>
          <w:lang w:val="es-ES_tradnl"/>
        </w:rPr>
        <w:lastRenderedPageBreak/>
        <w:t xml:space="preserve">En la reunión se acordó crear un grupo de redacción dirigido por el </w:t>
      </w:r>
      <w:proofErr w:type="gramStart"/>
      <w:r w:rsidRPr="00D15565">
        <w:rPr>
          <w:lang w:val="es-ES_tradnl"/>
        </w:rPr>
        <w:t>Vicepresidente</w:t>
      </w:r>
      <w:proofErr w:type="gramEnd"/>
      <w:r w:rsidRPr="00D15565">
        <w:rPr>
          <w:lang w:val="es-ES_tradnl"/>
        </w:rPr>
        <w:t xml:space="preserve"> de </w:t>
      </w:r>
      <w:r w:rsidR="00173710" w:rsidRPr="00D15565">
        <w:rPr>
          <w:lang w:val="es-ES_tradnl"/>
        </w:rPr>
        <w:t xml:space="preserve">la </w:t>
      </w:r>
      <w:r w:rsidRPr="00D15565">
        <w:rPr>
          <w:lang w:val="es-ES_tradnl"/>
        </w:rPr>
        <w:t>RP</w:t>
      </w:r>
      <w:r w:rsidR="00173710" w:rsidRPr="00D15565">
        <w:rPr>
          <w:lang w:val="es-ES_tradnl"/>
        </w:rPr>
        <w:t>R</w:t>
      </w:r>
      <w:r w:rsidRPr="00D15565">
        <w:rPr>
          <w:lang w:val="es-ES_tradnl"/>
        </w:rPr>
        <w:t>-C</w:t>
      </w:r>
      <w:r w:rsidR="00173710" w:rsidRPr="00D15565">
        <w:rPr>
          <w:lang w:val="es-ES_tradnl"/>
        </w:rPr>
        <w:t>EI</w:t>
      </w:r>
      <w:r w:rsidRPr="00D15565">
        <w:rPr>
          <w:lang w:val="es-ES_tradnl"/>
        </w:rPr>
        <w:t>,</w:t>
      </w:r>
      <w:r w:rsidR="00173710" w:rsidRPr="00D15565">
        <w:rPr>
          <w:lang w:val="es-ES_tradnl"/>
        </w:rPr>
        <w:t xml:space="preserve"> Sr.</w:t>
      </w:r>
      <w:r w:rsidRPr="00D15565">
        <w:rPr>
          <w:lang w:val="es-ES_tradnl"/>
        </w:rPr>
        <w:t xml:space="preserve"> Alexey Borodin, para</w:t>
      </w:r>
      <w:r w:rsidR="00173710" w:rsidRPr="00D15565">
        <w:rPr>
          <w:lang w:val="es-ES_tradnl"/>
        </w:rPr>
        <w:t xml:space="preserve"> que</w:t>
      </w:r>
      <w:r w:rsidRPr="00D15565">
        <w:rPr>
          <w:lang w:val="es-ES_tradnl"/>
        </w:rPr>
        <w:t xml:space="preserve"> examina</w:t>
      </w:r>
      <w:r w:rsidR="00173710" w:rsidRPr="00D15565">
        <w:rPr>
          <w:lang w:val="es-ES_tradnl"/>
        </w:rPr>
        <w:t>se</w:t>
      </w:r>
      <w:r w:rsidRPr="00D15565">
        <w:rPr>
          <w:lang w:val="es-ES_tradnl"/>
        </w:rPr>
        <w:t xml:space="preserve"> los documentos 9, 10, 11, 20, 31, 35 y 36. El grupo se reunió el segundo día de la RP</w:t>
      </w:r>
      <w:r w:rsidR="00173710" w:rsidRPr="00D15565">
        <w:rPr>
          <w:lang w:val="es-ES_tradnl"/>
        </w:rPr>
        <w:t>R</w:t>
      </w:r>
      <w:r w:rsidRPr="00D15565">
        <w:rPr>
          <w:lang w:val="es-ES_tradnl"/>
        </w:rPr>
        <w:t>-C</w:t>
      </w:r>
      <w:r w:rsidR="00173710" w:rsidRPr="00D15565">
        <w:rPr>
          <w:lang w:val="es-ES_tradnl"/>
        </w:rPr>
        <w:t>EI (</w:t>
      </w:r>
      <w:r w:rsidRPr="00D15565">
        <w:rPr>
          <w:lang w:val="es-ES_tradnl"/>
        </w:rPr>
        <w:t>22 de abril de 2021</w:t>
      </w:r>
      <w:r w:rsidR="00173710" w:rsidRPr="00D15565">
        <w:rPr>
          <w:lang w:val="es-ES_tradnl"/>
        </w:rPr>
        <w:t>)</w:t>
      </w:r>
      <w:r w:rsidRPr="00D15565">
        <w:rPr>
          <w:lang w:val="es-ES_tradnl"/>
        </w:rPr>
        <w:t xml:space="preserve"> y</w:t>
      </w:r>
      <w:r w:rsidR="00173710" w:rsidRPr="00D15565">
        <w:rPr>
          <w:lang w:val="es-ES_tradnl"/>
        </w:rPr>
        <w:t xml:space="preserve"> elaboró</w:t>
      </w:r>
      <w:r w:rsidRPr="00D15565">
        <w:rPr>
          <w:lang w:val="es-ES_tradnl"/>
        </w:rPr>
        <w:t>,</w:t>
      </w:r>
      <w:r w:rsidR="00173710" w:rsidRPr="00D15565">
        <w:rPr>
          <w:lang w:val="es-ES_tradnl"/>
        </w:rPr>
        <w:t xml:space="preserve"> en clave</w:t>
      </w:r>
      <w:r w:rsidRPr="00D15565">
        <w:rPr>
          <w:lang w:val="es-ES_tradnl"/>
        </w:rPr>
        <w:t xml:space="preserve"> </w:t>
      </w:r>
      <w:r w:rsidR="00173710" w:rsidRPr="00D15565">
        <w:rPr>
          <w:lang w:val="es-ES_tradnl"/>
        </w:rPr>
        <w:t>de</w:t>
      </w:r>
      <w:r w:rsidRPr="00D15565">
        <w:rPr>
          <w:lang w:val="es-ES_tradnl"/>
        </w:rPr>
        <w:t xml:space="preserve"> consenso, </w:t>
      </w:r>
      <w:r w:rsidR="00173710" w:rsidRPr="00D15565">
        <w:rPr>
          <w:lang w:val="es-ES_tradnl"/>
        </w:rPr>
        <w:t>los</w:t>
      </w:r>
      <w:r w:rsidRPr="00D15565">
        <w:rPr>
          <w:lang w:val="es-ES_tradnl"/>
        </w:rPr>
        <w:t xml:space="preserve"> cinco</w:t>
      </w:r>
      <w:r w:rsidR="00946C4F">
        <w:rPr>
          <w:lang w:val="es-ES_tradnl"/>
        </w:rPr>
        <w:t> </w:t>
      </w:r>
      <w:r w:rsidRPr="00D15565">
        <w:rPr>
          <w:lang w:val="es-ES_tradnl"/>
        </w:rPr>
        <w:t>proyectos de iniciativas regionales</w:t>
      </w:r>
      <w:r w:rsidR="00173710" w:rsidRPr="00D15565">
        <w:rPr>
          <w:lang w:val="es-ES_tradnl"/>
        </w:rPr>
        <w:t xml:space="preserve"> siguientes:</w:t>
      </w:r>
    </w:p>
    <w:p w14:paraId="18CCB703" w14:textId="1235210F" w:rsidR="0045767B" w:rsidRPr="00D15565" w:rsidRDefault="005A56C1" w:rsidP="00483799">
      <w:pPr>
        <w:rPr>
          <w:lang w:val="es-ES_tradnl"/>
        </w:rPr>
      </w:pPr>
      <w:r w:rsidRPr="00D15565">
        <w:rPr>
          <w:b/>
          <w:bCs/>
          <w:lang w:val="es-ES_tradnl"/>
        </w:rPr>
        <w:t>Iniciativa regional 1:</w:t>
      </w:r>
      <w:r w:rsidRPr="00D15565">
        <w:rPr>
          <w:lang w:val="es-ES_tradnl"/>
        </w:rPr>
        <w:t xml:space="preserve"> </w:t>
      </w:r>
      <w:r w:rsidR="00483799" w:rsidRPr="00D15565">
        <w:rPr>
          <w:lang w:val="es-ES_tradnl"/>
        </w:rPr>
        <w:t>Desarrollo de infraestructuras para fomentar la innovación y la creación de asociaciones a efectos de la implementación de nuevas tecnologías, en particular la IoT, incluida la Internet industrial, las redes de próxima generación 5G/IMT-2020 y NET-2030, las tecnologías cuánticas, la inteligencia artificial, la salud digital, la educación digital, la protección del medio ambiente, las ciudades inteligentes, las competencias digitales, etc.</w:t>
      </w:r>
    </w:p>
    <w:p w14:paraId="6290324C" w14:textId="1722B577" w:rsidR="0045767B" w:rsidRPr="00D15565" w:rsidRDefault="005A56C1" w:rsidP="00263921">
      <w:pPr>
        <w:rPr>
          <w:lang w:val="es-ES_tradnl"/>
        </w:rPr>
      </w:pPr>
      <w:r w:rsidRPr="00D15565">
        <w:rPr>
          <w:b/>
          <w:bCs/>
          <w:lang w:val="es-ES_tradnl"/>
        </w:rPr>
        <w:t xml:space="preserve">Iniciativa regional 2: </w:t>
      </w:r>
      <w:r w:rsidRPr="00D15565">
        <w:rPr>
          <w:lang w:val="es-ES_tradnl"/>
        </w:rPr>
        <w:t xml:space="preserve">Ciberseguridad y protección de </w:t>
      </w:r>
      <w:r w:rsidR="00263921" w:rsidRPr="00D15565">
        <w:rPr>
          <w:lang w:val="es-ES_tradnl"/>
        </w:rPr>
        <w:t xml:space="preserve">los </w:t>
      </w:r>
      <w:r w:rsidRPr="00D15565">
        <w:rPr>
          <w:lang w:val="es-ES_tradnl"/>
        </w:rPr>
        <w:t>datos personales.</w:t>
      </w:r>
    </w:p>
    <w:p w14:paraId="551BFC4B" w14:textId="29984AC2" w:rsidR="0045767B" w:rsidRPr="00D15565" w:rsidRDefault="005A56C1" w:rsidP="00263921">
      <w:pPr>
        <w:rPr>
          <w:lang w:val="es-ES_tradnl"/>
        </w:rPr>
      </w:pPr>
      <w:bookmarkStart w:id="17" w:name="_Hlk70427924"/>
      <w:r w:rsidRPr="00D15565">
        <w:rPr>
          <w:b/>
          <w:bCs/>
          <w:lang w:val="es-ES_tradnl"/>
        </w:rPr>
        <w:t xml:space="preserve">Iniciativa regional 3: </w:t>
      </w:r>
      <w:r w:rsidRPr="00D15565">
        <w:rPr>
          <w:lang w:val="es-ES_tradnl"/>
        </w:rPr>
        <w:t>Creación de un entorno jurídico y reglamentario propicio para acelerar la transformación digital.</w:t>
      </w:r>
      <w:bookmarkEnd w:id="17"/>
    </w:p>
    <w:p w14:paraId="3CFE45B9" w14:textId="587A2A44" w:rsidR="0045767B" w:rsidRPr="00D15565" w:rsidRDefault="005A56C1" w:rsidP="00263921">
      <w:pPr>
        <w:rPr>
          <w:lang w:val="es-ES_tradnl"/>
        </w:rPr>
      </w:pPr>
      <w:r w:rsidRPr="00D15565">
        <w:rPr>
          <w:b/>
          <w:bCs/>
          <w:lang w:val="es-ES_tradnl"/>
        </w:rPr>
        <w:t xml:space="preserve">Iniciativa </w:t>
      </w:r>
      <w:r w:rsidR="00DA21F8" w:rsidRPr="00D15565">
        <w:rPr>
          <w:b/>
          <w:bCs/>
          <w:lang w:val="es-ES_tradnl"/>
        </w:rPr>
        <w:t>r</w:t>
      </w:r>
      <w:r w:rsidRPr="00D15565">
        <w:rPr>
          <w:b/>
          <w:bCs/>
          <w:lang w:val="es-ES_tradnl"/>
        </w:rPr>
        <w:t xml:space="preserve">egional 4: </w:t>
      </w:r>
      <w:r w:rsidR="00263921" w:rsidRPr="00D15565">
        <w:rPr>
          <w:lang w:val="es-ES_tradnl"/>
        </w:rPr>
        <w:t>Competencias</w:t>
      </w:r>
      <w:r w:rsidRPr="00D15565">
        <w:rPr>
          <w:lang w:val="es-ES_tradnl"/>
        </w:rPr>
        <w:t xml:space="preserve"> digitales y accesibilidad </w:t>
      </w:r>
      <w:r w:rsidR="00263921" w:rsidRPr="00D15565">
        <w:rPr>
          <w:lang w:val="es-ES_tradnl"/>
        </w:rPr>
        <w:t>de</w:t>
      </w:r>
      <w:r w:rsidRPr="00D15565">
        <w:rPr>
          <w:lang w:val="es-ES_tradnl"/>
        </w:rPr>
        <w:t xml:space="preserve"> las TIC para la población, en particular para las personas con discapacidad.</w:t>
      </w:r>
    </w:p>
    <w:p w14:paraId="5D1D0A22" w14:textId="141FA3AA" w:rsidR="0045767B" w:rsidRPr="00D15565" w:rsidRDefault="005A56C1" w:rsidP="00263921">
      <w:pPr>
        <w:rPr>
          <w:lang w:val="es-ES_tradnl"/>
        </w:rPr>
      </w:pPr>
      <w:r w:rsidRPr="00D15565">
        <w:rPr>
          <w:b/>
          <w:bCs/>
          <w:lang w:val="es-ES_tradnl"/>
        </w:rPr>
        <w:t>Iniciativa regional 5:</w:t>
      </w:r>
      <w:r w:rsidRPr="00D15565">
        <w:rPr>
          <w:lang w:val="es-ES_tradnl"/>
        </w:rPr>
        <w:t xml:space="preserve"> Desarrollo de ciudades y comunidades inteligentes.</w:t>
      </w:r>
    </w:p>
    <w:p w14:paraId="0E287423" w14:textId="779B40AE" w:rsidR="005A56C1" w:rsidRPr="00D15565" w:rsidRDefault="00263921" w:rsidP="00263921">
      <w:pPr>
        <w:rPr>
          <w:rFonts w:ascii="Calibri" w:hAnsi="Calibri"/>
          <w:bCs/>
          <w:lang w:val="es-ES_tradnl"/>
        </w:rPr>
      </w:pPr>
      <w:r w:rsidRPr="00D15565">
        <w:rPr>
          <w:rFonts w:ascii="Calibri" w:hAnsi="Calibri"/>
          <w:bCs/>
          <w:lang w:val="es-ES_tradnl"/>
        </w:rPr>
        <w:t>La RPR-CEI aprobó</w:t>
      </w:r>
      <w:r w:rsidR="008E7AF7" w:rsidRPr="00D15565">
        <w:rPr>
          <w:rFonts w:ascii="Calibri" w:hAnsi="Calibri"/>
          <w:bCs/>
          <w:lang w:val="es-ES_tradnl"/>
        </w:rPr>
        <w:t xml:space="preserve"> los</w:t>
      </w:r>
      <w:r w:rsidRPr="00D15565">
        <w:rPr>
          <w:rFonts w:ascii="Calibri" w:hAnsi="Calibri"/>
          <w:bCs/>
          <w:lang w:val="es-ES_tradnl"/>
        </w:rPr>
        <w:t xml:space="preserve"> cinco proyectos de iniciativas regionales para la CEI e instó a los Estados Miembros de la región a presentar propuestas adicionales a la CMDT-21, incluidos proyectos específicos para su ejecución en el marco de las iniciativas regionales. La reunión también convino en que podrían añadirse nuevas propuestas al texto de</w:t>
      </w:r>
      <w:r w:rsidR="008E7AF7" w:rsidRPr="00D15565">
        <w:rPr>
          <w:rFonts w:ascii="Calibri" w:hAnsi="Calibri"/>
          <w:bCs/>
          <w:lang w:val="es-ES_tradnl"/>
        </w:rPr>
        <w:t xml:space="preserve"> </w:t>
      </w:r>
      <w:r w:rsidRPr="00D15565">
        <w:rPr>
          <w:rFonts w:ascii="Calibri" w:hAnsi="Calibri"/>
          <w:bCs/>
          <w:lang w:val="es-ES_tradnl"/>
        </w:rPr>
        <w:t>l</w:t>
      </w:r>
      <w:r w:rsidR="008E7AF7" w:rsidRPr="00D15565">
        <w:rPr>
          <w:rFonts w:ascii="Calibri" w:hAnsi="Calibri"/>
          <w:bCs/>
          <w:lang w:val="es-ES_tradnl"/>
        </w:rPr>
        <w:t>os</w:t>
      </w:r>
      <w:r w:rsidRPr="00D15565">
        <w:rPr>
          <w:rFonts w:ascii="Calibri" w:hAnsi="Calibri"/>
          <w:bCs/>
          <w:lang w:val="es-ES_tradnl"/>
        </w:rPr>
        <w:t xml:space="preserve"> proyecto</w:t>
      </w:r>
      <w:r w:rsidR="008E7AF7" w:rsidRPr="00D15565">
        <w:rPr>
          <w:rFonts w:ascii="Calibri" w:hAnsi="Calibri"/>
          <w:bCs/>
          <w:lang w:val="es-ES_tradnl"/>
        </w:rPr>
        <w:t>s</w:t>
      </w:r>
      <w:r w:rsidRPr="00D15565">
        <w:rPr>
          <w:rFonts w:ascii="Calibri" w:hAnsi="Calibri"/>
          <w:bCs/>
          <w:lang w:val="es-ES_tradnl"/>
        </w:rPr>
        <w:t xml:space="preserve"> de iniciativas regionales sin retirar los resultados </w:t>
      </w:r>
      <w:r w:rsidR="005A56C1" w:rsidRPr="00D15565">
        <w:rPr>
          <w:rFonts w:ascii="Calibri" w:hAnsi="Calibri"/>
          <w:bCs/>
          <w:lang w:val="es-ES_tradnl"/>
        </w:rPr>
        <w:t>previstos acordados</w:t>
      </w:r>
      <w:r w:rsidRPr="00D15565">
        <w:rPr>
          <w:rFonts w:ascii="Calibri" w:hAnsi="Calibri"/>
          <w:bCs/>
          <w:lang w:val="es-ES_tradnl"/>
        </w:rPr>
        <w:t>.</w:t>
      </w:r>
      <w:r w:rsidR="005A56C1" w:rsidRPr="00D15565">
        <w:rPr>
          <w:rFonts w:ascii="Calibri" w:hAnsi="Calibri"/>
          <w:bCs/>
          <w:lang w:val="es-ES_tradnl"/>
        </w:rPr>
        <w:t xml:space="preserve"> </w:t>
      </w:r>
    </w:p>
    <w:p w14:paraId="1FD102E2" w14:textId="20573C35" w:rsidR="0045767B" w:rsidRPr="00D15565" w:rsidRDefault="005A56C1" w:rsidP="00F531A5">
      <w:pPr>
        <w:rPr>
          <w:lang w:val="es-ES_tradnl"/>
        </w:rPr>
      </w:pPr>
      <w:r w:rsidRPr="00D15565">
        <w:rPr>
          <w:lang w:val="es-ES_tradnl"/>
        </w:rPr>
        <w:t>La Administración de la República Kirguisa señaló lo siguiente:</w:t>
      </w:r>
    </w:p>
    <w:p w14:paraId="772B3B16" w14:textId="627DEA61" w:rsidR="0045767B" w:rsidRPr="00D15565" w:rsidRDefault="00D866D6" w:rsidP="00C1440F">
      <w:pPr>
        <w:pStyle w:val="enumlev1"/>
        <w:rPr>
          <w:lang w:val="es-ES_tradnl"/>
        </w:rPr>
      </w:pPr>
      <w:r w:rsidRPr="00D15565">
        <w:rPr>
          <w:lang w:val="es-ES_tradnl"/>
        </w:rPr>
        <w:t>1)</w:t>
      </w:r>
      <w:r w:rsidRPr="00D15565">
        <w:rPr>
          <w:lang w:val="es-ES_tradnl"/>
        </w:rPr>
        <w:tab/>
      </w:r>
      <w:r w:rsidR="005A56C1" w:rsidRPr="00D15565">
        <w:rPr>
          <w:lang w:val="es-ES_tradnl"/>
        </w:rPr>
        <w:t xml:space="preserve">Estas iniciativas regionales </w:t>
      </w:r>
      <w:r w:rsidR="00C1440F" w:rsidRPr="00D15565">
        <w:rPr>
          <w:lang w:val="es-ES_tradnl"/>
        </w:rPr>
        <w:t>constituyen</w:t>
      </w:r>
      <w:r w:rsidR="005A56C1" w:rsidRPr="00D15565">
        <w:rPr>
          <w:lang w:val="es-ES_tradnl"/>
        </w:rPr>
        <w:t xml:space="preserve"> prioridades comunes y, por tanto, están abiertas a todos los países de la región. Cualquier país de la región puede adherirse, </w:t>
      </w:r>
      <w:r w:rsidR="00C1440F" w:rsidRPr="00D15565">
        <w:rPr>
          <w:lang w:val="es-ES_tradnl"/>
        </w:rPr>
        <w:t xml:space="preserve">con </w:t>
      </w:r>
      <w:r w:rsidR="005A56C1" w:rsidRPr="00D15565">
        <w:rPr>
          <w:lang w:val="es-ES_tradnl"/>
        </w:rPr>
        <w:t>independen</w:t>
      </w:r>
      <w:r w:rsidR="00C1440F" w:rsidRPr="00D15565">
        <w:rPr>
          <w:lang w:val="es-ES_tradnl"/>
        </w:rPr>
        <w:t>cia</w:t>
      </w:r>
      <w:r w:rsidR="005A56C1" w:rsidRPr="00D15565">
        <w:rPr>
          <w:lang w:val="es-ES_tradnl"/>
        </w:rPr>
        <w:t xml:space="preserve"> de los países que propusieron las iniciativas regionales en la RP</w:t>
      </w:r>
      <w:r w:rsidR="00C1440F" w:rsidRPr="00D15565">
        <w:rPr>
          <w:lang w:val="es-ES_tradnl"/>
        </w:rPr>
        <w:t>R</w:t>
      </w:r>
      <w:r w:rsidR="00946C4F">
        <w:rPr>
          <w:lang w:val="es-ES_tradnl"/>
        </w:rPr>
        <w:noBreakHyphen/>
      </w:r>
      <w:r w:rsidR="005A56C1" w:rsidRPr="00D15565">
        <w:rPr>
          <w:lang w:val="es-ES_tradnl"/>
        </w:rPr>
        <w:t>C</w:t>
      </w:r>
      <w:r w:rsidR="00C1440F" w:rsidRPr="00D15565">
        <w:rPr>
          <w:lang w:val="es-ES_tradnl"/>
        </w:rPr>
        <w:t>E</w:t>
      </w:r>
      <w:r w:rsidR="005A56C1" w:rsidRPr="00D15565">
        <w:rPr>
          <w:lang w:val="es-ES_tradnl"/>
        </w:rPr>
        <w:t xml:space="preserve">I los días 21 y 22 de abril de 2021. La UIT debería tratar de financiar la </w:t>
      </w:r>
      <w:r w:rsidR="00C1440F" w:rsidRPr="00D15565">
        <w:rPr>
          <w:lang w:val="es-ES_tradnl"/>
        </w:rPr>
        <w:t>ejecución</w:t>
      </w:r>
      <w:r w:rsidR="005A56C1" w:rsidRPr="00D15565">
        <w:rPr>
          <w:lang w:val="es-ES_tradnl"/>
        </w:rPr>
        <w:t xml:space="preserve"> de las iniciativas regionales de forma equitativa</w:t>
      </w:r>
      <w:r w:rsidR="00C1440F" w:rsidRPr="00D15565">
        <w:rPr>
          <w:lang w:val="es-ES_tradnl"/>
        </w:rPr>
        <w:t>.</w:t>
      </w:r>
    </w:p>
    <w:p w14:paraId="4BA39C77" w14:textId="442BDE10" w:rsidR="005A56C1" w:rsidRPr="00D15565" w:rsidRDefault="00D866D6" w:rsidP="00712E2F">
      <w:pPr>
        <w:pStyle w:val="enumlev1"/>
        <w:rPr>
          <w:lang w:val="es-ES_tradnl"/>
        </w:rPr>
      </w:pPr>
      <w:r w:rsidRPr="00D15565">
        <w:rPr>
          <w:lang w:val="es-ES_tradnl"/>
        </w:rPr>
        <w:t>2)</w:t>
      </w:r>
      <w:r w:rsidRPr="00D15565">
        <w:rPr>
          <w:lang w:val="es-ES_tradnl"/>
        </w:rPr>
        <w:tab/>
      </w:r>
      <w:r w:rsidR="005A56C1" w:rsidRPr="00D15565">
        <w:rPr>
          <w:lang w:val="es-ES_tradnl"/>
        </w:rPr>
        <w:t>Dad</w:t>
      </w:r>
      <w:r w:rsidR="00C1440F" w:rsidRPr="00D15565">
        <w:rPr>
          <w:lang w:val="es-ES_tradnl"/>
        </w:rPr>
        <w:t xml:space="preserve">a la posibilidad de </w:t>
      </w:r>
      <w:r w:rsidR="005A56C1" w:rsidRPr="00D15565">
        <w:rPr>
          <w:lang w:val="es-ES_tradnl"/>
        </w:rPr>
        <w:t xml:space="preserve">que la CMDT-21 se </w:t>
      </w:r>
      <w:r w:rsidR="00C1440F" w:rsidRPr="00D15565">
        <w:rPr>
          <w:lang w:val="es-ES_tradnl"/>
        </w:rPr>
        <w:t>posponga</w:t>
      </w:r>
      <w:r w:rsidR="005A56C1" w:rsidRPr="00D15565">
        <w:rPr>
          <w:lang w:val="es-ES_tradnl"/>
        </w:rPr>
        <w:t xml:space="preserve"> hasta 2022 y que las prioridades </w:t>
      </w:r>
      <w:r w:rsidR="009228F9" w:rsidRPr="00D15565">
        <w:rPr>
          <w:lang w:val="es-ES_tradnl"/>
        </w:rPr>
        <w:t>nacionales</w:t>
      </w:r>
      <w:r w:rsidR="00C1440F" w:rsidRPr="00D15565">
        <w:rPr>
          <w:lang w:val="es-ES_tradnl"/>
        </w:rPr>
        <w:t xml:space="preserve"> cambien </w:t>
      </w:r>
      <w:r w:rsidR="005A56C1" w:rsidRPr="00D15565">
        <w:rPr>
          <w:lang w:val="es-ES_tradnl"/>
        </w:rPr>
        <w:t xml:space="preserve">para </w:t>
      </w:r>
      <w:r w:rsidR="00C1440F" w:rsidRPr="00D15565">
        <w:rPr>
          <w:lang w:val="es-ES_tradnl"/>
        </w:rPr>
        <w:t xml:space="preserve">ese </w:t>
      </w:r>
      <w:r w:rsidR="005A56C1" w:rsidRPr="00D15565">
        <w:rPr>
          <w:lang w:val="es-ES_tradnl"/>
        </w:rPr>
        <w:t>entonces, los países de la CEI se reservan el derecho de perfeccionar o, en su caso, modificar las iniciativas regionales adoptadas en la RP</w:t>
      </w:r>
      <w:r w:rsidR="00C1440F" w:rsidRPr="00D15565">
        <w:rPr>
          <w:lang w:val="es-ES_tradnl"/>
        </w:rPr>
        <w:t>R</w:t>
      </w:r>
      <w:r w:rsidR="005A56C1" w:rsidRPr="00D15565">
        <w:rPr>
          <w:lang w:val="es-ES_tradnl"/>
        </w:rPr>
        <w:t>-CEI.</w:t>
      </w:r>
    </w:p>
    <w:p w14:paraId="34D9C0C6" w14:textId="5AB7FB28" w:rsidR="00D866D6" w:rsidRPr="00D15565" w:rsidRDefault="00E92B88" w:rsidP="00E92B88">
      <w:pPr>
        <w:keepNext/>
        <w:rPr>
          <w:rFonts w:ascii="Calibri" w:hAnsi="Calibri"/>
          <w:bCs/>
          <w:lang w:val="es-ES_tradnl"/>
        </w:rPr>
      </w:pPr>
      <w:r w:rsidRPr="00D15565">
        <w:rPr>
          <w:rFonts w:ascii="Calibri" w:hAnsi="Calibri"/>
          <w:bCs/>
          <w:lang w:val="es-ES_tradnl"/>
        </w:rPr>
        <w:t xml:space="preserve">La RPR-CEI propuso a las Administraciones de los países de la CEI que iniciaran </w:t>
      </w:r>
      <w:r w:rsidR="009228F9" w:rsidRPr="00D15565">
        <w:rPr>
          <w:rFonts w:ascii="Calibri" w:hAnsi="Calibri"/>
          <w:bCs/>
          <w:lang w:val="es-ES_tradnl"/>
        </w:rPr>
        <w:t xml:space="preserve">sin demora </w:t>
      </w:r>
      <w:r w:rsidRPr="00D15565">
        <w:rPr>
          <w:rFonts w:ascii="Calibri" w:hAnsi="Calibri"/>
          <w:bCs/>
          <w:lang w:val="es-ES_tradnl"/>
        </w:rPr>
        <w:t>sus consultas con la BDT en relación con la ejecución de las iniciativas regionales propuestas.</w:t>
      </w:r>
    </w:p>
    <w:p w14:paraId="53935F21" w14:textId="5B363E74" w:rsidR="003247E8" w:rsidRPr="00D15565" w:rsidRDefault="00FA64BD" w:rsidP="006D077D">
      <w:pPr>
        <w:rPr>
          <w:lang w:val="es-ES_tradnl"/>
        </w:rPr>
      </w:pPr>
      <w:hyperlink r:id="rId31" w:history="1">
        <w:r w:rsidR="00D866D6" w:rsidRPr="00D15565">
          <w:rPr>
            <w:rStyle w:val="Hyperlink"/>
            <w:b/>
            <w:bCs/>
            <w:lang w:val="es-ES_tradnl"/>
          </w:rPr>
          <w:t>Document</w:t>
        </w:r>
        <w:r w:rsidR="006D077D" w:rsidRPr="00D15565">
          <w:rPr>
            <w:rStyle w:val="Hyperlink"/>
            <w:b/>
            <w:bCs/>
            <w:lang w:val="es-ES_tradnl"/>
          </w:rPr>
          <w:t>o</w:t>
        </w:r>
        <w:r w:rsidR="00D866D6" w:rsidRPr="00D15565">
          <w:rPr>
            <w:rStyle w:val="Hyperlink"/>
            <w:b/>
            <w:bCs/>
            <w:lang w:val="es-ES_tradnl"/>
          </w:rPr>
          <w:t> 32</w:t>
        </w:r>
      </w:hyperlink>
      <w:r w:rsidR="006D077D" w:rsidRPr="00D15565">
        <w:rPr>
          <w:rStyle w:val="Hyperlink"/>
          <w:b/>
          <w:bCs/>
          <w:lang w:val="es-ES_tradnl"/>
        </w:rPr>
        <w:t>:</w:t>
      </w:r>
      <w:r w:rsidR="00D866D6" w:rsidRPr="00D15565">
        <w:rPr>
          <w:lang w:val="es-ES_tradnl"/>
        </w:rPr>
        <w:t xml:space="preserve"> </w:t>
      </w:r>
      <w:r w:rsidR="006D077D" w:rsidRPr="00D15565">
        <w:rPr>
          <w:lang w:val="es-ES_tradnl"/>
        </w:rPr>
        <w:t xml:space="preserve">La Sra. Daria Perepeliatnikova, Oficina Regional de la UIT para la CEI, presentó el documento </w:t>
      </w:r>
      <w:r w:rsidR="00D153D3" w:rsidRPr="00D15565">
        <w:rPr>
          <w:lang w:val="es-ES_tradnl"/>
        </w:rPr>
        <w:t xml:space="preserve">que contenía las </w:t>
      </w:r>
      <w:r w:rsidR="006D077D" w:rsidRPr="00D15565">
        <w:rPr>
          <w:lang w:val="es-ES_tradnl"/>
        </w:rPr>
        <w:t>p</w:t>
      </w:r>
      <w:r w:rsidR="005A56C1" w:rsidRPr="00D15565">
        <w:rPr>
          <w:lang w:val="es-ES_tradnl"/>
        </w:rPr>
        <w:t>ropuestas del Grupo de Jóvenes de la CEI (</w:t>
      </w:r>
      <w:r w:rsidR="005A56C1" w:rsidRPr="00D15565">
        <w:rPr>
          <w:i/>
          <w:iCs/>
          <w:lang w:val="es-ES_tradnl"/>
        </w:rPr>
        <w:t>Generation Connect</w:t>
      </w:r>
      <w:r w:rsidR="005A56C1" w:rsidRPr="00D15565">
        <w:rPr>
          <w:lang w:val="es-ES_tradnl"/>
        </w:rPr>
        <w:t xml:space="preserve"> - C</w:t>
      </w:r>
      <w:r w:rsidR="006D077D" w:rsidRPr="00D15565">
        <w:rPr>
          <w:lang w:val="es-ES_tradnl"/>
        </w:rPr>
        <w:t>E</w:t>
      </w:r>
      <w:r w:rsidR="005A56C1" w:rsidRPr="00D15565">
        <w:rPr>
          <w:lang w:val="es-ES_tradnl"/>
        </w:rPr>
        <w:t>I) para l</w:t>
      </w:r>
      <w:r w:rsidR="006D077D" w:rsidRPr="00D15565">
        <w:rPr>
          <w:lang w:val="es-ES_tradnl"/>
        </w:rPr>
        <w:t>os</w:t>
      </w:r>
      <w:r w:rsidR="005A56C1" w:rsidRPr="00D15565">
        <w:rPr>
          <w:lang w:val="es-ES_tradnl"/>
        </w:rPr>
        <w:t xml:space="preserve"> trabajo</w:t>
      </w:r>
      <w:r w:rsidR="006D077D" w:rsidRPr="00D15565">
        <w:rPr>
          <w:lang w:val="es-ES_tradnl"/>
        </w:rPr>
        <w:t>s</w:t>
      </w:r>
      <w:r w:rsidR="005A56C1" w:rsidRPr="00D15565">
        <w:rPr>
          <w:lang w:val="es-ES_tradnl"/>
        </w:rPr>
        <w:t xml:space="preserve"> de </w:t>
      </w:r>
      <w:r w:rsidR="006D077D" w:rsidRPr="00D15565">
        <w:rPr>
          <w:lang w:val="es-ES_tradnl"/>
        </w:rPr>
        <w:t xml:space="preserve">la </w:t>
      </w:r>
      <w:r w:rsidR="005A56C1" w:rsidRPr="00D15565">
        <w:rPr>
          <w:lang w:val="es-ES_tradnl"/>
        </w:rPr>
        <w:t>RP</w:t>
      </w:r>
      <w:r w:rsidR="006D077D" w:rsidRPr="00D15565">
        <w:rPr>
          <w:lang w:val="es-ES_tradnl"/>
        </w:rPr>
        <w:t>R</w:t>
      </w:r>
      <w:r w:rsidR="005A56C1" w:rsidRPr="00D15565">
        <w:rPr>
          <w:lang w:val="es-ES_tradnl"/>
        </w:rPr>
        <w:t>-C</w:t>
      </w:r>
      <w:r w:rsidR="006D077D" w:rsidRPr="00D15565">
        <w:rPr>
          <w:lang w:val="es-ES_tradnl"/>
        </w:rPr>
        <w:t>E</w:t>
      </w:r>
      <w:r w:rsidR="005A56C1" w:rsidRPr="00D15565">
        <w:rPr>
          <w:lang w:val="es-ES_tradnl"/>
        </w:rPr>
        <w:t>I. El objetivo del Grupo de Jóvenes de la CEI</w:t>
      </w:r>
      <w:r w:rsidR="006D077D" w:rsidRPr="00D15565">
        <w:rPr>
          <w:lang w:val="es-ES_tradnl"/>
        </w:rPr>
        <w:t xml:space="preserve"> </w:t>
      </w:r>
      <w:r w:rsidR="005A56C1" w:rsidRPr="00D15565">
        <w:rPr>
          <w:lang w:val="es-ES_tradnl"/>
        </w:rPr>
        <w:t>(GC-C</w:t>
      </w:r>
      <w:r w:rsidR="006D077D" w:rsidRPr="00D15565">
        <w:rPr>
          <w:lang w:val="es-ES_tradnl"/>
        </w:rPr>
        <w:t>E</w:t>
      </w:r>
      <w:r w:rsidR="005A56C1" w:rsidRPr="00D15565">
        <w:rPr>
          <w:lang w:val="es-ES_tradnl"/>
        </w:rPr>
        <w:t xml:space="preserve">I), creado en el marco de la iniciativa mundial </w:t>
      </w:r>
      <w:r w:rsidR="005A56C1" w:rsidRPr="00D15565">
        <w:rPr>
          <w:i/>
          <w:iCs/>
          <w:lang w:val="es-ES_tradnl"/>
        </w:rPr>
        <w:t>Generation Connect</w:t>
      </w:r>
      <w:r w:rsidR="005A56C1" w:rsidRPr="00D15565">
        <w:rPr>
          <w:lang w:val="es-ES_tradnl"/>
        </w:rPr>
        <w:t>, e</w:t>
      </w:r>
      <w:r w:rsidR="00D153D3" w:rsidRPr="00D15565">
        <w:rPr>
          <w:lang w:val="es-ES_tradnl"/>
        </w:rPr>
        <w:t>ra</w:t>
      </w:r>
      <w:r w:rsidR="005A56C1" w:rsidRPr="00D15565">
        <w:rPr>
          <w:lang w:val="es-ES_tradnl"/>
        </w:rPr>
        <w:t xml:space="preserve"> ofrecer a los jóvenes de los países de </w:t>
      </w:r>
      <w:r w:rsidR="006D077D" w:rsidRPr="00D15565">
        <w:rPr>
          <w:lang w:val="es-ES_tradnl"/>
        </w:rPr>
        <w:t>dicha</w:t>
      </w:r>
      <w:r w:rsidR="005A56C1" w:rsidRPr="00D15565">
        <w:rPr>
          <w:lang w:val="es-ES_tradnl"/>
        </w:rPr>
        <w:t xml:space="preserve"> región la oportunidad de debatir las perspectivas y los </w:t>
      </w:r>
      <w:r w:rsidR="006D077D" w:rsidRPr="00D15565">
        <w:rPr>
          <w:lang w:val="es-ES_tradnl"/>
        </w:rPr>
        <w:t>desafíos inherentes</w:t>
      </w:r>
      <w:r w:rsidR="005A56C1" w:rsidRPr="00D15565">
        <w:rPr>
          <w:lang w:val="es-ES_tradnl"/>
        </w:rPr>
        <w:t xml:space="preserve"> al desarrollo de las TIC.</w:t>
      </w:r>
    </w:p>
    <w:p w14:paraId="57B56A06" w14:textId="7BF09D70" w:rsidR="003247E8" w:rsidRPr="00D15565" w:rsidRDefault="008C03D8" w:rsidP="008C03D8">
      <w:pPr>
        <w:rPr>
          <w:lang w:val="es-ES_tradnl"/>
        </w:rPr>
      </w:pPr>
      <w:r w:rsidRPr="00D15565">
        <w:rPr>
          <w:lang w:val="es-ES_tradnl"/>
        </w:rPr>
        <w:t>Una vez concluidos los procesos de nombramiento y</w:t>
      </w:r>
      <w:r w:rsidR="005A56C1" w:rsidRPr="00D15565">
        <w:rPr>
          <w:lang w:val="es-ES_tradnl"/>
        </w:rPr>
        <w:t xml:space="preserve"> selección de</w:t>
      </w:r>
      <w:r w:rsidR="00D153D3" w:rsidRPr="00D15565">
        <w:rPr>
          <w:lang w:val="es-ES_tradnl"/>
        </w:rPr>
        <w:t xml:space="preserve"> los</w:t>
      </w:r>
      <w:r w:rsidR="005A56C1" w:rsidRPr="00D15565">
        <w:rPr>
          <w:lang w:val="es-ES_tradnl"/>
        </w:rPr>
        <w:t xml:space="preserve"> candidatos, </w:t>
      </w:r>
      <w:r w:rsidR="00D153D3" w:rsidRPr="00D15565">
        <w:rPr>
          <w:lang w:val="es-ES_tradnl"/>
        </w:rPr>
        <w:t xml:space="preserve">pasaron a componer el </w:t>
      </w:r>
      <w:r w:rsidR="005A56C1" w:rsidRPr="00D15565">
        <w:rPr>
          <w:lang w:val="es-ES_tradnl"/>
        </w:rPr>
        <w:t>GC-C</w:t>
      </w:r>
      <w:r w:rsidRPr="00D15565">
        <w:rPr>
          <w:lang w:val="es-ES_tradnl"/>
        </w:rPr>
        <w:t>E</w:t>
      </w:r>
      <w:r w:rsidR="005A56C1" w:rsidRPr="00D15565">
        <w:rPr>
          <w:lang w:val="es-ES_tradnl"/>
        </w:rPr>
        <w:t xml:space="preserve">I participantes de la República de Azerbaiyán, la República de Belarús, la República de Kazajstán, la Federación </w:t>
      </w:r>
      <w:r w:rsidRPr="00D15565">
        <w:rPr>
          <w:lang w:val="es-ES_tradnl"/>
        </w:rPr>
        <w:t xml:space="preserve">de </w:t>
      </w:r>
      <w:r w:rsidR="005A56C1" w:rsidRPr="00D15565">
        <w:rPr>
          <w:lang w:val="es-ES_tradnl"/>
        </w:rPr>
        <w:t>Rus</w:t>
      </w:r>
      <w:r w:rsidRPr="00D15565">
        <w:rPr>
          <w:lang w:val="es-ES_tradnl"/>
        </w:rPr>
        <w:t>i</w:t>
      </w:r>
      <w:r w:rsidR="005A56C1" w:rsidRPr="00D15565">
        <w:rPr>
          <w:lang w:val="es-ES_tradnl"/>
        </w:rPr>
        <w:t>a, la República Kirguisa, la República de Tayikistán, la República de Uzbekistán y Ucrania.</w:t>
      </w:r>
    </w:p>
    <w:p w14:paraId="65B15DBD" w14:textId="76FDCF93" w:rsidR="003247E8" w:rsidRPr="00D15565" w:rsidRDefault="005A56C1" w:rsidP="00DF45D6">
      <w:pPr>
        <w:rPr>
          <w:lang w:val="es-ES_tradnl"/>
        </w:rPr>
      </w:pPr>
      <w:r w:rsidRPr="00D15565">
        <w:rPr>
          <w:lang w:val="es-ES_tradnl"/>
        </w:rPr>
        <w:t>En la fase inicial, los participantes en el GC-C</w:t>
      </w:r>
      <w:r w:rsidR="00DF45D6" w:rsidRPr="00D15565">
        <w:rPr>
          <w:lang w:val="es-ES_tradnl"/>
        </w:rPr>
        <w:t>E</w:t>
      </w:r>
      <w:r w:rsidRPr="00D15565">
        <w:rPr>
          <w:lang w:val="es-ES_tradnl"/>
        </w:rPr>
        <w:t xml:space="preserve">I </w:t>
      </w:r>
      <w:r w:rsidR="00DF45D6" w:rsidRPr="00D15565">
        <w:rPr>
          <w:lang w:val="es-ES_tradnl"/>
        </w:rPr>
        <w:t>definieron</w:t>
      </w:r>
      <w:r w:rsidRPr="00D15565">
        <w:rPr>
          <w:lang w:val="es-ES_tradnl"/>
        </w:rPr>
        <w:t xml:space="preserve"> l</w:t>
      </w:r>
      <w:r w:rsidR="00D153D3" w:rsidRPr="00D15565">
        <w:rPr>
          <w:lang w:val="es-ES_tradnl"/>
        </w:rPr>
        <w:t>o</w:t>
      </w:r>
      <w:r w:rsidRPr="00D15565">
        <w:rPr>
          <w:lang w:val="es-ES_tradnl"/>
        </w:rPr>
        <w:t>s que considera</w:t>
      </w:r>
      <w:r w:rsidR="00DF45D6" w:rsidRPr="00D15565">
        <w:rPr>
          <w:lang w:val="es-ES_tradnl"/>
        </w:rPr>
        <w:t>ro</w:t>
      </w:r>
      <w:r w:rsidRPr="00D15565">
        <w:rPr>
          <w:lang w:val="es-ES_tradnl"/>
        </w:rPr>
        <w:t>n l</w:t>
      </w:r>
      <w:r w:rsidR="00DF45D6" w:rsidRPr="00D15565">
        <w:rPr>
          <w:lang w:val="es-ES_tradnl"/>
        </w:rPr>
        <w:t>o</w:t>
      </w:r>
      <w:r w:rsidRPr="00D15565">
        <w:rPr>
          <w:lang w:val="es-ES_tradnl"/>
        </w:rPr>
        <w:t xml:space="preserve">s tres </w:t>
      </w:r>
      <w:r w:rsidR="00DF45D6" w:rsidRPr="00D15565">
        <w:rPr>
          <w:lang w:val="es-ES_tradnl"/>
        </w:rPr>
        <w:t>ámbitos de actividad</w:t>
      </w:r>
      <w:r w:rsidRPr="00D15565">
        <w:rPr>
          <w:lang w:val="es-ES_tradnl"/>
        </w:rPr>
        <w:t xml:space="preserve"> más relevantes de la UIT</w:t>
      </w:r>
      <w:r w:rsidR="00DF45D6" w:rsidRPr="00D15565">
        <w:rPr>
          <w:lang w:val="es-ES_tradnl"/>
        </w:rPr>
        <w:t>, a saber:</w:t>
      </w:r>
      <w:r w:rsidRPr="00D15565">
        <w:rPr>
          <w:lang w:val="es-ES_tradnl"/>
        </w:rPr>
        <w:t xml:space="preserve"> 1) redes </w:t>
      </w:r>
      <w:r w:rsidR="00992DD1" w:rsidRPr="00D15565">
        <w:rPr>
          <w:lang w:val="es-ES_tradnl"/>
        </w:rPr>
        <w:t>e</w:t>
      </w:r>
      <w:r w:rsidRPr="00D15565">
        <w:rPr>
          <w:lang w:val="es-ES_tradnl"/>
        </w:rPr>
        <w:t xml:space="preserve"> infraestructura digital; 2) servicios y </w:t>
      </w:r>
      <w:r w:rsidRPr="00D15565">
        <w:rPr>
          <w:lang w:val="es-ES_tradnl"/>
        </w:rPr>
        <w:lastRenderedPageBreak/>
        <w:t xml:space="preserve">aplicaciones digitales </w:t>
      </w:r>
      <w:r w:rsidR="00DF45D6" w:rsidRPr="00D15565">
        <w:rPr>
          <w:lang w:val="es-ES_tradnl"/>
        </w:rPr>
        <w:t>e</w:t>
      </w:r>
      <w:r w:rsidRPr="00D15565">
        <w:rPr>
          <w:lang w:val="es-ES_tradnl"/>
        </w:rPr>
        <w:t xml:space="preserve"> innovación; </w:t>
      </w:r>
      <w:r w:rsidR="00DF45D6" w:rsidRPr="00D15565">
        <w:rPr>
          <w:lang w:val="es-ES_tradnl"/>
        </w:rPr>
        <w:t xml:space="preserve">y </w:t>
      </w:r>
      <w:r w:rsidRPr="00D15565">
        <w:rPr>
          <w:lang w:val="es-ES_tradnl"/>
        </w:rPr>
        <w:t xml:space="preserve">3) ciberseguridad y protección de </w:t>
      </w:r>
      <w:r w:rsidR="00DF45D6" w:rsidRPr="00D15565">
        <w:rPr>
          <w:lang w:val="es-ES_tradnl"/>
        </w:rPr>
        <w:t>la infancia</w:t>
      </w:r>
      <w:r w:rsidRPr="00D15565">
        <w:rPr>
          <w:lang w:val="es-ES_tradnl"/>
        </w:rPr>
        <w:t xml:space="preserve"> en línea, </w:t>
      </w:r>
      <w:r w:rsidR="00DF45D6" w:rsidRPr="00D15565">
        <w:rPr>
          <w:lang w:val="es-ES_tradnl"/>
        </w:rPr>
        <w:t>tema al que se dedicaron</w:t>
      </w:r>
      <w:r w:rsidRPr="00D15565">
        <w:rPr>
          <w:lang w:val="es-ES_tradnl"/>
        </w:rPr>
        <w:t xml:space="preserve"> sesiones específicas. Además, los participantes en el GC-C</w:t>
      </w:r>
      <w:r w:rsidR="00DF45D6" w:rsidRPr="00D15565">
        <w:rPr>
          <w:lang w:val="es-ES_tradnl"/>
        </w:rPr>
        <w:t>E</w:t>
      </w:r>
      <w:r w:rsidRPr="00D15565">
        <w:rPr>
          <w:lang w:val="es-ES_tradnl"/>
        </w:rPr>
        <w:t xml:space="preserve">I expresaron su interés en el estudio </w:t>
      </w:r>
      <w:r w:rsidR="00DF45D6" w:rsidRPr="00D15565">
        <w:rPr>
          <w:lang w:val="es-ES_tradnl"/>
        </w:rPr>
        <w:t>ulterior</w:t>
      </w:r>
      <w:r w:rsidRPr="00D15565">
        <w:rPr>
          <w:lang w:val="es-ES_tradnl"/>
        </w:rPr>
        <w:t xml:space="preserve"> de temas</w:t>
      </w:r>
      <w:r w:rsidR="00DF45D6" w:rsidRPr="00D15565">
        <w:rPr>
          <w:lang w:val="es-ES_tradnl"/>
        </w:rPr>
        <w:t xml:space="preserve"> tales</w:t>
      </w:r>
      <w:r w:rsidRPr="00D15565">
        <w:rPr>
          <w:lang w:val="es-ES_tradnl"/>
        </w:rPr>
        <w:t xml:space="preserve"> como: la creación de capacidades humanas; la protección del medio ambiente; el desarrollo de las obligaciones jurídicas internacionales de los Estados en el ámbito de los derechos humanos en la era digital; las tecnologías de libro mayor distribuido; los sistemas de inteligencia artificial y las tecnologías modernas del futuro; el desarrollo de la alfabetización informática; y la seguridad en línea.</w:t>
      </w:r>
    </w:p>
    <w:p w14:paraId="60661BA3" w14:textId="1CC62127" w:rsidR="003247E8" w:rsidRPr="00D15565" w:rsidRDefault="005A56C1" w:rsidP="00DF45D6">
      <w:pPr>
        <w:rPr>
          <w:lang w:val="es-ES_tradnl"/>
        </w:rPr>
      </w:pPr>
      <w:r w:rsidRPr="00D15565">
        <w:rPr>
          <w:lang w:val="es-ES_tradnl"/>
        </w:rPr>
        <w:t xml:space="preserve">El documento </w:t>
      </w:r>
      <w:r w:rsidR="00B519FE" w:rsidRPr="00D15565">
        <w:rPr>
          <w:lang w:val="es-ES_tradnl"/>
        </w:rPr>
        <w:t>contenía</w:t>
      </w:r>
      <w:r w:rsidRPr="00D15565">
        <w:rPr>
          <w:lang w:val="es-ES_tradnl"/>
        </w:rPr>
        <w:t xml:space="preserve"> opiniones y propuestas preparadas </w:t>
      </w:r>
      <w:r w:rsidR="00DF45D6" w:rsidRPr="00D15565">
        <w:rPr>
          <w:lang w:val="es-ES_tradnl"/>
        </w:rPr>
        <w:t>a partir</w:t>
      </w:r>
      <w:r w:rsidRPr="00D15565">
        <w:rPr>
          <w:lang w:val="es-ES_tradnl"/>
        </w:rPr>
        <w:t xml:space="preserve"> de las sesiones </w:t>
      </w:r>
      <w:r w:rsidR="00DF45D6" w:rsidRPr="00D15565">
        <w:rPr>
          <w:lang w:val="es-ES_tradnl"/>
        </w:rPr>
        <w:t>temáticas organizadas</w:t>
      </w:r>
      <w:r w:rsidRPr="00D15565">
        <w:rPr>
          <w:lang w:val="es-ES_tradnl"/>
        </w:rPr>
        <w:t xml:space="preserve"> por el G</w:t>
      </w:r>
      <w:r w:rsidR="00B519FE" w:rsidRPr="00D15565">
        <w:rPr>
          <w:lang w:val="es-ES_tradnl"/>
        </w:rPr>
        <w:t>C</w:t>
      </w:r>
      <w:r w:rsidRPr="00D15565">
        <w:rPr>
          <w:lang w:val="es-ES_tradnl"/>
        </w:rPr>
        <w:t>-CEI</w:t>
      </w:r>
      <w:r w:rsidR="00DF45D6" w:rsidRPr="00D15565">
        <w:rPr>
          <w:lang w:val="es-ES_tradnl"/>
        </w:rPr>
        <w:t>,</w:t>
      </w:r>
      <w:r w:rsidRPr="00D15565">
        <w:rPr>
          <w:lang w:val="es-ES_tradnl"/>
        </w:rPr>
        <w:t xml:space="preserve"> para su presentación </w:t>
      </w:r>
      <w:r w:rsidR="00DF45D6" w:rsidRPr="00D15565">
        <w:rPr>
          <w:lang w:val="es-ES_tradnl"/>
        </w:rPr>
        <w:t>a</w:t>
      </w:r>
      <w:r w:rsidRPr="00D15565">
        <w:rPr>
          <w:lang w:val="es-ES_tradnl"/>
        </w:rPr>
        <w:t xml:space="preserve"> la RP</w:t>
      </w:r>
      <w:r w:rsidR="00DF45D6" w:rsidRPr="00D15565">
        <w:rPr>
          <w:lang w:val="es-ES_tradnl"/>
        </w:rPr>
        <w:t>R</w:t>
      </w:r>
      <w:r w:rsidRPr="00D15565">
        <w:rPr>
          <w:lang w:val="es-ES_tradnl"/>
        </w:rPr>
        <w:t>-CEI y su posible consideración</w:t>
      </w:r>
      <w:r w:rsidR="00DF45D6" w:rsidRPr="00D15565">
        <w:rPr>
          <w:lang w:val="es-ES_tradnl"/>
        </w:rPr>
        <w:t xml:space="preserve"> en el marco de los debates sobre las esferas </w:t>
      </w:r>
      <w:r w:rsidRPr="00D15565">
        <w:rPr>
          <w:lang w:val="es-ES_tradnl"/>
        </w:rPr>
        <w:t xml:space="preserve">prioritarias </w:t>
      </w:r>
      <w:r w:rsidR="00B519FE" w:rsidRPr="00D15565">
        <w:rPr>
          <w:lang w:val="es-ES_tradnl"/>
        </w:rPr>
        <w:t>de</w:t>
      </w:r>
      <w:r w:rsidRPr="00D15565">
        <w:rPr>
          <w:lang w:val="es-ES_tradnl"/>
        </w:rPr>
        <w:t xml:space="preserve"> la región</w:t>
      </w:r>
      <w:r w:rsidR="003247E8" w:rsidRPr="00D15565">
        <w:rPr>
          <w:lang w:val="es-ES_tradnl"/>
        </w:rPr>
        <w:t>.</w:t>
      </w:r>
    </w:p>
    <w:p w14:paraId="483F1F58" w14:textId="1BEE935C" w:rsidR="003247E8" w:rsidRPr="00D15565" w:rsidRDefault="005A56C1" w:rsidP="00712E2F">
      <w:pPr>
        <w:rPr>
          <w:lang w:val="es-ES_tradnl"/>
        </w:rPr>
      </w:pPr>
      <w:r w:rsidRPr="00D15565">
        <w:rPr>
          <w:lang w:val="es-ES_tradnl"/>
        </w:rPr>
        <w:t>La RPR-CEI decidió</w:t>
      </w:r>
      <w:r w:rsidR="003247E8" w:rsidRPr="00D15565">
        <w:rPr>
          <w:lang w:val="es-ES_tradnl"/>
        </w:rPr>
        <w:t>:</w:t>
      </w:r>
    </w:p>
    <w:p w14:paraId="38A258B9" w14:textId="3423570A" w:rsidR="003247E8" w:rsidRPr="00D15565" w:rsidRDefault="003247E8" w:rsidP="003B07C2">
      <w:pPr>
        <w:rPr>
          <w:lang w:val="es-ES_tradnl"/>
        </w:rPr>
      </w:pPr>
      <w:r w:rsidRPr="00D15565">
        <w:rPr>
          <w:lang w:val="es-ES_tradnl"/>
        </w:rPr>
        <w:t xml:space="preserve">1) </w:t>
      </w:r>
      <w:r w:rsidR="003B07C2" w:rsidRPr="00D15565">
        <w:rPr>
          <w:lang w:val="es-ES_tradnl"/>
        </w:rPr>
        <w:t>dar continuidad</w:t>
      </w:r>
      <w:r w:rsidR="005A56C1" w:rsidRPr="00D15565">
        <w:rPr>
          <w:lang w:val="es-ES_tradnl"/>
        </w:rPr>
        <w:t xml:space="preserve"> </w:t>
      </w:r>
      <w:r w:rsidR="003B07C2" w:rsidRPr="00D15565">
        <w:rPr>
          <w:lang w:val="es-ES_tradnl"/>
        </w:rPr>
        <w:t>a</w:t>
      </w:r>
      <w:r w:rsidR="005A56C1" w:rsidRPr="00D15565">
        <w:rPr>
          <w:lang w:val="es-ES_tradnl"/>
        </w:rPr>
        <w:t xml:space="preserve"> la participación activa de los jóvenes en las actividades de la UIT;</w:t>
      </w:r>
    </w:p>
    <w:p w14:paraId="47327E4F" w14:textId="0131326B" w:rsidR="003247E8" w:rsidRPr="00D15565" w:rsidRDefault="003247E8" w:rsidP="00AC3675">
      <w:pPr>
        <w:rPr>
          <w:lang w:val="es-ES_tradnl"/>
        </w:rPr>
      </w:pPr>
      <w:r w:rsidRPr="00D15565">
        <w:rPr>
          <w:lang w:val="es-ES_tradnl"/>
        </w:rPr>
        <w:t xml:space="preserve">2) </w:t>
      </w:r>
      <w:r w:rsidR="00AC3675" w:rsidRPr="00D15565">
        <w:rPr>
          <w:lang w:val="es-ES_tradnl"/>
        </w:rPr>
        <w:t>repetir la satisfactoria</w:t>
      </w:r>
      <w:r w:rsidR="005A56C1" w:rsidRPr="00D15565">
        <w:rPr>
          <w:lang w:val="es-ES_tradnl"/>
        </w:rPr>
        <w:t xml:space="preserve"> experiencia de organizar sesiones con la participación de expertos de la UIT y de</w:t>
      </w:r>
      <w:r w:rsidR="00AC3675" w:rsidRPr="00D15565">
        <w:rPr>
          <w:lang w:val="es-ES_tradnl"/>
        </w:rPr>
        <w:t>l sector; y</w:t>
      </w:r>
    </w:p>
    <w:p w14:paraId="1780572C" w14:textId="2D588827" w:rsidR="00D866D6" w:rsidRPr="00D15565" w:rsidRDefault="003247E8" w:rsidP="00AC3675">
      <w:pPr>
        <w:rPr>
          <w:lang w:val="es-ES_tradnl"/>
        </w:rPr>
      </w:pPr>
      <w:r w:rsidRPr="00D15565">
        <w:rPr>
          <w:lang w:val="es-ES_tradnl"/>
        </w:rPr>
        <w:t xml:space="preserve">3) </w:t>
      </w:r>
      <w:r w:rsidR="00AC3675" w:rsidRPr="00D15565">
        <w:rPr>
          <w:lang w:val="es-ES_tradnl"/>
        </w:rPr>
        <w:t>p</w:t>
      </w:r>
      <w:r w:rsidR="005A56C1" w:rsidRPr="00D15565">
        <w:rPr>
          <w:lang w:val="es-ES_tradnl"/>
        </w:rPr>
        <w:t xml:space="preserve">roporcionar un apoyo continuo para el establecimiento de contactos y la interacción activa entre </w:t>
      </w:r>
      <w:r w:rsidR="00B519FE" w:rsidRPr="00D15565">
        <w:rPr>
          <w:lang w:val="es-ES_tradnl"/>
        </w:rPr>
        <w:t>el</w:t>
      </w:r>
      <w:r w:rsidR="005A56C1" w:rsidRPr="00D15565">
        <w:rPr>
          <w:lang w:val="es-ES_tradnl"/>
        </w:rPr>
        <w:t xml:space="preserve"> G</w:t>
      </w:r>
      <w:r w:rsidR="00B519FE" w:rsidRPr="00D15565">
        <w:rPr>
          <w:lang w:val="es-ES_tradnl"/>
        </w:rPr>
        <w:t>C</w:t>
      </w:r>
      <w:r w:rsidR="005A56C1" w:rsidRPr="00D15565">
        <w:rPr>
          <w:lang w:val="es-ES_tradnl"/>
        </w:rPr>
        <w:t>-C</w:t>
      </w:r>
      <w:r w:rsidR="00AC3675" w:rsidRPr="00D15565">
        <w:rPr>
          <w:lang w:val="es-ES_tradnl"/>
        </w:rPr>
        <w:t>E</w:t>
      </w:r>
      <w:r w:rsidR="005A56C1" w:rsidRPr="00D15565">
        <w:rPr>
          <w:lang w:val="es-ES_tradnl"/>
        </w:rPr>
        <w:t xml:space="preserve">I y la Junta de Visionarios </w:t>
      </w:r>
      <w:r w:rsidR="00AC3675" w:rsidRPr="00D15565">
        <w:rPr>
          <w:lang w:val="es-ES_tradnl"/>
        </w:rPr>
        <w:t xml:space="preserve">de </w:t>
      </w:r>
      <w:r w:rsidR="00F173F2" w:rsidRPr="00D15565">
        <w:rPr>
          <w:lang w:val="es-ES_tradnl"/>
        </w:rPr>
        <w:t>Generation Connect.</w:t>
      </w:r>
    </w:p>
    <w:p w14:paraId="72E7CBF3" w14:textId="68392092" w:rsidR="005A56C1" w:rsidRPr="00D15565" w:rsidRDefault="00AC3675" w:rsidP="00712E2F">
      <w:pPr>
        <w:rPr>
          <w:lang w:val="es-ES_tradnl"/>
        </w:rPr>
      </w:pPr>
      <w:r w:rsidRPr="00D15565">
        <w:rPr>
          <w:lang w:val="es-ES_tradnl"/>
        </w:rPr>
        <w:t xml:space="preserve">El Sr. Alexey Borodin, Presidente del Grupo de Trabajo de la CRC sobre la colaboración con la UIT en el marco de dicha Comisión </w:t>
      </w:r>
      <w:r w:rsidR="00B519FE" w:rsidRPr="00D15565">
        <w:rPr>
          <w:lang w:val="es-ES_tradnl"/>
        </w:rPr>
        <w:t>para la coordinación de la cooperación internacional</w:t>
      </w:r>
      <w:r w:rsidRPr="00D15565">
        <w:rPr>
          <w:lang w:val="es-ES_tradnl"/>
        </w:rPr>
        <w:t>, presentó los</w:t>
      </w:r>
      <w:r w:rsidRPr="00D15565">
        <w:rPr>
          <w:b/>
          <w:bCs/>
          <w:lang w:val="es-ES_tradnl"/>
        </w:rPr>
        <w:t xml:space="preserve"> </w:t>
      </w:r>
      <w:r w:rsidR="00946C4F">
        <w:rPr>
          <w:b/>
          <w:bCs/>
          <w:lang w:val="es-ES_tradnl"/>
        </w:rPr>
        <w:t>D</w:t>
      </w:r>
      <w:r w:rsidR="00D866D6" w:rsidRPr="00D15565">
        <w:rPr>
          <w:b/>
          <w:bCs/>
          <w:lang w:val="es-ES_tradnl"/>
        </w:rPr>
        <w:t>ocument</w:t>
      </w:r>
      <w:r w:rsidR="005A56C1" w:rsidRPr="00D15565">
        <w:rPr>
          <w:b/>
          <w:bCs/>
          <w:lang w:val="es-ES_tradnl"/>
        </w:rPr>
        <w:t>o</w:t>
      </w:r>
      <w:r w:rsidR="00D866D6" w:rsidRPr="00D15565">
        <w:rPr>
          <w:b/>
          <w:bCs/>
          <w:lang w:val="es-ES_tradnl"/>
        </w:rPr>
        <w:t xml:space="preserve">s </w:t>
      </w:r>
      <w:hyperlink r:id="rId32" w:history="1">
        <w:r w:rsidR="00D866D6" w:rsidRPr="00D15565">
          <w:rPr>
            <w:rStyle w:val="Hyperlink"/>
            <w:b/>
            <w:bCs/>
            <w:lang w:val="es-ES_tradnl"/>
          </w:rPr>
          <w:t>12</w:t>
        </w:r>
      </w:hyperlink>
      <w:r w:rsidR="00D866D6" w:rsidRPr="00D15565">
        <w:rPr>
          <w:b/>
          <w:bCs/>
          <w:lang w:val="es-ES_tradnl"/>
        </w:rPr>
        <w:t xml:space="preserve">, </w:t>
      </w:r>
      <w:hyperlink r:id="rId33" w:history="1">
        <w:r w:rsidR="00D866D6" w:rsidRPr="00D15565">
          <w:rPr>
            <w:rStyle w:val="Hyperlink"/>
            <w:b/>
            <w:bCs/>
            <w:lang w:val="es-ES_tradnl"/>
          </w:rPr>
          <w:t>13</w:t>
        </w:r>
      </w:hyperlink>
      <w:r w:rsidR="00D866D6" w:rsidRPr="00D15565">
        <w:rPr>
          <w:b/>
          <w:bCs/>
          <w:lang w:val="es-ES_tradnl"/>
        </w:rPr>
        <w:t xml:space="preserve">, </w:t>
      </w:r>
      <w:hyperlink r:id="rId34" w:history="1">
        <w:r w:rsidR="00D866D6" w:rsidRPr="00D15565">
          <w:rPr>
            <w:rStyle w:val="Hyperlink"/>
            <w:b/>
            <w:bCs/>
            <w:lang w:val="es-ES_tradnl"/>
          </w:rPr>
          <w:t>14</w:t>
        </w:r>
      </w:hyperlink>
      <w:r w:rsidR="00D866D6" w:rsidRPr="00D15565">
        <w:rPr>
          <w:b/>
          <w:bCs/>
          <w:lang w:val="es-ES_tradnl"/>
        </w:rPr>
        <w:t xml:space="preserve">, </w:t>
      </w:r>
      <w:hyperlink r:id="rId35" w:history="1">
        <w:r w:rsidR="00D866D6" w:rsidRPr="00D15565">
          <w:rPr>
            <w:rStyle w:val="Hyperlink"/>
            <w:b/>
            <w:bCs/>
            <w:lang w:val="es-ES_tradnl"/>
          </w:rPr>
          <w:t>15</w:t>
        </w:r>
      </w:hyperlink>
      <w:r w:rsidR="00D866D6" w:rsidRPr="00D15565">
        <w:rPr>
          <w:b/>
          <w:bCs/>
          <w:lang w:val="es-ES_tradnl"/>
        </w:rPr>
        <w:t xml:space="preserve">, </w:t>
      </w:r>
      <w:hyperlink r:id="rId36" w:history="1">
        <w:r w:rsidR="00D866D6" w:rsidRPr="00D15565">
          <w:rPr>
            <w:rStyle w:val="Hyperlink"/>
            <w:b/>
            <w:bCs/>
            <w:lang w:val="es-ES_tradnl"/>
          </w:rPr>
          <w:t>16</w:t>
        </w:r>
      </w:hyperlink>
      <w:r w:rsidR="00D866D6" w:rsidRPr="00D15565">
        <w:rPr>
          <w:b/>
          <w:bCs/>
          <w:lang w:val="es-ES_tradnl"/>
        </w:rPr>
        <w:t xml:space="preserve">, </w:t>
      </w:r>
      <w:hyperlink r:id="rId37" w:history="1">
        <w:r w:rsidR="00D866D6" w:rsidRPr="00D15565">
          <w:rPr>
            <w:rStyle w:val="Hyperlink"/>
            <w:b/>
            <w:bCs/>
            <w:lang w:val="es-ES_tradnl"/>
          </w:rPr>
          <w:t>17</w:t>
        </w:r>
      </w:hyperlink>
      <w:r w:rsidR="00D866D6" w:rsidRPr="00D15565">
        <w:rPr>
          <w:b/>
          <w:bCs/>
          <w:lang w:val="es-ES_tradnl"/>
        </w:rPr>
        <w:t xml:space="preserve">, </w:t>
      </w:r>
      <w:hyperlink r:id="rId38" w:history="1">
        <w:r w:rsidR="00D866D6" w:rsidRPr="00D15565">
          <w:rPr>
            <w:rStyle w:val="Hyperlink"/>
            <w:b/>
            <w:bCs/>
            <w:lang w:val="es-ES_tradnl"/>
          </w:rPr>
          <w:t>18</w:t>
        </w:r>
      </w:hyperlink>
      <w:r w:rsidR="00D866D6" w:rsidRPr="00D15565">
        <w:rPr>
          <w:b/>
          <w:bCs/>
          <w:lang w:val="es-ES_tradnl"/>
        </w:rPr>
        <w:t xml:space="preserve">, </w:t>
      </w:r>
      <w:hyperlink r:id="rId39" w:history="1">
        <w:r w:rsidR="00D866D6" w:rsidRPr="00D15565">
          <w:rPr>
            <w:rStyle w:val="Hyperlink"/>
            <w:b/>
            <w:bCs/>
            <w:lang w:val="es-ES_tradnl"/>
          </w:rPr>
          <w:t>19</w:t>
        </w:r>
      </w:hyperlink>
      <w:r w:rsidR="00D866D6" w:rsidRPr="00D15565">
        <w:rPr>
          <w:b/>
          <w:bCs/>
          <w:lang w:val="es-ES_tradnl"/>
        </w:rPr>
        <w:t xml:space="preserve">, </w:t>
      </w:r>
      <w:hyperlink r:id="rId40" w:history="1">
        <w:r w:rsidR="00D866D6" w:rsidRPr="00D15565">
          <w:rPr>
            <w:rStyle w:val="Hyperlink"/>
            <w:b/>
            <w:bCs/>
            <w:lang w:val="es-ES_tradnl"/>
          </w:rPr>
          <w:t>21</w:t>
        </w:r>
      </w:hyperlink>
      <w:r w:rsidR="00D866D6" w:rsidRPr="00D15565">
        <w:rPr>
          <w:b/>
          <w:bCs/>
          <w:lang w:val="es-ES_tradnl"/>
        </w:rPr>
        <w:t xml:space="preserve">, </w:t>
      </w:r>
      <w:hyperlink r:id="rId41" w:history="1">
        <w:r w:rsidR="00D866D6" w:rsidRPr="00D15565">
          <w:rPr>
            <w:rStyle w:val="Hyperlink"/>
            <w:b/>
            <w:bCs/>
            <w:lang w:val="es-ES_tradnl"/>
          </w:rPr>
          <w:t>22</w:t>
        </w:r>
      </w:hyperlink>
      <w:r w:rsidR="00D866D6" w:rsidRPr="00D15565">
        <w:rPr>
          <w:b/>
          <w:bCs/>
          <w:lang w:val="es-ES_tradnl"/>
        </w:rPr>
        <w:t xml:space="preserve">, </w:t>
      </w:r>
      <w:hyperlink r:id="rId42" w:history="1">
        <w:r w:rsidR="00D866D6" w:rsidRPr="00D15565">
          <w:rPr>
            <w:rStyle w:val="Hyperlink"/>
            <w:b/>
            <w:bCs/>
            <w:lang w:val="es-ES_tradnl"/>
          </w:rPr>
          <w:t>23</w:t>
        </w:r>
      </w:hyperlink>
      <w:r w:rsidR="00D866D6" w:rsidRPr="00D15565">
        <w:rPr>
          <w:b/>
          <w:bCs/>
          <w:lang w:val="es-ES_tradnl"/>
        </w:rPr>
        <w:t xml:space="preserve">, </w:t>
      </w:r>
      <w:hyperlink r:id="rId43" w:history="1">
        <w:r w:rsidR="00D866D6" w:rsidRPr="00D15565">
          <w:rPr>
            <w:rStyle w:val="Hyperlink"/>
            <w:b/>
            <w:bCs/>
            <w:lang w:val="es-ES_tradnl"/>
          </w:rPr>
          <w:t>24</w:t>
        </w:r>
      </w:hyperlink>
      <w:r w:rsidR="00D866D6" w:rsidRPr="00D15565">
        <w:rPr>
          <w:b/>
          <w:bCs/>
          <w:lang w:val="es-ES_tradnl"/>
        </w:rPr>
        <w:t xml:space="preserve">, </w:t>
      </w:r>
      <w:hyperlink r:id="rId44" w:history="1">
        <w:r w:rsidR="00D866D6" w:rsidRPr="00D15565">
          <w:rPr>
            <w:rStyle w:val="Hyperlink"/>
            <w:b/>
            <w:bCs/>
            <w:lang w:val="es-ES_tradnl"/>
          </w:rPr>
          <w:t>25</w:t>
        </w:r>
      </w:hyperlink>
      <w:r w:rsidR="00D866D6" w:rsidRPr="00D15565">
        <w:rPr>
          <w:b/>
          <w:bCs/>
          <w:lang w:val="es-ES_tradnl"/>
        </w:rPr>
        <w:t xml:space="preserve">, </w:t>
      </w:r>
      <w:hyperlink r:id="rId45" w:history="1">
        <w:r w:rsidR="00D866D6" w:rsidRPr="00D15565">
          <w:rPr>
            <w:rStyle w:val="Hyperlink"/>
            <w:b/>
            <w:bCs/>
            <w:lang w:val="es-ES_tradnl"/>
          </w:rPr>
          <w:t>26</w:t>
        </w:r>
      </w:hyperlink>
      <w:r w:rsidR="00D866D6" w:rsidRPr="00D15565">
        <w:rPr>
          <w:b/>
          <w:bCs/>
          <w:lang w:val="es-ES_tradnl"/>
        </w:rPr>
        <w:t xml:space="preserve">, </w:t>
      </w:r>
      <w:hyperlink r:id="rId46" w:history="1">
        <w:r w:rsidR="00D866D6" w:rsidRPr="00D15565">
          <w:rPr>
            <w:rStyle w:val="Hyperlink"/>
            <w:b/>
            <w:bCs/>
            <w:lang w:val="es-ES_tradnl"/>
          </w:rPr>
          <w:t>27</w:t>
        </w:r>
      </w:hyperlink>
      <w:r w:rsidR="00D866D6" w:rsidRPr="00D15565">
        <w:rPr>
          <w:b/>
          <w:bCs/>
          <w:lang w:val="es-ES_tradnl"/>
        </w:rPr>
        <w:t xml:space="preserve">, </w:t>
      </w:r>
      <w:hyperlink r:id="rId47" w:history="1">
        <w:r w:rsidR="00D866D6" w:rsidRPr="00D15565">
          <w:rPr>
            <w:rStyle w:val="Hyperlink"/>
            <w:b/>
            <w:bCs/>
            <w:lang w:val="es-ES_tradnl"/>
          </w:rPr>
          <w:t>28</w:t>
        </w:r>
      </w:hyperlink>
      <w:r w:rsidR="00D866D6" w:rsidRPr="00D15565">
        <w:rPr>
          <w:b/>
          <w:bCs/>
          <w:lang w:val="es-ES_tradnl"/>
        </w:rPr>
        <w:t xml:space="preserve">, </w:t>
      </w:r>
      <w:hyperlink r:id="rId48" w:history="1">
        <w:r w:rsidR="00D866D6" w:rsidRPr="00D15565">
          <w:rPr>
            <w:rStyle w:val="Hyperlink"/>
            <w:b/>
            <w:bCs/>
            <w:lang w:val="es-ES_tradnl"/>
          </w:rPr>
          <w:t>29</w:t>
        </w:r>
      </w:hyperlink>
      <w:r w:rsidR="00D866D6" w:rsidRPr="00D15565">
        <w:rPr>
          <w:b/>
          <w:bCs/>
          <w:lang w:val="es-ES_tradnl"/>
        </w:rPr>
        <w:t xml:space="preserve">, </w:t>
      </w:r>
      <w:hyperlink r:id="rId49" w:history="1">
        <w:r w:rsidR="00D866D6" w:rsidRPr="00D15565">
          <w:rPr>
            <w:rStyle w:val="Hyperlink"/>
            <w:b/>
            <w:bCs/>
            <w:lang w:val="es-ES_tradnl"/>
          </w:rPr>
          <w:t>30</w:t>
        </w:r>
      </w:hyperlink>
      <w:r w:rsidR="00D866D6" w:rsidRPr="00D15565">
        <w:rPr>
          <w:b/>
          <w:bCs/>
          <w:lang w:val="es-ES_tradnl"/>
        </w:rPr>
        <w:t xml:space="preserve">, </w:t>
      </w:r>
      <w:hyperlink r:id="rId50" w:history="1">
        <w:r w:rsidR="00D866D6" w:rsidRPr="00D15565">
          <w:rPr>
            <w:rStyle w:val="Hyperlink"/>
            <w:b/>
            <w:bCs/>
            <w:lang w:val="es-ES_tradnl"/>
          </w:rPr>
          <w:t>33</w:t>
        </w:r>
      </w:hyperlink>
      <w:r w:rsidR="00D866D6" w:rsidRPr="00D15565">
        <w:rPr>
          <w:b/>
          <w:bCs/>
          <w:lang w:val="es-ES_tradnl"/>
        </w:rPr>
        <w:t xml:space="preserve"> </w:t>
      </w:r>
      <w:r w:rsidR="00B519FE" w:rsidRPr="00D15565">
        <w:rPr>
          <w:lang w:val="es-ES_tradnl"/>
        </w:rPr>
        <w:t>y</w:t>
      </w:r>
      <w:r w:rsidR="00D866D6" w:rsidRPr="00D15565">
        <w:rPr>
          <w:b/>
          <w:bCs/>
          <w:lang w:val="es-ES_tradnl"/>
        </w:rPr>
        <w:t xml:space="preserve"> </w:t>
      </w:r>
      <w:hyperlink r:id="rId51" w:history="1">
        <w:r w:rsidR="00D866D6" w:rsidRPr="00D15565">
          <w:rPr>
            <w:rStyle w:val="Hyperlink"/>
            <w:b/>
            <w:bCs/>
            <w:lang w:val="es-ES_tradnl"/>
          </w:rPr>
          <w:t>34</w:t>
        </w:r>
      </w:hyperlink>
      <w:r w:rsidR="005A56C1" w:rsidRPr="00D15565">
        <w:rPr>
          <w:lang w:val="es-ES_tradnl"/>
        </w:rPr>
        <w:t xml:space="preserve">. </w:t>
      </w:r>
      <w:r w:rsidR="00B519FE" w:rsidRPr="00D15565">
        <w:rPr>
          <w:lang w:val="es-ES_tradnl"/>
        </w:rPr>
        <w:t xml:space="preserve">Estos </w:t>
      </w:r>
      <w:r w:rsidR="005A56C1" w:rsidRPr="00D15565">
        <w:rPr>
          <w:lang w:val="es-ES_tradnl"/>
        </w:rPr>
        <w:t>documentos conten</w:t>
      </w:r>
      <w:r w:rsidR="00B519FE" w:rsidRPr="00D15565">
        <w:rPr>
          <w:lang w:val="es-ES_tradnl"/>
        </w:rPr>
        <w:t>ían</w:t>
      </w:r>
      <w:r w:rsidR="005A56C1" w:rsidRPr="00D15565">
        <w:rPr>
          <w:lang w:val="es-ES_tradnl"/>
        </w:rPr>
        <w:t xml:space="preserve"> propuestas de revisión y derogación de </w:t>
      </w:r>
      <w:r w:rsidRPr="00D15565">
        <w:rPr>
          <w:lang w:val="es-ES_tradnl"/>
        </w:rPr>
        <w:t>diversas</w:t>
      </w:r>
      <w:r w:rsidR="005A56C1" w:rsidRPr="00D15565">
        <w:rPr>
          <w:lang w:val="es-ES_tradnl"/>
        </w:rPr>
        <w:t xml:space="preserve"> </w:t>
      </w:r>
      <w:r w:rsidRPr="00D15565">
        <w:rPr>
          <w:lang w:val="es-ES_tradnl"/>
        </w:rPr>
        <w:t xml:space="preserve">Resoluciones </w:t>
      </w:r>
      <w:r w:rsidR="005A56C1" w:rsidRPr="00D15565">
        <w:rPr>
          <w:lang w:val="es-ES_tradnl"/>
        </w:rPr>
        <w:t>de la CMDT.</w:t>
      </w:r>
    </w:p>
    <w:p w14:paraId="5B4B92B6" w14:textId="0A47B7FC" w:rsidR="00D866D6" w:rsidRPr="00D15565" w:rsidRDefault="00AC3675" w:rsidP="00AC3675">
      <w:pPr>
        <w:rPr>
          <w:lang w:val="es-ES_tradnl"/>
        </w:rPr>
      </w:pPr>
      <w:r w:rsidRPr="00D15565">
        <w:rPr>
          <w:lang w:val="es-ES_tradnl"/>
        </w:rPr>
        <w:t xml:space="preserve">La </w:t>
      </w:r>
      <w:r w:rsidR="005A56C1" w:rsidRPr="00D15565">
        <w:rPr>
          <w:lang w:val="es-ES_tradnl"/>
        </w:rPr>
        <w:t>RP</w:t>
      </w:r>
      <w:r w:rsidRPr="00D15565">
        <w:rPr>
          <w:lang w:val="es-ES_tradnl"/>
        </w:rPr>
        <w:t>R</w:t>
      </w:r>
      <w:r w:rsidR="005A56C1" w:rsidRPr="00D15565">
        <w:rPr>
          <w:lang w:val="es-ES_tradnl"/>
        </w:rPr>
        <w:t>-C</w:t>
      </w:r>
      <w:r w:rsidRPr="00D15565">
        <w:rPr>
          <w:lang w:val="es-ES_tradnl"/>
        </w:rPr>
        <w:t>E</w:t>
      </w:r>
      <w:r w:rsidR="005A56C1" w:rsidRPr="00D15565">
        <w:rPr>
          <w:lang w:val="es-ES_tradnl"/>
        </w:rPr>
        <w:t xml:space="preserve">I apoyó estas contribuciones y decidió </w:t>
      </w:r>
      <w:r w:rsidR="00B519FE" w:rsidRPr="00D15565">
        <w:rPr>
          <w:lang w:val="es-ES_tradnl"/>
        </w:rPr>
        <w:t xml:space="preserve">basarse en ellas </w:t>
      </w:r>
      <w:r w:rsidRPr="00D15565">
        <w:rPr>
          <w:lang w:val="es-ES_tradnl"/>
        </w:rPr>
        <w:t>a efectos de</w:t>
      </w:r>
      <w:r w:rsidR="005A56C1" w:rsidRPr="00D15565">
        <w:rPr>
          <w:lang w:val="es-ES_tradnl"/>
        </w:rPr>
        <w:t xml:space="preserve"> la </w:t>
      </w:r>
      <w:r w:rsidRPr="00D15565">
        <w:rPr>
          <w:lang w:val="es-ES_tradnl"/>
        </w:rPr>
        <w:t>elaboración</w:t>
      </w:r>
      <w:r w:rsidR="005A56C1" w:rsidRPr="00D15565">
        <w:rPr>
          <w:lang w:val="es-ES_tradnl"/>
        </w:rPr>
        <w:t xml:space="preserve"> de las propuestas comunes de la CR</w:t>
      </w:r>
      <w:r w:rsidRPr="00D15565">
        <w:rPr>
          <w:lang w:val="es-ES_tradnl"/>
        </w:rPr>
        <w:t>C</w:t>
      </w:r>
      <w:r w:rsidR="005A56C1" w:rsidRPr="00D15565">
        <w:rPr>
          <w:lang w:val="es-ES_tradnl"/>
        </w:rPr>
        <w:t xml:space="preserve"> para la CMDT-21.</w:t>
      </w:r>
    </w:p>
    <w:p w14:paraId="5C787B41" w14:textId="788AD18D" w:rsidR="00D866D6" w:rsidRPr="00D15565" w:rsidRDefault="00D866D6" w:rsidP="00712E2F">
      <w:pPr>
        <w:pStyle w:val="Heading1"/>
        <w:rPr>
          <w:lang w:val="es-ES_tradnl"/>
        </w:rPr>
      </w:pPr>
      <w:r w:rsidRPr="00D15565">
        <w:rPr>
          <w:lang w:val="es-ES_tradnl"/>
        </w:rPr>
        <w:t>9</w:t>
      </w:r>
      <w:r w:rsidRPr="00D15565">
        <w:rPr>
          <w:lang w:val="es-ES_tradnl"/>
        </w:rPr>
        <w:tab/>
      </w:r>
      <w:r w:rsidR="00E92B88" w:rsidRPr="00D15565">
        <w:rPr>
          <w:lang w:val="es-ES_tradnl"/>
        </w:rPr>
        <w:t>Otros asuntos</w:t>
      </w:r>
    </w:p>
    <w:p w14:paraId="019CBBFE" w14:textId="01A08671" w:rsidR="005A56C1" w:rsidRPr="00D15565" w:rsidRDefault="005A56C1" w:rsidP="005A56C1">
      <w:pPr>
        <w:rPr>
          <w:lang w:val="es-ES_tradnl"/>
        </w:rPr>
      </w:pPr>
      <w:r w:rsidRPr="00D15565">
        <w:rPr>
          <w:lang w:val="es-ES_tradnl"/>
        </w:rPr>
        <w:t xml:space="preserve">El Sr. Alex Wong, Asesor </w:t>
      </w:r>
      <w:r w:rsidR="001D74C5" w:rsidRPr="00D15565">
        <w:rPr>
          <w:lang w:val="es-ES_tradnl"/>
        </w:rPr>
        <w:t xml:space="preserve">Estratégico </w:t>
      </w:r>
      <w:r w:rsidRPr="00D15565">
        <w:rPr>
          <w:lang w:val="es-ES_tradnl"/>
        </w:rPr>
        <w:t xml:space="preserve">Principal de la BDT, </w:t>
      </w:r>
      <w:r w:rsidR="00CE708F" w:rsidRPr="00D15565">
        <w:rPr>
          <w:lang w:val="es-ES_tradnl"/>
        </w:rPr>
        <w:t>facilitó</w:t>
      </w:r>
      <w:r w:rsidRPr="00D15565">
        <w:rPr>
          <w:lang w:val="es-ES_tradnl"/>
        </w:rPr>
        <w:t xml:space="preserve"> información sobre la </w:t>
      </w:r>
      <w:r w:rsidR="00CE708F" w:rsidRPr="00D15565">
        <w:rPr>
          <w:lang w:val="es-ES_tradnl"/>
        </w:rPr>
        <w:t>ejecu</w:t>
      </w:r>
      <w:r w:rsidRPr="00D15565">
        <w:rPr>
          <w:lang w:val="es-ES_tradnl"/>
        </w:rPr>
        <w:t xml:space="preserve">ción de la iniciativa </w:t>
      </w:r>
      <w:r w:rsidR="00CE708F" w:rsidRPr="00D15565">
        <w:rPr>
          <w:lang w:val="es-ES_tradnl"/>
        </w:rPr>
        <w:t>relativa al Centro Internacional de Innovación Digital de la UIT (CIdID)</w:t>
      </w:r>
      <w:r w:rsidRPr="00D15565">
        <w:rPr>
          <w:lang w:val="es-ES_tradnl"/>
        </w:rPr>
        <w:t>.</w:t>
      </w:r>
    </w:p>
    <w:p w14:paraId="36BF532D" w14:textId="3384B25D" w:rsidR="00D866D6" w:rsidRPr="00D15565" w:rsidRDefault="00E569AE" w:rsidP="00712E2F">
      <w:pPr>
        <w:rPr>
          <w:lang w:val="es-ES_tradnl"/>
        </w:rPr>
      </w:pPr>
      <w:r w:rsidRPr="00D15565">
        <w:rPr>
          <w:lang w:val="es-ES_tradnl"/>
        </w:rPr>
        <w:t xml:space="preserve">La RPR-CEI tomó nota </w:t>
      </w:r>
      <w:r w:rsidR="00CE708F" w:rsidRPr="00D15565">
        <w:rPr>
          <w:lang w:val="es-ES_tradnl"/>
        </w:rPr>
        <w:t>de la información facilitada</w:t>
      </w:r>
      <w:r w:rsidRPr="00D15565">
        <w:rPr>
          <w:lang w:val="es-ES_tradnl"/>
        </w:rPr>
        <w:t>.</w:t>
      </w:r>
    </w:p>
    <w:p w14:paraId="18B1B04D" w14:textId="0A6243DE" w:rsidR="00D866D6" w:rsidRPr="00D15565" w:rsidRDefault="00D866D6" w:rsidP="00712E2F">
      <w:pPr>
        <w:pStyle w:val="Heading1"/>
        <w:rPr>
          <w:lang w:val="es-ES_tradnl"/>
        </w:rPr>
      </w:pPr>
      <w:r w:rsidRPr="00D15565">
        <w:rPr>
          <w:lang w:val="es-ES_tradnl"/>
        </w:rPr>
        <w:t>10</w:t>
      </w:r>
      <w:r w:rsidRPr="00D15565">
        <w:rPr>
          <w:lang w:val="es-ES_tradnl"/>
        </w:rPr>
        <w:tab/>
      </w:r>
      <w:r w:rsidR="00E92B88" w:rsidRPr="00D15565">
        <w:rPr>
          <w:lang w:val="es-ES_tradnl"/>
        </w:rPr>
        <w:t>Principales resultados</w:t>
      </w:r>
    </w:p>
    <w:p w14:paraId="02C4FFB2" w14:textId="462B25B0" w:rsidR="009D770A" w:rsidRPr="00D15565" w:rsidRDefault="00483799" w:rsidP="009D770A">
      <w:pPr>
        <w:rPr>
          <w:lang w:val="es-ES_tradnl"/>
        </w:rPr>
      </w:pPr>
      <w:r w:rsidRPr="00D15565">
        <w:rPr>
          <w:lang w:val="es-ES_tradnl"/>
        </w:rPr>
        <w:t>Una vez examinados t</w:t>
      </w:r>
      <w:r w:rsidR="009D770A" w:rsidRPr="00D15565">
        <w:rPr>
          <w:lang w:val="es-ES_tradnl"/>
        </w:rPr>
        <w:t>odos los documentos recibidos, la RP</w:t>
      </w:r>
      <w:r w:rsidRPr="00D15565">
        <w:rPr>
          <w:lang w:val="es-ES_tradnl"/>
        </w:rPr>
        <w:t>R</w:t>
      </w:r>
      <w:r w:rsidR="009D770A" w:rsidRPr="00D15565">
        <w:rPr>
          <w:lang w:val="es-ES_tradnl"/>
        </w:rPr>
        <w:t>-CEI llegó a las siguientes conclusiones:</w:t>
      </w:r>
    </w:p>
    <w:p w14:paraId="5A91F700" w14:textId="4ABEF522" w:rsidR="009D770A" w:rsidRPr="00D15565" w:rsidRDefault="009D770A" w:rsidP="009D770A">
      <w:pPr>
        <w:rPr>
          <w:lang w:val="es-ES_tradnl"/>
        </w:rPr>
      </w:pPr>
      <w:r w:rsidRPr="00D15565">
        <w:rPr>
          <w:lang w:val="es-ES_tradnl"/>
        </w:rPr>
        <w:t>La RPR-CEI reconoció que las iniciativas regionales del UIT-D constitu</w:t>
      </w:r>
      <w:r w:rsidR="00483799" w:rsidRPr="00D15565">
        <w:rPr>
          <w:lang w:val="es-ES_tradnl"/>
        </w:rPr>
        <w:t>ía</w:t>
      </w:r>
      <w:r w:rsidRPr="00D15565">
        <w:rPr>
          <w:lang w:val="es-ES_tradnl"/>
        </w:rPr>
        <w:t xml:space="preserve">n un mecanismo eficaz para fomentar la aplicación de los resultados de la CMSI y de la </w:t>
      </w:r>
      <w:r w:rsidR="00483799" w:rsidRPr="00D15565">
        <w:rPr>
          <w:lang w:val="es-ES_tradnl"/>
        </w:rPr>
        <w:t>Agenda 2030 para el Desarrollo Sostenible</w:t>
      </w:r>
      <w:r w:rsidRPr="00D15565">
        <w:rPr>
          <w:lang w:val="es-ES_tradnl"/>
        </w:rPr>
        <w:t xml:space="preserve">, </w:t>
      </w:r>
      <w:r w:rsidR="00A77847" w:rsidRPr="00D15565">
        <w:rPr>
          <w:lang w:val="es-ES_tradnl"/>
        </w:rPr>
        <w:t xml:space="preserve">incluida la consecución </w:t>
      </w:r>
      <w:r w:rsidRPr="00D15565">
        <w:rPr>
          <w:lang w:val="es-ES_tradnl"/>
        </w:rPr>
        <w:t>de los Objetivos de Desarrollo Sostenible.</w:t>
      </w:r>
    </w:p>
    <w:p w14:paraId="614E9BC1" w14:textId="57370BD6" w:rsidR="00AB3146" w:rsidRPr="00D15565" w:rsidRDefault="009D770A" w:rsidP="00483799">
      <w:pPr>
        <w:keepNext/>
        <w:rPr>
          <w:highlight w:val="cyan"/>
          <w:lang w:val="es-ES_tradnl"/>
        </w:rPr>
      </w:pPr>
      <w:r w:rsidRPr="00D15565">
        <w:rPr>
          <w:lang w:val="es-ES_tradnl"/>
        </w:rPr>
        <w:t xml:space="preserve">La RPR-CEI aprobó </w:t>
      </w:r>
      <w:r w:rsidR="00483799" w:rsidRPr="00D15565">
        <w:rPr>
          <w:lang w:val="es-ES_tradnl"/>
        </w:rPr>
        <w:t>los cinco proyectos de iniciativas regionales siguientes:</w:t>
      </w:r>
      <w:r w:rsidR="006758D0" w:rsidRPr="00D15565">
        <w:rPr>
          <w:rFonts w:ascii="Calibri" w:hAnsi="Calibri" w:cs="Calibri"/>
          <w:color w:val="800000"/>
          <w:sz w:val="22"/>
          <w:lang w:val="es-ES_tradnl"/>
        </w:rPr>
        <w:t xml:space="preserve"> </w:t>
      </w:r>
    </w:p>
    <w:p w14:paraId="400AE7E9" w14:textId="47F11D76" w:rsidR="00483799" w:rsidRPr="00D15565" w:rsidRDefault="00AB3146" w:rsidP="008F0EB2">
      <w:pPr>
        <w:pStyle w:val="enumlev1"/>
        <w:rPr>
          <w:lang w:val="es-ES_tradnl"/>
        </w:rPr>
      </w:pPr>
      <w:r w:rsidRPr="00D15565">
        <w:rPr>
          <w:lang w:val="es-ES_tradnl"/>
        </w:rPr>
        <w:t>•</w:t>
      </w:r>
      <w:r w:rsidRPr="00D15565">
        <w:rPr>
          <w:lang w:val="es-ES_tradnl"/>
        </w:rPr>
        <w:tab/>
      </w:r>
      <w:r w:rsidR="00483799" w:rsidRPr="00D15565">
        <w:rPr>
          <w:lang w:val="es-ES_tradnl"/>
        </w:rPr>
        <w:t xml:space="preserve">Iniciativa regional 1: Desarrollo de infraestructuras para fomentar la innovación y la creación de asociaciones a efectos de la implementación de nuevas tecnologías, </w:t>
      </w:r>
      <w:r w:rsidR="008F0EB2" w:rsidRPr="00D15565">
        <w:rPr>
          <w:lang w:val="es-ES_tradnl"/>
        </w:rPr>
        <w:t>en particular la IoT, incluida la Internet industrial, las redes de próxima generación 5G/IMT-2020 y NET-2030, las tecnologías cuánticas, la inteligencia artificial, la salud digital, la educación digital, la protección del medio ambiente, las ciudades inteligentes, las competencias digitales, etc.</w:t>
      </w:r>
    </w:p>
    <w:p w14:paraId="7D6FA9A3" w14:textId="190E45D8" w:rsidR="00483799" w:rsidRPr="00D15565" w:rsidRDefault="00483799" w:rsidP="00483799">
      <w:pPr>
        <w:pStyle w:val="enumlev1"/>
        <w:rPr>
          <w:lang w:val="es-ES_tradnl"/>
        </w:rPr>
      </w:pPr>
      <w:r w:rsidRPr="00D15565">
        <w:rPr>
          <w:lang w:val="es-ES_tradnl"/>
        </w:rPr>
        <w:t>•</w:t>
      </w:r>
      <w:r w:rsidRPr="00D15565">
        <w:rPr>
          <w:lang w:val="es-ES_tradnl"/>
        </w:rPr>
        <w:tab/>
        <w:t>Iniciativa regional 2: Ciberseguridad y protección de los datos personales.</w:t>
      </w:r>
    </w:p>
    <w:p w14:paraId="3FCBC3CE" w14:textId="049E52AE" w:rsidR="00483799" w:rsidRPr="00D15565" w:rsidRDefault="00483799" w:rsidP="00483799">
      <w:pPr>
        <w:pStyle w:val="enumlev1"/>
        <w:rPr>
          <w:lang w:val="es-ES_tradnl"/>
        </w:rPr>
      </w:pPr>
      <w:r w:rsidRPr="00D15565">
        <w:rPr>
          <w:lang w:val="es-ES_tradnl"/>
        </w:rPr>
        <w:lastRenderedPageBreak/>
        <w:t>•</w:t>
      </w:r>
      <w:r w:rsidRPr="00D15565">
        <w:rPr>
          <w:lang w:val="es-ES_tradnl"/>
        </w:rPr>
        <w:tab/>
        <w:t>Iniciativa regional 3: Creación de un entorno jurídico y reglamentario propicio para acelerar la transformación digital.</w:t>
      </w:r>
    </w:p>
    <w:p w14:paraId="07239DC4" w14:textId="1418E814" w:rsidR="00483799" w:rsidRPr="00D15565" w:rsidRDefault="00483799" w:rsidP="00483799">
      <w:pPr>
        <w:pStyle w:val="enumlev1"/>
        <w:rPr>
          <w:lang w:val="es-ES_tradnl"/>
        </w:rPr>
      </w:pPr>
      <w:r w:rsidRPr="00D15565">
        <w:rPr>
          <w:lang w:val="es-ES_tradnl"/>
        </w:rPr>
        <w:t>•</w:t>
      </w:r>
      <w:r w:rsidRPr="00D15565">
        <w:rPr>
          <w:lang w:val="es-ES_tradnl"/>
        </w:rPr>
        <w:tab/>
        <w:t xml:space="preserve">Iniciativa </w:t>
      </w:r>
      <w:r w:rsidR="00CC0F00" w:rsidRPr="00D15565">
        <w:rPr>
          <w:lang w:val="es-ES_tradnl"/>
        </w:rPr>
        <w:t>r</w:t>
      </w:r>
      <w:r w:rsidRPr="00D15565">
        <w:rPr>
          <w:lang w:val="es-ES_tradnl"/>
        </w:rPr>
        <w:t>egional 4: Competencias digitales y accesibilidad de las TIC para la población, en particular para las personas con discapacidad.</w:t>
      </w:r>
    </w:p>
    <w:p w14:paraId="37D8908D" w14:textId="0923F0F4" w:rsidR="00AB3146" w:rsidRPr="00D15565" w:rsidRDefault="00483799" w:rsidP="00483799">
      <w:pPr>
        <w:pStyle w:val="enumlev1"/>
        <w:rPr>
          <w:lang w:val="es-ES_tradnl"/>
        </w:rPr>
      </w:pPr>
      <w:r w:rsidRPr="00D15565">
        <w:rPr>
          <w:lang w:val="es-ES_tradnl"/>
        </w:rPr>
        <w:t>•</w:t>
      </w:r>
      <w:r w:rsidRPr="00D15565">
        <w:rPr>
          <w:lang w:val="es-ES_tradnl"/>
        </w:rPr>
        <w:tab/>
        <w:t>Iniciativa regional 5: Desarrollo de ciudades y comunidades inteligentes.</w:t>
      </w:r>
    </w:p>
    <w:p w14:paraId="75985CE5" w14:textId="03A76708" w:rsidR="005A56C1" w:rsidRPr="00D15565" w:rsidRDefault="00483799" w:rsidP="00483799">
      <w:pPr>
        <w:pStyle w:val="enumlev1"/>
        <w:rPr>
          <w:lang w:val="es-ES_tradnl"/>
        </w:rPr>
      </w:pPr>
      <w:r w:rsidRPr="00D15565">
        <w:rPr>
          <w:lang w:val="es-ES_tradnl"/>
        </w:rPr>
        <w:t>E</w:t>
      </w:r>
      <w:r w:rsidR="005A56C1" w:rsidRPr="00D15565">
        <w:rPr>
          <w:lang w:val="es-ES_tradnl"/>
        </w:rPr>
        <w:t xml:space="preserve">n el </w:t>
      </w:r>
      <w:r w:rsidRPr="00D15565">
        <w:rPr>
          <w:lang w:val="es-ES_tradnl"/>
        </w:rPr>
        <w:t xml:space="preserve">Anexo se detallan </w:t>
      </w:r>
      <w:r w:rsidR="005A56C1" w:rsidRPr="00D15565">
        <w:rPr>
          <w:lang w:val="es-ES_tradnl"/>
        </w:rPr>
        <w:t>los cinco proyectos de iniciativas regionales de la CEI.</w:t>
      </w:r>
    </w:p>
    <w:p w14:paraId="7638F4CF" w14:textId="0A9754BD" w:rsidR="005A56C1" w:rsidRPr="00D15565" w:rsidRDefault="00152E18" w:rsidP="00152E18">
      <w:pPr>
        <w:rPr>
          <w:lang w:val="es-ES_tradnl"/>
        </w:rPr>
      </w:pPr>
      <w:r w:rsidRPr="00D15565">
        <w:rPr>
          <w:lang w:val="es-ES_tradnl"/>
        </w:rPr>
        <w:t>La RPR-CEI también refrendó la labor del GA</w:t>
      </w:r>
      <w:r w:rsidR="00CC0F00" w:rsidRPr="00D15565">
        <w:rPr>
          <w:lang w:val="es-ES_tradnl"/>
        </w:rPr>
        <w:t>D</w:t>
      </w:r>
      <w:r w:rsidRPr="00D15565">
        <w:rPr>
          <w:lang w:val="es-ES_tradnl"/>
        </w:rPr>
        <w:t xml:space="preserve">T </w:t>
      </w:r>
      <w:r w:rsidR="005A56C1" w:rsidRPr="00D15565">
        <w:rPr>
          <w:lang w:val="es-ES_tradnl"/>
        </w:rPr>
        <w:t xml:space="preserve">y de todos sus grupos </w:t>
      </w:r>
      <w:r w:rsidRPr="00D15565">
        <w:rPr>
          <w:lang w:val="es-ES_tradnl"/>
        </w:rPr>
        <w:t>por</w:t>
      </w:r>
      <w:r w:rsidR="005A56C1" w:rsidRPr="00D15565">
        <w:rPr>
          <w:lang w:val="es-ES_tradnl"/>
        </w:rPr>
        <w:t xml:space="preserve"> correspondencia.</w:t>
      </w:r>
      <w:r w:rsidRPr="00D15565">
        <w:rPr>
          <w:lang w:val="es-ES_tradnl"/>
        </w:rPr>
        <w:t xml:space="preserve"> </w:t>
      </w:r>
      <w:r w:rsidR="005A56C1" w:rsidRPr="00D15565">
        <w:rPr>
          <w:lang w:val="es-ES_tradnl"/>
        </w:rPr>
        <w:t xml:space="preserve">Además, examinó y apoyó las propuestas de revisión y derogación de </w:t>
      </w:r>
      <w:r w:rsidRPr="00D15565">
        <w:rPr>
          <w:lang w:val="es-ES_tradnl"/>
        </w:rPr>
        <w:t>una serie de</w:t>
      </w:r>
      <w:r w:rsidR="005A56C1" w:rsidRPr="00D15565">
        <w:rPr>
          <w:lang w:val="es-ES_tradnl"/>
        </w:rPr>
        <w:t xml:space="preserve"> </w:t>
      </w:r>
      <w:r w:rsidRPr="00D15565">
        <w:rPr>
          <w:lang w:val="es-ES_tradnl"/>
        </w:rPr>
        <w:t xml:space="preserve">Resoluciones </w:t>
      </w:r>
      <w:r w:rsidR="005A56C1" w:rsidRPr="00D15565">
        <w:rPr>
          <w:lang w:val="es-ES_tradnl"/>
        </w:rPr>
        <w:t>de la CMDT.</w:t>
      </w:r>
    </w:p>
    <w:p w14:paraId="3F9EB8F6" w14:textId="6B585C58" w:rsidR="00AB3146" w:rsidRPr="00D15565" w:rsidRDefault="005A56C1" w:rsidP="00152E18">
      <w:pPr>
        <w:pStyle w:val="enumlev1"/>
        <w:rPr>
          <w:lang w:val="es-ES_tradnl"/>
        </w:rPr>
      </w:pPr>
      <w:r w:rsidRPr="00D15565">
        <w:rPr>
          <w:lang w:val="es-ES_tradnl"/>
        </w:rPr>
        <w:t>En el marco de la RP</w:t>
      </w:r>
      <w:r w:rsidR="00152E18" w:rsidRPr="00D15565">
        <w:rPr>
          <w:lang w:val="es-ES_tradnl"/>
        </w:rPr>
        <w:t>R</w:t>
      </w:r>
      <w:r w:rsidRPr="00D15565">
        <w:rPr>
          <w:lang w:val="es-ES_tradnl"/>
        </w:rPr>
        <w:t>-C</w:t>
      </w:r>
      <w:r w:rsidR="00152E18" w:rsidRPr="00D15565">
        <w:rPr>
          <w:lang w:val="es-ES_tradnl"/>
        </w:rPr>
        <w:t>EI,</w:t>
      </w:r>
      <w:r w:rsidRPr="00D15565">
        <w:rPr>
          <w:lang w:val="es-ES_tradnl"/>
        </w:rPr>
        <w:t xml:space="preserve"> se celebraron los dos actos paralelos siguientes</w:t>
      </w:r>
      <w:r w:rsidR="00F67A06" w:rsidRPr="00D15565">
        <w:rPr>
          <w:lang w:val="es-ES_tradnl"/>
        </w:rPr>
        <w:t>:</w:t>
      </w:r>
    </w:p>
    <w:p w14:paraId="1D551E8B" w14:textId="14D29620" w:rsidR="00AB3146" w:rsidRPr="00D15565" w:rsidRDefault="00AB3146" w:rsidP="00B622F8">
      <w:pPr>
        <w:pStyle w:val="enumlev1"/>
        <w:rPr>
          <w:lang w:val="es-ES_tradnl"/>
        </w:rPr>
      </w:pPr>
      <w:r w:rsidRPr="00D15565">
        <w:rPr>
          <w:lang w:val="es-ES_tradnl"/>
        </w:rPr>
        <w:t>•</w:t>
      </w:r>
      <w:r w:rsidRPr="00D15565">
        <w:rPr>
          <w:lang w:val="es-ES_tradnl"/>
        </w:rPr>
        <w:tab/>
      </w:r>
      <w:hyperlink r:id="rId52" w:history="1">
        <w:r w:rsidR="005A56C1" w:rsidRPr="00D15565">
          <w:rPr>
            <w:rStyle w:val="Hyperlink"/>
            <w:lang w:val="es-ES_tradnl"/>
          </w:rPr>
          <w:t>Herramientas de planificación de infraestructuras de la UIT: Mapas interactivos de transmisión de la UIT, herramient</w:t>
        </w:r>
        <w:r w:rsidR="005A56C1" w:rsidRPr="00D15565">
          <w:rPr>
            <w:rStyle w:val="Hyperlink"/>
            <w:lang w:val="es-ES_tradnl"/>
          </w:rPr>
          <w:t>a</w:t>
        </w:r>
        <w:r w:rsidR="005A56C1" w:rsidRPr="00D15565">
          <w:rPr>
            <w:rStyle w:val="Hyperlink"/>
            <w:lang w:val="es-ES_tradnl"/>
          </w:rPr>
          <w:t xml:space="preserve"> de cálculo de la banda ancha</w:t>
        </w:r>
        <w:r w:rsidR="00B622F8" w:rsidRPr="00D15565">
          <w:rPr>
            <w:rStyle w:val="Hyperlink"/>
            <w:lang w:val="es-ES_tradnl"/>
          </w:rPr>
          <w:t xml:space="preserve"> de</w:t>
        </w:r>
        <w:r w:rsidR="005A56C1" w:rsidRPr="00D15565">
          <w:rPr>
            <w:rStyle w:val="Hyperlink"/>
            <w:lang w:val="es-ES_tradnl"/>
          </w:rPr>
          <w:t xml:space="preserve"> </w:t>
        </w:r>
        <w:r w:rsidR="00B622F8" w:rsidRPr="00D15565">
          <w:rPr>
            <w:rStyle w:val="Hyperlink"/>
            <w:lang w:val="es-ES_tradnl"/>
          </w:rPr>
          <w:t>G</w:t>
        </w:r>
        <w:r w:rsidR="005A56C1" w:rsidRPr="00D15565">
          <w:rPr>
            <w:rStyle w:val="Hyperlink"/>
            <w:lang w:val="es-ES_tradnl"/>
          </w:rPr>
          <w:t>iga, conjunto de herramientas de planificación de infraestructura</w:t>
        </w:r>
        <w:r w:rsidR="00B622F8" w:rsidRPr="00D15565">
          <w:rPr>
            <w:rStyle w:val="Hyperlink"/>
            <w:lang w:val="es-ES_tradnl"/>
          </w:rPr>
          <w:t>s</w:t>
        </w:r>
        <w:r w:rsidR="005A56C1" w:rsidRPr="00D15565">
          <w:rPr>
            <w:rStyle w:val="Hyperlink"/>
            <w:lang w:val="es-ES_tradnl"/>
          </w:rPr>
          <w:t xml:space="preserve"> de TIC</w:t>
        </w:r>
      </w:hyperlink>
      <w:r w:rsidR="005A56C1" w:rsidRPr="00D15565">
        <w:rPr>
          <w:lang w:val="es-ES_tradnl"/>
        </w:rPr>
        <w:t xml:space="preserve"> (21 de abril de 2021). Se propuso celebrar la sesión en el marco de los órganos de trabajo de</w:t>
      </w:r>
      <w:r w:rsidR="00B622F8" w:rsidRPr="00D15565">
        <w:rPr>
          <w:lang w:val="es-ES_tradnl"/>
        </w:rPr>
        <w:t xml:space="preserve"> </w:t>
      </w:r>
      <w:r w:rsidR="005A56C1" w:rsidRPr="00D15565">
        <w:rPr>
          <w:lang w:val="es-ES_tradnl"/>
        </w:rPr>
        <w:t>l</w:t>
      </w:r>
      <w:r w:rsidR="00B622F8" w:rsidRPr="00D15565">
        <w:rPr>
          <w:lang w:val="es-ES_tradnl"/>
        </w:rPr>
        <w:t>a</w:t>
      </w:r>
      <w:r w:rsidR="005A56C1" w:rsidRPr="00D15565">
        <w:rPr>
          <w:lang w:val="es-ES_tradnl"/>
        </w:rPr>
        <w:t xml:space="preserve"> CR</w:t>
      </w:r>
      <w:r w:rsidR="00B622F8" w:rsidRPr="00D15565">
        <w:rPr>
          <w:lang w:val="es-ES_tradnl"/>
        </w:rPr>
        <w:t>C</w:t>
      </w:r>
      <w:r w:rsidR="005A56C1" w:rsidRPr="00D15565">
        <w:rPr>
          <w:lang w:val="es-ES_tradnl"/>
        </w:rPr>
        <w:t xml:space="preserve"> </w:t>
      </w:r>
      <w:r w:rsidR="00B622F8" w:rsidRPr="00D15565">
        <w:rPr>
          <w:lang w:val="es-ES_tradnl"/>
        </w:rPr>
        <w:t>competentes</w:t>
      </w:r>
      <w:r w:rsidRPr="00D15565">
        <w:rPr>
          <w:lang w:val="es-ES_tradnl"/>
        </w:rPr>
        <w:t>.</w:t>
      </w:r>
    </w:p>
    <w:p w14:paraId="65818619" w14:textId="169CC3AD" w:rsidR="00AB3146" w:rsidRPr="00D15565" w:rsidRDefault="00AB3146" w:rsidP="00B622F8">
      <w:pPr>
        <w:pStyle w:val="enumlev1"/>
        <w:rPr>
          <w:lang w:val="es-ES_tradnl"/>
        </w:rPr>
      </w:pPr>
      <w:r w:rsidRPr="00D15565">
        <w:rPr>
          <w:lang w:val="es-ES_tradnl"/>
        </w:rPr>
        <w:t>•</w:t>
      </w:r>
      <w:r w:rsidRPr="00D15565">
        <w:rPr>
          <w:lang w:val="es-ES_tradnl"/>
        </w:rPr>
        <w:tab/>
      </w:r>
      <w:hyperlink r:id="rId53" w:history="1">
        <w:r w:rsidR="005A56C1" w:rsidRPr="00D15565">
          <w:rPr>
            <w:rStyle w:val="Hyperlink"/>
            <w:lang w:val="es-ES_tradnl"/>
          </w:rPr>
          <w:t>Sesión especial: Día Internacional de las Niñas en las TIC</w:t>
        </w:r>
        <w:r w:rsidR="005A56C1" w:rsidRPr="00D15565">
          <w:rPr>
            <w:rStyle w:val="Hyperlink"/>
            <w:lang w:val="es-ES_tradnl"/>
          </w:rPr>
          <w:t xml:space="preserve"> </w:t>
        </w:r>
        <w:r w:rsidR="005A56C1" w:rsidRPr="00D15565">
          <w:rPr>
            <w:rStyle w:val="Hyperlink"/>
            <w:lang w:val="es-ES_tradnl"/>
          </w:rPr>
          <w:t xml:space="preserve">y </w:t>
        </w:r>
        <w:r w:rsidR="00B622F8" w:rsidRPr="00D15565">
          <w:rPr>
            <w:rStyle w:val="Hyperlink"/>
            <w:lang w:val="es-ES_tradnl"/>
          </w:rPr>
          <w:t xml:space="preserve">Red de Mujeres para la CMDT-21 </w:t>
        </w:r>
        <w:r w:rsidR="005A56C1" w:rsidRPr="00D15565">
          <w:rPr>
            <w:rStyle w:val="Hyperlink"/>
            <w:lang w:val="es-ES_tradnl"/>
          </w:rPr>
          <w:t>(NoW4WTDC21)</w:t>
        </w:r>
      </w:hyperlink>
      <w:r w:rsidR="005A56C1" w:rsidRPr="00D15565">
        <w:rPr>
          <w:lang w:val="es-ES_tradnl"/>
        </w:rPr>
        <w:t xml:space="preserve"> (22 de abril de 2021).</w:t>
      </w:r>
    </w:p>
    <w:p w14:paraId="4405FD38" w14:textId="68D81845" w:rsidR="00AB3146" w:rsidRPr="00D15565" w:rsidRDefault="00AB3146" w:rsidP="00712E2F">
      <w:pPr>
        <w:pStyle w:val="Heading1"/>
        <w:rPr>
          <w:lang w:val="es-ES_tradnl"/>
        </w:rPr>
      </w:pPr>
      <w:r w:rsidRPr="00D15565">
        <w:rPr>
          <w:lang w:val="es-ES_tradnl"/>
        </w:rPr>
        <w:t>11</w:t>
      </w:r>
      <w:r w:rsidRPr="00D15565">
        <w:rPr>
          <w:lang w:val="es-ES_tradnl"/>
        </w:rPr>
        <w:tab/>
      </w:r>
      <w:r w:rsidR="000C3F14" w:rsidRPr="00D15565">
        <w:rPr>
          <w:lang w:val="es-ES_tradnl"/>
        </w:rPr>
        <w:t>Ceremonia de clausura</w:t>
      </w:r>
    </w:p>
    <w:p w14:paraId="580E8D7A" w14:textId="15429127" w:rsidR="00AB3146" w:rsidRPr="00D15565" w:rsidRDefault="000C3F14" w:rsidP="005A56C1">
      <w:pPr>
        <w:rPr>
          <w:lang w:val="es-ES_tradnl"/>
        </w:rPr>
      </w:pPr>
      <w:r w:rsidRPr="00D15565">
        <w:rPr>
          <w:lang w:val="es-ES_tradnl"/>
        </w:rPr>
        <w:t xml:space="preserve">Al clausurar la reunión, el Presidente manifestó su agradecimiento a todos los Miembros de la UIT que </w:t>
      </w:r>
      <w:r w:rsidR="00CC0F00" w:rsidRPr="00D15565">
        <w:rPr>
          <w:lang w:val="es-ES_tradnl"/>
        </w:rPr>
        <w:t xml:space="preserve">habían </w:t>
      </w:r>
      <w:r w:rsidRPr="00D15565">
        <w:rPr>
          <w:lang w:val="es-ES_tradnl"/>
        </w:rPr>
        <w:t>participa</w:t>
      </w:r>
      <w:r w:rsidR="00CC0F00" w:rsidRPr="00D15565">
        <w:rPr>
          <w:lang w:val="es-ES_tradnl"/>
        </w:rPr>
        <w:t>d</w:t>
      </w:r>
      <w:r w:rsidRPr="00D15565">
        <w:rPr>
          <w:lang w:val="es-ES_tradnl"/>
        </w:rPr>
        <w:t>o en los trabajos de la RP</w:t>
      </w:r>
      <w:r w:rsidR="001A2FCB" w:rsidRPr="00D15565">
        <w:rPr>
          <w:lang w:val="es-ES_tradnl"/>
        </w:rPr>
        <w:t>R</w:t>
      </w:r>
      <w:r w:rsidRPr="00D15565">
        <w:rPr>
          <w:lang w:val="es-ES_tradnl"/>
        </w:rPr>
        <w:t xml:space="preserve">-CEI, especialmente a los que </w:t>
      </w:r>
      <w:r w:rsidR="00CC0F00" w:rsidRPr="00D15565">
        <w:rPr>
          <w:lang w:val="es-ES_tradnl"/>
        </w:rPr>
        <w:t>habían contribuido a los mismos.</w:t>
      </w:r>
      <w:r w:rsidR="00AB3146" w:rsidRPr="00D15565">
        <w:rPr>
          <w:lang w:val="es-ES_tradnl"/>
        </w:rPr>
        <w:t xml:space="preserve"> </w:t>
      </w:r>
      <w:r w:rsidRPr="00D15565">
        <w:rPr>
          <w:lang w:val="es-ES_tradnl"/>
        </w:rPr>
        <w:t xml:space="preserve">Por último, aunque no por ello menos importante, agradeció al personal de la UIT su ayuda en la organización y </w:t>
      </w:r>
      <w:r w:rsidR="00CC0F00" w:rsidRPr="00D15565">
        <w:rPr>
          <w:lang w:val="es-ES_tradnl"/>
        </w:rPr>
        <w:t xml:space="preserve">la </w:t>
      </w:r>
      <w:r w:rsidRPr="00D15565">
        <w:rPr>
          <w:lang w:val="es-ES_tradnl"/>
        </w:rPr>
        <w:t>buena marcha de la reunión.</w:t>
      </w:r>
    </w:p>
    <w:p w14:paraId="3792EB8F" w14:textId="15CFCD2D" w:rsidR="00B759DE" w:rsidRPr="00D15565" w:rsidRDefault="005A56C1" w:rsidP="002138B4">
      <w:pPr>
        <w:rPr>
          <w:lang w:val="es-ES_tradnl"/>
        </w:rPr>
      </w:pPr>
      <w:r w:rsidRPr="00D15565">
        <w:rPr>
          <w:lang w:val="es-ES_tradnl"/>
        </w:rPr>
        <w:t xml:space="preserve">La Directora de la BDT, </w:t>
      </w:r>
      <w:r w:rsidR="002138B4" w:rsidRPr="00D15565">
        <w:rPr>
          <w:lang w:val="es-ES_tradnl"/>
        </w:rPr>
        <w:t xml:space="preserve">Sra. </w:t>
      </w:r>
      <w:r w:rsidRPr="00D15565">
        <w:rPr>
          <w:lang w:val="es-ES_tradnl"/>
        </w:rPr>
        <w:t>Doreen Bogdan-Martin, dio las gracias al Presidente y al Vicepresidente de la RP</w:t>
      </w:r>
      <w:r w:rsidR="002138B4" w:rsidRPr="00D15565">
        <w:rPr>
          <w:lang w:val="es-ES_tradnl"/>
        </w:rPr>
        <w:t>R</w:t>
      </w:r>
      <w:r w:rsidRPr="00D15565">
        <w:rPr>
          <w:lang w:val="es-ES_tradnl"/>
        </w:rPr>
        <w:t>-C</w:t>
      </w:r>
      <w:r w:rsidR="002138B4" w:rsidRPr="00D15565">
        <w:rPr>
          <w:lang w:val="es-ES_tradnl"/>
        </w:rPr>
        <w:t>EI,</w:t>
      </w:r>
      <w:r w:rsidRPr="00D15565">
        <w:rPr>
          <w:lang w:val="es-ES_tradnl"/>
        </w:rPr>
        <w:t xml:space="preserve"> a todos los participantes</w:t>
      </w:r>
      <w:r w:rsidR="002138B4" w:rsidRPr="00D15565">
        <w:rPr>
          <w:lang w:val="es-ES_tradnl"/>
        </w:rPr>
        <w:t xml:space="preserve"> en la reunión y </w:t>
      </w:r>
      <w:r w:rsidRPr="00D15565">
        <w:rPr>
          <w:lang w:val="es-ES_tradnl"/>
        </w:rPr>
        <w:t>a la secretaría de la BDT, por su fructífera labor y su apoyo.</w:t>
      </w:r>
    </w:p>
    <w:p w14:paraId="07B139B2" w14:textId="06013DB6" w:rsidR="00B759DE" w:rsidRPr="00D15565" w:rsidRDefault="005A56C1" w:rsidP="002138B4">
      <w:pPr>
        <w:rPr>
          <w:lang w:val="es-ES_tradnl"/>
        </w:rPr>
      </w:pPr>
      <w:r w:rsidRPr="00D15565">
        <w:rPr>
          <w:lang w:val="es-ES_tradnl"/>
        </w:rPr>
        <w:t>Los participantes de la RP</w:t>
      </w:r>
      <w:r w:rsidR="002138B4" w:rsidRPr="00D15565">
        <w:rPr>
          <w:lang w:val="es-ES_tradnl"/>
        </w:rPr>
        <w:t>R</w:t>
      </w:r>
      <w:r w:rsidRPr="00D15565">
        <w:rPr>
          <w:lang w:val="es-ES_tradnl"/>
        </w:rPr>
        <w:t>-C</w:t>
      </w:r>
      <w:r w:rsidR="002138B4" w:rsidRPr="00D15565">
        <w:rPr>
          <w:lang w:val="es-ES_tradnl"/>
        </w:rPr>
        <w:t>E</w:t>
      </w:r>
      <w:r w:rsidRPr="00D15565">
        <w:rPr>
          <w:lang w:val="es-ES_tradnl"/>
        </w:rPr>
        <w:t xml:space="preserve">I </w:t>
      </w:r>
      <w:r w:rsidR="002138B4" w:rsidRPr="00D15565">
        <w:rPr>
          <w:lang w:val="es-ES_tradnl"/>
        </w:rPr>
        <w:t>dieron las gracias</w:t>
      </w:r>
      <w:r w:rsidRPr="00D15565">
        <w:rPr>
          <w:lang w:val="es-ES_tradnl"/>
        </w:rPr>
        <w:t xml:space="preserve"> al Presidente y al Vicepresidente</w:t>
      </w:r>
      <w:r w:rsidR="002138B4" w:rsidRPr="00D15565">
        <w:rPr>
          <w:lang w:val="es-ES_tradnl"/>
        </w:rPr>
        <w:t xml:space="preserve"> por </w:t>
      </w:r>
      <w:r w:rsidRPr="00D15565">
        <w:rPr>
          <w:lang w:val="es-ES_tradnl"/>
        </w:rPr>
        <w:t>su eficaz liderazgo y a la secretaría de la BDT</w:t>
      </w:r>
      <w:r w:rsidR="002138B4" w:rsidRPr="00D15565">
        <w:rPr>
          <w:lang w:val="es-ES_tradnl"/>
        </w:rPr>
        <w:t xml:space="preserve"> por</w:t>
      </w:r>
      <w:r w:rsidRPr="00D15565">
        <w:rPr>
          <w:lang w:val="es-ES_tradnl"/>
        </w:rPr>
        <w:t xml:space="preserve"> la excelente organización de la reunión y el apoyo técnico</w:t>
      </w:r>
      <w:r w:rsidR="002138B4" w:rsidRPr="00D15565">
        <w:rPr>
          <w:lang w:val="es-ES_tradnl"/>
        </w:rPr>
        <w:t xml:space="preserve"> brindado</w:t>
      </w:r>
      <w:r w:rsidRPr="00D15565">
        <w:rPr>
          <w:lang w:val="es-ES_tradnl"/>
        </w:rPr>
        <w:t>.</w:t>
      </w:r>
    </w:p>
    <w:p w14:paraId="4D8D3436" w14:textId="0A467D71" w:rsidR="00E569AE" w:rsidRPr="00D15565" w:rsidRDefault="005A56C1" w:rsidP="00E569AE">
      <w:pPr>
        <w:spacing w:before="840"/>
        <w:rPr>
          <w:lang w:val="es-ES_tradnl"/>
        </w:rPr>
      </w:pPr>
      <w:r w:rsidRPr="00D15565">
        <w:rPr>
          <w:lang w:val="es-ES_tradnl"/>
        </w:rPr>
        <w:t>Sr.</w:t>
      </w:r>
      <w:r w:rsidR="00B759DE" w:rsidRPr="00D15565">
        <w:rPr>
          <w:lang w:val="es-ES_tradnl"/>
        </w:rPr>
        <w:t xml:space="preserve"> Ra</w:t>
      </w:r>
      <w:r w:rsidR="00E31F48" w:rsidRPr="00D15565">
        <w:rPr>
          <w:lang w:val="es-ES_tradnl"/>
        </w:rPr>
        <w:t>s</w:t>
      </w:r>
      <w:r w:rsidR="00B759DE" w:rsidRPr="00D15565">
        <w:rPr>
          <w:lang w:val="es-ES_tradnl"/>
        </w:rPr>
        <w:t xml:space="preserve">hid Ismailov </w:t>
      </w:r>
      <w:r w:rsidR="00B759DE" w:rsidRPr="00D15565">
        <w:rPr>
          <w:lang w:val="es-ES_tradnl"/>
        </w:rPr>
        <w:br/>
      </w:r>
      <w:r w:rsidRPr="00D15565">
        <w:rPr>
          <w:lang w:val="es-ES_tradnl"/>
        </w:rPr>
        <w:t>Presidente</w:t>
      </w:r>
      <w:r w:rsidR="00B759DE" w:rsidRPr="00D15565">
        <w:rPr>
          <w:lang w:val="es-ES_tradnl"/>
        </w:rPr>
        <w:br/>
        <w:t xml:space="preserve">22 </w:t>
      </w:r>
      <w:r w:rsidRPr="00D15565">
        <w:rPr>
          <w:lang w:val="es-ES_tradnl"/>
        </w:rPr>
        <w:t>de abril</w:t>
      </w:r>
      <w:r w:rsidR="00B759DE" w:rsidRPr="00D15565">
        <w:rPr>
          <w:lang w:val="es-ES_tradnl"/>
        </w:rPr>
        <w:t xml:space="preserve"> 2021</w:t>
      </w:r>
    </w:p>
    <w:p w14:paraId="7CB63BB1" w14:textId="77777777" w:rsidR="00E569AE" w:rsidRPr="00D15565" w:rsidRDefault="00E569AE" w:rsidP="009C7357">
      <w:pPr>
        <w:rPr>
          <w:lang w:val="es-ES_tradnl"/>
        </w:rPr>
      </w:pPr>
    </w:p>
    <w:p w14:paraId="6DE6B57A" w14:textId="3D18D528" w:rsidR="00B759DE" w:rsidRPr="00D15565" w:rsidRDefault="00B759DE" w:rsidP="009C7357">
      <w:pPr>
        <w:rPr>
          <w:lang w:val="es-ES_tradnl"/>
        </w:rPr>
      </w:pPr>
      <w:r w:rsidRPr="00D15565">
        <w:rPr>
          <w:lang w:val="es-ES_tradnl"/>
        </w:rPr>
        <w:br w:type="page"/>
      </w:r>
    </w:p>
    <w:p w14:paraId="054F5F66" w14:textId="3EF4287E" w:rsidR="00B759DE" w:rsidRPr="00D15565" w:rsidRDefault="00B377DD" w:rsidP="009C7357">
      <w:pPr>
        <w:pStyle w:val="Annextitle"/>
        <w:rPr>
          <w:b w:val="0"/>
          <w:bCs/>
          <w:lang w:val="es-ES_tradnl"/>
        </w:rPr>
      </w:pPr>
      <w:r w:rsidRPr="00D15565">
        <w:rPr>
          <w:lang w:val="es-ES_tradnl"/>
        </w:rPr>
        <w:lastRenderedPageBreak/>
        <w:t>Anex</w:t>
      </w:r>
      <w:r w:rsidR="002E29FE" w:rsidRPr="00D15565">
        <w:rPr>
          <w:lang w:val="es-ES_tradnl"/>
        </w:rPr>
        <w:t>o</w:t>
      </w:r>
      <w:r w:rsidR="009C7357" w:rsidRPr="00D15565">
        <w:rPr>
          <w:lang w:val="es-ES_tradnl"/>
        </w:rPr>
        <w:br/>
      </w:r>
      <w:r w:rsidR="009C7357" w:rsidRPr="00D15565">
        <w:rPr>
          <w:lang w:val="es-ES_tradnl"/>
        </w:rPr>
        <w:br/>
      </w:r>
      <w:r w:rsidR="002E29FE" w:rsidRPr="00D15565">
        <w:rPr>
          <w:bCs/>
          <w:lang w:val="es-ES_tradnl"/>
        </w:rPr>
        <w:t>PROYECTO DE INICIATIVAS REGIONALES DE LA CEI (2022-2025)</w:t>
      </w:r>
    </w:p>
    <w:tbl>
      <w:tblPr>
        <w:tblStyle w:val="TableGrid"/>
        <w:tblW w:w="9634" w:type="dxa"/>
        <w:tblLook w:val="04A0" w:firstRow="1" w:lastRow="0" w:firstColumn="1" w:lastColumn="0" w:noHBand="0" w:noVBand="1"/>
      </w:tblPr>
      <w:tblGrid>
        <w:gridCol w:w="9634"/>
      </w:tblGrid>
      <w:tr w:rsidR="00B759DE" w:rsidRPr="005C665F" w14:paraId="3F484BAD" w14:textId="77777777" w:rsidTr="004448F8">
        <w:trPr>
          <w:tblHeader/>
        </w:trPr>
        <w:tc>
          <w:tcPr>
            <w:tcW w:w="9634" w:type="dxa"/>
          </w:tcPr>
          <w:p w14:paraId="510B7304" w14:textId="47527C28" w:rsidR="00B759DE" w:rsidRPr="00D15565" w:rsidRDefault="00B759DE" w:rsidP="00712E2F">
            <w:pPr>
              <w:rPr>
                <w:b/>
                <w:szCs w:val="24"/>
                <w:lang w:val="es-ES_tradnl"/>
              </w:rPr>
            </w:pPr>
            <w:bookmarkStart w:id="18" w:name="_Hlk67559803"/>
            <w:r w:rsidRPr="00D15565">
              <w:rPr>
                <w:b/>
                <w:szCs w:val="24"/>
                <w:lang w:val="es-ES_tradnl"/>
              </w:rPr>
              <w:t>(</w:t>
            </w:r>
            <w:r w:rsidR="002E29FE" w:rsidRPr="00D15565">
              <w:rPr>
                <w:b/>
                <w:szCs w:val="24"/>
                <w:lang w:val="es-ES_tradnl"/>
              </w:rPr>
              <w:t>Proyecto de</w:t>
            </w:r>
            <w:r w:rsidRPr="00D15565">
              <w:rPr>
                <w:b/>
                <w:szCs w:val="24"/>
                <w:lang w:val="es-ES_tradnl"/>
              </w:rPr>
              <w:t xml:space="preserve">) </w:t>
            </w:r>
            <w:r w:rsidR="002E29FE" w:rsidRPr="00D15565">
              <w:rPr>
                <w:b/>
                <w:szCs w:val="24"/>
                <w:lang w:val="es-ES_tradnl"/>
              </w:rPr>
              <w:t xml:space="preserve">Iniciativas regionales de la CEI </w:t>
            </w:r>
            <w:r w:rsidRPr="00D15565">
              <w:rPr>
                <w:b/>
                <w:szCs w:val="24"/>
                <w:lang w:val="es-ES_tradnl"/>
              </w:rPr>
              <w:t>(2022-2025)</w:t>
            </w:r>
          </w:p>
        </w:tc>
      </w:tr>
      <w:tr w:rsidR="00B759DE" w:rsidRPr="005C665F" w14:paraId="62A9A197" w14:textId="77777777" w:rsidTr="004448F8">
        <w:trPr>
          <w:trHeight w:val="6498"/>
        </w:trPr>
        <w:tc>
          <w:tcPr>
            <w:tcW w:w="9634" w:type="dxa"/>
          </w:tcPr>
          <w:p w14:paraId="230EE748" w14:textId="42EF082C" w:rsidR="0015290A" w:rsidRPr="00D15565" w:rsidRDefault="00B759DE" w:rsidP="008F0EB2">
            <w:pPr>
              <w:rPr>
                <w:bCs/>
                <w:szCs w:val="24"/>
                <w:lang w:val="es-ES_tradnl"/>
              </w:rPr>
            </w:pPr>
            <w:bookmarkStart w:id="19" w:name="_Hlk70328981"/>
            <w:r w:rsidRPr="00D15565">
              <w:rPr>
                <w:b/>
                <w:bCs/>
                <w:szCs w:val="24"/>
                <w:lang w:val="es-ES_tradnl"/>
              </w:rPr>
              <w:t>CIS1</w:t>
            </w:r>
            <w:r w:rsidRPr="00D15565">
              <w:rPr>
                <w:bCs/>
                <w:szCs w:val="24"/>
                <w:lang w:val="es-ES_tradnl"/>
              </w:rPr>
              <w:t xml:space="preserve">: </w:t>
            </w:r>
            <w:r w:rsidR="0015290A" w:rsidRPr="00D15565">
              <w:rPr>
                <w:bCs/>
                <w:szCs w:val="24"/>
                <w:lang w:val="es-ES_tradnl"/>
              </w:rPr>
              <w:t xml:space="preserve">Desarrollo de infraestructuras para fomentar la innovación y la creación de asociaciones a efectos de la implementación de nuevas tecnologías, </w:t>
            </w:r>
            <w:r w:rsidR="008F0EB2" w:rsidRPr="00D15565">
              <w:rPr>
                <w:bCs/>
                <w:szCs w:val="24"/>
                <w:lang w:val="es-ES_tradnl"/>
              </w:rPr>
              <w:t>en particular la IoT, incluida la Internet industrial, las redes de próxima generación 5G/IMT-2020 y NET-2030, las tecnologías cuánticas, la inteligencia artificial, la salud digital, la educación digital, la protección del medio ambiente, las ciudades inteligentes, las competencias digitales, etc.</w:t>
            </w:r>
          </w:p>
          <w:p w14:paraId="3D58A765" w14:textId="131423C4" w:rsidR="00B759DE" w:rsidRPr="00D15565" w:rsidRDefault="002E29FE" w:rsidP="00CC0F00">
            <w:pPr>
              <w:rPr>
                <w:bCs/>
                <w:szCs w:val="24"/>
                <w:lang w:val="es-ES_tradnl"/>
              </w:rPr>
            </w:pPr>
            <w:r w:rsidRPr="00D15565">
              <w:rPr>
                <w:b/>
                <w:bCs/>
                <w:szCs w:val="24"/>
                <w:lang w:val="es-ES_tradnl"/>
              </w:rPr>
              <w:t xml:space="preserve">Objetivo: </w:t>
            </w:r>
            <w:r w:rsidR="00CC0F00" w:rsidRPr="00D15565">
              <w:rPr>
                <w:szCs w:val="24"/>
                <w:lang w:val="es-ES_tradnl"/>
              </w:rPr>
              <w:t xml:space="preserve">Prestar asistencia a los Estados Miembros de la UIT procedentes de la región en </w:t>
            </w:r>
            <w:r w:rsidRPr="00D15565">
              <w:rPr>
                <w:szCs w:val="24"/>
                <w:lang w:val="es-ES_tradnl"/>
              </w:rPr>
              <w:t xml:space="preserve">la adopción </w:t>
            </w:r>
            <w:r w:rsidR="00CC0F00" w:rsidRPr="00D15565">
              <w:rPr>
                <w:szCs w:val="24"/>
                <w:lang w:val="es-ES_tradnl"/>
              </w:rPr>
              <w:t xml:space="preserve">de tecnologías innovadoras </w:t>
            </w:r>
            <w:r w:rsidRPr="00D15565">
              <w:rPr>
                <w:szCs w:val="24"/>
                <w:lang w:val="es-ES_tradnl"/>
              </w:rPr>
              <w:t>por parte de los operadores de telecomunicaciones (</w:t>
            </w:r>
            <w:r w:rsidR="003005BC" w:rsidRPr="00D15565">
              <w:rPr>
                <w:szCs w:val="24"/>
                <w:lang w:val="es-ES_tradnl"/>
              </w:rPr>
              <w:t xml:space="preserve">y </w:t>
            </w:r>
            <w:r w:rsidRPr="00D15565">
              <w:rPr>
                <w:szCs w:val="24"/>
                <w:lang w:val="es-ES_tradnl"/>
              </w:rPr>
              <w:t>en su introducción como nuevos servicios), garantizando al mismo tiempo la estabilidad y la mejora de</w:t>
            </w:r>
            <w:r w:rsidR="003005BC" w:rsidRPr="00D15565">
              <w:rPr>
                <w:szCs w:val="24"/>
                <w:lang w:val="es-ES_tradnl"/>
              </w:rPr>
              <w:t xml:space="preserve"> </w:t>
            </w:r>
            <w:r w:rsidRPr="00D15565">
              <w:rPr>
                <w:szCs w:val="24"/>
                <w:lang w:val="es-ES_tradnl"/>
              </w:rPr>
              <w:t>l</w:t>
            </w:r>
            <w:r w:rsidR="003005BC" w:rsidRPr="00D15565">
              <w:rPr>
                <w:szCs w:val="24"/>
                <w:lang w:val="es-ES_tradnl"/>
              </w:rPr>
              <w:t xml:space="preserve">a calidad de funcionamiento </w:t>
            </w:r>
            <w:r w:rsidRPr="00D15565">
              <w:rPr>
                <w:szCs w:val="24"/>
                <w:lang w:val="es-ES_tradnl"/>
              </w:rPr>
              <w:t xml:space="preserve">de las redes de telecomunicaciones, incluidas las redes de próxima generación 5G/IMT-2020 y NET-2030, en el contexto de la aplicación ubicua del concepto y las tecnologías de la Internet de </w:t>
            </w:r>
            <w:r w:rsidR="003005BC" w:rsidRPr="00D15565">
              <w:rPr>
                <w:szCs w:val="24"/>
                <w:lang w:val="es-ES_tradnl"/>
              </w:rPr>
              <w:t>las cosas</w:t>
            </w:r>
            <w:r w:rsidRPr="00D15565">
              <w:rPr>
                <w:szCs w:val="24"/>
                <w:lang w:val="es-ES_tradnl"/>
              </w:rPr>
              <w:t>, la Internet industrial, las tecnologías cuánticas, la inteligencia artificial, la salud digital, la educación digital, la protección del medio ambiente, las ciudades inteligentes, las competencias digitales, etc.</w:t>
            </w:r>
          </w:p>
          <w:p w14:paraId="0D1AA61C" w14:textId="51E53B7C" w:rsidR="00B759DE" w:rsidRPr="00D15565" w:rsidRDefault="002E29FE" w:rsidP="002E29FE">
            <w:pPr>
              <w:rPr>
                <w:b/>
                <w:bCs/>
                <w:szCs w:val="24"/>
                <w:lang w:val="es-ES_tradnl"/>
              </w:rPr>
            </w:pPr>
            <w:r w:rsidRPr="00D15565">
              <w:rPr>
                <w:b/>
                <w:bCs/>
                <w:szCs w:val="24"/>
                <w:lang w:val="es-ES_tradnl"/>
              </w:rPr>
              <w:t>Resultados previstos</w:t>
            </w:r>
            <w:r w:rsidR="00B759DE" w:rsidRPr="00D15565">
              <w:rPr>
                <w:b/>
                <w:bCs/>
                <w:szCs w:val="24"/>
                <w:lang w:val="es-ES_tradnl"/>
              </w:rPr>
              <w:t>:</w:t>
            </w:r>
          </w:p>
          <w:p w14:paraId="52634089" w14:textId="2A7AD6DA" w:rsidR="00B759DE" w:rsidRPr="00D15565" w:rsidRDefault="003005BC" w:rsidP="003005BC">
            <w:pPr>
              <w:numPr>
                <w:ilvl w:val="0"/>
                <w:numId w:val="5"/>
              </w:numPr>
              <w:rPr>
                <w:szCs w:val="24"/>
                <w:lang w:val="es-ES_tradnl"/>
              </w:rPr>
            </w:pPr>
            <w:r w:rsidRPr="00D15565">
              <w:rPr>
                <w:szCs w:val="24"/>
                <w:lang w:val="es-ES_tradnl"/>
              </w:rPr>
              <w:t xml:space="preserve">elaboración </w:t>
            </w:r>
            <w:r w:rsidR="002E29FE" w:rsidRPr="00D15565">
              <w:rPr>
                <w:szCs w:val="24"/>
                <w:lang w:val="es-ES_tradnl"/>
              </w:rPr>
              <w:t>de recomendaciones sobre nuevas tecnologías;</w:t>
            </w:r>
          </w:p>
          <w:p w14:paraId="32F2653E" w14:textId="571C63B8" w:rsidR="002E29FE" w:rsidRPr="00D15565" w:rsidRDefault="003005BC" w:rsidP="00712E2F">
            <w:pPr>
              <w:numPr>
                <w:ilvl w:val="0"/>
                <w:numId w:val="5"/>
              </w:numPr>
              <w:rPr>
                <w:szCs w:val="24"/>
                <w:lang w:val="es-ES_tradnl"/>
              </w:rPr>
            </w:pPr>
            <w:r w:rsidRPr="00D15565">
              <w:rPr>
                <w:szCs w:val="24"/>
                <w:lang w:val="es-ES_tradnl"/>
              </w:rPr>
              <w:t xml:space="preserve">creación </w:t>
            </w:r>
            <w:r w:rsidR="002E29FE" w:rsidRPr="00D15565">
              <w:rPr>
                <w:szCs w:val="24"/>
                <w:lang w:val="es-ES_tradnl"/>
              </w:rPr>
              <w:t xml:space="preserve">de infraestructuras de telecomunicaciones/TIC para fomentar la innovación y las asociaciones </w:t>
            </w:r>
            <w:r w:rsidRPr="00D15565">
              <w:rPr>
                <w:szCs w:val="24"/>
                <w:lang w:val="es-ES_tradnl"/>
              </w:rPr>
              <w:t>a efectos de la implementación</w:t>
            </w:r>
            <w:r w:rsidR="002E29FE" w:rsidRPr="00D15565">
              <w:rPr>
                <w:szCs w:val="24"/>
                <w:lang w:val="es-ES_tradnl"/>
              </w:rPr>
              <w:t xml:space="preserve"> de nuevas tecnologías; </w:t>
            </w:r>
          </w:p>
          <w:p w14:paraId="2102CD68" w14:textId="5A370F61" w:rsidR="00B759DE" w:rsidRPr="00D15565" w:rsidRDefault="003005BC" w:rsidP="003005BC">
            <w:pPr>
              <w:numPr>
                <w:ilvl w:val="0"/>
                <w:numId w:val="5"/>
              </w:numPr>
              <w:rPr>
                <w:szCs w:val="24"/>
                <w:lang w:val="es-ES_tradnl"/>
              </w:rPr>
            </w:pPr>
            <w:r w:rsidRPr="00D15565">
              <w:rPr>
                <w:szCs w:val="24"/>
                <w:lang w:val="es-ES_tradnl"/>
              </w:rPr>
              <w:t xml:space="preserve">aumento </w:t>
            </w:r>
            <w:r w:rsidR="002E29FE" w:rsidRPr="00D15565">
              <w:rPr>
                <w:szCs w:val="24"/>
                <w:lang w:val="es-ES_tradnl"/>
              </w:rPr>
              <w:t>del nivel tecnológico de las organizaciones que desarrollan soluciones y del nivel general de bienestar de la población de la región;</w:t>
            </w:r>
          </w:p>
          <w:p w14:paraId="684F59C4" w14:textId="0A0F4A3C" w:rsidR="002E29FE" w:rsidRPr="00D15565" w:rsidRDefault="003005BC" w:rsidP="004E2842">
            <w:pPr>
              <w:numPr>
                <w:ilvl w:val="0"/>
                <w:numId w:val="5"/>
              </w:numPr>
              <w:rPr>
                <w:szCs w:val="24"/>
                <w:lang w:val="es-ES_tradnl"/>
              </w:rPr>
            </w:pPr>
            <w:r w:rsidRPr="00D15565">
              <w:rPr>
                <w:szCs w:val="24"/>
                <w:lang w:val="es-ES_tradnl"/>
              </w:rPr>
              <w:t xml:space="preserve">desarrollo </w:t>
            </w:r>
            <w:r w:rsidR="002E29FE" w:rsidRPr="00D15565">
              <w:rPr>
                <w:szCs w:val="24"/>
                <w:lang w:val="es-ES_tradnl"/>
              </w:rPr>
              <w:t xml:space="preserve">de recomendaciones para la </w:t>
            </w:r>
            <w:r w:rsidRPr="00D15565">
              <w:rPr>
                <w:szCs w:val="24"/>
                <w:lang w:val="es-ES_tradnl"/>
              </w:rPr>
              <w:t>medición de los parámetros de transmisión de los datos digitales a través de canales de comunicación, Internet y redes de telefonía en el contexto de los sistemas de comunicación presentes y futuros</w:t>
            </w:r>
            <w:r w:rsidR="002E29FE" w:rsidRPr="00D15565">
              <w:rPr>
                <w:szCs w:val="24"/>
                <w:lang w:val="es-ES_tradnl"/>
              </w:rPr>
              <w:t xml:space="preserve">, </w:t>
            </w:r>
            <w:r w:rsidR="00442528" w:rsidRPr="00D15565">
              <w:rPr>
                <w:szCs w:val="24"/>
                <w:lang w:val="es-ES_tradnl"/>
              </w:rPr>
              <w:t>velando por</w:t>
            </w:r>
            <w:r w:rsidR="002E29FE" w:rsidRPr="00D15565">
              <w:rPr>
                <w:szCs w:val="24"/>
                <w:lang w:val="es-ES_tradnl"/>
              </w:rPr>
              <w:t xml:space="preserve"> que los resultados del seguimiento</w:t>
            </w:r>
            <w:r w:rsidR="002B2F54" w:rsidRPr="00D15565">
              <w:rPr>
                <w:szCs w:val="24"/>
                <w:lang w:val="es-ES_tradnl"/>
              </w:rPr>
              <w:t xml:space="preserve"> puedan reproducirse </w:t>
            </w:r>
            <w:r w:rsidR="002E29FE" w:rsidRPr="00D15565">
              <w:rPr>
                <w:szCs w:val="24"/>
                <w:lang w:val="es-ES_tradnl"/>
              </w:rPr>
              <w:t>y rastrea</w:t>
            </w:r>
            <w:r w:rsidR="002B2F54" w:rsidRPr="00D15565">
              <w:rPr>
                <w:szCs w:val="24"/>
                <w:lang w:val="es-ES_tradnl"/>
              </w:rPr>
              <w:t>rse</w:t>
            </w:r>
            <w:r w:rsidR="002E29FE" w:rsidRPr="00D15565">
              <w:rPr>
                <w:szCs w:val="24"/>
                <w:lang w:val="es-ES_tradnl"/>
              </w:rPr>
              <w:t xml:space="preserve">; </w:t>
            </w:r>
            <w:r w:rsidR="00442528" w:rsidRPr="00D15565">
              <w:rPr>
                <w:szCs w:val="24"/>
                <w:lang w:val="es-ES_tradnl"/>
              </w:rPr>
              <w:t>y</w:t>
            </w:r>
          </w:p>
          <w:p w14:paraId="18E9F6B1" w14:textId="3F5BF511" w:rsidR="00B759DE" w:rsidRPr="00D15565" w:rsidRDefault="00442528" w:rsidP="00442528">
            <w:pPr>
              <w:numPr>
                <w:ilvl w:val="0"/>
                <w:numId w:val="5"/>
              </w:numPr>
              <w:rPr>
                <w:szCs w:val="24"/>
                <w:lang w:val="es-ES_tradnl"/>
              </w:rPr>
            </w:pPr>
            <w:r w:rsidRPr="00D15565">
              <w:rPr>
                <w:szCs w:val="24"/>
                <w:lang w:val="es-ES_tradnl"/>
              </w:rPr>
              <w:t xml:space="preserve">reducción </w:t>
            </w:r>
            <w:r w:rsidR="002E29FE" w:rsidRPr="00D15565">
              <w:rPr>
                <w:szCs w:val="24"/>
                <w:lang w:val="es-ES_tradnl"/>
              </w:rPr>
              <w:t>de la brecha digital en los países de la región de la CEI.</w:t>
            </w:r>
          </w:p>
        </w:tc>
      </w:tr>
      <w:tr w:rsidR="00B759DE" w:rsidRPr="005C665F" w14:paraId="677BB817" w14:textId="77777777" w:rsidTr="004448F8">
        <w:trPr>
          <w:trHeight w:val="586"/>
        </w:trPr>
        <w:tc>
          <w:tcPr>
            <w:tcW w:w="9634" w:type="dxa"/>
            <w:vMerge w:val="restart"/>
          </w:tcPr>
          <w:p w14:paraId="20A90E06" w14:textId="6A62FD70" w:rsidR="00B759DE" w:rsidRPr="00D15565" w:rsidRDefault="00B759DE" w:rsidP="00442528">
            <w:pPr>
              <w:rPr>
                <w:rFonts w:ascii="Calibri" w:hAnsi="Calibri" w:cs="Calibri"/>
                <w:b/>
                <w:color w:val="800000"/>
                <w:sz w:val="22"/>
                <w:szCs w:val="24"/>
                <w:lang w:val="es-ES_tradnl"/>
              </w:rPr>
            </w:pPr>
            <w:r w:rsidRPr="00D15565">
              <w:rPr>
                <w:b/>
                <w:bCs/>
                <w:szCs w:val="24"/>
                <w:lang w:val="es-ES_tradnl"/>
              </w:rPr>
              <w:t xml:space="preserve">CIS2: </w:t>
            </w:r>
            <w:r w:rsidR="00442528" w:rsidRPr="00D15565">
              <w:rPr>
                <w:szCs w:val="24"/>
                <w:lang w:val="es-ES_tradnl"/>
              </w:rPr>
              <w:t>Ciberseguridad y protección de los datos personales</w:t>
            </w:r>
            <w:r w:rsidR="001161D2" w:rsidRPr="00D15565">
              <w:rPr>
                <w:szCs w:val="24"/>
                <w:lang w:val="es-ES_tradnl"/>
              </w:rPr>
              <w:t>.</w:t>
            </w:r>
            <w:r w:rsidR="00AE4C97" w:rsidRPr="00D15565">
              <w:rPr>
                <w:rFonts w:ascii="Calibri" w:hAnsi="Calibri" w:cs="Calibri"/>
                <w:b/>
                <w:color w:val="800000"/>
                <w:sz w:val="22"/>
                <w:szCs w:val="24"/>
                <w:lang w:val="es-ES_tradnl"/>
              </w:rPr>
              <w:t xml:space="preserve"> </w:t>
            </w:r>
          </w:p>
          <w:p w14:paraId="50A98518" w14:textId="2692903F" w:rsidR="002E29FE" w:rsidRPr="00D15565" w:rsidRDefault="002E29FE" w:rsidP="00712E2F">
            <w:pPr>
              <w:rPr>
                <w:b/>
                <w:bCs/>
                <w:szCs w:val="24"/>
                <w:lang w:val="es-ES_tradnl"/>
              </w:rPr>
            </w:pPr>
            <w:r w:rsidRPr="00D15565">
              <w:rPr>
                <w:b/>
                <w:bCs/>
                <w:szCs w:val="24"/>
                <w:lang w:val="es-ES_tradnl"/>
              </w:rPr>
              <w:t xml:space="preserve">Objetivo: </w:t>
            </w:r>
            <w:r w:rsidRPr="00D15565">
              <w:rPr>
                <w:szCs w:val="24"/>
                <w:lang w:val="es-ES_tradnl"/>
              </w:rPr>
              <w:t xml:space="preserve">Prestar asistencia a los Estados Miembros de la UIT </w:t>
            </w:r>
            <w:r w:rsidR="00047242" w:rsidRPr="00D15565">
              <w:rPr>
                <w:szCs w:val="24"/>
                <w:lang w:val="es-ES_tradnl"/>
              </w:rPr>
              <w:t xml:space="preserve">procedentes de la región </w:t>
            </w:r>
            <w:r w:rsidRPr="00D15565">
              <w:rPr>
                <w:szCs w:val="24"/>
                <w:lang w:val="es-ES_tradnl"/>
              </w:rPr>
              <w:t>en el desarrollo y</w:t>
            </w:r>
            <w:r w:rsidR="00047242" w:rsidRPr="00D15565">
              <w:rPr>
                <w:szCs w:val="24"/>
                <w:lang w:val="es-ES_tradnl"/>
              </w:rPr>
              <w:t xml:space="preserve"> el</w:t>
            </w:r>
            <w:r w:rsidRPr="00D15565">
              <w:rPr>
                <w:szCs w:val="24"/>
                <w:lang w:val="es-ES_tradnl"/>
              </w:rPr>
              <w:t xml:space="preserve"> mantenimiento de redes y servicios digitales seguros, fiables y estables</w:t>
            </w:r>
            <w:r w:rsidR="002B2F54" w:rsidRPr="00D15565">
              <w:rPr>
                <w:szCs w:val="24"/>
                <w:lang w:val="es-ES_tradnl"/>
              </w:rPr>
              <w:t>, así como</w:t>
            </w:r>
            <w:r w:rsidRPr="00D15565">
              <w:rPr>
                <w:szCs w:val="24"/>
                <w:lang w:val="es-ES_tradnl"/>
              </w:rPr>
              <w:t xml:space="preserve"> en la resolución de</w:t>
            </w:r>
            <w:r w:rsidR="00047242" w:rsidRPr="00D15565">
              <w:rPr>
                <w:szCs w:val="24"/>
                <w:lang w:val="es-ES_tradnl"/>
              </w:rPr>
              <w:t xml:space="preserve"> los</w:t>
            </w:r>
            <w:r w:rsidRPr="00D15565">
              <w:rPr>
                <w:szCs w:val="24"/>
                <w:lang w:val="es-ES_tradnl"/>
              </w:rPr>
              <w:t xml:space="preserve"> problemas relacionados con la protección de</w:t>
            </w:r>
            <w:r w:rsidR="00047242" w:rsidRPr="00D15565">
              <w:rPr>
                <w:szCs w:val="24"/>
                <w:lang w:val="es-ES_tradnl"/>
              </w:rPr>
              <w:t xml:space="preserve"> los</w:t>
            </w:r>
            <w:r w:rsidRPr="00D15565">
              <w:rPr>
                <w:szCs w:val="24"/>
                <w:lang w:val="es-ES_tradnl"/>
              </w:rPr>
              <w:t xml:space="preserve"> datos personales.</w:t>
            </w:r>
            <w:r w:rsidRPr="00D15565">
              <w:rPr>
                <w:b/>
                <w:bCs/>
                <w:szCs w:val="24"/>
                <w:lang w:val="es-ES_tradnl"/>
              </w:rPr>
              <w:t xml:space="preserve"> </w:t>
            </w:r>
          </w:p>
          <w:p w14:paraId="5F22B50C" w14:textId="04EB62FE" w:rsidR="00B759DE" w:rsidRPr="00D15565" w:rsidRDefault="002E29FE" w:rsidP="002E29FE">
            <w:pPr>
              <w:rPr>
                <w:b/>
                <w:bCs/>
                <w:szCs w:val="24"/>
                <w:lang w:val="es-ES_tradnl"/>
              </w:rPr>
            </w:pPr>
            <w:r w:rsidRPr="00D15565">
              <w:rPr>
                <w:b/>
                <w:bCs/>
                <w:szCs w:val="24"/>
                <w:lang w:val="es-ES_tradnl"/>
              </w:rPr>
              <w:t>Resultados previstos</w:t>
            </w:r>
            <w:r w:rsidR="00B759DE" w:rsidRPr="00D15565">
              <w:rPr>
                <w:b/>
                <w:bCs/>
                <w:szCs w:val="24"/>
                <w:lang w:val="es-ES_tradnl"/>
              </w:rPr>
              <w:t>:</w:t>
            </w:r>
          </w:p>
          <w:p w14:paraId="51887E80" w14:textId="0E78FDB7" w:rsidR="00B759DE" w:rsidRPr="00D15565" w:rsidRDefault="00047242" w:rsidP="00047242">
            <w:pPr>
              <w:numPr>
                <w:ilvl w:val="0"/>
                <w:numId w:val="7"/>
              </w:numPr>
              <w:rPr>
                <w:szCs w:val="24"/>
                <w:lang w:val="es-ES_tradnl"/>
              </w:rPr>
            </w:pPr>
            <w:r w:rsidRPr="00D15565">
              <w:rPr>
                <w:szCs w:val="24"/>
                <w:lang w:val="es-ES_tradnl"/>
              </w:rPr>
              <w:t>creación de</w:t>
            </w:r>
            <w:r w:rsidR="002E29FE" w:rsidRPr="00D15565">
              <w:rPr>
                <w:szCs w:val="24"/>
                <w:lang w:val="es-ES_tradnl"/>
              </w:rPr>
              <w:t xml:space="preserve"> equipos </w:t>
            </w:r>
            <w:r w:rsidR="002B2F54" w:rsidRPr="00D15565">
              <w:rPr>
                <w:szCs w:val="24"/>
                <w:lang w:val="es-ES_tradnl"/>
              </w:rPr>
              <w:t>de intervención en caso de incidente informático</w:t>
            </w:r>
            <w:r w:rsidRPr="00D15565">
              <w:rPr>
                <w:szCs w:val="24"/>
                <w:lang w:val="es-ES_tradnl"/>
              </w:rPr>
              <w:t xml:space="preserve"> (</w:t>
            </w:r>
            <w:r w:rsidR="002B2F54" w:rsidRPr="00D15565">
              <w:rPr>
                <w:szCs w:val="24"/>
                <w:lang w:val="es-ES_tradnl"/>
              </w:rPr>
              <w:t>EIII</w:t>
            </w:r>
            <w:r w:rsidR="002E29FE" w:rsidRPr="00D15565">
              <w:rPr>
                <w:szCs w:val="24"/>
                <w:lang w:val="es-ES_tradnl"/>
              </w:rPr>
              <w:t>)</w:t>
            </w:r>
            <w:r w:rsidR="002B2F54" w:rsidRPr="00D15565">
              <w:rPr>
                <w:szCs w:val="24"/>
                <w:lang w:val="es-ES_tradnl"/>
              </w:rPr>
              <w:t xml:space="preserve"> a escala</w:t>
            </w:r>
            <w:r w:rsidRPr="00D15565">
              <w:rPr>
                <w:szCs w:val="24"/>
                <w:lang w:val="es-ES_tradnl"/>
              </w:rPr>
              <w:t xml:space="preserve"> </w:t>
            </w:r>
            <w:r w:rsidR="002B2F54" w:rsidRPr="00D15565">
              <w:rPr>
                <w:szCs w:val="24"/>
                <w:lang w:val="es-ES_tradnl"/>
              </w:rPr>
              <w:t xml:space="preserve">nacional </w:t>
            </w:r>
            <w:r w:rsidRPr="00D15565">
              <w:rPr>
                <w:szCs w:val="24"/>
                <w:lang w:val="es-ES_tradnl"/>
              </w:rPr>
              <w:t>y mejora de los existentes</w:t>
            </w:r>
            <w:r w:rsidR="002E29FE" w:rsidRPr="00D15565">
              <w:rPr>
                <w:szCs w:val="24"/>
                <w:lang w:val="es-ES_tradnl"/>
              </w:rPr>
              <w:t>;</w:t>
            </w:r>
          </w:p>
          <w:p w14:paraId="30F0F951" w14:textId="7AFFF9DE" w:rsidR="002E29FE" w:rsidRPr="00D15565" w:rsidRDefault="00047242" w:rsidP="00712E2F">
            <w:pPr>
              <w:numPr>
                <w:ilvl w:val="0"/>
                <w:numId w:val="7"/>
              </w:numPr>
              <w:rPr>
                <w:szCs w:val="24"/>
                <w:lang w:val="es-ES_tradnl"/>
              </w:rPr>
            </w:pPr>
            <w:r w:rsidRPr="00D15565">
              <w:rPr>
                <w:szCs w:val="24"/>
                <w:lang w:val="es-ES_tradnl"/>
              </w:rPr>
              <w:t xml:space="preserve">creación </w:t>
            </w:r>
            <w:r w:rsidR="002E29FE" w:rsidRPr="00D15565">
              <w:rPr>
                <w:szCs w:val="24"/>
                <w:lang w:val="es-ES_tradnl"/>
              </w:rPr>
              <w:t>de capacidad</w:t>
            </w:r>
            <w:r w:rsidRPr="00D15565">
              <w:rPr>
                <w:szCs w:val="24"/>
                <w:lang w:val="es-ES_tradnl"/>
              </w:rPr>
              <w:t>,</w:t>
            </w:r>
            <w:r w:rsidR="002E29FE" w:rsidRPr="00D15565">
              <w:rPr>
                <w:szCs w:val="24"/>
                <w:lang w:val="es-ES_tradnl"/>
              </w:rPr>
              <w:t xml:space="preserve"> mejora de las capacidades de comunicación y</w:t>
            </w:r>
            <w:r w:rsidRPr="00D15565">
              <w:rPr>
                <w:szCs w:val="24"/>
                <w:lang w:val="es-ES_tradnl"/>
              </w:rPr>
              <w:t xml:space="preserve"> de</w:t>
            </w:r>
            <w:r w:rsidR="002E29FE" w:rsidRPr="00D15565">
              <w:rPr>
                <w:szCs w:val="24"/>
                <w:lang w:val="es-ES_tradnl"/>
              </w:rPr>
              <w:t xml:space="preserve"> respuesta a incidentes y </w:t>
            </w:r>
            <w:r w:rsidRPr="00D15565">
              <w:rPr>
                <w:szCs w:val="24"/>
                <w:lang w:val="es-ES_tradnl"/>
              </w:rPr>
              <w:t xml:space="preserve">consolidación </w:t>
            </w:r>
            <w:r w:rsidR="002E29FE" w:rsidRPr="00D15565">
              <w:rPr>
                <w:szCs w:val="24"/>
                <w:lang w:val="es-ES_tradnl"/>
              </w:rPr>
              <w:t xml:space="preserve">de un esfuerzo colectivo continuado entre los </w:t>
            </w:r>
            <w:r w:rsidR="002B2F54" w:rsidRPr="00D15565">
              <w:rPr>
                <w:szCs w:val="24"/>
                <w:lang w:val="es-ES_tradnl"/>
              </w:rPr>
              <w:t>EIII</w:t>
            </w:r>
            <w:r w:rsidR="002E29FE" w:rsidRPr="00D15565">
              <w:rPr>
                <w:szCs w:val="24"/>
                <w:lang w:val="es-ES_tradnl"/>
              </w:rPr>
              <w:t xml:space="preserve"> de las regiones</w:t>
            </w:r>
            <w:r w:rsidRPr="00D15565">
              <w:rPr>
                <w:szCs w:val="24"/>
                <w:lang w:val="es-ES_tradnl"/>
              </w:rPr>
              <w:t xml:space="preserve">, </w:t>
            </w:r>
            <w:r w:rsidR="002E29FE" w:rsidRPr="00D15565">
              <w:rPr>
                <w:szCs w:val="24"/>
                <w:lang w:val="es-ES_tradnl"/>
              </w:rPr>
              <w:t>a</w:t>
            </w:r>
            <w:r w:rsidRPr="00D15565">
              <w:rPr>
                <w:szCs w:val="24"/>
                <w:lang w:val="es-ES_tradnl"/>
              </w:rPr>
              <w:t xml:space="preserve"> fin de</w:t>
            </w:r>
            <w:r w:rsidR="002E29FE" w:rsidRPr="00D15565">
              <w:rPr>
                <w:szCs w:val="24"/>
                <w:lang w:val="es-ES_tradnl"/>
              </w:rPr>
              <w:t xml:space="preserve"> combatir las ciberamenazas </w:t>
            </w:r>
            <w:r w:rsidRPr="00D15565">
              <w:rPr>
                <w:szCs w:val="24"/>
                <w:lang w:val="es-ES_tradnl"/>
              </w:rPr>
              <w:t>a través de</w:t>
            </w:r>
            <w:r w:rsidR="002E29FE" w:rsidRPr="00D15565">
              <w:rPr>
                <w:szCs w:val="24"/>
                <w:lang w:val="es-ES_tradnl"/>
              </w:rPr>
              <w:t xml:space="preserve"> simulacros de ciberseguridad mundiales, interregionales, regionales y nacionales; </w:t>
            </w:r>
          </w:p>
          <w:p w14:paraId="03B5DEEB" w14:textId="184AE242" w:rsidR="00B759DE" w:rsidRPr="00D15565" w:rsidRDefault="00047242" w:rsidP="00047242">
            <w:pPr>
              <w:numPr>
                <w:ilvl w:val="0"/>
                <w:numId w:val="7"/>
              </w:numPr>
              <w:rPr>
                <w:szCs w:val="24"/>
                <w:lang w:val="es-ES_tradnl"/>
              </w:rPr>
            </w:pPr>
            <w:r w:rsidRPr="00D15565">
              <w:rPr>
                <w:szCs w:val="24"/>
                <w:lang w:val="es-ES_tradnl"/>
              </w:rPr>
              <w:lastRenderedPageBreak/>
              <w:t xml:space="preserve">formación </w:t>
            </w:r>
            <w:r w:rsidR="002E29FE" w:rsidRPr="00D15565">
              <w:rPr>
                <w:szCs w:val="24"/>
                <w:lang w:val="es-ES_tradnl"/>
              </w:rPr>
              <w:t xml:space="preserve">y </w:t>
            </w:r>
            <w:r w:rsidRPr="00D15565">
              <w:rPr>
                <w:szCs w:val="24"/>
                <w:lang w:val="es-ES_tradnl"/>
              </w:rPr>
              <w:t xml:space="preserve">readaptación profesional </w:t>
            </w:r>
            <w:r w:rsidR="002E29FE" w:rsidRPr="00D15565">
              <w:rPr>
                <w:szCs w:val="24"/>
                <w:lang w:val="es-ES_tradnl"/>
              </w:rPr>
              <w:t>de</w:t>
            </w:r>
            <w:r w:rsidRPr="00D15565">
              <w:rPr>
                <w:szCs w:val="24"/>
                <w:lang w:val="es-ES_tradnl"/>
              </w:rPr>
              <w:t xml:space="preserve"> los</w:t>
            </w:r>
            <w:r w:rsidR="002E29FE" w:rsidRPr="00D15565">
              <w:rPr>
                <w:szCs w:val="24"/>
                <w:lang w:val="es-ES_tradnl"/>
              </w:rPr>
              <w:t xml:space="preserve"> especialistas con perfiles técnicos y de gestión a través de programas de formación regionales y nacionales específicos; </w:t>
            </w:r>
            <w:r w:rsidRPr="00D15565">
              <w:rPr>
                <w:szCs w:val="24"/>
                <w:lang w:val="es-ES_tradnl"/>
              </w:rPr>
              <w:t>y</w:t>
            </w:r>
          </w:p>
          <w:p w14:paraId="733586A7" w14:textId="633EF964" w:rsidR="00B759DE" w:rsidRPr="00D15565" w:rsidRDefault="00047242" w:rsidP="00047242">
            <w:pPr>
              <w:numPr>
                <w:ilvl w:val="0"/>
                <w:numId w:val="7"/>
              </w:numPr>
              <w:rPr>
                <w:szCs w:val="24"/>
                <w:lang w:val="es-ES_tradnl"/>
              </w:rPr>
            </w:pPr>
            <w:r w:rsidRPr="00D15565">
              <w:rPr>
                <w:szCs w:val="24"/>
                <w:lang w:val="es-ES_tradnl"/>
              </w:rPr>
              <w:t>c</w:t>
            </w:r>
            <w:r w:rsidR="002E29FE" w:rsidRPr="00D15565">
              <w:rPr>
                <w:szCs w:val="24"/>
                <w:lang w:val="es-ES_tradnl"/>
              </w:rPr>
              <w:t xml:space="preserve">oordinación de la recopilación y el intercambio de las mejores prácticas en </w:t>
            </w:r>
            <w:r w:rsidRPr="00D15565">
              <w:rPr>
                <w:szCs w:val="24"/>
                <w:lang w:val="es-ES_tradnl"/>
              </w:rPr>
              <w:t>materia</w:t>
            </w:r>
            <w:r w:rsidR="00720051" w:rsidRPr="00D15565">
              <w:rPr>
                <w:szCs w:val="24"/>
                <w:lang w:val="es-ES_tradnl"/>
              </w:rPr>
              <w:t xml:space="preserve"> </w:t>
            </w:r>
            <w:r w:rsidRPr="00D15565">
              <w:rPr>
                <w:szCs w:val="24"/>
                <w:lang w:val="es-ES_tradnl"/>
              </w:rPr>
              <w:t xml:space="preserve">de elaboración </w:t>
            </w:r>
            <w:r w:rsidR="002E29FE" w:rsidRPr="00D15565">
              <w:rPr>
                <w:szCs w:val="24"/>
                <w:lang w:val="es-ES_tradnl"/>
              </w:rPr>
              <w:t>de estrategias nacionales</w:t>
            </w:r>
            <w:r w:rsidRPr="00D15565">
              <w:rPr>
                <w:szCs w:val="24"/>
                <w:lang w:val="es-ES_tradnl"/>
              </w:rPr>
              <w:t xml:space="preserve">, </w:t>
            </w:r>
            <w:r w:rsidR="002E29FE" w:rsidRPr="00D15565">
              <w:rPr>
                <w:szCs w:val="24"/>
                <w:lang w:val="es-ES_tradnl"/>
              </w:rPr>
              <w:t>ciberseguridad y medición del compromiso de los países con la ciberseguridad</w:t>
            </w:r>
            <w:r w:rsidR="00B759DE" w:rsidRPr="00D15565">
              <w:rPr>
                <w:szCs w:val="24"/>
                <w:lang w:val="es-ES_tradnl"/>
              </w:rPr>
              <w:t>.</w:t>
            </w:r>
          </w:p>
        </w:tc>
      </w:tr>
      <w:tr w:rsidR="00B759DE" w:rsidRPr="005C665F" w14:paraId="3DB8BC01" w14:textId="77777777" w:rsidTr="004448F8">
        <w:trPr>
          <w:trHeight w:val="706"/>
        </w:trPr>
        <w:tc>
          <w:tcPr>
            <w:tcW w:w="9634" w:type="dxa"/>
            <w:vMerge/>
          </w:tcPr>
          <w:p w14:paraId="10523B47" w14:textId="77777777" w:rsidR="00B759DE" w:rsidRPr="00D15565" w:rsidRDefault="00B759DE" w:rsidP="00712E2F">
            <w:pPr>
              <w:rPr>
                <w:b/>
                <w:bCs/>
                <w:szCs w:val="24"/>
                <w:lang w:val="es-ES_tradnl"/>
              </w:rPr>
            </w:pPr>
          </w:p>
        </w:tc>
      </w:tr>
      <w:tr w:rsidR="00B759DE" w:rsidRPr="005C665F" w14:paraId="348CF238" w14:textId="77777777" w:rsidTr="004448F8">
        <w:tc>
          <w:tcPr>
            <w:tcW w:w="9634" w:type="dxa"/>
          </w:tcPr>
          <w:p w14:paraId="73114874" w14:textId="3A4BBA94" w:rsidR="00B759DE" w:rsidRPr="00D15565" w:rsidRDefault="00B759DE" w:rsidP="007D14E8">
            <w:pPr>
              <w:rPr>
                <w:rFonts w:ascii="Calibri" w:hAnsi="Calibri" w:cs="Calibri"/>
                <w:b/>
                <w:bCs/>
                <w:color w:val="800000"/>
                <w:sz w:val="22"/>
                <w:szCs w:val="24"/>
                <w:lang w:val="es-ES_tradnl"/>
              </w:rPr>
            </w:pPr>
            <w:r w:rsidRPr="00D15565">
              <w:rPr>
                <w:b/>
                <w:bCs/>
                <w:szCs w:val="24"/>
                <w:lang w:val="es-ES_tradnl"/>
              </w:rPr>
              <w:t>CIS3</w:t>
            </w:r>
            <w:r w:rsidRPr="00D15565">
              <w:rPr>
                <w:bCs/>
                <w:szCs w:val="24"/>
                <w:lang w:val="es-ES_tradnl"/>
              </w:rPr>
              <w:t xml:space="preserve">: </w:t>
            </w:r>
            <w:r w:rsidR="007D14E8" w:rsidRPr="00D15565">
              <w:rPr>
                <w:bCs/>
                <w:szCs w:val="24"/>
                <w:lang w:val="es-ES_tradnl"/>
              </w:rPr>
              <w:t>Creación de un entorno jurídico y reglamentario propicio para acelerar la transformación digital.</w:t>
            </w:r>
          </w:p>
          <w:p w14:paraId="79157F07" w14:textId="5B420FA5" w:rsidR="00B759DE" w:rsidRPr="00D15565" w:rsidRDefault="002E29FE" w:rsidP="00271FB1">
            <w:pPr>
              <w:rPr>
                <w:bCs/>
                <w:szCs w:val="24"/>
                <w:lang w:val="es-ES_tradnl"/>
              </w:rPr>
            </w:pPr>
            <w:r w:rsidRPr="00D15565">
              <w:rPr>
                <w:b/>
                <w:bCs/>
                <w:szCs w:val="24"/>
                <w:lang w:val="es-ES_tradnl"/>
              </w:rPr>
              <w:t xml:space="preserve">Objetivo: </w:t>
            </w:r>
            <w:r w:rsidR="00271FB1" w:rsidRPr="00D15565">
              <w:rPr>
                <w:szCs w:val="24"/>
                <w:lang w:val="es-ES_tradnl"/>
              </w:rPr>
              <w:t xml:space="preserve">Prestar asistencia a los Estados Miembros de la UIT procedentes de la región en la elaboración de </w:t>
            </w:r>
            <w:r w:rsidRPr="00D15565">
              <w:rPr>
                <w:szCs w:val="24"/>
                <w:lang w:val="es-ES_tradnl"/>
              </w:rPr>
              <w:t>leyes y reglamentos</w:t>
            </w:r>
            <w:r w:rsidR="00271FB1" w:rsidRPr="00D15565">
              <w:rPr>
                <w:szCs w:val="24"/>
                <w:lang w:val="es-ES_tradnl"/>
              </w:rPr>
              <w:t>, así como de</w:t>
            </w:r>
            <w:r w:rsidRPr="00D15565">
              <w:rPr>
                <w:szCs w:val="24"/>
                <w:lang w:val="es-ES_tradnl"/>
              </w:rPr>
              <w:t xml:space="preserve"> servicios digitales en diversos sectores económicos, fomentando la innovación, </w:t>
            </w:r>
            <w:r w:rsidR="00271FB1" w:rsidRPr="00D15565">
              <w:rPr>
                <w:szCs w:val="24"/>
                <w:lang w:val="es-ES_tradnl"/>
              </w:rPr>
              <w:t>promoviendo</w:t>
            </w:r>
            <w:r w:rsidRPr="00D15565">
              <w:rPr>
                <w:szCs w:val="24"/>
                <w:lang w:val="es-ES_tradnl"/>
              </w:rPr>
              <w:t xml:space="preserve"> el intercambio de información</w:t>
            </w:r>
            <w:r w:rsidR="00271FB1" w:rsidRPr="00D15565">
              <w:rPr>
                <w:szCs w:val="24"/>
                <w:lang w:val="es-ES_tradnl"/>
              </w:rPr>
              <w:t>,</w:t>
            </w:r>
            <w:r w:rsidRPr="00D15565">
              <w:rPr>
                <w:szCs w:val="24"/>
                <w:lang w:val="es-ES_tradnl"/>
              </w:rPr>
              <w:t xml:space="preserve"> </w:t>
            </w:r>
            <w:r w:rsidR="00271FB1" w:rsidRPr="00D15565">
              <w:rPr>
                <w:szCs w:val="24"/>
                <w:lang w:val="es-ES_tradnl"/>
              </w:rPr>
              <w:t>reforzando</w:t>
            </w:r>
            <w:r w:rsidRPr="00D15565">
              <w:rPr>
                <w:szCs w:val="24"/>
                <w:lang w:val="es-ES_tradnl"/>
              </w:rPr>
              <w:t xml:space="preserve"> la cooperación en </w:t>
            </w:r>
            <w:r w:rsidR="00271FB1" w:rsidRPr="00D15565">
              <w:rPr>
                <w:szCs w:val="24"/>
                <w:lang w:val="es-ES_tradnl"/>
              </w:rPr>
              <w:t>el ámbito normativo y</w:t>
            </w:r>
            <w:r w:rsidRPr="00D15565">
              <w:rPr>
                <w:szCs w:val="24"/>
                <w:lang w:val="es-ES_tradnl"/>
              </w:rPr>
              <w:t xml:space="preserve"> contribuyendo así a la creación de un entorno </w:t>
            </w:r>
            <w:r w:rsidR="00271FB1" w:rsidRPr="00D15565">
              <w:rPr>
                <w:szCs w:val="24"/>
                <w:lang w:val="es-ES_tradnl"/>
              </w:rPr>
              <w:t>reglamentario</w:t>
            </w:r>
            <w:r w:rsidRPr="00D15565">
              <w:rPr>
                <w:szCs w:val="24"/>
                <w:lang w:val="es-ES_tradnl"/>
              </w:rPr>
              <w:t xml:space="preserve"> propicio para todas las partes interesadas.</w:t>
            </w:r>
          </w:p>
          <w:p w14:paraId="48B7172B" w14:textId="019BA2B2" w:rsidR="00B759DE" w:rsidRPr="00D15565" w:rsidRDefault="002E29FE" w:rsidP="002E29FE">
            <w:pPr>
              <w:rPr>
                <w:b/>
                <w:bCs/>
                <w:szCs w:val="24"/>
                <w:lang w:val="es-ES_tradnl"/>
              </w:rPr>
            </w:pPr>
            <w:r w:rsidRPr="00D15565">
              <w:rPr>
                <w:b/>
                <w:bCs/>
                <w:szCs w:val="24"/>
                <w:lang w:val="es-ES_tradnl"/>
              </w:rPr>
              <w:t>Resultados previstos</w:t>
            </w:r>
            <w:r w:rsidR="00B759DE" w:rsidRPr="00D15565">
              <w:rPr>
                <w:bCs/>
                <w:szCs w:val="24"/>
                <w:lang w:val="es-ES_tradnl"/>
              </w:rPr>
              <w:t>:</w:t>
            </w:r>
          </w:p>
          <w:p w14:paraId="3300AE8E" w14:textId="69C4D680" w:rsidR="00B759DE" w:rsidRPr="00D15565" w:rsidRDefault="00271FB1" w:rsidP="00271FB1">
            <w:pPr>
              <w:numPr>
                <w:ilvl w:val="0"/>
                <w:numId w:val="6"/>
              </w:numPr>
              <w:rPr>
                <w:bCs/>
                <w:szCs w:val="24"/>
                <w:lang w:val="es-ES_tradnl"/>
              </w:rPr>
            </w:pPr>
            <w:r w:rsidRPr="00D15565">
              <w:rPr>
                <w:bCs/>
                <w:szCs w:val="24"/>
                <w:lang w:val="es-ES_tradnl"/>
              </w:rPr>
              <w:t xml:space="preserve">creación </w:t>
            </w:r>
            <w:r w:rsidR="002E29FE" w:rsidRPr="00D15565">
              <w:rPr>
                <w:bCs/>
                <w:szCs w:val="24"/>
                <w:lang w:val="es-ES_tradnl"/>
              </w:rPr>
              <w:t xml:space="preserve">de un ecosistema de innovación interconectado </w:t>
            </w:r>
            <w:r w:rsidRPr="00D15565">
              <w:rPr>
                <w:bCs/>
                <w:szCs w:val="24"/>
                <w:lang w:val="es-ES_tradnl"/>
              </w:rPr>
              <w:t>en favor de las empresas emergentes y</w:t>
            </w:r>
            <w:r w:rsidR="002E29FE" w:rsidRPr="00D15565">
              <w:rPr>
                <w:bCs/>
                <w:szCs w:val="24"/>
                <w:lang w:val="es-ES_tradnl"/>
              </w:rPr>
              <w:t xml:space="preserve"> la transformación digital en los países de la región;</w:t>
            </w:r>
          </w:p>
          <w:p w14:paraId="3C354093" w14:textId="7DCC0CEC" w:rsidR="00B759DE" w:rsidRPr="00D15565" w:rsidRDefault="00271FB1" w:rsidP="00271FB1">
            <w:pPr>
              <w:numPr>
                <w:ilvl w:val="0"/>
                <w:numId w:val="6"/>
              </w:numPr>
              <w:rPr>
                <w:bCs/>
                <w:szCs w:val="24"/>
                <w:lang w:val="es-ES_tradnl"/>
              </w:rPr>
            </w:pPr>
            <w:r w:rsidRPr="00D15565">
              <w:rPr>
                <w:bCs/>
                <w:szCs w:val="24"/>
                <w:lang w:val="es-ES_tradnl"/>
              </w:rPr>
              <w:t>asistencia especializada</w:t>
            </w:r>
            <w:r w:rsidR="002E29FE" w:rsidRPr="00D15565">
              <w:rPr>
                <w:bCs/>
                <w:szCs w:val="24"/>
                <w:lang w:val="es-ES_tradnl"/>
              </w:rPr>
              <w:t xml:space="preserve"> en la creación de servicios públicos digitales basados en la innovación </w:t>
            </w:r>
            <w:r w:rsidRPr="00D15565">
              <w:rPr>
                <w:bCs/>
                <w:szCs w:val="24"/>
                <w:lang w:val="es-ES_tradnl"/>
              </w:rPr>
              <w:t>colectiva</w:t>
            </w:r>
            <w:r w:rsidR="00B759DE" w:rsidRPr="00D15565">
              <w:rPr>
                <w:bCs/>
                <w:szCs w:val="24"/>
                <w:lang w:val="es-ES_tradnl"/>
              </w:rPr>
              <w:t>;</w:t>
            </w:r>
          </w:p>
          <w:p w14:paraId="61FB09B6" w14:textId="7D8D4C9F" w:rsidR="00B759DE" w:rsidRPr="00D15565" w:rsidRDefault="00271FB1" w:rsidP="00271FB1">
            <w:pPr>
              <w:numPr>
                <w:ilvl w:val="0"/>
                <w:numId w:val="6"/>
              </w:numPr>
              <w:rPr>
                <w:bCs/>
                <w:szCs w:val="24"/>
                <w:lang w:val="es-ES_tradnl"/>
              </w:rPr>
            </w:pPr>
            <w:r w:rsidRPr="00D15565">
              <w:rPr>
                <w:bCs/>
                <w:szCs w:val="24"/>
                <w:lang w:val="es-ES_tradnl"/>
              </w:rPr>
              <w:t xml:space="preserve">asistencia especializada </w:t>
            </w:r>
            <w:r w:rsidR="002E29FE" w:rsidRPr="00D15565">
              <w:rPr>
                <w:bCs/>
                <w:szCs w:val="24"/>
                <w:lang w:val="es-ES_tradnl"/>
              </w:rPr>
              <w:t xml:space="preserve">en la creación de marcos </w:t>
            </w:r>
            <w:r w:rsidRPr="00D15565">
              <w:rPr>
                <w:bCs/>
                <w:szCs w:val="24"/>
                <w:lang w:val="es-ES_tradnl"/>
              </w:rPr>
              <w:t>jurídicos y reglamentarios</w:t>
            </w:r>
            <w:r w:rsidR="002E29FE" w:rsidRPr="00D15565">
              <w:rPr>
                <w:bCs/>
                <w:szCs w:val="24"/>
                <w:lang w:val="es-ES_tradnl"/>
              </w:rPr>
              <w:t xml:space="preserve"> y mecanismos de coordinación para el fomento de la innovación en los sectores financiero y educativo (</w:t>
            </w:r>
            <w:r w:rsidR="00A5070E" w:rsidRPr="00D15565">
              <w:rPr>
                <w:bCs/>
                <w:szCs w:val="24"/>
                <w:lang w:val="es-ES_tradnl"/>
              </w:rPr>
              <w:t>tecnología financiera y educativa</w:t>
            </w:r>
            <w:r w:rsidR="002E29FE" w:rsidRPr="00D15565">
              <w:rPr>
                <w:bCs/>
                <w:szCs w:val="24"/>
                <w:lang w:val="es-ES_tradnl"/>
              </w:rPr>
              <w:t>);</w:t>
            </w:r>
          </w:p>
          <w:p w14:paraId="76B081CD" w14:textId="01B457E5" w:rsidR="00B759DE" w:rsidRPr="00D15565" w:rsidRDefault="00271FB1" w:rsidP="00271FB1">
            <w:pPr>
              <w:numPr>
                <w:ilvl w:val="0"/>
                <w:numId w:val="6"/>
              </w:numPr>
              <w:rPr>
                <w:bCs/>
                <w:szCs w:val="24"/>
                <w:lang w:val="es-ES_tradnl"/>
              </w:rPr>
            </w:pPr>
            <w:r w:rsidRPr="00D15565">
              <w:rPr>
                <w:bCs/>
                <w:szCs w:val="24"/>
                <w:lang w:val="es-ES_tradnl"/>
              </w:rPr>
              <w:t xml:space="preserve">intercambio </w:t>
            </w:r>
            <w:r w:rsidR="002E29FE" w:rsidRPr="00D15565">
              <w:rPr>
                <w:bCs/>
                <w:szCs w:val="24"/>
                <w:lang w:val="es-ES_tradnl"/>
              </w:rPr>
              <w:t xml:space="preserve">de información sobre </w:t>
            </w:r>
            <w:r w:rsidRPr="00D15565">
              <w:rPr>
                <w:bCs/>
                <w:szCs w:val="24"/>
                <w:lang w:val="es-ES_tradnl"/>
              </w:rPr>
              <w:t xml:space="preserve">la reforma del marco jurídico y reglamentario y la evolución </w:t>
            </w:r>
            <w:r w:rsidR="002E29FE" w:rsidRPr="00D15565">
              <w:rPr>
                <w:bCs/>
                <w:szCs w:val="24"/>
                <w:lang w:val="es-ES_tradnl"/>
              </w:rPr>
              <w:t>del mercado en el sector de las TIC y la economía digital;</w:t>
            </w:r>
            <w:r w:rsidRPr="00D15565">
              <w:rPr>
                <w:bCs/>
                <w:szCs w:val="24"/>
                <w:lang w:val="es-ES_tradnl"/>
              </w:rPr>
              <w:t xml:space="preserve"> y</w:t>
            </w:r>
          </w:p>
          <w:p w14:paraId="6C708AE2" w14:textId="0ABF9199" w:rsidR="00B759DE" w:rsidRPr="00D15565" w:rsidRDefault="00271FB1" w:rsidP="007F60A2">
            <w:pPr>
              <w:numPr>
                <w:ilvl w:val="0"/>
                <w:numId w:val="6"/>
              </w:numPr>
              <w:rPr>
                <w:bCs/>
                <w:szCs w:val="24"/>
                <w:lang w:val="es-ES_tradnl"/>
              </w:rPr>
            </w:pPr>
            <w:r w:rsidRPr="00D15565">
              <w:rPr>
                <w:bCs/>
                <w:szCs w:val="24"/>
                <w:lang w:val="es-ES_tradnl"/>
              </w:rPr>
              <w:t xml:space="preserve">fomento </w:t>
            </w:r>
            <w:r w:rsidR="002E29FE" w:rsidRPr="00D15565">
              <w:rPr>
                <w:bCs/>
                <w:szCs w:val="24"/>
                <w:lang w:val="es-ES_tradnl"/>
              </w:rPr>
              <w:t xml:space="preserve">de la capacidad institucional, humana y técnica en </w:t>
            </w:r>
            <w:r w:rsidR="002F22C0" w:rsidRPr="00D15565">
              <w:rPr>
                <w:bCs/>
                <w:szCs w:val="24"/>
                <w:lang w:val="es-ES_tradnl"/>
              </w:rPr>
              <w:t>aspectos</w:t>
            </w:r>
            <w:r w:rsidR="002E29FE" w:rsidRPr="00D15565">
              <w:rPr>
                <w:bCs/>
                <w:szCs w:val="24"/>
                <w:lang w:val="es-ES_tradnl"/>
              </w:rPr>
              <w:t xml:space="preserve"> relevantes de la legislación</w:t>
            </w:r>
            <w:r w:rsidR="007F60A2" w:rsidRPr="00D15565">
              <w:rPr>
                <w:bCs/>
                <w:szCs w:val="24"/>
                <w:lang w:val="es-ES_tradnl"/>
              </w:rPr>
              <w:t xml:space="preserve"> del sector</w:t>
            </w:r>
            <w:r w:rsidR="002E29FE" w:rsidRPr="00D15565">
              <w:rPr>
                <w:bCs/>
                <w:szCs w:val="24"/>
                <w:lang w:val="es-ES_tradnl"/>
              </w:rPr>
              <w:t>,</w:t>
            </w:r>
            <w:r w:rsidR="007F60A2" w:rsidRPr="00D15565">
              <w:rPr>
                <w:bCs/>
                <w:szCs w:val="24"/>
                <w:lang w:val="es-ES_tradnl"/>
              </w:rPr>
              <w:t xml:space="preserve"> </w:t>
            </w:r>
            <w:r w:rsidR="002F22C0" w:rsidRPr="00D15565">
              <w:rPr>
                <w:bCs/>
                <w:szCs w:val="24"/>
                <w:lang w:val="es-ES_tradnl"/>
              </w:rPr>
              <w:t>las cuestiones</w:t>
            </w:r>
            <w:r w:rsidR="007F60A2" w:rsidRPr="00D15565">
              <w:rPr>
                <w:bCs/>
                <w:szCs w:val="24"/>
                <w:lang w:val="es-ES_tradnl"/>
              </w:rPr>
              <w:t xml:space="preserve"> reglamentari</w:t>
            </w:r>
            <w:r w:rsidR="002F22C0" w:rsidRPr="00D15565">
              <w:rPr>
                <w:bCs/>
                <w:szCs w:val="24"/>
                <w:lang w:val="es-ES_tradnl"/>
              </w:rPr>
              <w:t>a</w:t>
            </w:r>
            <w:r w:rsidR="007F60A2" w:rsidRPr="00D15565">
              <w:rPr>
                <w:bCs/>
                <w:szCs w:val="24"/>
                <w:lang w:val="es-ES_tradnl"/>
              </w:rPr>
              <w:t>s</w:t>
            </w:r>
            <w:r w:rsidR="002E29FE" w:rsidRPr="00D15565">
              <w:rPr>
                <w:bCs/>
                <w:szCs w:val="24"/>
                <w:lang w:val="es-ES_tradnl"/>
              </w:rPr>
              <w:t>,</w:t>
            </w:r>
            <w:r w:rsidR="007F60A2" w:rsidRPr="00D15565">
              <w:rPr>
                <w:bCs/>
                <w:szCs w:val="24"/>
                <w:lang w:val="es-ES_tradnl"/>
              </w:rPr>
              <w:t xml:space="preserve"> los factores</w:t>
            </w:r>
            <w:r w:rsidR="002E29FE" w:rsidRPr="00D15565">
              <w:rPr>
                <w:bCs/>
                <w:szCs w:val="24"/>
                <w:lang w:val="es-ES_tradnl"/>
              </w:rPr>
              <w:t xml:space="preserve"> económic</w:t>
            </w:r>
            <w:r w:rsidR="007F60A2" w:rsidRPr="00D15565">
              <w:rPr>
                <w:bCs/>
                <w:szCs w:val="24"/>
                <w:lang w:val="es-ES_tradnl"/>
              </w:rPr>
              <w:t>o</w:t>
            </w:r>
            <w:r w:rsidR="002E29FE" w:rsidRPr="00D15565">
              <w:rPr>
                <w:bCs/>
                <w:szCs w:val="24"/>
                <w:lang w:val="es-ES_tradnl"/>
              </w:rPr>
              <w:t>s y financier</w:t>
            </w:r>
            <w:r w:rsidR="007F60A2" w:rsidRPr="00D15565">
              <w:rPr>
                <w:bCs/>
                <w:szCs w:val="24"/>
                <w:lang w:val="es-ES_tradnl"/>
              </w:rPr>
              <w:t>o</w:t>
            </w:r>
            <w:r w:rsidR="002E29FE" w:rsidRPr="00D15565">
              <w:rPr>
                <w:bCs/>
                <w:szCs w:val="24"/>
                <w:lang w:val="es-ES_tradnl"/>
              </w:rPr>
              <w:t>s y</w:t>
            </w:r>
            <w:r w:rsidR="007F60A2" w:rsidRPr="00D15565">
              <w:rPr>
                <w:bCs/>
                <w:szCs w:val="24"/>
                <w:lang w:val="es-ES_tradnl"/>
              </w:rPr>
              <w:t xml:space="preserve"> la evolución del mercado.</w:t>
            </w:r>
          </w:p>
        </w:tc>
      </w:tr>
      <w:tr w:rsidR="00B759DE" w:rsidRPr="005C665F" w14:paraId="022AD380" w14:textId="77777777" w:rsidTr="004448F8">
        <w:tc>
          <w:tcPr>
            <w:tcW w:w="9634" w:type="dxa"/>
          </w:tcPr>
          <w:p w14:paraId="13142B11" w14:textId="77777777" w:rsidR="007F60A2" w:rsidRPr="00D15565" w:rsidRDefault="00B759DE" w:rsidP="007F60A2">
            <w:pPr>
              <w:rPr>
                <w:bCs/>
                <w:szCs w:val="24"/>
                <w:lang w:val="es-ES_tradnl"/>
              </w:rPr>
            </w:pPr>
            <w:r w:rsidRPr="00D15565">
              <w:rPr>
                <w:b/>
                <w:bCs/>
                <w:szCs w:val="24"/>
                <w:lang w:val="es-ES_tradnl"/>
              </w:rPr>
              <w:t>СIS4</w:t>
            </w:r>
            <w:r w:rsidRPr="00D15565">
              <w:rPr>
                <w:bCs/>
                <w:szCs w:val="24"/>
                <w:lang w:val="es-ES_tradnl"/>
              </w:rPr>
              <w:t xml:space="preserve">: </w:t>
            </w:r>
            <w:r w:rsidR="007F60A2" w:rsidRPr="00D15565">
              <w:rPr>
                <w:bCs/>
                <w:szCs w:val="24"/>
                <w:lang w:val="es-ES_tradnl"/>
              </w:rPr>
              <w:t>Competencias digitales y accesibilidad de las TIC para la población, en particular para las personas con discapacidad.</w:t>
            </w:r>
          </w:p>
          <w:p w14:paraId="72EA46AA" w14:textId="5C1523CE" w:rsidR="002E29FE" w:rsidRPr="00D15565" w:rsidRDefault="002E29FE" w:rsidP="005C06D5">
            <w:pPr>
              <w:rPr>
                <w:b/>
                <w:bCs/>
                <w:szCs w:val="24"/>
                <w:lang w:val="es-ES_tradnl"/>
              </w:rPr>
            </w:pPr>
            <w:r w:rsidRPr="00D15565">
              <w:rPr>
                <w:b/>
                <w:bCs/>
                <w:szCs w:val="24"/>
                <w:lang w:val="es-ES_tradnl"/>
              </w:rPr>
              <w:t xml:space="preserve">Objetivo: </w:t>
            </w:r>
            <w:r w:rsidR="005C06D5" w:rsidRPr="00D15565">
              <w:rPr>
                <w:szCs w:val="24"/>
                <w:lang w:val="es-ES_tradnl"/>
              </w:rPr>
              <w:t xml:space="preserve">Prestar asistencia a los Estados Miembros de la UIT procedentes de la región en </w:t>
            </w:r>
            <w:r w:rsidRPr="00D15565">
              <w:rPr>
                <w:szCs w:val="24"/>
                <w:lang w:val="es-ES_tradnl"/>
              </w:rPr>
              <w:t xml:space="preserve">la formulación de recomendaciones para el desarrollo de las competencias digitales de los ciudadanos, </w:t>
            </w:r>
            <w:r w:rsidR="002F22C0" w:rsidRPr="00D15565">
              <w:rPr>
                <w:szCs w:val="24"/>
                <w:lang w:val="es-ES_tradnl"/>
              </w:rPr>
              <w:t xml:space="preserve">con un énfasis </w:t>
            </w:r>
            <w:r w:rsidRPr="00D15565">
              <w:rPr>
                <w:szCs w:val="24"/>
                <w:lang w:val="es-ES_tradnl"/>
              </w:rPr>
              <w:t xml:space="preserve">especial </w:t>
            </w:r>
            <w:r w:rsidR="002F22C0" w:rsidRPr="00D15565">
              <w:rPr>
                <w:szCs w:val="24"/>
                <w:lang w:val="es-ES_tradnl"/>
              </w:rPr>
              <w:t xml:space="preserve">en </w:t>
            </w:r>
            <w:r w:rsidRPr="00D15565">
              <w:rPr>
                <w:szCs w:val="24"/>
                <w:lang w:val="es-ES_tradnl"/>
              </w:rPr>
              <w:t>las personas con discapacidad.</w:t>
            </w:r>
            <w:r w:rsidRPr="00D15565">
              <w:rPr>
                <w:b/>
                <w:bCs/>
                <w:szCs w:val="24"/>
                <w:lang w:val="es-ES_tradnl"/>
              </w:rPr>
              <w:t xml:space="preserve"> </w:t>
            </w:r>
          </w:p>
          <w:p w14:paraId="6FB0B0E4" w14:textId="3DF898D9" w:rsidR="00B759DE" w:rsidRPr="00D15565" w:rsidRDefault="002E29FE" w:rsidP="002E29FE">
            <w:pPr>
              <w:rPr>
                <w:b/>
                <w:szCs w:val="24"/>
                <w:lang w:val="es-ES_tradnl"/>
              </w:rPr>
            </w:pPr>
            <w:r w:rsidRPr="00D15565">
              <w:rPr>
                <w:b/>
                <w:bCs/>
                <w:szCs w:val="24"/>
                <w:lang w:val="es-ES_tradnl"/>
              </w:rPr>
              <w:t>Resultados previstos</w:t>
            </w:r>
            <w:r w:rsidR="00B759DE" w:rsidRPr="00D15565">
              <w:rPr>
                <w:b/>
                <w:szCs w:val="24"/>
                <w:lang w:val="es-ES_tradnl"/>
              </w:rPr>
              <w:t xml:space="preserve">: </w:t>
            </w:r>
          </w:p>
          <w:p w14:paraId="687F1748" w14:textId="1F57D8D2" w:rsidR="00B759DE" w:rsidRPr="00D15565" w:rsidRDefault="002E29FE" w:rsidP="005C06D5">
            <w:pPr>
              <w:numPr>
                <w:ilvl w:val="0"/>
                <w:numId w:val="8"/>
              </w:numPr>
              <w:rPr>
                <w:bCs/>
                <w:szCs w:val="24"/>
                <w:lang w:val="es-ES_tradnl"/>
              </w:rPr>
            </w:pPr>
            <w:r w:rsidRPr="00D15565">
              <w:rPr>
                <w:bCs/>
                <w:szCs w:val="24"/>
                <w:lang w:val="es-ES_tradnl"/>
              </w:rPr>
              <w:t xml:space="preserve">estudio detallado de las necesidades de las personas con discapacidad en cuanto a la metodología de formación en competencias digitales; </w:t>
            </w:r>
          </w:p>
          <w:p w14:paraId="6EAD1A1E" w14:textId="2C0EF141" w:rsidR="00B759DE" w:rsidRPr="00D15565" w:rsidRDefault="005C06D5" w:rsidP="005C06D5">
            <w:pPr>
              <w:numPr>
                <w:ilvl w:val="0"/>
                <w:numId w:val="8"/>
              </w:numPr>
              <w:rPr>
                <w:bCs/>
                <w:szCs w:val="24"/>
                <w:lang w:val="es-ES_tradnl"/>
              </w:rPr>
            </w:pPr>
            <w:r w:rsidRPr="00D15565">
              <w:rPr>
                <w:bCs/>
                <w:szCs w:val="24"/>
                <w:lang w:val="es-ES_tradnl"/>
              </w:rPr>
              <w:t xml:space="preserve">recomendaciones </w:t>
            </w:r>
            <w:r w:rsidR="002E29FE" w:rsidRPr="00D15565">
              <w:rPr>
                <w:bCs/>
                <w:szCs w:val="24"/>
                <w:lang w:val="es-ES_tradnl"/>
              </w:rPr>
              <w:t xml:space="preserve">sobre el </w:t>
            </w:r>
            <w:r w:rsidRPr="00D15565">
              <w:rPr>
                <w:bCs/>
                <w:szCs w:val="24"/>
                <w:lang w:val="es-ES_tradnl"/>
              </w:rPr>
              <w:t>fomento</w:t>
            </w:r>
            <w:r w:rsidR="002E29FE" w:rsidRPr="00D15565">
              <w:rPr>
                <w:bCs/>
                <w:szCs w:val="24"/>
                <w:lang w:val="es-ES_tradnl"/>
              </w:rPr>
              <w:t xml:space="preserve"> y la mejora de la alfabetización digital de las personas con discapacidad;</w:t>
            </w:r>
          </w:p>
          <w:p w14:paraId="01CFDF7F" w14:textId="593018C4" w:rsidR="00B759DE" w:rsidRPr="00D15565" w:rsidRDefault="005C06D5" w:rsidP="005C06D5">
            <w:pPr>
              <w:numPr>
                <w:ilvl w:val="0"/>
                <w:numId w:val="8"/>
              </w:numPr>
              <w:rPr>
                <w:bCs/>
                <w:szCs w:val="24"/>
                <w:lang w:val="es-ES_tradnl"/>
              </w:rPr>
            </w:pPr>
            <w:r w:rsidRPr="00D15565">
              <w:rPr>
                <w:bCs/>
                <w:szCs w:val="24"/>
                <w:lang w:val="es-ES_tradnl"/>
              </w:rPr>
              <w:t>c</w:t>
            </w:r>
            <w:r w:rsidR="002E29FE" w:rsidRPr="00D15565">
              <w:rPr>
                <w:bCs/>
                <w:szCs w:val="24"/>
                <w:lang w:val="es-ES_tradnl"/>
              </w:rPr>
              <w:t xml:space="preserve">reación de una red de centros de formación para personas con discapacidad, incluso en </w:t>
            </w:r>
            <w:r w:rsidRPr="00D15565">
              <w:rPr>
                <w:bCs/>
                <w:szCs w:val="24"/>
                <w:lang w:val="es-ES_tradnl"/>
              </w:rPr>
              <w:t xml:space="preserve">las </w:t>
            </w:r>
            <w:r w:rsidR="002E29FE" w:rsidRPr="00D15565">
              <w:rPr>
                <w:bCs/>
                <w:szCs w:val="24"/>
                <w:lang w:val="es-ES_tradnl"/>
              </w:rPr>
              <w:t>zonas remotas de los países;</w:t>
            </w:r>
          </w:p>
          <w:p w14:paraId="1EBDC283" w14:textId="5AAE2755" w:rsidR="00B759DE" w:rsidRPr="00D15565" w:rsidRDefault="005C06D5" w:rsidP="005C06D5">
            <w:pPr>
              <w:numPr>
                <w:ilvl w:val="0"/>
                <w:numId w:val="8"/>
              </w:numPr>
              <w:rPr>
                <w:bCs/>
                <w:szCs w:val="24"/>
                <w:lang w:val="es-ES_tradnl"/>
              </w:rPr>
            </w:pPr>
            <w:r w:rsidRPr="00D15565">
              <w:rPr>
                <w:bCs/>
                <w:szCs w:val="24"/>
                <w:lang w:val="es-ES_tradnl"/>
              </w:rPr>
              <w:t>o</w:t>
            </w:r>
            <w:r w:rsidR="002E29FE" w:rsidRPr="00D15565">
              <w:rPr>
                <w:bCs/>
                <w:szCs w:val="24"/>
                <w:lang w:val="es-ES_tradnl"/>
              </w:rPr>
              <w:t xml:space="preserve">rientación metodológica y </w:t>
            </w:r>
            <w:r w:rsidR="002578D7" w:rsidRPr="00D15565">
              <w:rPr>
                <w:bCs/>
                <w:szCs w:val="24"/>
                <w:lang w:val="es-ES_tradnl"/>
              </w:rPr>
              <w:t>cursos</w:t>
            </w:r>
            <w:r w:rsidR="002E29FE" w:rsidRPr="00D15565">
              <w:rPr>
                <w:bCs/>
                <w:szCs w:val="24"/>
                <w:lang w:val="es-ES_tradnl"/>
              </w:rPr>
              <w:t xml:space="preserve"> </w:t>
            </w:r>
            <w:r w:rsidRPr="00D15565">
              <w:rPr>
                <w:bCs/>
                <w:szCs w:val="24"/>
                <w:lang w:val="es-ES_tradnl"/>
              </w:rPr>
              <w:t>destinad</w:t>
            </w:r>
            <w:r w:rsidR="002578D7" w:rsidRPr="00D15565">
              <w:rPr>
                <w:bCs/>
                <w:szCs w:val="24"/>
                <w:lang w:val="es-ES_tradnl"/>
              </w:rPr>
              <w:t>os</w:t>
            </w:r>
            <w:r w:rsidRPr="00D15565">
              <w:rPr>
                <w:bCs/>
                <w:szCs w:val="24"/>
                <w:lang w:val="es-ES_tradnl"/>
              </w:rPr>
              <w:t xml:space="preserve"> a</w:t>
            </w:r>
            <w:r w:rsidR="002E29FE" w:rsidRPr="00D15565">
              <w:rPr>
                <w:bCs/>
                <w:szCs w:val="24"/>
                <w:lang w:val="es-ES_tradnl"/>
              </w:rPr>
              <w:t xml:space="preserve"> los profesores de los centros de formación para personas con discapacidad;</w:t>
            </w:r>
          </w:p>
          <w:p w14:paraId="70DBD7FB" w14:textId="32D4B25B" w:rsidR="00B759DE" w:rsidRPr="00D15565" w:rsidRDefault="005C06D5" w:rsidP="00407973">
            <w:pPr>
              <w:numPr>
                <w:ilvl w:val="0"/>
                <w:numId w:val="8"/>
              </w:numPr>
              <w:rPr>
                <w:bCs/>
                <w:szCs w:val="24"/>
                <w:lang w:val="es-ES_tradnl"/>
              </w:rPr>
            </w:pPr>
            <w:r w:rsidRPr="00D15565">
              <w:rPr>
                <w:bCs/>
                <w:szCs w:val="24"/>
                <w:lang w:val="es-ES_tradnl"/>
              </w:rPr>
              <w:lastRenderedPageBreak/>
              <w:t>r</w:t>
            </w:r>
            <w:r w:rsidR="002E29FE" w:rsidRPr="00D15565">
              <w:rPr>
                <w:bCs/>
                <w:szCs w:val="24"/>
                <w:lang w:val="es-ES_tradnl"/>
              </w:rPr>
              <w:t xml:space="preserve">ecomendaciones </w:t>
            </w:r>
            <w:r w:rsidR="002578D7" w:rsidRPr="00D15565">
              <w:rPr>
                <w:bCs/>
                <w:szCs w:val="24"/>
                <w:lang w:val="es-ES_tradnl"/>
              </w:rPr>
              <w:t>acerca d</w:t>
            </w:r>
            <w:r w:rsidR="002E29FE" w:rsidRPr="00D15565">
              <w:rPr>
                <w:bCs/>
                <w:szCs w:val="24"/>
                <w:lang w:val="es-ES_tradnl"/>
              </w:rPr>
              <w:t>el desarrollo de las competencias digitales de los ciudadanos en materia de arte y cultura y</w:t>
            </w:r>
            <w:r w:rsidR="002578D7" w:rsidRPr="00D15565">
              <w:rPr>
                <w:bCs/>
                <w:szCs w:val="24"/>
                <w:lang w:val="es-ES_tradnl"/>
              </w:rPr>
              <w:t xml:space="preserve"> de</w:t>
            </w:r>
            <w:r w:rsidR="002E29FE" w:rsidRPr="00D15565">
              <w:rPr>
                <w:bCs/>
                <w:szCs w:val="24"/>
                <w:lang w:val="es-ES_tradnl"/>
              </w:rPr>
              <w:t xml:space="preserve"> la reducción de las barreras en el acceso del público a las colecciones de los museos;</w:t>
            </w:r>
          </w:p>
          <w:p w14:paraId="3CF9B876" w14:textId="281E85C1" w:rsidR="00B759DE" w:rsidRPr="00D15565" w:rsidRDefault="00407973" w:rsidP="005E1250">
            <w:pPr>
              <w:numPr>
                <w:ilvl w:val="0"/>
                <w:numId w:val="8"/>
              </w:numPr>
              <w:rPr>
                <w:bCs/>
                <w:szCs w:val="24"/>
                <w:lang w:val="es-ES_tradnl"/>
              </w:rPr>
            </w:pPr>
            <w:r w:rsidRPr="00D15565">
              <w:rPr>
                <w:bCs/>
                <w:szCs w:val="24"/>
                <w:lang w:val="es-ES_tradnl"/>
              </w:rPr>
              <w:t xml:space="preserve">colaboración </w:t>
            </w:r>
            <w:r w:rsidR="002E29FE" w:rsidRPr="00D15565">
              <w:rPr>
                <w:bCs/>
                <w:szCs w:val="24"/>
                <w:lang w:val="es-ES_tradnl"/>
              </w:rPr>
              <w:t xml:space="preserve">con museos </w:t>
            </w:r>
            <w:r w:rsidR="002578D7" w:rsidRPr="00D15565">
              <w:rPr>
                <w:bCs/>
                <w:szCs w:val="24"/>
                <w:lang w:val="es-ES_tradnl"/>
              </w:rPr>
              <w:t>para e</w:t>
            </w:r>
            <w:r w:rsidR="002E29FE" w:rsidRPr="00D15565">
              <w:rPr>
                <w:bCs/>
                <w:szCs w:val="24"/>
                <w:lang w:val="es-ES_tradnl"/>
              </w:rPr>
              <w:t xml:space="preserve">l desarrollo de programas especiales de acceso público a </w:t>
            </w:r>
            <w:r w:rsidRPr="00D15565">
              <w:rPr>
                <w:bCs/>
                <w:szCs w:val="24"/>
                <w:lang w:val="es-ES_tradnl"/>
              </w:rPr>
              <w:t>sus</w:t>
            </w:r>
            <w:r w:rsidR="002E29FE" w:rsidRPr="00D15565">
              <w:rPr>
                <w:bCs/>
                <w:szCs w:val="24"/>
                <w:lang w:val="es-ES_tradnl"/>
              </w:rPr>
              <w:t xml:space="preserve"> exposiciones</w:t>
            </w:r>
            <w:r w:rsidRPr="00D15565">
              <w:rPr>
                <w:bCs/>
                <w:szCs w:val="24"/>
                <w:lang w:val="es-ES_tradnl"/>
              </w:rPr>
              <w:t>; y</w:t>
            </w:r>
          </w:p>
          <w:p w14:paraId="53265F82" w14:textId="371AD72B" w:rsidR="00B759DE" w:rsidRPr="00D15565" w:rsidRDefault="00407973" w:rsidP="00407973">
            <w:pPr>
              <w:numPr>
                <w:ilvl w:val="0"/>
                <w:numId w:val="8"/>
              </w:numPr>
              <w:rPr>
                <w:bCs/>
                <w:szCs w:val="24"/>
                <w:lang w:val="es-ES_tradnl"/>
              </w:rPr>
            </w:pPr>
            <w:r w:rsidRPr="00D15565">
              <w:rPr>
                <w:bCs/>
                <w:szCs w:val="24"/>
                <w:lang w:val="es-ES_tradnl"/>
              </w:rPr>
              <w:t>c</w:t>
            </w:r>
            <w:r w:rsidR="002E29FE" w:rsidRPr="00D15565">
              <w:rPr>
                <w:bCs/>
                <w:szCs w:val="24"/>
                <w:lang w:val="es-ES_tradnl"/>
              </w:rPr>
              <w:t xml:space="preserve">ursos de desarrollo profesional, foros, </w:t>
            </w:r>
            <w:r w:rsidRPr="00D15565">
              <w:rPr>
                <w:bCs/>
                <w:szCs w:val="24"/>
                <w:lang w:val="es-ES_tradnl"/>
              </w:rPr>
              <w:t xml:space="preserve">actividades de </w:t>
            </w:r>
            <w:r w:rsidR="002E29FE" w:rsidRPr="00D15565">
              <w:rPr>
                <w:bCs/>
                <w:szCs w:val="24"/>
                <w:lang w:val="es-ES_tradnl"/>
              </w:rPr>
              <w:t xml:space="preserve">formación y seminarios sobre </w:t>
            </w:r>
            <w:r w:rsidRPr="00D15565">
              <w:rPr>
                <w:bCs/>
                <w:szCs w:val="24"/>
                <w:lang w:val="es-ES_tradnl"/>
              </w:rPr>
              <w:t>temas</w:t>
            </w:r>
            <w:r w:rsidR="002E29FE" w:rsidRPr="00D15565">
              <w:rPr>
                <w:bCs/>
                <w:szCs w:val="24"/>
                <w:lang w:val="es-ES_tradnl"/>
              </w:rPr>
              <w:t xml:space="preserve"> relacionados con el desarrollo de las </w:t>
            </w:r>
            <w:r w:rsidRPr="00D15565">
              <w:rPr>
                <w:bCs/>
                <w:szCs w:val="24"/>
                <w:lang w:val="es-ES_tradnl"/>
              </w:rPr>
              <w:t>competencias</w:t>
            </w:r>
            <w:r w:rsidR="002E29FE" w:rsidRPr="00D15565">
              <w:rPr>
                <w:bCs/>
                <w:szCs w:val="24"/>
                <w:lang w:val="es-ES_tradnl"/>
              </w:rPr>
              <w:t xml:space="preserve"> digitales del público en el </w:t>
            </w:r>
            <w:r w:rsidRPr="00D15565">
              <w:rPr>
                <w:bCs/>
                <w:szCs w:val="24"/>
                <w:lang w:val="es-ES_tradnl"/>
              </w:rPr>
              <w:t xml:space="preserve">ámbito del </w:t>
            </w:r>
            <w:r w:rsidR="002E29FE" w:rsidRPr="00D15565">
              <w:rPr>
                <w:bCs/>
                <w:szCs w:val="24"/>
                <w:lang w:val="es-ES_tradnl"/>
              </w:rPr>
              <w:t>arte y la cultura.</w:t>
            </w:r>
          </w:p>
        </w:tc>
      </w:tr>
      <w:tr w:rsidR="00B759DE" w:rsidRPr="005C665F" w14:paraId="73E9C79D" w14:textId="77777777" w:rsidTr="004448F8">
        <w:trPr>
          <w:trHeight w:val="750"/>
        </w:trPr>
        <w:tc>
          <w:tcPr>
            <w:tcW w:w="9634" w:type="dxa"/>
          </w:tcPr>
          <w:p w14:paraId="40007DBD" w14:textId="26EE44E2" w:rsidR="00B759DE" w:rsidRPr="00D15565" w:rsidRDefault="00B759DE" w:rsidP="007F60A2">
            <w:pPr>
              <w:rPr>
                <w:bCs/>
                <w:szCs w:val="24"/>
                <w:lang w:val="es-ES_tradnl"/>
              </w:rPr>
            </w:pPr>
            <w:r w:rsidRPr="00D15565">
              <w:rPr>
                <w:b/>
                <w:bCs/>
                <w:szCs w:val="24"/>
                <w:lang w:val="es-ES_tradnl"/>
              </w:rPr>
              <w:lastRenderedPageBreak/>
              <w:t>CIS5</w:t>
            </w:r>
            <w:r w:rsidRPr="00D15565">
              <w:rPr>
                <w:bCs/>
                <w:szCs w:val="24"/>
                <w:lang w:val="es-ES_tradnl"/>
              </w:rPr>
              <w:t xml:space="preserve">: </w:t>
            </w:r>
            <w:r w:rsidR="007F60A2" w:rsidRPr="00D15565">
              <w:rPr>
                <w:szCs w:val="24"/>
                <w:lang w:val="es-ES_tradnl"/>
              </w:rPr>
              <w:t>Desarrollo de ciudades y comunidades inteligentes.</w:t>
            </w:r>
          </w:p>
          <w:p w14:paraId="6DE483E4" w14:textId="55697FB6" w:rsidR="00B759DE" w:rsidRPr="00D15565" w:rsidRDefault="002E29FE" w:rsidP="0081576E">
            <w:pPr>
              <w:rPr>
                <w:b/>
                <w:bCs/>
                <w:szCs w:val="24"/>
                <w:lang w:val="es-ES_tradnl"/>
              </w:rPr>
            </w:pPr>
            <w:r w:rsidRPr="00D15565">
              <w:rPr>
                <w:b/>
                <w:bCs/>
                <w:szCs w:val="24"/>
                <w:lang w:val="es-ES_tradnl"/>
              </w:rPr>
              <w:t xml:space="preserve">Objetivo: </w:t>
            </w:r>
            <w:r w:rsidR="0081576E" w:rsidRPr="00D15565">
              <w:rPr>
                <w:szCs w:val="24"/>
                <w:lang w:val="es-ES_tradnl"/>
              </w:rPr>
              <w:t>Prestar asistencia a los Estados Miembros de la UIT procedentes de la región en la elaboración de marcos jurídicos y reglamentarios</w:t>
            </w:r>
            <w:r w:rsidRPr="00D15565">
              <w:rPr>
                <w:szCs w:val="24"/>
                <w:lang w:val="es-ES_tradnl"/>
              </w:rPr>
              <w:t>,</w:t>
            </w:r>
            <w:r w:rsidR="0081576E" w:rsidRPr="00D15565">
              <w:rPr>
                <w:szCs w:val="24"/>
                <w:lang w:val="es-ES_tradnl"/>
              </w:rPr>
              <w:t xml:space="preserve"> la creación de</w:t>
            </w:r>
            <w:r w:rsidRPr="00D15565">
              <w:rPr>
                <w:szCs w:val="24"/>
                <w:lang w:val="es-ES_tradnl"/>
              </w:rPr>
              <w:t xml:space="preserve"> la infraestructura necesaria, </w:t>
            </w:r>
            <w:r w:rsidR="0081576E" w:rsidRPr="00D15565">
              <w:rPr>
                <w:szCs w:val="24"/>
                <w:lang w:val="es-ES_tradnl"/>
              </w:rPr>
              <w:t>la introducción de servicios y aplicaciones modern</w:t>
            </w:r>
            <w:r w:rsidR="009A78A3" w:rsidRPr="00D15565">
              <w:rPr>
                <w:szCs w:val="24"/>
                <w:lang w:val="es-ES_tradnl"/>
              </w:rPr>
              <w:t>o</w:t>
            </w:r>
            <w:r w:rsidR="0081576E" w:rsidRPr="00D15565">
              <w:rPr>
                <w:szCs w:val="24"/>
                <w:lang w:val="es-ES_tradnl"/>
              </w:rPr>
              <w:t xml:space="preserve">s en diferentes ámbitos </w:t>
            </w:r>
            <w:r w:rsidR="00A01BDA" w:rsidRPr="00D15565">
              <w:rPr>
                <w:szCs w:val="24"/>
                <w:lang w:val="es-ES_tradnl"/>
              </w:rPr>
              <w:t>relacionados con</w:t>
            </w:r>
            <w:r w:rsidR="0081576E" w:rsidRPr="00D15565">
              <w:rPr>
                <w:szCs w:val="24"/>
                <w:lang w:val="es-ES_tradnl"/>
              </w:rPr>
              <w:t xml:space="preserve"> las ciudades y comunidades inteligentes (educación, sanidad, turismo, transporte, energía, seguridad, medio ambiente, etc.) y la mejora de la alfabetización digital de la población, las empresas y las autoridades</w:t>
            </w:r>
            <w:r w:rsidRPr="00D15565">
              <w:rPr>
                <w:szCs w:val="24"/>
                <w:lang w:val="es-ES_tradnl"/>
              </w:rPr>
              <w:t>.</w:t>
            </w:r>
            <w:r w:rsidR="00B759DE" w:rsidRPr="00D15565">
              <w:rPr>
                <w:b/>
                <w:bCs/>
                <w:szCs w:val="24"/>
                <w:lang w:val="es-ES_tradnl"/>
              </w:rPr>
              <w:t xml:space="preserve"> </w:t>
            </w:r>
          </w:p>
          <w:p w14:paraId="72A4B690" w14:textId="7F5FC14C" w:rsidR="00B759DE" w:rsidRPr="00D15565" w:rsidRDefault="002E29FE" w:rsidP="002E29FE">
            <w:pPr>
              <w:rPr>
                <w:bCs/>
                <w:szCs w:val="24"/>
                <w:lang w:val="es-ES_tradnl"/>
              </w:rPr>
            </w:pPr>
            <w:r w:rsidRPr="00D15565">
              <w:rPr>
                <w:b/>
                <w:bCs/>
                <w:szCs w:val="24"/>
                <w:lang w:val="es-ES_tradnl"/>
              </w:rPr>
              <w:t>Resultados previstos</w:t>
            </w:r>
            <w:r w:rsidR="00B759DE" w:rsidRPr="00D15565">
              <w:rPr>
                <w:bCs/>
                <w:szCs w:val="24"/>
                <w:lang w:val="es-ES_tradnl"/>
              </w:rPr>
              <w:t>:</w:t>
            </w:r>
          </w:p>
          <w:p w14:paraId="6FB2D0FF" w14:textId="30E17843" w:rsidR="002E29FE" w:rsidRPr="00D15565" w:rsidRDefault="00647C21" w:rsidP="00712E2F">
            <w:pPr>
              <w:numPr>
                <w:ilvl w:val="0"/>
                <w:numId w:val="9"/>
              </w:numPr>
              <w:rPr>
                <w:bCs/>
                <w:szCs w:val="24"/>
                <w:lang w:val="es-ES_tradnl"/>
              </w:rPr>
            </w:pPr>
            <w:r w:rsidRPr="00D15565">
              <w:rPr>
                <w:szCs w:val="24"/>
                <w:lang w:val="es-ES_tradnl"/>
              </w:rPr>
              <w:t>recomendaciones atinentes</w:t>
            </w:r>
            <w:r w:rsidR="002E29FE" w:rsidRPr="00D15565">
              <w:rPr>
                <w:szCs w:val="24"/>
                <w:lang w:val="es-ES_tradnl"/>
              </w:rPr>
              <w:t xml:space="preserve"> </w:t>
            </w:r>
            <w:r w:rsidRPr="00D15565">
              <w:rPr>
                <w:szCs w:val="24"/>
                <w:lang w:val="es-ES_tradnl"/>
              </w:rPr>
              <w:t>a</w:t>
            </w:r>
            <w:r w:rsidR="002E29FE" w:rsidRPr="00D15565">
              <w:rPr>
                <w:szCs w:val="24"/>
                <w:lang w:val="es-ES_tradnl"/>
              </w:rPr>
              <w:t xml:space="preserve">l desarrollo de un marco jurídico y </w:t>
            </w:r>
            <w:r w:rsidR="008E6C55" w:rsidRPr="00D15565">
              <w:rPr>
                <w:szCs w:val="24"/>
                <w:lang w:val="es-ES_tradnl"/>
              </w:rPr>
              <w:t>reglamentario</w:t>
            </w:r>
            <w:r w:rsidR="002E29FE" w:rsidRPr="00D15565">
              <w:rPr>
                <w:szCs w:val="24"/>
                <w:lang w:val="es-ES_tradnl"/>
              </w:rPr>
              <w:t xml:space="preserve"> para </w:t>
            </w:r>
            <w:r w:rsidRPr="00D15565">
              <w:rPr>
                <w:szCs w:val="24"/>
                <w:lang w:val="es-ES_tradnl"/>
              </w:rPr>
              <w:t>la construcción</w:t>
            </w:r>
            <w:r w:rsidR="002E29FE" w:rsidRPr="00D15565">
              <w:rPr>
                <w:szCs w:val="24"/>
                <w:lang w:val="es-ES_tradnl"/>
              </w:rPr>
              <w:t xml:space="preserve"> de ciudades y comunidades inteligentes en todos los niveles arquitectónicos, así como </w:t>
            </w:r>
            <w:r w:rsidR="008E6C55" w:rsidRPr="00D15565">
              <w:rPr>
                <w:szCs w:val="24"/>
                <w:lang w:val="es-ES_tradnl"/>
              </w:rPr>
              <w:t>a</w:t>
            </w:r>
            <w:r w:rsidR="002E29FE" w:rsidRPr="00D15565">
              <w:rPr>
                <w:szCs w:val="24"/>
                <w:lang w:val="es-ES_tradnl"/>
              </w:rPr>
              <w:t>l aspecto organizativo de</w:t>
            </w:r>
            <w:r w:rsidRPr="00D15565">
              <w:rPr>
                <w:szCs w:val="24"/>
                <w:lang w:val="es-ES_tradnl"/>
              </w:rPr>
              <w:t xml:space="preserve"> </w:t>
            </w:r>
            <w:r w:rsidR="002E29FE" w:rsidRPr="00D15565">
              <w:rPr>
                <w:szCs w:val="24"/>
                <w:lang w:val="es-ES_tradnl"/>
              </w:rPr>
              <w:t>l</w:t>
            </w:r>
            <w:r w:rsidRPr="00D15565">
              <w:rPr>
                <w:szCs w:val="24"/>
                <w:lang w:val="es-ES_tradnl"/>
              </w:rPr>
              <w:t xml:space="preserve">a creación </w:t>
            </w:r>
            <w:r w:rsidR="002E29FE" w:rsidRPr="00D15565">
              <w:rPr>
                <w:szCs w:val="24"/>
                <w:lang w:val="es-ES_tradnl"/>
              </w:rPr>
              <w:t xml:space="preserve">de ciudades y comunidades inteligentes; </w:t>
            </w:r>
          </w:p>
          <w:p w14:paraId="005943B4" w14:textId="7091FA73" w:rsidR="00B759DE" w:rsidRPr="00D15565" w:rsidRDefault="00647C21" w:rsidP="00647C21">
            <w:pPr>
              <w:numPr>
                <w:ilvl w:val="0"/>
                <w:numId w:val="9"/>
              </w:numPr>
              <w:rPr>
                <w:bCs/>
                <w:szCs w:val="24"/>
                <w:lang w:val="es-ES_tradnl"/>
              </w:rPr>
            </w:pPr>
            <w:r w:rsidRPr="00D15565">
              <w:rPr>
                <w:lang w:val="es-ES_tradnl"/>
              </w:rPr>
              <w:t xml:space="preserve">recomendaciones atinentes al desarrollo </w:t>
            </w:r>
            <w:r w:rsidR="002E29FE" w:rsidRPr="00D15565">
              <w:rPr>
                <w:lang w:val="es-ES_tradnl"/>
              </w:rPr>
              <w:t>de la infraestructura necesaria, incluid</w:t>
            </w:r>
            <w:r w:rsidRPr="00D15565">
              <w:rPr>
                <w:lang w:val="es-ES_tradnl"/>
              </w:rPr>
              <w:t>a la utilización</w:t>
            </w:r>
            <w:r w:rsidR="002E29FE" w:rsidRPr="00D15565">
              <w:rPr>
                <w:lang w:val="es-ES_tradnl"/>
              </w:rPr>
              <w:t xml:space="preserve"> de las telecomunicaciones y otros medios de conexión para apoyar y facilitar el desarrollo sostenible de las ciudades y comunidades inteligentes en los países en desarrollo;</w:t>
            </w:r>
            <w:r w:rsidR="00AE4C97" w:rsidRPr="00D15565">
              <w:rPr>
                <w:rFonts w:ascii="Calibri" w:hAnsi="Calibri" w:cs="Calibri"/>
                <w:b/>
                <w:bCs/>
                <w:color w:val="800000"/>
                <w:sz w:val="22"/>
                <w:szCs w:val="24"/>
                <w:lang w:val="es-ES_tradnl"/>
              </w:rPr>
              <w:t xml:space="preserve"> </w:t>
            </w:r>
          </w:p>
          <w:p w14:paraId="7B870A62" w14:textId="55EC7B11" w:rsidR="00B759DE" w:rsidRPr="00D15565" w:rsidRDefault="00647C21" w:rsidP="00992DD1">
            <w:pPr>
              <w:numPr>
                <w:ilvl w:val="0"/>
                <w:numId w:val="9"/>
              </w:numPr>
              <w:rPr>
                <w:bCs/>
                <w:szCs w:val="24"/>
                <w:lang w:val="es-ES_tradnl"/>
              </w:rPr>
            </w:pPr>
            <w:r w:rsidRPr="00D15565">
              <w:rPr>
                <w:szCs w:val="24"/>
                <w:lang w:val="es-ES_tradnl"/>
              </w:rPr>
              <w:t xml:space="preserve">proyectos </w:t>
            </w:r>
            <w:r w:rsidR="002E29FE" w:rsidRPr="00D15565">
              <w:rPr>
                <w:szCs w:val="24"/>
                <w:lang w:val="es-ES_tradnl"/>
              </w:rPr>
              <w:t xml:space="preserve">piloto </w:t>
            </w:r>
            <w:r w:rsidRPr="00D15565">
              <w:rPr>
                <w:szCs w:val="24"/>
                <w:lang w:val="es-ES_tradnl"/>
              </w:rPr>
              <w:t xml:space="preserve">relacionados con </w:t>
            </w:r>
            <w:r w:rsidR="00992DD1" w:rsidRPr="00D15565">
              <w:rPr>
                <w:szCs w:val="24"/>
                <w:lang w:val="es-ES_tradnl"/>
              </w:rPr>
              <w:t xml:space="preserve">diferentes aspectos </w:t>
            </w:r>
            <w:r w:rsidR="002E29FE" w:rsidRPr="00D15565">
              <w:rPr>
                <w:szCs w:val="24"/>
                <w:lang w:val="es-ES_tradnl"/>
              </w:rPr>
              <w:t xml:space="preserve">del desarrollo de </w:t>
            </w:r>
            <w:r w:rsidR="00992DD1" w:rsidRPr="00D15565">
              <w:rPr>
                <w:szCs w:val="24"/>
                <w:lang w:val="es-ES_tradnl"/>
              </w:rPr>
              <w:t xml:space="preserve">las </w:t>
            </w:r>
            <w:r w:rsidR="002E29FE" w:rsidRPr="00D15565">
              <w:rPr>
                <w:szCs w:val="24"/>
                <w:lang w:val="es-ES_tradnl"/>
              </w:rPr>
              <w:t xml:space="preserve">ciudades y comunidades inteligentes (educación, sanidad, turismo, transporte, energía, seguridad, medio ambiente, etc.); </w:t>
            </w:r>
          </w:p>
          <w:p w14:paraId="06A64213" w14:textId="0A72909E" w:rsidR="00B759DE" w:rsidRPr="00D15565" w:rsidRDefault="00992DD1" w:rsidP="00992DD1">
            <w:pPr>
              <w:numPr>
                <w:ilvl w:val="0"/>
                <w:numId w:val="9"/>
              </w:numPr>
              <w:rPr>
                <w:bCs/>
                <w:szCs w:val="24"/>
                <w:lang w:val="es-ES_tradnl"/>
              </w:rPr>
            </w:pPr>
            <w:r w:rsidRPr="00D15565">
              <w:rPr>
                <w:szCs w:val="24"/>
                <w:lang w:val="es-ES_tradnl"/>
              </w:rPr>
              <w:t xml:space="preserve">sistema </w:t>
            </w:r>
            <w:r w:rsidR="002E29FE" w:rsidRPr="00D15565">
              <w:rPr>
                <w:szCs w:val="24"/>
                <w:lang w:val="es-ES_tradnl"/>
              </w:rPr>
              <w:t xml:space="preserve">de calificación e indicadores </w:t>
            </w:r>
            <w:r w:rsidRPr="00D15565">
              <w:rPr>
                <w:szCs w:val="24"/>
                <w:lang w:val="es-ES_tradnl"/>
              </w:rPr>
              <w:t>fundamentales</w:t>
            </w:r>
            <w:r w:rsidR="002E29FE" w:rsidRPr="00D15565">
              <w:rPr>
                <w:szCs w:val="24"/>
                <w:lang w:val="es-ES_tradnl"/>
              </w:rPr>
              <w:t xml:space="preserve"> de rendimiento para el ámbito de las ciudades y comunidades inteligentes;</w:t>
            </w:r>
            <w:r w:rsidRPr="00D15565">
              <w:rPr>
                <w:szCs w:val="24"/>
                <w:lang w:val="es-ES_tradnl"/>
              </w:rPr>
              <w:t xml:space="preserve"> y</w:t>
            </w:r>
          </w:p>
          <w:p w14:paraId="33418721" w14:textId="6721AA62" w:rsidR="00B759DE" w:rsidRPr="00D15565" w:rsidRDefault="00992DD1" w:rsidP="00992DD1">
            <w:pPr>
              <w:numPr>
                <w:ilvl w:val="0"/>
                <w:numId w:val="9"/>
              </w:numPr>
              <w:rPr>
                <w:bCs/>
                <w:szCs w:val="24"/>
                <w:lang w:val="es-ES_tradnl"/>
              </w:rPr>
            </w:pPr>
            <w:r w:rsidRPr="00D15565">
              <w:rPr>
                <w:szCs w:val="24"/>
                <w:lang w:val="es-ES_tradnl"/>
              </w:rPr>
              <w:t xml:space="preserve">cursos </w:t>
            </w:r>
            <w:r w:rsidR="002E29FE" w:rsidRPr="00D15565">
              <w:rPr>
                <w:szCs w:val="24"/>
                <w:lang w:val="es-ES_tradnl"/>
              </w:rPr>
              <w:t xml:space="preserve">de formación continua, sesiones de formación y seminarios sobre temas relacionados con el desarrollo de ciudades y comunidades inteligentes y el aumento de la alfabetización digital de la población, las empresas y las autoridades. </w:t>
            </w:r>
          </w:p>
        </w:tc>
      </w:tr>
      <w:bookmarkEnd w:id="18"/>
      <w:bookmarkEnd w:id="19"/>
    </w:tbl>
    <w:p w14:paraId="359C2CF0" w14:textId="77777777" w:rsidR="00EC53E8" w:rsidRPr="00D15565" w:rsidRDefault="00EC53E8" w:rsidP="005A56C1">
      <w:pPr>
        <w:pStyle w:val="Reasons"/>
        <w:rPr>
          <w:lang w:val="es-ES_tradnl"/>
        </w:rPr>
      </w:pPr>
    </w:p>
    <w:p w14:paraId="4374B6B3" w14:textId="77777777" w:rsidR="00EC53E8" w:rsidRPr="00D15565" w:rsidRDefault="00EC53E8">
      <w:pPr>
        <w:jc w:val="center"/>
        <w:rPr>
          <w:lang w:val="es-ES_tradnl"/>
        </w:rPr>
      </w:pPr>
      <w:r w:rsidRPr="00D15565">
        <w:rPr>
          <w:lang w:val="es-ES_tradnl"/>
        </w:rPr>
        <w:t>______________</w:t>
      </w:r>
    </w:p>
    <w:sectPr w:rsidR="00EC53E8" w:rsidRPr="00D15565" w:rsidSect="00674952">
      <w:headerReference w:type="default" r:id="rId54"/>
      <w:footerReference w:type="even" r:id="rId55"/>
      <w:footerReference w:type="default" r:id="rId56"/>
      <w:footerReference w:type="first" r:id="rId57"/>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8D47E" w14:textId="77777777" w:rsidR="00A22A25" w:rsidRDefault="00A22A25">
      <w:r>
        <w:separator/>
      </w:r>
    </w:p>
  </w:endnote>
  <w:endnote w:type="continuationSeparator" w:id="0">
    <w:p w14:paraId="2F35E306" w14:textId="77777777" w:rsidR="00A22A25" w:rsidRDefault="00A2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C83B2" w14:textId="77777777" w:rsidR="008C03D8" w:rsidRDefault="008C03D8">
    <w:pPr>
      <w:framePr w:wrap="around" w:vAnchor="text" w:hAnchor="margin" w:xAlign="right" w:y="1"/>
    </w:pPr>
    <w:r>
      <w:fldChar w:fldCharType="begin"/>
    </w:r>
    <w:r>
      <w:instrText xml:space="preserve">PAGE  </w:instrText>
    </w:r>
    <w:r>
      <w:fldChar w:fldCharType="end"/>
    </w:r>
  </w:p>
  <w:p w14:paraId="2D154571" w14:textId="20354876" w:rsidR="008C03D8" w:rsidRPr="0041348E" w:rsidRDefault="008C03D8">
    <w:pPr>
      <w:ind w:right="360"/>
      <w:rPr>
        <w:lang w:val="en-US"/>
      </w:rPr>
    </w:pPr>
    <w:r>
      <w:fldChar w:fldCharType="begin"/>
    </w:r>
    <w:r w:rsidRPr="0041348E">
      <w:rPr>
        <w:lang w:val="en-US"/>
      </w:rPr>
      <w:instrText xml:space="preserve"> FILENAME \p  \* MERGEFORMAT </w:instrText>
    </w:r>
    <w:r>
      <w:fldChar w:fldCharType="separate"/>
    </w:r>
    <w:r>
      <w:rPr>
        <w:noProof/>
        <w:lang w:val="en-US"/>
      </w:rPr>
      <w:t>P:\TRAD\S\ITU-D\CONF-D\RPMS\CIS\000\037S_Montaje.docx</w:t>
    </w:r>
    <w:r>
      <w:fldChar w:fldCharType="end"/>
    </w:r>
    <w:r w:rsidRPr="0041348E">
      <w:rPr>
        <w:lang w:val="en-US"/>
      </w:rPr>
      <w:tab/>
    </w:r>
    <w:r>
      <w:fldChar w:fldCharType="begin"/>
    </w:r>
    <w:r>
      <w:instrText xml:space="preserve"> SAVEDATE \@ DD.MM.YY </w:instrText>
    </w:r>
    <w:r>
      <w:fldChar w:fldCharType="separate"/>
    </w:r>
    <w:r w:rsidR="000757A0">
      <w:rPr>
        <w:noProof/>
      </w:rPr>
      <w:t>06.05.21</w:t>
    </w:r>
    <w:r>
      <w:fldChar w:fldCharType="end"/>
    </w:r>
    <w:r w:rsidRPr="0041348E">
      <w:rPr>
        <w:lang w:val="en-US"/>
      </w:rPr>
      <w:tab/>
    </w:r>
    <w:r>
      <w:fldChar w:fldCharType="begin"/>
    </w:r>
    <w:r>
      <w:instrText xml:space="preserve"> PRINTDATE \@ DD.MM.YY </w:instrText>
    </w:r>
    <w:r>
      <w:fldChar w:fldCharType="separate"/>
    </w:r>
    <w:r>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8BD4F" w14:textId="02A52F03" w:rsidR="008C03D8" w:rsidRPr="00D83BF5" w:rsidRDefault="0038561D" w:rsidP="00B93F05">
    <w:pPr>
      <w:pStyle w:val="Footer"/>
      <w:rPr>
        <w:lang w:val="en-US"/>
      </w:rPr>
    </w:pPr>
    <w:fldSimple w:instr=" FILENAME \p  \* MERGEFORMAT ">
      <w:r w:rsidR="00571621">
        <w:t>P:\ESP\ITU-D\CONF-D\RPMS\CIS\000\037S.docx</w:t>
      </w:r>
    </w:fldSimple>
    <w:r w:rsidR="00571621">
      <w:t xml:space="preserve"> (487399)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Look w:val="04A0" w:firstRow="1" w:lastRow="0" w:firstColumn="1" w:lastColumn="0" w:noHBand="0" w:noVBand="1"/>
    </w:tblPr>
    <w:tblGrid>
      <w:gridCol w:w="1260"/>
      <w:gridCol w:w="2576"/>
      <w:gridCol w:w="5803"/>
    </w:tblGrid>
    <w:tr w:rsidR="008C03D8" w:rsidRPr="005C665F" w14:paraId="38E45ACE" w14:textId="77777777" w:rsidTr="008914AE">
      <w:tc>
        <w:tcPr>
          <w:tcW w:w="1260" w:type="dxa"/>
          <w:tcBorders>
            <w:top w:val="single" w:sz="4" w:space="0" w:color="000000"/>
          </w:tcBorders>
          <w:shd w:val="clear" w:color="auto" w:fill="auto"/>
        </w:tcPr>
        <w:p w14:paraId="3EC57D84" w14:textId="4930F92A" w:rsidR="008C03D8" w:rsidRPr="00064051" w:rsidRDefault="008C03D8" w:rsidP="00D83BF5">
          <w:pPr>
            <w:pStyle w:val="FirstFooter"/>
            <w:tabs>
              <w:tab w:val="left" w:pos="1559"/>
              <w:tab w:val="left" w:pos="3828"/>
            </w:tabs>
            <w:rPr>
              <w:sz w:val="18"/>
              <w:szCs w:val="18"/>
              <w:lang w:val="es-ES_tradnl"/>
            </w:rPr>
          </w:pPr>
          <w:r w:rsidRPr="00064051">
            <w:rPr>
              <w:rFonts w:ascii="Calibri" w:hAnsi="Calibri"/>
              <w:sz w:val="18"/>
              <w:szCs w:val="18"/>
              <w:lang w:val="es-ES_tradnl"/>
            </w:rPr>
            <w:t>Contacto:</w:t>
          </w:r>
        </w:p>
      </w:tc>
      <w:tc>
        <w:tcPr>
          <w:tcW w:w="2576" w:type="dxa"/>
          <w:tcBorders>
            <w:top w:val="single" w:sz="4" w:space="0" w:color="000000"/>
          </w:tcBorders>
          <w:shd w:val="clear" w:color="auto" w:fill="auto"/>
        </w:tcPr>
        <w:p w14:paraId="396D059F" w14:textId="2EE7CD7C" w:rsidR="008C03D8" w:rsidRPr="00064051" w:rsidRDefault="008C03D8" w:rsidP="00D83BF5">
          <w:pPr>
            <w:pStyle w:val="FirstFooter"/>
            <w:tabs>
              <w:tab w:val="left" w:pos="2302"/>
            </w:tabs>
            <w:ind w:left="2302" w:hanging="2302"/>
            <w:rPr>
              <w:sz w:val="18"/>
              <w:szCs w:val="18"/>
              <w:lang w:val="es-ES_tradnl"/>
            </w:rPr>
          </w:pPr>
          <w:r w:rsidRPr="00064051">
            <w:rPr>
              <w:sz w:val="18"/>
              <w:szCs w:val="18"/>
              <w:lang w:val="es-ES_tradnl"/>
            </w:rPr>
            <w:t>Nombre/Organización/Entidad:</w:t>
          </w:r>
        </w:p>
      </w:tc>
      <w:tc>
        <w:tcPr>
          <w:tcW w:w="5803" w:type="dxa"/>
          <w:tcBorders>
            <w:top w:val="single" w:sz="4" w:space="0" w:color="000000"/>
          </w:tcBorders>
          <w:shd w:val="clear" w:color="auto" w:fill="auto"/>
        </w:tcPr>
        <w:p w14:paraId="267D8858" w14:textId="2C7D6E17" w:rsidR="008C03D8" w:rsidRPr="005C665F" w:rsidRDefault="008C03D8" w:rsidP="00B441D6">
          <w:pPr>
            <w:pStyle w:val="FirstFooter"/>
            <w:tabs>
              <w:tab w:val="left" w:pos="2302"/>
            </w:tabs>
            <w:rPr>
              <w:rFonts w:ascii="Calibri" w:hAnsi="Calibri" w:cs="Calibri"/>
              <w:sz w:val="22"/>
              <w:szCs w:val="18"/>
              <w:lang w:val="es-ES"/>
            </w:rPr>
          </w:pPr>
          <w:r w:rsidRPr="005C665F">
            <w:rPr>
              <w:sz w:val="18"/>
              <w:szCs w:val="18"/>
              <w:lang w:val="es-ES"/>
            </w:rPr>
            <w:t xml:space="preserve">Sr. Rashid </w:t>
          </w:r>
          <w:proofErr w:type="spellStart"/>
          <w:r w:rsidRPr="005C665F">
            <w:rPr>
              <w:sz w:val="18"/>
              <w:szCs w:val="18"/>
              <w:lang w:val="es-ES"/>
            </w:rPr>
            <w:t>Ismailov</w:t>
          </w:r>
          <w:proofErr w:type="spellEnd"/>
          <w:r w:rsidRPr="005C665F">
            <w:rPr>
              <w:sz w:val="18"/>
              <w:szCs w:val="18"/>
              <w:lang w:val="es-ES"/>
            </w:rPr>
            <w:t xml:space="preserve">, </w:t>
          </w:r>
          <w:proofErr w:type="gramStart"/>
          <w:r w:rsidRPr="005C665F">
            <w:rPr>
              <w:sz w:val="18"/>
              <w:szCs w:val="18"/>
              <w:lang w:val="es-ES"/>
            </w:rPr>
            <w:t>Presidente</w:t>
          </w:r>
          <w:proofErr w:type="gramEnd"/>
          <w:r w:rsidRPr="005C665F">
            <w:rPr>
              <w:sz w:val="18"/>
              <w:szCs w:val="18"/>
              <w:lang w:val="es-ES"/>
            </w:rPr>
            <w:t xml:space="preserve"> de la RPR-CEI, Ministerio de Desarrollo Digital, Comunicaciones y Medios de Comunicación de Masas, </w:t>
          </w:r>
          <w:r w:rsidR="00571621">
            <w:rPr>
              <w:sz w:val="18"/>
              <w:szCs w:val="18"/>
              <w:lang w:val="es-ES"/>
            </w:rPr>
            <w:br/>
          </w:r>
          <w:r w:rsidRPr="005C665F">
            <w:rPr>
              <w:sz w:val="18"/>
              <w:szCs w:val="18"/>
              <w:lang w:val="es-ES"/>
            </w:rPr>
            <w:t>Federación de Rusia</w:t>
          </w:r>
        </w:p>
      </w:tc>
    </w:tr>
    <w:tr w:rsidR="008C03D8" w:rsidRPr="00064051" w14:paraId="131D3B6A" w14:textId="77777777" w:rsidTr="008914AE">
      <w:tc>
        <w:tcPr>
          <w:tcW w:w="1260" w:type="dxa"/>
          <w:shd w:val="clear" w:color="auto" w:fill="auto"/>
        </w:tcPr>
        <w:p w14:paraId="2B7C6B93" w14:textId="77777777" w:rsidR="008C03D8" w:rsidRPr="005C665F" w:rsidRDefault="008C03D8" w:rsidP="00D83BF5">
          <w:pPr>
            <w:pStyle w:val="FirstFooter"/>
            <w:tabs>
              <w:tab w:val="left" w:pos="1559"/>
              <w:tab w:val="left" w:pos="3828"/>
            </w:tabs>
            <w:rPr>
              <w:sz w:val="20"/>
              <w:lang w:val="es-ES"/>
            </w:rPr>
          </w:pPr>
        </w:p>
      </w:tc>
      <w:tc>
        <w:tcPr>
          <w:tcW w:w="2576" w:type="dxa"/>
          <w:shd w:val="clear" w:color="auto" w:fill="auto"/>
        </w:tcPr>
        <w:p w14:paraId="5F37BEF7" w14:textId="7BCEB9C3" w:rsidR="008C03D8" w:rsidRPr="00064051" w:rsidRDefault="008C03D8" w:rsidP="00D83BF5">
          <w:pPr>
            <w:pStyle w:val="FirstFooter"/>
            <w:tabs>
              <w:tab w:val="left" w:pos="2302"/>
            </w:tabs>
            <w:rPr>
              <w:sz w:val="18"/>
              <w:szCs w:val="18"/>
              <w:lang w:val="en-US"/>
            </w:rPr>
          </w:pPr>
          <w:r w:rsidRPr="00064051">
            <w:rPr>
              <w:rFonts w:ascii="Calibri" w:hAnsi="Calibri"/>
              <w:sz w:val="18"/>
              <w:szCs w:val="18"/>
              <w:lang w:val="es-ES"/>
            </w:rPr>
            <w:t>Teléfono</w:t>
          </w:r>
          <w:r w:rsidRPr="00064051">
            <w:rPr>
              <w:rFonts w:ascii="Calibri" w:hAnsi="Calibri"/>
              <w:sz w:val="18"/>
              <w:szCs w:val="18"/>
              <w:lang w:val="es-ES_tradnl"/>
            </w:rPr>
            <w:t>:</w:t>
          </w:r>
        </w:p>
      </w:tc>
      <w:tc>
        <w:tcPr>
          <w:tcW w:w="5803" w:type="dxa"/>
          <w:shd w:val="clear" w:color="auto" w:fill="auto"/>
        </w:tcPr>
        <w:p w14:paraId="78A5FE64" w14:textId="77777777" w:rsidR="008C03D8" w:rsidRPr="00064051" w:rsidRDefault="008C03D8" w:rsidP="00D83BF5">
          <w:pPr>
            <w:pStyle w:val="FirstFooter"/>
            <w:tabs>
              <w:tab w:val="left" w:pos="2302"/>
            </w:tabs>
            <w:rPr>
              <w:sz w:val="18"/>
              <w:szCs w:val="18"/>
            </w:rPr>
          </w:pPr>
          <w:r w:rsidRPr="00064051">
            <w:rPr>
              <w:sz w:val="18"/>
              <w:szCs w:val="18"/>
            </w:rPr>
            <w:t>n/a</w:t>
          </w:r>
        </w:p>
      </w:tc>
    </w:tr>
    <w:tr w:rsidR="008C03D8" w:rsidRPr="00064051" w14:paraId="604C6BAC" w14:textId="77777777" w:rsidTr="008914AE">
      <w:tc>
        <w:tcPr>
          <w:tcW w:w="1260" w:type="dxa"/>
          <w:shd w:val="clear" w:color="auto" w:fill="auto"/>
        </w:tcPr>
        <w:p w14:paraId="637D195D" w14:textId="77777777" w:rsidR="008C03D8" w:rsidRPr="00064051" w:rsidRDefault="008C03D8" w:rsidP="00D83BF5">
          <w:pPr>
            <w:pStyle w:val="FirstFooter"/>
            <w:tabs>
              <w:tab w:val="left" w:pos="1559"/>
              <w:tab w:val="left" w:pos="3828"/>
            </w:tabs>
            <w:rPr>
              <w:sz w:val="20"/>
              <w:lang w:val="en-US"/>
            </w:rPr>
          </w:pPr>
        </w:p>
      </w:tc>
      <w:tc>
        <w:tcPr>
          <w:tcW w:w="2576" w:type="dxa"/>
          <w:shd w:val="clear" w:color="auto" w:fill="auto"/>
        </w:tcPr>
        <w:p w14:paraId="5142E60B" w14:textId="4D9924D6" w:rsidR="008C03D8" w:rsidRPr="00064051" w:rsidRDefault="008C03D8" w:rsidP="00D83BF5">
          <w:pPr>
            <w:pStyle w:val="FirstFooter"/>
            <w:tabs>
              <w:tab w:val="left" w:pos="2302"/>
            </w:tabs>
            <w:rPr>
              <w:rFonts w:ascii="Calibri" w:hAnsi="Calibri" w:cs="Calibri"/>
              <w:sz w:val="18"/>
              <w:szCs w:val="18"/>
              <w:lang w:val="en-US"/>
            </w:rPr>
          </w:pPr>
          <w:r w:rsidRPr="00064051">
            <w:rPr>
              <w:sz w:val="18"/>
              <w:szCs w:val="18"/>
              <w:lang w:val="es-ES"/>
            </w:rPr>
            <w:t>Correo-e</w:t>
          </w:r>
          <w:r w:rsidRPr="00064051">
            <w:rPr>
              <w:sz w:val="18"/>
              <w:szCs w:val="18"/>
              <w:lang w:val="es-ES_tradnl"/>
            </w:rPr>
            <w:t>:</w:t>
          </w:r>
        </w:p>
      </w:tc>
      <w:tc>
        <w:tcPr>
          <w:tcW w:w="5803" w:type="dxa"/>
          <w:shd w:val="clear" w:color="auto" w:fill="auto"/>
        </w:tcPr>
        <w:p w14:paraId="0E8004FF" w14:textId="77777777" w:rsidR="008C03D8" w:rsidRPr="00064051" w:rsidRDefault="00FA64BD" w:rsidP="00D83BF5">
          <w:pPr>
            <w:pStyle w:val="FirstFooter"/>
            <w:tabs>
              <w:tab w:val="left" w:pos="2302"/>
            </w:tabs>
            <w:rPr>
              <w:sz w:val="18"/>
              <w:szCs w:val="18"/>
            </w:rPr>
          </w:pPr>
          <w:hyperlink r:id="rId1" w:history="1">
            <w:r w:rsidR="008C03D8" w:rsidRPr="00064051">
              <w:rPr>
                <w:rStyle w:val="Hyperlink"/>
                <w:sz w:val="18"/>
                <w:szCs w:val="18"/>
              </w:rPr>
              <w:t>rrismailov@beeline.ru</w:t>
            </w:r>
          </w:hyperlink>
        </w:p>
      </w:tc>
    </w:tr>
  </w:tbl>
  <w:p w14:paraId="6ECB98CC" w14:textId="77777777" w:rsidR="008C03D8" w:rsidRPr="00E229F1" w:rsidRDefault="00FA64BD" w:rsidP="00E229F1">
    <w:pPr>
      <w:jc w:val="center"/>
      <w:rPr>
        <w:rFonts w:ascii="Calibri" w:hAnsi="Calibri"/>
        <w:sz w:val="20"/>
        <w:szCs w:val="16"/>
      </w:rPr>
    </w:pPr>
    <w:hyperlink r:id="rId2" w:history="1">
      <w:r w:rsidR="008C03D8" w:rsidRPr="00064051">
        <w:rPr>
          <w:rStyle w:val="Hyperlink"/>
          <w:sz w:val="20"/>
          <w:szCs w:val="16"/>
        </w:rPr>
        <w:t>RPM-CIS21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F733F" w14:textId="77777777" w:rsidR="00A22A25" w:rsidRDefault="00A22A25">
      <w:r>
        <w:rPr>
          <w:b/>
        </w:rPr>
        <w:t>_______________</w:t>
      </w:r>
    </w:p>
  </w:footnote>
  <w:footnote w:type="continuationSeparator" w:id="0">
    <w:p w14:paraId="5DCF10F0" w14:textId="77777777" w:rsidR="00A22A25" w:rsidRDefault="00A2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C9939" w14:textId="157D7386" w:rsidR="008C03D8" w:rsidRPr="00D83BF5" w:rsidRDefault="008C03D8" w:rsidP="000D41C5">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sidRPr="00FF089C">
      <w:rPr>
        <w:sz w:val="22"/>
        <w:szCs w:val="22"/>
        <w:lang w:val="es-ES_tradnl"/>
      </w:rPr>
      <w:t>ITU-D/RPM-</w:t>
    </w:r>
    <w:r>
      <w:rPr>
        <w:sz w:val="22"/>
        <w:szCs w:val="22"/>
        <w:lang w:val="es-ES_tradnl"/>
      </w:rPr>
      <w:t>CIS21</w:t>
    </w:r>
    <w:r w:rsidRPr="00FF089C">
      <w:rPr>
        <w:sz w:val="22"/>
        <w:szCs w:val="22"/>
        <w:lang w:val="es-ES_tradnl"/>
      </w:rPr>
      <w:t>/</w:t>
    </w:r>
    <w:r>
      <w:rPr>
        <w:sz w:val="22"/>
        <w:szCs w:val="22"/>
        <w:lang w:val="es-ES_tradnl"/>
      </w:rPr>
      <w:t>37</w:t>
    </w:r>
    <w:r w:rsidRPr="00FF089C">
      <w:rPr>
        <w:sz w:val="22"/>
        <w:szCs w:val="22"/>
        <w:lang w:val="es-ES_tradnl"/>
      </w:rPr>
      <w:t>-</w:t>
    </w:r>
    <w:r>
      <w:rPr>
        <w:sz w:val="22"/>
        <w:szCs w:val="22"/>
        <w:lang w:val="es-ES_tradnl"/>
      </w:rPr>
      <w:t>S</w:t>
    </w:r>
    <w:r w:rsidRPr="00FF089C">
      <w:rPr>
        <w:sz w:val="22"/>
        <w:szCs w:val="22"/>
        <w:lang w:val="es-ES_tradnl"/>
      </w:rPr>
      <w:tab/>
      <w:t>P</w:t>
    </w:r>
    <w:r>
      <w:rPr>
        <w:sz w:val="22"/>
        <w:szCs w:val="22"/>
        <w:lang w:val="es-ES_tradnl"/>
      </w:rPr>
      <w:t>á</w:t>
    </w:r>
    <w:r w:rsidRPr="00FF089C">
      <w:rPr>
        <w:sz w:val="22"/>
        <w:szCs w:val="22"/>
        <w:lang w:val="es-ES_tradnl"/>
      </w:rPr>
      <w:t>g</w:t>
    </w:r>
    <w:r>
      <w:rPr>
        <w:sz w:val="22"/>
        <w:szCs w:val="22"/>
        <w:lang w:val="es-ES_tradnl"/>
      </w:rPr>
      <w:t>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3C35313"/>
    <w:multiLevelType w:val="hybridMultilevel"/>
    <w:tmpl w:val="77FC9D50"/>
    <w:lvl w:ilvl="0" w:tplc="0C090011">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 w15:restartNumberingAfterBreak="0">
    <w:nsid w:val="22BD5780"/>
    <w:multiLevelType w:val="hybridMultilevel"/>
    <w:tmpl w:val="77FC9D50"/>
    <w:lvl w:ilvl="0" w:tplc="0C090011">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15:restartNumberingAfterBreak="0">
    <w:nsid w:val="2E9C4D96"/>
    <w:multiLevelType w:val="hybridMultilevel"/>
    <w:tmpl w:val="E876AE20"/>
    <w:lvl w:ilvl="0" w:tplc="0C090011">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4E53CE"/>
    <w:multiLevelType w:val="hybridMultilevel"/>
    <w:tmpl w:val="744AA7E6"/>
    <w:lvl w:ilvl="0" w:tplc="8B860052">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986312"/>
    <w:multiLevelType w:val="hybridMultilevel"/>
    <w:tmpl w:val="E876AE20"/>
    <w:lvl w:ilvl="0" w:tplc="0C090011">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00630"/>
    <w:multiLevelType w:val="hybridMultilevel"/>
    <w:tmpl w:val="E876AE20"/>
    <w:lvl w:ilvl="0" w:tplc="0C090011">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8"/>
  </w:num>
  <w:num w:numId="4">
    <w:abstractNumId w:val="2"/>
  </w:num>
  <w:num w:numId="5">
    <w:abstractNumId w:val="3"/>
  </w:num>
  <w:num w:numId="6">
    <w:abstractNumId w:val="7"/>
  </w:num>
  <w:num w:numId="7">
    <w:abstractNumId w:val="4"/>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05BE"/>
    <w:rsid w:val="00022A29"/>
    <w:rsid w:val="000355FD"/>
    <w:rsid w:val="00042A05"/>
    <w:rsid w:val="00047242"/>
    <w:rsid w:val="00051E39"/>
    <w:rsid w:val="000576A2"/>
    <w:rsid w:val="00060860"/>
    <w:rsid w:val="00064051"/>
    <w:rsid w:val="000757A0"/>
    <w:rsid w:val="00075C63"/>
    <w:rsid w:val="00077239"/>
    <w:rsid w:val="00080557"/>
    <w:rsid w:val="000822BE"/>
    <w:rsid w:val="000830D6"/>
    <w:rsid w:val="00086491"/>
    <w:rsid w:val="00091346"/>
    <w:rsid w:val="000C3F14"/>
    <w:rsid w:val="000D238F"/>
    <w:rsid w:val="000D41C5"/>
    <w:rsid w:val="000E3FCC"/>
    <w:rsid w:val="000E4BA4"/>
    <w:rsid w:val="000F73FF"/>
    <w:rsid w:val="00114CF7"/>
    <w:rsid w:val="001160DA"/>
    <w:rsid w:val="001161D2"/>
    <w:rsid w:val="001170B1"/>
    <w:rsid w:val="0011723C"/>
    <w:rsid w:val="00123B68"/>
    <w:rsid w:val="00124A96"/>
    <w:rsid w:val="00126F2E"/>
    <w:rsid w:val="0013285C"/>
    <w:rsid w:val="00132F5A"/>
    <w:rsid w:val="001362E0"/>
    <w:rsid w:val="001467CC"/>
    <w:rsid w:val="00146F6F"/>
    <w:rsid w:val="0015290A"/>
    <w:rsid w:val="00152957"/>
    <w:rsid w:val="00152E18"/>
    <w:rsid w:val="00162382"/>
    <w:rsid w:val="00167542"/>
    <w:rsid w:val="00173710"/>
    <w:rsid w:val="00183564"/>
    <w:rsid w:val="00187BD9"/>
    <w:rsid w:val="001906E7"/>
    <w:rsid w:val="00190B55"/>
    <w:rsid w:val="00194CFB"/>
    <w:rsid w:val="001A2FCB"/>
    <w:rsid w:val="001A4673"/>
    <w:rsid w:val="001B14B2"/>
    <w:rsid w:val="001B2ED3"/>
    <w:rsid w:val="001C3B5F"/>
    <w:rsid w:val="001C672A"/>
    <w:rsid w:val="001D058F"/>
    <w:rsid w:val="001D5675"/>
    <w:rsid w:val="001D74C5"/>
    <w:rsid w:val="001F7224"/>
    <w:rsid w:val="002009EA"/>
    <w:rsid w:val="00200BDA"/>
    <w:rsid w:val="00202CA0"/>
    <w:rsid w:val="002047C8"/>
    <w:rsid w:val="002058CB"/>
    <w:rsid w:val="002138B4"/>
    <w:rsid w:val="002154A6"/>
    <w:rsid w:val="00216FDE"/>
    <w:rsid w:val="002255B3"/>
    <w:rsid w:val="0023761F"/>
    <w:rsid w:val="002578D7"/>
    <w:rsid w:val="00263921"/>
    <w:rsid w:val="00271316"/>
    <w:rsid w:val="00271FB1"/>
    <w:rsid w:val="00273025"/>
    <w:rsid w:val="00290795"/>
    <w:rsid w:val="002A08AB"/>
    <w:rsid w:val="002B05DA"/>
    <w:rsid w:val="002B1A0D"/>
    <w:rsid w:val="002B2F54"/>
    <w:rsid w:val="002C1950"/>
    <w:rsid w:val="002C6330"/>
    <w:rsid w:val="002D58BE"/>
    <w:rsid w:val="002E29FE"/>
    <w:rsid w:val="002E4D51"/>
    <w:rsid w:val="002F22C0"/>
    <w:rsid w:val="002F3470"/>
    <w:rsid w:val="002F38FF"/>
    <w:rsid w:val="002F4305"/>
    <w:rsid w:val="003005BC"/>
    <w:rsid w:val="003013EE"/>
    <w:rsid w:val="003021E6"/>
    <w:rsid w:val="00311004"/>
    <w:rsid w:val="00315FFD"/>
    <w:rsid w:val="00316735"/>
    <w:rsid w:val="003168B7"/>
    <w:rsid w:val="003247E8"/>
    <w:rsid w:val="00346020"/>
    <w:rsid w:val="0035734D"/>
    <w:rsid w:val="0036033C"/>
    <w:rsid w:val="003720A0"/>
    <w:rsid w:val="00377468"/>
    <w:rsid w:val="00377BD3"/>
    <w:rsid w:val="00384088"/>
    <w:rsid w:val="0038561D"/>
    <w:rsid w:val="0039169B"/>
    <w:rsid w:val="003A7F8C"/>
    <w:rsid w:val="003B07C2"/>
    <w:rsid w:val="003B532E"/>
    <w:rsid w:val="003B6F14"/>
    <w:rsid w:val="003D0509"/>
    <w:rsid w:val="003D0F8B"/>
    <w:rsid w:val="003D4042"/>
    <w:rsid w:val="003E07A0"/>
    <w:rsid w:val="003F68D5"/>
    <w:rsid w:val="004056A0"/>
    <w:rsid w:val="00407973"/>
    <w:rsid w:val="004131D4"/>
    <w:rsid w:val="0041348E"/>
    <w:rsid w:val="00415029"/>
    <w:rsid w:val="00416ECA"/>
    <w:rsid w:val="00442528"/>
    <w:rsid w:val="004448F8"/>
    <w:rsid w:val="00447308"/>
    <w:rsid w:val="00450870"/>
    <w:rsid w:val="004528F0"/>
    <w:rsid w:val="0045767B"/>
    <w:rsid w:val="00470658"/>
    <w:rsid w:val="004765FF"/>
    <w:rsid w:val="00483799"/>
    <w:rsid w:val="00492075"/>
    <w:rsid w:val="004969AD"/>
    <w:rsid w:val="004B13CB"/>
    <w:rsid w:val="004B28CC"/>
    <w:rsid w:val="004B4FDF"/>
    <w:rsid w:val="004C78EF"/>
    <w:rsid w:val="004D5D5C"/>
    <w:rsid w:val="004F0EDC"/>
    <w:rsid w:val="004F395C"/>
    <w:rsid w:val="0050139F"/>
    <w:rsid w:val="005040F3"/>
    <w:rsid w:val="0051762D"/>
    <w:rsid w:val="00521223"/>
    <w:rsid w:val="00523FD9"/>
    <w:rsid w:val="005317C0"/>
    <w:rsid w:val="0055118B"/>
    <w:rsid w:val="0055140B"/>
    <w:rsid w:val="00571621"/>
    <w:rsid w:val="0058544A"/>
    <w:rsid w:val="00591044"/>
    <w:rsid w:val="005964AB"/>
    <w:rsid w:val="005A56C1"/>
    <w:rsid w:val="005A7FD9"/>
    <w:rsid w:val="005B66F2"/>
    <w:rsid w:val="005C06D5"/>
    <w:rsid w:val="005C099A"/>
    <w:rsid w:val="005C31A5"/>
    <w:rsid w:val="005C4990"/>
    <w:rsid w:val="005C665F"/>
    <w:rsid w:val="005D6059"/>
    <w:rsid w:val="005E10C9"/>
    <w:rsid w:val="005E61DD"/>
    <w:rsid w:val="005E6321"/>
    <w:rsid w:val="005F63B6"/>
    <w:rsid w:val="006023DF"/>
    <w:rsid w:val="00602DA1"/>
    <w:rsid w:val="0061204E"/>
    <w:rsid w:val="0061618D"/>
    <w:rsid w:val="0062561C"/>
    <w:rsid w:val="00627654"/>
    <w:rsid w:val="00627B6D"/>
    <w:rsid w:val="00634247"/>
    <w:rsid w:val="00640028"/>
    <w:rsid w:val="00647C21"/>
    <w:rsid w:val="00654D40"/>
    <w:rsid w:val="00657259"/>
    <w:rsid w:val="00657DE0"/>
    <w:rsid w:val="00660C96"/>
    <w:rsid w:val="0066591F"/>
    <w:rsid w:val="0067199F"/>
    <w:rsid w:val="00673DB3"/>
    <w:rsid w:val="00674952"/>
    <w:rsid w:val="006758D0"/>
    <w:rsid w:val="00685313"/>
    <w:rsid w:val="00686D75"/>
    <w:rsid w:val="00687800"/>
    <w:rsid w:val="006A6E9B"/>
    <w:rsid w:val="006B7C2A"/>
    <w:rsid w:val="006C23DA"/>
    <w:rsid w:val="006C2521"/>
    <w:rsid w:val="006C30D5"/>
    <w:rsid w:val="006C59ED"/>
    <w:rsid w:val="006C7095"/>
    <w:rsid w:val="006D077D"/>
    <w:rsid w:val="006E009B"/>
    <w:rsid w:val="006E3D45"/>
    <w:rsid w:val="006F138C"/>
    <w:rsid w:val="00712E2F"/>
    <w:rsid w:val="007149F9"/>
    <w:rsid w:val="007160D4"/>
    <w:rsid w:val="00720051"/>
    <w:rsid w:val="00733A30"/>
    <w:rsid w:val="00733ACA"/>
    <w:rsid w:val="00735BE2"/>
    <w:rsid w:val="007445DC"/>
    <w:rsid w:val="00745AEE"/>
    <w:rsid w:val="007479EA"/>
    <w:rsid w:val="00750F10"/>
    <w:rsid w:val="00766532"/>
    <w:rsid w:val="007742CA"/>
    <w:rsid w:val="00776477"/>
    <w:rsid w:val="00781996"/>
    <w:rsid w:val="00783C08"/>
    <w:rsid w:val="00794391"/>
    <w:rsid w:val="007A2840"/>
    <w:rsid w:val="007A537C"/>
    <w:rsid w:val="007B115F"/>
    <w:rsid w:val="007B161D"/>
    <w:rsid w:val="007B719A"/>
    <w:rsid w:val="007D03D3"/>
    <w:rsid w:val="007D06F0"/>
    <w:rsid w:val="007D14E8"/>
    <w:rsid w:val="007D45E3"/>
    <w:rsid w:val="007D5320"/>
    <w:rsid w:val="007F1EB8"/>
    <w:rsid w:val="007F60A2"/>
    <w:rsid w:val="00800972"/>
    <w:rsid w:val="00804475"/>
    <w:rsid w:val="00804DA7"/>
    <w:rsid w:val="00806BF3"/>
    <w:rsid w:val="00811633"/>
    <w:rsid w:val="0081576E"/>
    <w:rsid w:val="00820B11"/>
    <w:rsid w:val="00821CEF"/>
    <w:rsid w:val="008249F6"/>
    <w:rsid w:val="00832828"/>
    <w:rsid w:val="00832B8B"/>
    <w:rsid w:val="0083645A"/>
    <w:rsid w:val="00836BC9"/>
    <w:rsid w:val="00842423"/>
    <w:rsid w:val="00852CBA"/>
    <w:rsid w:val="00871CD1"/>
    <w:rsid w:val="00872FC8"/>
    <w:rsid w:val="008753F0"/>
    <w:rsid w:val="008801D3"/>
    <w:rsid w:val="008845D0"/>
    <w:rsid w:val="00890C51"/>
    <w:rsid w:val="008914AE"/>
    <w:rsid w:val="008A4526"/>
    <w:rsid w:val="008B43F2"/>
    <w:rsid w:val="008B4619"/>
    <w:rsid w:val="008B614E"/>
    <w:rsid w:val="008B6CFF"/>
    <w:rsid w:val="008C03D8"/>
    <w:rsid w:val="008D6A27"/>
    <w:rsid w:val="008E32CE"/>
    <w:rsid w:val="008E5257"/>
    <w:rsid w:val="008E6C55"/>
    <w:rsid w:val="008E7AF7"/>
    <w:rsid w:val="008F0EB2"/>
    <w:rsid w:val="0090357E"/>
    <w:rsid w:val="00910374"/>
    <w:rsid w:val="00910B26"/>
    <w:rsid w:val="0091444C"/>
    <w:rsid w:val="00914655"/>
    <w:rsid w:val="009228F9"/>
    <w:rsid w:val="009274B4"/>
    <w:rsid w:val="00934EA2"/>
    <w:rsid w:val="00944A5C"/>
    <w:rsid w:val="00946C4F"/>
    <w:rsid w:val="00952A66"/>
    <w:rsid w:val="0095586E"/>
    <w:rsid w:val="00966851"/>
    <w:rsid w:val="00980A76"/>
    <w:rsid w:val="00981CBA"/>
    <w:rsid w:val="00982CD3"/>
    <w:rsid w:val="0098604B"/>
    <w:rsid w:val="0099006B"/>
    <w:rsid w:val="00992DD1"/>
    <w:rsid w:val="0099535F"/>
    <w:rsid w:val="009A3C01"/>
    <w:rsid w:val="009A78A3"/>
    <w:rsid w:val="009C56E5"/>
    <w:rsid w:val="009C7357"/>
    <w:rsid w:val="009D3B26"/>
    <w:rsid w:val="009D770A"/>
    <w:rsid w:val="009E4123"/>
    <w:rsid w:val="009E5FC8"/>
    <w:rsid w:val="009E687A"/>
    <w:rsid w:val="00A008E3"/>
    <w:rsid w:val="00A01BDA"/>
    <w:rsid w:val="00A03C5C"/>
    <w:rsid w:val="00A066F1"/>
    <w:rsid w:val="00A141AF"/>
    <w:rsid w:val="00A16D29"/>
    <w:rsid w:val="00A20E5E"/>
    <w:rsid w:val="00A22A25"/>
    <w:rsid w:val="00A30305"/>
    <w:rsid w:val="00A305E6"/>
    <w:rsid w:val="00A31D2D"/>
    <w:rsid w:val="00A4532C"/>
    <w:rsid w:val="00A4600A"/>
    <w:rsid w:val="00A5070E"/>
    <w:rsid w:val="00A538A6"/>
    <w:rsid w:val="00A54C25"/>
    <w:rsid w:val="00A60468"/>
    <w:rsid w:val="00A638F7"/>
    <w:rsid w:val="00A63D2F"/>
    <w:rsid w:val="00A710E7"/>
    <w:rsid w:val="00A7372E"/>
    <w:rsid w:val="00A77847"/>
    <w:rsid w:val="00A81897"/>
    <w:rsid w:val="00A93B85"/>
    <w:rsid w:val="00A96DFE"/>
    <w:rsid w:val="00AA0B18"/>
    <w:rsid w:val="00AA2B39"/>
    <w:rsid w:val="00AA666F"/>
    <w:rsid w:val="00AA7409"/>
    <w:rsid w:val="00AB3146"/>
    <w:rsid w:val="00AB7A00"/>
    <w:rsid w:val="00AC3675"/>
    <w:rsid w:val="00AC6D3A"/>
    <w:rsid w:val="00AC7827"/>
    <w:rsid w:val="00AE12E5"/>
    <w:rsid w:val="00AE4C97"/>
    <w:rsid w:val="00B004E5"/>
    <w:rsid w:val="00B0605A"/>
    <w:rsid w:val="00B222D6"/>
    <w:rsid w:val="00B328C4"/>
    <w:rsid w:val="00B377DD"/>
    <w:rsid w:val="00B441D6"/>
    <w:rsid w:val="00B519FE"/>
    <w:rsid w:val="00B574FC"/>
    <w:rsid w:val="00B578E9"/>
    <w:rsid w:val="00B622F8"/>
    <w:rsid w:val="00B639E9"/>
    <w:rsid w:val="00B759DE"/>
    <w:rsid w:val="00B817CD"/>
    <w:rsid w:val="00B93F05"/>
    <w:rsid w:val="00BA65F3"/>
    <w:rsid w:val="00BB29C8"/>
    <w:rsid w:val="00BB29EA"/>
    <w:rsid w:val="00BB3A95"/>
    <w:rsid w:val="00BC427C"/>
    <w:rsid w:val="00C0018F"/>
    <w:rsid w:val="00C107AE"/>
    <w:rsid w:val="00C13326"/>
    <w:rsid w:val="00C13643"/>
    <w:rsid w:val="00C1440F"/>
    <w:rsid w:val="00C20466"/>
    <w:rsid w:val="00C214ED"/>
    <w:rsid w:val="00C23247"/>
    <w:rsid w:val="00C23482"/>
    <w:rsid w:val="00C234E6"/>
    <w:rsid w:val="00C324A8"/>
    <w:rsid w:val="00C3563D"/>
    <w:rsid w:val="00C35FB0"/>
    <w:rsid w:val="00C365AA"/>
    <w:rsid w:val="00C53011"/>
    <w:rsid w:val="00C54517"/>
    <w:rsid w:val="00C64B30"/>
    <w:rsid w:val="00C64CD8"/>
    <w:rsid w:val="00C73599"/>
    <w:rsid w:val="00C80D27"/>
    <w:rsid w:val="00C97C68"/>
    <w:rsid w:val="00CA1A47"/>
    <w:rsid w:val="00CA316B"/>
    <w:rsid w:val="00CA4D66"/>
    <w:rsid w:val="00CC0F00"/>
    <w:rsid w:val="00CC247A"/>
    <w:rsid w:val="00CE5E47"/>
    <w:rsid w:val="00CE708F"/>
    <w:rsid w:val="00CF020F"/>
    <w:rsid w:val="00CF2B5B"/>
    <w:rsid w:val="00CF7808"/>
    <w:rsid w:val="00D02600"/>
    <w:rsid w:val="00D11924"/>
    <w:rsid w:val="00D14CE0"/>
    <w:rsid w:val="00D153D3"/>
    <w:rsid w:val="00D15565"/>
    <w:rsid w:val="00D23DF3"/>
    <w:rsid w:val="00D5651D"/>
    <w:rsid w:val="00D74898"/>
    <w:rsid w:val="00D801ED"/>
    <w:rsid w:val="00D815BC"/>
    <w:rsid w:val="00D82137"/>
    <w:rsid w:val="00D83BF5"/>
    <w:rsid w:val="00D855EC"/>
    <w:rsid w:val="00D866D6"/>
    <w:rsid w:val="00D925C2"/>
    <w:rsid w:val="00D936BC"/>
    <w:rsid w:val="00D96530"/>
    <w:rsid w:val="00D969C7"/>
    <w:rsid w:val="00D96B4B"/>
    <w:rsid w:val="00DA11AE"/>
    <w:rsid w:val="00DA21F8"/>
    <w:rsid w:val="00DA7078"/>
    <w:rsid w:val="00DB598D"/>
    <w:rsid w:val="00DD08B4"/>
    <w:rsid w:val="00DD288F"/>
    <w:rsid w:val="00DD44AF"/>
    <w:rsid w:val="00DE0469"/>
    <w:rsid w:val="00DE2AC3"/>
    <w:rsid w:val="00DE434C"/>
    <w:rsid w:val="00DE5692"/>
    <w:rsid w:val="00DF3AD3"/>
    <w:rsid w:val="00DF45D6"/>
    <w:rsid w:val="00DF6F8E"/>
    <w:rsid w:val="00E03C94"/>
    <w:rsid w:val="00E06128"/>
    <w:rsid w:val="00E07105"/>
    <w:rsid w:val="00E12FC4"/>
    <w:rsid w:val="00E205D8"/>
    <w:rsid w:val="00E229F1"/>
    <w:rsid w:val="00E26226"/>
    <w:rsid w:val="00E31F48"/>
    <w:rsid w:val="00E45D05"/>
    <w:rsid w:val="00E55816"/>
    <w:rsid w:val="00E55AEF"/>
    <w:rsid w:val="00E569AE"/>
    <w:rsid w:val="00E8537B"/>
    <w:rsid w:val="00E91D60"/>
    <w:rsid w:val="00E92B88"/>
    <w:rsid w:val="00E93FEE"/>
    <w:rsid w:val="00E976C1"/>
    <w:rsid w:val="00EA12E5"/>
    <w:rsid w:val="00EC3385"/>
    <w:rsid w:val="00EC53E8"/>
    <w:rsid w:val="00F02766"/>
    <w:rsid w:val="00F04067"/>
    <w:rsid w:val="00F05BD4"/>
    <w:rsid w:val="00F15654"/>
    <w:rsid w:val="00F173F2"/>
    <w:rsid w:val="00F21A1D"/>
    <w:rsid w:val="00F2764F"/>
    <w:rsid w:val="00F44606"/>
    <w:rsid w:val="00F531A5"/>
    <w:rsid w:val="00F65180"/>
    <w:rsid w:val="00F65C19"/>
    <w:rsid w:val="00F67A06"/>
    <w:rsid w:val="00F71CD5"/>
    <w:rsid w:val="00F7309A"/>
    <w:rsid w:val="00FA15CF"/>
    <w:rsid w:val="00FA55FC"/>
    <w:rsid w:val="00FA64BD"/>
    <w:rsid w:val="00FD2546"/>
    <w:rsid w:val="00FD772E"/>
    <w:rsid w:val="00FE34EB"/>
    <w:rsid w:val="00FE78C7"/>
    <w:rsid w:val="00FF03CE"/>
    <w:rsid w:val="00FF43AC"/>
    <w:rsid w:val="00FF7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145D08"/>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A96DFE"/>
    <w:rPr>
      <w:color w:val="605E5C"/>
      <w:shd w:val="clear" w:color="auto" w:fill="E1DFDD"/>
    </w:rPr>
  </w:style>
  <w:style w:type="character" w:styleId="FollowedHyperlink">
    <w:name w:val="FollowedHyperlink"/>
    <w:basedOn w:val="DefaultParagraphFont"/>
    <w:semiHidden/>
    <w:unhideWhenUsed/>
    <w:rsid w:val="0055118B"/>
    <w:rPr>
      <w:color w:val="800080" w:themeColor="followedHyperlink"/>
      <w:u w:val="single"/>
    </w:rPr>
  </w:style>
  <w:style w:type="character" w:styleId="UnresolvedMention">
    <w:name w:val="Unresolved Mention"/>
    <w:basedOn w:val="DefaultParagraphFont"/>
    <w:uiPriority w:val="99"/>
    <w:semiHidden/>
    <w:unhideWhenUsed/>
    <w:rsid w:val="00627654"/>
    <w:rPr>
      <w:color w:val="605E5C"/>
      <w:shd w:val="clear" w:color="auto" w:fill="E1DFDD"/>
    </w:rPr>
  </w:style>
  <w:style w:type="character" w:customStyle="1" w:styleId="y2iqfc">
    <w:name w:val="y2iqfc"/>
    <w:basedOn w:val="DefaultParagraphFont"/>
    <w:rsid w:val="00470658"/>
  </w:style>
  <w:style w:type="character" w:styleId="CommentReference">
    <w:name w:val="annotation reference"/>
    <w:basedOn w:val="DefaultParagraphFont"/>
    <w:semiHidden/>
    <w:unhideWhenUsed/>
    <w:rsid w:val="001906E7"/>
    <w:rPr>
      <w:sz w:val="16"/>
      <w:szCs w:val="16"/>
    </w:rPr>
  </w:style>
  <w:style w:type="paragraph" w:styleId="CommentText">
    <w:name w:val="annotation text"/>
    <w:basedOn w:val="Normal"/>
    <w:link w:val="CommentTextChar"/>
    <w:semiHidden/>
    <w:unhideWhenUsed/>
    <w:rsid w:val="001906E7"/>
    <w:rPr>
      <w:sz w:val="20"/>
    </w:rPr>
  </w:style>
  <w:style w:type="character" w:customStyle="1" w:styleId="CommentTextChar">
    <w:name w:val="Comment Text Char"/>
    <w:basedOn w:val="DefaultParagraphFont"/>
    <w:link w:val="CommentText"/>
    <w:semiHidden/>
    <w:rsid w:val="001906E7"/>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1906E7"/>
    <w:rPr>
      <w:b/>
      <w:bCs/>
    </w:rPr>
  </w:style>
  <w:style w:type="character" w:customStyle="1" w:styleId="CommentSubjectChar">
    <w:name w:val="Comment Subject Char"/>
    <w:basedOn w:val="CommentTextChar"/>
    <w:link w:val="CommentSubject"/>
    <w:semiHidden/>
    <w:rsid w:val="001906E7"/>
    <w:rPr>
      <w:rFonts w:asciiTheme="minorHAnsi" w:hAnsiTheme="minorHAnsi"/>
      <w:b/>
      <w:bCs/>
      <w:lang w:val="en-GB" w:eastAsia="en-US"/>
    </w:rPr>
  </w:style>
  <w:style w:type="paragraph" w:styleId="Revision">
    <w:name w:val="Revision"/>
    <w:hidden/>
    <w:uiPriority w:val="99"/>
    <w:semiHidden/>
    <w:rsid w:val="001906E7"/>
    <w:rPr>
      <w:rFonts w:asciiTheme="minorHAnsi" w:hAnsiTheme="minorHAnsi"/>
      <w:sz w:val="24"/>
      <w:lang w:val="en-GB" w:eastAsia="en-US"/>
    </w:rPr>
  </w:style>
  <w:style w:type="table" w:styleId="TableGrid">
    <w:name w:val="Table Grid"/>
    <w:basedOn w:val="TableNormal"/>
    <w:rsid w:val="00B75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3FD9"/>
    <w:rPr>
      <w:b/>
      <w:bCs/>
    </w:rPr>
  </w:style>
  <w:style w:type="table" w:styleId="GridTable1Light-Accent1">
    <w:name w:val="Grid Table 1 Light Accent 1"/>
    <w:basedOn w:val="TableNormal"/>
    <w:uiPriority w:val="46"/>
    <w:rsid w:val="00871C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17652">
      <w:bodyDiv w:val="1"/>
      <w:marLeft w:val="0"/>
      <w:marRight w:val="0"/>
      <w:marTop w:val="0"/>
      <w:marBottom w:val="0"/>
      <w:divBdr>
        <w:top w:val="none" w:sz="0" w:space="0" w:color="auto"/>
        <w:left w:val="none" w:sz="0" w:space="0" w:color="auto"/>
        <w:bottom w:val="none" w:sz="0" w:space="0" w:color="auto"/>
        <w:right w:val="none" w:sz="0" w:space="0" w:color="auto"/>
      </w:divBdr>
    </w:div>
    <w:div w:id="112335964">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84273952">
      <w:bodyDiv w:val="1"/>
      <w:marLeft w:val="0"/>
      <w:marRight w:val="0"/>
      <w:marTop w:val="0"/>
      <w:marBottom w:val="0"/>
      <w:divBdr>
        <w:top w:val="none" w:sz="0" w:space="0" w:color="auto"/>
        <w:left w:val="none" w:sz="0" w:space="0" w:color="auto"/>
        <w:bottom w:val="none" w:sz="0" w:space="0" w:color="auto"/>
        <w:right w:val="none" w:sz="0" w:space="0" w:color="auto"/>
      </w:divBdr>
    </w:div>
    <w:div w:id="1067458851">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itu.int/md/D18-RPMCIS-C-0004/en" TargetMode="External"/><Relationship Id="rId26" Type="http://schemas.openxmlformats.org/officeDocument/2006/relationships/hyperlink" Target="https://www.itu.int/md/D18-RPMCIS-C-0011/en" TargetMode="External"/><Relationship Id="rId39" Type="http://schemas.openxmlformats.org/officeDocument/2006/relationships/hyperlink" Target="https://www.itu.int/md/D18-RPMCIS-C-0019/en" TargetMode="External"/><Relationship Id="rId21" Type="http://schemas.openxmlformats.org/officeDocument/2006/relationships/hyperlink" Target="https://www.itu.int/md/D18-RPMEUR-C-0006/es" TargetMode="External"/><Relationship Id="rId34" Type="http://schemas.openxmlformats.org/officeDocument/2006/relationships/hyperlink" Target="https://www.itu.int/md/D18-RPMCIS-C-0014/en" TargetMode="External"/><Relationship Id="rId42" Type="http://schemas.openxmlformats.org/officeDocument/2006/relationships/hyperlink" Target="https://www.itu.int/md/D18-RPMCIS-C-0023/en" TargetMode="External"/><Relationship Id="rId47" Type="http://schemas.openxmlformats.org/officeDocument/2006/relationships/hyperlink" Target="https://www.itu.int/md/D18-RPMCIS-C-0028/en" TargetMode="External"/><Relationship Id="rId50" Type="http://schemas.openxmlformats.org/officeDocument/2006/relationships/hyperlink" Target="https://www.itu.int/md/D18-RPMCIS-C-0033/en"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tu.int/md/D18-RPMEUR-C-0002/es" TargetMode="External"/><Relationship Id="rId25" Type="http://schemas.openxmlformats.org/officeDocument/2006/relationships/hyperlink" Target="https://www.itu.int/md/D18-RPMCIS-C-0010/en" TargetMode="External"/><Relationship Id="rId33" Type="http://schemas.openxmlformats.org/officeDocument/2006/relationships/hyperlink" Target="https://www.itu.int/md/D18-RPMCIS-C-0013/en" TargetMode="External"/><Relationship Id="rId38" Type="http://schemas.openxmlformats.org/officeDocument/2006/relationships/hyperlink" Target="https://www.itu.int/md/D18-RPMCIS-C-0018/en" TargetMode="External"/><Relationship Id="rId46" Type="http://schemas.openxmlformats.org/officeDocument/2006/relationships/hyperlink" Target="https://www.itu.int/md/D18-RPMCIS-C-0027/en"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u.int/md/D14-RPMCIS-161109-TD-0001/en" TargetMode="External"/><Relationship Id="rId20" Type="http://schemas.openxmlformats.org/officeDocument/2006/relationships/hyperlink" Target="https://www.itu.int/md/D18-RPMCIS-C-0005/en" TargetMode="External"/><Relationship Id="rId29" Type="http://schemas.openxmlformats.org/officeDocument/2006/relationships/hyperlink" Target="https://www.itu.int/md/D18-RPMCIS-C-0035/en" TargetMode="External"/><Relationship Id="rId41" Type="http://schemas.openxmlformats.org/officeDocument/2006/relationships/hyperlink" Target="https://www.itu.int/md/D18-RPMCIS-C-0022/en"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md/D18-RPMCIS-C-0009/en" TargetMode="External"/><Relationship Id="rId32" Type="http://schemas.openxmlformats.org/officeDocument/2006/relationships/hyperlink" Target="https://www.itu.int/md/D18-RPMCIS-C-0012/en" TargetMode="External"/><Relationship Id="rId37" Type="http://schemas.openxmlformats.org/officeDocument/2006/relationships/hyperlink" Target="https://www.itu.int/md/D18-RPMCIS-C-0017/en" TargetMode="External"/><Relationship Id="rId40" Type="http://schemas.openxmlformats.org/officeDocument/2006/relationships/hyperlink" Target="https://www.itu.int/md/D18-RPMCIS-C-0021/en" TargetMode="External"/><Relationship Id="rId45" Type="http://schemas.openxmlformats.org/officeDocument/2006/relationships/hyperlink" Target="https://www.itu.int/md/D18-RPMCIS-C-0026/en" TargetMode="External"/><Relationship Id="rId53" Type="http://schemas.openxmlformats.org/officeDocument/2006/relationships/hyperlink" Target="https://www.itu.int/en/ITU-D/Conferences/WTDC/WTDC21/NoW/Pages/Events/Regional/CIS/2021_04.aspx"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tu.int/md/D18-RPMCIS-C-0001" TargetMode="External"/><Relationship Id="rId23" Type="http://schemas.openxmlformats.org/officeDocument/2006/relationships/hyperlink" Target="https://www.itu.int/md/D18-RPMEUR-C-0008/es" TargetMode="External"/><Relationship Id="rId28" Type="http://schemas.openxmlformats.org/officeDocument/2006/relationships/hyperlink" Target="https://www.itu.int/md/D18-RPMCIS-C-0031/en" TargetMode="External"/><Relationship Id="rId36" Type="http://schemas.openxmlformats.org/officeDocument/2006/relationships/hyperlink" Target="https://www.itu.int/md/D18-RPMCIS-C-0016/en" TargetMode="External"/><Relationship Id="rId49" Type="http://schemas.openxmlformats.org/officeDocument/2006/relationships/hyperlink" Target="https://www.itu.int/md/D18-RPMCIS-C-0030/en" TargetMode="External"/><Relationship Id="rId57"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itu.int/en/ITU-D/Conferences/WTDC/WTDC17/Documents/WTDC17_final_report_es.pdf" TargetMode="External"/><Relationship Id="rId31" Type="http://schemas.openxmlformats.org/officeDocument/2006/relationships/hyperlink" Target="https://www.itu.int/md/D18-RPMCIS-C-0032/en" TargetMode="External"/><Relationship Id="rId44" Type="http://schemas.openxmlformats.org/officeDocument/2006/relationships/hyperlink" Target="https://www.itu.int/md/D18-RPMCIS-C-0025/en" TargetMode="External"/><Relationship Id="rId52" Type="http://schemas.openxmlformats.org/officeDocument/2006/relationships/hyperlink" Target="https://www.itu.int/en/ITU-D/Conferences/WTDC/WTDC21/Pages/RPM/CIS/Side-Event/ITU-IP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online/mm/scripts/s/gensel23?_lang=&amp;_event=C-00009412&amp;_event_type=ZSED" TargetMode="External"/><Relationship Id="rId22" Type="http://schemas.openxmlformats.org/officeDocument/2006/relationships/hyperlink" Target="https://www.itu.int/md/D18-RPMEUR-C-0007/es" TargetMode="External"/><Relationship Id="rId27" Type="http://schemas.openxmlformats.org/officeDocument/2006/relationships/hyperlink" Target="https://www.itu.int/md/D18-RPMCIS-C-0020/en" TargetMode="External"/><Relationship Id="rId30" Type="http://schemas.openxmlformats.org/officeDocument/2006/relationships/hyperlink" Target="https://www.itu.int/md/D18-RPMCIS-C-0036/en" TargetMode="External"/><Relationship Id="rId35" Type="http://schemas.openxmlformats.org/officeDocument/2006/relationships/hyperlink" Target="https://www.itu.int/md/D18-RPMCIS-C-0015/en" TargetMode="External"/><Relationship Id="rId43" Type="http://schemas.openxmlformats.org/officeDocument/2006/relationships/hyperlink" Target="https://www.itu.int/md/D18-RPMCIS-C-0024/en" TargetMode="External"/><Relationship Id="rId48" Type="http://schemas.openxmlformats.org/officeDocument/2006/relationships/hyperlink" Target="https://www.itu.int/md/D18-RPMCIS-C-0029/en"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itu.int/md/D18-RPMCIS-C-0034/en" TargetMode="Externa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hyperlink" Target="https://www.itu.int/en/ITU-D/Conferences/WTDC/WTDC21/Pages/RPM-CIS.aspx" TargetMode="External"/><Relationship Id="rId1" Type="http://schemas.openxmlformats.org/officeDocument/2006/relationships/hyperlink" Target="mailto:rrismailov@beeli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AA3B0B5D-1869-4BC0-9F12-920E6F3ED97E}">
  <ds:schemaRefs>
    <ds:schemaRef ds:uri="http://schemas.openxmlformats.org/officeDocument/2006/bibliography"/>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8A7C67D6-CEFE-4AFE-8EC3-4585BFEF5BA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http://purl.org/dc/elements/1.1/"/>
    <ds:schemaRef ds:uri="http://schemas.microsoft.com/office/2006/metadata/properties"/>
    <ds:schemaRef ds:uri="996b2e75-67fd-4955-a3b0-5ab9934cb5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12</Pages>
  <Words>5394</Words>
  <Characters>32223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37542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dc:creator>
  <cp:keywords/>
  <dc:description/>
  <cp:lastModifiedBy>Catalano Moreira, Rossana</cp:lastModifiedBy>
  <cp:revision>11</cp:revision>
  <cp:lastPrinted>2011-08-24T07:41:00Z</cp:lastPrinted>
  <dcterms:created xsi:type="dcterms:W3CDTF">2021-05-12T08:13:00Z</dcterms:created>
  <dcterms:modified xsi:type="dcterms:W3CDTF">2021-05-12T13:05:00Z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