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701"/>
        <w:gridCol w:w="1561"/>
      </w:tblGrid>
      <w:tr w:rsidR="00FE7F01" w:rsidRPr="005E4E6A" w14:paraId="17753B25" w14:textId="77777777" w:rsidTr="00FE7F01">
        <w:trPr>
          <w:cantSplit/>
          <w:trHeight w:val="1314"/>
        </w:trPr>
        <w:tc>
          <w:tcPr>
            <w:tcW w:w="1985" w:type="dxa"/>
          </w:tcPr>
          <w:p w14:paraId="6D0B36E2" w14:textId="1382D78E" w:rsidR="00FE7F01" w:rsidRPr="005E4E6A" w:rsidRDefault="00FE7F01" w:rsidP="00334DBD">
            <w:pPr>
              <w:rPr>
                <w:b/>
                <w:bCs/>
                <w:sz w:val="32"/>
                <w:szCs w:val="32"/>
                <w:lang w:val="fr-FR"/>
              </w:rPr>
            </w:pPr>
            <w:bookmarkStart w:id="0" w:name="Results"/>
            <w:bookmarkEnd w:id="0"/>
            <w:r w:rsidRPr="005E4E6A">
              <w:rPr>
                <w:b/>
                <w:bCs/>
                <w:noProof/>
                <w:sz w:val="32"/>
                <w:szCs w:val="32"/>
                <w:lang w:val="fr-FR"/>
              </w:rPr>
              <w:drawing>
                <wp:inline distT="0" distB="0" distL="0" distR="0" wp14:anchorId="1D942161" wp14:editId="56D141F4">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7"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6EAC2B19" w14:textId="31D6E091" w:rsidR="00FE7F01" w:rsidRPr="005E4E6A" w:rsidRDefault="00BE2C7A" w:rsidP="00334DBD">
            <w:pPr>
              <w:spacing w:after="120"/>
              <w:rPr>
                <w:b/>
                <w:bCs/>
                <w:sz w:val="32"/>
                <w:szCs w:val="32"/>
                <w:lang w:val="fr-FR"/>
              </w:rPr>
            </w:pPr>
            <w:r w:rsidRPr="005E4E6A">
              <w:rPr>
                <w:b/>
                <w:bCs/>
                <w:sz w:val="32"/>
                <w:szCs w:val="32"/>
                <w:lang w:val="fr-FR"/>
              </w:rPr>
              <w:t>Réunion préparatoire régionale</w:t>
            </w:r>
            <w:r w:rsidRPr="005E4E6A">
              <w:rPr>
                <w:b/>
                <w:bCs/>
                <w:sz w:val="32"/>
                <w:szCs w:val="32"/>
                <w:lang w:val="fr-FR"/>
              </w:rPr>
              <w:br/>
              <w:t>pour la CEI (RPM-CEI) en vue de</w:t>
            </w:r>
            <w:r w:rsidRPr="005E4E6A">
              <w:rPr>
                <w:b/>
                <w:bCs/>
                <w:sz w:val="32"/>
                <w:szCs w:val="32"/>
                <w:lang w:val="fr-FR"/>
              </w:rPr>
              <w:br/>
              <w:t>la CMDT-21</w:t>
            </w:r>
          </w:p>
          <w:p w14:paraId="733A8873" w14:textId="60850161" w:rsidR="00FE7F01" w:rsidRPr="005E4E6A" w:rsidRDefault="00FE7F01" w:rsidP="00334DBD">
            <w:pPr>
              <w:spacing w:before="0" w:after="60"/>
              <w:rPr>
                <w:b/>
                <w:bCs/>
                <w:sz w:val="32"/>
                <w:szCs w:val="32"/>
                <w:lang w:val="fr-FR"/>
              </w:rPr>
            </w:pPr>
            <w:r w:rsidRPr="005E4E6A">
              <w:rPr>
                <w:b/>
                <w:bCs/>
                <w:szCs w:val="24"/>
                <w:lang w:val="fr-FR"/>
              </w:rPr>
              <w:t xml:space="preserve">Virtuelle, </w:t>
            </w:r>
            <w:r w:rsidR="00BE2C7A" w:rsidRPr="005E4E6A">
              <w:rPr>
                <w:b/>
                <w:bCs/>
                <w:szCs w:val="24"/>
                <w:lang w:val="fr-FR"/>
              </w:rPr>
              <w:t>21</w:t>
            </w:r>
            <w:r w:rsidRPr="005E4E6A">
              <w:rPr>
                <w:b/>
                <w:bCs/>
                <w:szCs w:val="24"/>
                <w:lang w:val="fr-FR"/>
              </w:rPr>
              <w:t>-</w:t>
            </w:r>
            <w:r w:rsidR="00BE2C7A" w:rsidRPr="005E4E6A">
              <w:rPr>
                <w:b/>
                <w:bCs/>
                <w:szCs w:val="24"/>
                <w:lang w:val="fr-FR"/>
              </w:rPr>
              <w:t>22</w:t>
            </w:r>
            <w:r w:rsidRPr="005E4E6A">
              <w:rPr>
                <w:b/>
                <w:bCs/>
                <w:szCs w:val="24"/>
                <w:lang w:val="fr-FR"/>
              </w:rPr>
              <w:t xml:space="preserve"> </w:t>
            </w:r>
            <w:r w:rsidR="00BE2C7A" w:rsidRPr="005E4E6A">
              <w:rPr>
                <w:b/>
                <w:bCs/>
                <w:szCs w:val="24"/>
                <w:lang w:val="fr-FR"/>
              </w:rPr>
              <w:t>avril</w:t>
            </w:r>
            <w:r w:rsidRPr="005E4E6A">
              <w:rPr>
                <w:b/>
                <w:bCs/>
                <w:szCs w:val="24"/>
                <w:lang w:val="fr-FR"/>
              </w:rPr>
              <w:t xml:space="preserve"> 2021</w:t>
            </w:r>
          </w:p>
        </w:tc>
        <w:tc>
          <w:tcPr>
            <w:tcW w:w="1561" w:type="dxa"/>
          </w:tcPr>
          <w:p w14:paraId="279197B1" w14:textId="09B5E2EB" w:rsidR="00FE7F01" w:rsidRPr="005E4E6A" w:rsidRDefault="00FE7F01" w:rsidP="00334DBD">
            <w:pPr>
              <w:spacing w:before="240"/>
              <w:ind w:right="142"/>
              <w:jc w:val="right"/>
              <w:rPr>
                <w:lang w:val="fr-FR"/>
              </w:rPr>
            </w:pPr>
            <w:r w:rsidRPr="005E4E6A">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5E4E6A" w14:paraId="02CA2556" w14:textId="77777777" w:rsidTr="00504609">
        <w:trPr>
          <w:cantSplit/>
          <w:trHeight w:val="238"/>
        </w:trPr>
        <w:tc>
          <w:tcPr>
            <w:tcW w:w="6379" w:type="dxa"/>
            <w:gridSpan w:val="2"/>
            <w:tcBorders>
              <w:top w:val="single" w:sz="12" w:space="0" w:color="auto"/>
            </w:tcBorders>
          </w:tcPr>
          <w:p w14:paraId="5057834D" w14:textId="77777777" w:rsidR="0070796E" w:rsidRPr="005E4E6A" w:rsidRDefault="0070796E" w:rsidP="00334DBD">
            <w:pPr>
              <w:spacing w:before="0"/>
              <w:rPr>
                <w:lang w:val="fr-FR"/>
              </w:rPr>
            </w:pPr>
          </w:p>
        </w:tc>
        <w:tc>
          <w:tcPr>
            <w:tcW w:w="3262" w:type="dxa"/>
            <w:gridSpan w:val="2"/>
            <w:tcBorders>
              <w:top w:val="single" w:sz="12" w:space="0" w:color="auto"/>
            </w:tcBorders>
          </w:tcPr>
          <w:p w14:paraId="48551317" w14:textId="77777777" w:rsidR="0070796E" w:rsidRPr="005E4E6A" w:rsidRDefault="0070796E" w:rsidP="00334DBD">
            <w:pPr>
              <w:spacing w:before="0"/>
              <w:rPr>
                <w:lang w:val="fr-FR"/>
              </w:rPr>
            </w:pPr>
          </w:p>
        </w:tc>
      </w:tr>
      <w:tr w:rsidR="0070796E" w:rsidRPr="005E4E6A" w14:paraId="042F6D12" w14:textId="77777777" w:rsidTr="00504609">
        <w:trPr>
          <w:cantSplit/>
          <w:trHeight w:val="20"/>
        </w:trPr>
        <w:tc>
          <w:tcPr>
            <w:tcW w:w="6379" w:type="dxa"/>
            <w:gridSpan w:val="2"/>
            <w:vMerge w:val="restart"/>
          </w:tcPr>
          <w:p w14:paraId="20070EC3" w14:textId="77777777" w:rsidR="0070796E" w:rsidRPr="005E4E6A" w:rsidRDefault="0070796E" w:rsidP="00334DBD">
            <w:pPr>
              <w:rPr>
                <w:lang w:val="fr-FR"/>
              </w:rPr>
            </w:pPr>
          </w:p>
        </w:tc>
        <w:tc>
          <w:tcPr>
            <w:tcW w:w="3262" w:type="dxa"/>
            <w:gridSpan w:val="2"/>
          </w:tcPr>
          <w:p w14:paraId="49CE235C" w14:textId="70C53973" w:rsidR="0070796E" w:rsidRPr="005E4E6A" w:rsidRDefault="0070796E" w:rsidP="00334DBD">
            <w:pPr>
              <w:spacing w:before="0"/>
              <w:rPr>
                <w:b/>
                <w:bCs/>
                <w:szCs w:val="24"/>
                <w:lang w:val="fr-FR"/>
              </w:rPr>
            </w:pPr>
            <w:r w:rsidRPr="005E4E6A">
              <w:rPr>
                <w:b/>
                <w:bCs/>
                <w:szCs w:val="24"/>
                <w:lang w:val="fr-FR"/>
              </w:rPr>
              <w:t>Document</w:t>
            </w:r>
            <w:r w:rsidR="006527BD" w:rsidRPr="005E4E6A">
              <w:rPr>
                <w:b/>
                <w:bCs/>
                <w:szCs w:val="24"/>
                <w:lang w:val="fr-FR"/>
              </w:rPr>
              <w:t xml:space="preserve"> </w:t>
            </w:r>
            <w:bookmarkStart w:id="1" w:name="DocRef1"/>
            <w:bookmarkEnd w:id="1"/>
            <w:r w:rsidR="00FF089C" w:rsidRPr="005E4E6A">
              <w:rPr>
                <w:b/>
                <w:bCs/>
                <w:szCs w:val="24"/>
                <w:lang w:val="fr-FR"/>
              </w:rPr>
              <w:t>RPM-</w:t>
            </w:r>
            <w:r w:rsidR="00BE2C7A" w:rsidRPr="005E4E6A">
              <w:rPr>
                <w:b/>
                <w:bCs/>
                <w:szCs w:val="24"/>
                <w:lang w:val="fr-FR"/>
              </w:rPr>
              <w:t>CIS21</w:t>
            </w:r>
            <w:r w:rsidR="00FF089C" w:rsidRPr="005E4E6A">
              <w:rPr>
                <w:b/>
                <w:bCs/>
                <w:szCs w:val="24"/>
                <w:lang w:val="fr-FR"/>
              </w:rPr>
              <w:t>/</w:t>
            </w:r>
            <w:r w:rsidR="00BE2C7A" w:rsidRPr="005E4E6A">
              <w:rPr>
                <w:b/>
                <w:bCs/>
                <w:szCs w:val="24"/>
                <w:lang w:val="fr-FR"/>
              </w:rPr>
              <w:t>37</w:t>
            </w:r>
            <w:r w:rsidR="00FF089C" w:rsidRPr="005E4E6A">
              <w:rPr>
                <w:b/>
                <w:bCs/>
                <w:szCs w:val="24"/>
                <w:lang w:val="fr-FR"/>
              </w:rPr>
              <w:t>-</w:t>
            </w:r>
            <w:bookmarkStart w:id="2" w:name="DocNo1"/>
            <w:bookmarkEnd w:id="2"/>
            <w:r w:rsidR="0093043A" w:rsidRPr="005E4E6A">
              <w:rPr>
                <w:b/>
                <w:bCs/>
                <w:szCs w:val="24"/>
                <w:lang w:val="fr-FR"/>
              </w:rPr>
              <w:t>F</w:t>
            </w:r>
          </w:p>
        </w:tc>
      </w:tr>
      <w:tr w:rsidR="0070796E" w:rsidRPr="005E4E6A" w14:paraId="2EA9F9CE" w14:textId="77777777" w:rsidTr="00504609">
        <w:trPr>
          <w:cantSplit/>
          <w:trHeight w:val="23"/>
        </w:trPr>
        <w:tc>
          <w:tcPr>
            <w:tcW w:w="6379" w:type="dxa"/>
            <w:gridSpan w:val="2"/>
            <w:vMerge/>
          </w:tcPr>
          <w:p w14:paraId="2A780D8D" w14:textId="77777777" w:rsidR="0070796E" w:rsidRPr="005E4E6A" w:rsidRDefault="0070796E" w:rsidP="00334DBD">
            <w:pPr>
              <w:tabs>
                <w:tab w:val="left" w:pos="851"/>
              </w:tabs>
              <w:rPr>
                <w:b/>
                <w:lang w:val="fr-FR"/>
              </w:rPr>
            </w:pPr>
          </w:p>
        </w:tc>
        <w:tc>
          <w:tcPr>
            <w:tcW w:w="3262" w:type="dxa"/>
            <w:gridSpan w:val="2"/>
          </w:tcPr>
          <w:p w14:paraId="5AACB509" w14:textId="4F9B43B7" w:rsidR="0070796E" w:rsidRPr="005E4E6A" w:rsidRDefault="00BE2C7A" w:rsidP="00334DBD">
            <w:pPr>
              <w:spacing w:before="0"/>
              <w:rPr>
                <w:b/>
                <w:bCs/>
                <w:szCs w:val="24"/>
                <w:lang w:val="fr-FR"/>
              </w:rPr>
            </w:pPr>
            <w:bookmarkStart w:id="3" w:name="CreationDate"/>
            <w:bookmarkEnd w:id="3"/>
            <w:r w:rsidRPr="005E4E6A">
              <w:rPr>
                <w:b/>
                <w:bCs/>
                <w:szCs w:val="24"/>
                <w:lang w:val="fr-FR"/>
              </w:rPr>
              <w:t>22 avril 2021</w:t>
            </w:r>
          </w:p>
        </w:tc>
      </w:tr>
      <w:tr w:rsidR="0070796E" w:rsidRPr="005E4E6A" w14:paraId="03F0AF90" w14:textId="77777777" w:rsidTr="00407AEC">
        <w:trPr>
          <w:cantSplit/>
          <w:trHeight w:val="304"/>
        </w:trPr>
        <w:tc>
          <w:tcPr>
            <w:tcW w:w="6379" w:type="dxa"/>
            <w:gridSpan w:val="2"/>
            <w:vMerge/>
          </w:tcPr>
          <w:p w14:paraId="49E11E04" w14:textId="77777777" w:rsidR="0070796E" w:rsidRPr="005E4E6A" w:rsidRDefault="0070796E" w:rsidP="00334DBD">
            <w:pPr>
              <w:tabs>
                <w:tab w:val="left" w:pos="851"/>
              </w:tabs>
              <w:rPr>
                <w:b/>
                <w:lang w:val="fr-FR"/>
              </w:rPr>
            </w:pPr>
          </w:p>
        </w:tc>
        <w:tc>
          <w:tcPr>
            <w:tcW w:w="3262" w:type="dxa"/>
            <w:gridSpan w:val="2"/>
          </w:tcPr>
          <w:p w14:paraId="5C49528C" w14:textId="023F7DB2" w:rsidR="0070796E" w:rsidRPr="005E4E6A" w:rsidRDefault="0070796E" w:rsidP="00334DBD">
            <w:pPr>
              <w:spacing w:before="0" w:after="120"/>
              <w:rPr>
                <w:b/>
                <w:bCs/>
                <w:szCs w:val="24"/>
                <w:lang w:val="fr-FR"/>
              </w:rPr>
            </w:pPr>
            <w:r w:rsidRPr="005E4E6A">
              <w:rPr>
                <w:b/>
                <w:bCs/>
                <w:szCs w:val="24"/>
                <w:lang w:val="fr-FR"/>
              </w:rPr>
              <w:t>Original:</w:t>
            </w:r>
            <w:r w:rsidR="005543B5" w:rsidRPr="005E4E6A">
              <w:rPr>
                <w:b/>
                <w:bCs/>
                <w:szCs w:val="24"/>
                <w:lang w:val="fr-FR"/>
              </w:rPr>
              <w:t xml:space="preserve"> </w:t>
            </w:r>
            <w:bookmarkStart w:id="4" w:name="Original"/>
            <w:bookmarkEnd w:id="4"/>
            <w:r w:rsidR="00BE2C7A" w:rsidRPr="005E4E6A">
              <w:rPr>
                <w:b/>
                <w:bCs/>
                <w:szCs w:val="24"/>
                <w:lang w:val="fr-FR"/>
              </w:rPr>
              <w:t>russe</w:t>
            </w:r>
          </w:p>
        </w:tc>
      </w:tr>
      <w:tr w:rsidR="0070796E" w:rsidRPr="005E4E6A" w14:paraId="655B5FD0" w14:textId="77777777" w:rsidTr="00504609">
        <w:trPr>
          <w:cantSplit/>
          <w:trHeight w:val="23"/>
        </w:trPr>
        <w:tc>
          <w:tcPr>
            <w:tcW w:w="9641" w:type="dxa"/>
            <w:gridSpan w:val="4"/>
          </w:tcPr>
          <w:p w14:paraId="438BCD9A" w14:textId="2DFA37DE" w:rsidR="0070796E" w:rsidRPr="005E4E6A" w:rsidRDefault="00205C4B" w:rsidP="00275C95">
            <w:pPr>
              <w:pStyle w:val="Source"/>
              <w:spacing w:before="240" w:after="240"/>
              <w:jc w:val="center"/>
              <w:rPr>
                <w:sz w:val="28"/>
                <w:szCs w:val="28"/>
                <w:lang w:val="fr-FR"/>
              </w:rPr>
            </w:pPr>
            <w:r w:rsidRPr="005E4E6A">
              <w:rPr>
                <w:sz w:val="28"/>
                <w:szCs w:val="28"/>
                <w:lang w:val="fr-FR"/>
              </w:rPr>
              <w:t>Président</w:t>
            </w:r>
            <w:r w:rsidR="00BE2C7A" w:rsidRPr="005E4E6A">
              <w:rPr>
                <w:sz w:val="28"/>
                <w:szCs w:val="28"/>
                <w:lang w:val="fr-FR"/>
              </w:rPr>
              <w:t xml:space="preserve">, </w:t>
            </w:r>
            <w:r w:rsidRPr="005E4E6A">
              <w:rPr>
                <w:sz w:val="28"/>
                <w:szCs w:val="28"/>
                <w:lang w:val="fr-FR"/>
              </w:rPr>
              <w:t>Réunion préparatoire régionale pour la CEI (RPM-CEI)</w:t>
            </w:r>
            <w:r w:rsidR="00334DBD" w:rsidRPr="005E4E6A">
              <w:rPr>
                <w:sz w:val="28"/>
                <w:szCs w:val="28"/>
                <w:lang w:val="fr-FR"/>
              </w:rPr>
              <w:br/>
            </w:r>
            <w:r w:rsidRPr="005E4E6A">
              <w:rPr>
                <w:sz w:val="28"/>
                <w:szCs w:val="28"/>
                <w:lang w:val="fr-FR"/>
              </w:rPr>
              <w:t>en vue de la CMDT-21</w:t>
            </w:r>
          </w:p>
        </w:tc>
      </w:tr>
      <w:tr w:rsidR="00421F93" w:rsidRPr="005E4E6A" w14:paraId="72DD2DDB" w14:textId="77777777" w:rsidTr="00BE2C7A">
        <w:trPr>
          <w:cantSplit/>
          <w:trHeight w:val="23"/>
        </w:trPr>
        <w:tc>
          <w:tcPr>
            <w:tcW w:w="9641" w:type="dxa"/>
            <w:gridSpan w:val="4"/>
          </w:tcPr>
          <w:p w14:paraId="7D77AAB7" w14:textId="466D5E74" w:rsidR="00421F93" w:rsidRPr="005E4E6A" w:rsidRDefault="00205C4B" w:rsidP="00334DBD">
            <w:pPr>
              <w:tabs>
                <w:tab w:val="left" w:pos="1928"/>
              </w:tabs>
              <w:spacing w:after="120"/>
              <w:ind w:left="1928" w:hanging="1928"/>
              <w:jc w:val="center"/>
              <w:rPr>
                <w:sz w:val="28"/>
                <w:szCs w:val="28"/>
                <w:lang w:val="fr-FR"/>
              </w:rPr>
            </w:pPr>
            <w:r w:rsidRPr="005E4E6A">
              <w:rPr>
                <w:sz w:val="28"/>
                <w:szCs w:val="28"/>
                <w:lang w:val="fr-FR"/>
              </w:rPr>
              <w:t>Rapport du Président de la RPM-CEI</w:t>
            </w:r>
          </w:p>
        </w:tc>
      </w:tr>
      <w:tr w:rsidR="00504609" w:rsidRPr="005E4E6A" w14:paraId="3FF473AE" w14:textId="77777777" w:rsidTr="00BE2C7A">
        <w:trPr>
          <w:cantSplit/>
          <w:trHeight w:val="23"/>
        </w:trPr>
        <w:tc>
          <w:tcPr>
            <w:tcW w:w="9641" w:type="dxa"/>
            <w:gridSpan w:val="4"/>
          </w:tcPr>
          <w:p w14:paraId="414CF233" w14:textId="77777777" w:rsidR="00504609" w:rsidRPr="005E4E6A" w:rsidRDefault="00504609" w:rsidP="00334DBD">
            <w:pPr>
              <w:tabs>
                <w:tab w:val="left" w:pos="1928"/>
              </w:tabs>
              <w:spacing w:after="120"/>
              <w:ind w:left="1928" w:hanging="1928"/>
              <w:jc w:val="center"/>
              <w:rPr>
                <w:sz w:val="28"/>
                <w:szCs w:val="28"/>
                <w:lang w:val="fr-FR"/>
              </w:rPr>
            </w:pPr>
          </w:p>
        </w:tc>
      </w:tr>
    </w:tbl>
    <w:p w14:paraId="385F820F" w14:textId="77777777" w:rsidR="00BE2C7A" w:rsidRPr="005E4E6A" w:rsidRDefault="00BE2C7A" w:rsidP="00334DBD">
      <w:pPr>
        <w:pStyle w:val="Headingb"/>
        <w:rPr>
          <w:rFonts w:asciiTheme="minorHAnsi" w:hAnsiTheme="minorHAnsi"/>
          <w:lang w:val="fr-FR"/>
        </w:rPr>
      </w:pPr>
      <w:bookmarkStart w:id="5" w:name="References"/>
      <w:bookmarkEnd w:id="5"/>
      <w:r w:rsidRPr="005E4E6A">
        <w:rPr>
          <w:lang w:val="fr-FR"/>
        </w:rPr>
        <w:t>Introduction</w:t>
      </w:r>
    </w:p>
    <w:p w14:paraId="430D3A0A" w14:textId="4B6E2FC2" w:rsidR="00BE2C7A" w:rsidRPr="005E4E6A" w:rsidRDefault="00BE2C7A" w:rsidP="00334DBD">
      <w:pPr>
        <w:rPr>
          <w:lang w:val="fr-FR"/>
        </w:rPr>
      </w:pPr>
      <w:r w:rsidRPr="005E4E6A">
        <w:rPr>
          <w:lang w:val="fr-FR"/>
        </w:rPr>
        <w:t xml:space="preserve">La Réunion préparatoire régionale de l'Union internationale des télécommunications (UIT) pour la Communauté des </w:t>
      </w:r>
      <w:r w:rsidR="00334DBD" w:rsidRPr="005E4E6A">
        <w:rPr>
          <w:lang w:val="fr-FR"/>
        </w:rPr>
        <w:t>É</w:t>
      </w:r>
      <w:r w:rsidRPr="005E4E6A">
        <w:rPr>
          <w:lang w:val="fr-FR"/>
        </w:rPr>
        <w:t>tats indépendants (RPM-CEI) a été organisée par le Bureau de développement des télécommunications de l'UIT (BDT</w:t>
      </w:r>
      <w:r w:rsidR="00334DBD" w:rsidRPr="005E4E6A">
        <w:rPr>
          <w:lang w:val="fr-FR"/>
        </w:rPr>
        <w:t xml:space="preserve">) </w:t>
      </w:r>
      <w:r w:rsidRPr="005E4E6A">
        <w:rPr>
          <w:lang w:val="fr-FR"/>
        </w:rPr>
        <w:t xml:space="preserve">et s'est tenue </w:t>
      </w:r>
      <w:r w:rsidR="00814B62" w:rsidRPr="005E4E6A">
        <w:rPr>
          <w:lang w:val="fr-FR"/>
        </w:rPr>
        <w:t>les 21 et 22 avril 2021</w:t>
      </w:r>
      <w:r w:rsidRPr="005E4E6A">
        <w:rPr>
          <w:lang w:val="fr-FR"/>
        </w:rPr>
        <w:t>.</w:t>
      </w:r>
    </w:p>
    <w:p w14:paraId="6D785B23" w14:textId="698FBF2C" w:rsidR="00BE2C7A" w:rsidRPr="005E4E6A" w:rsidRDefault="00BE2C7A" w:rsidP="00334DBD">
      <w:pPr>
        <w:rPr>
          <w:lang w:val="fr-FR"/>
        </w:rPr>
      </w:pPr>
      <w:r w:rsidRPr="005E4E6A">
        <w:rPr>
          <w:lang w:val="fr-FR"/>
        </w:rPr>
        <w:t xml:space="preserve">L'objectif de la RPM-CEI était de déterminer, au niveau régional, les priorités du développement des télécommunications et des technologies de l'information et de la communication (TIC), compte tenu des contributions soumises par les </w:t>
      </w:r>
      <w:r w:rsidR="00407AEC" w:rsidRPr="005E4E6A">
        <w:rPr>
          <w:lang w:val="fr-FR"/>
        </w:rPr>
        <w:t>États</w:t>
      </w:r>
      <w:r w:rsidRPr="005E4E6A">
        <w:rPr>
          <w:lang w:val="fr-FR"/>
        </w:rPr>
        <w:t xml:space="preserve"> Membres et les Membres du Secteur de l'UIT-D de la région. Les participants sont parvenus à établir un ensemble de propositions sur les priorités de la région</w:t>
      </w:r>
      <w:r w:rsidR="00814B62" w:rsidRPr="005E4E6A">
        <w:rPr>
          <w:lang w:val="fr-FR"/>
        </w:rPr>
        <w:t>. Ces propositions</w:t>
      </w:r>
      <w:r w:rsidRPr="005E4E6A">
        <w:rPr>
          <w:lang w:val="fr-FR"/>
        </w:rPr>
        <w:t xml:space="preserve"> serviront de point de départ à l'élaboration des contributions pour la Conférence mondiale de développement des télécommunications (CMDT</w:t>
      </w:r>
      <w:r w:rsidR="00334DBD" w:rsidRPr="005E4E6A">
        <w:rPr>
          <w:lang w:val="fr-FR"/>
        </w:rPr>
        <w:noBreakHyphen/>
      </w:r>
      <w:r w:rsidR="00814B62" w:rsidRPr="005E4E6A">
        <w:rPr>
          <w:lang w:val="fr-FR"/>
        </w:rPr>
        <w:t>21</w:t>
      </w:r>
      <w:r w:rsidRPr="005E4E6A">
        <w:rPr>
          <w:lang w:val="fr-FR"/>
        </w:rPr>
        <w:t xml:space="preserve">), </w:t>
      </w:r>
      <w:r w:rsidR="00814B62" w:rsidRPr="005E4E6A">
        <w:rPr>
          <w:lang w:val="fr-FR"/>
        </w:rPr>
        <w:t>qui</w:t>
      </w:r>
      <w:r w:rsidRPr="005E4E6A">
        <w:rPr>
          <w:lang w:val="fr-FR"/>
        </w:rPr>
        <w:t xml:space="preserve"> étudiera les activités qui devront être menées par l'UIT-D pendant la prochaine période quadriennale (</w:t>
      </w:r>
      <w:r w:rsidR="00814B62" w:rsidRPr="005E4E6A">
        <w:rPr>
          <w:lang w:val="fr-FR"/>
        </w:rPr>
        <w:t>2022</w:t>
      </w:r>
      <w:r w:rsidR="00334DBD" w:rsidRPr="005E4E6A">
        <w:rPr>
          <w:lang w:val="fr-FR"/>
        </w:rPr>
        <w:noBreakHyphen/>
      </w:r>
      <w:r w:rsidR="00814B62" w:rsidRPr="005E4E6A">
        <w:rPr>
          <w:lang w:val="fr-FR"/>
        </w:rPr>
        <w:t>2025</w:t>
      </w:r>
      <w:r w:rsidRPr="005E4E6A">
        <w:rPr>
          <w:lang w:val="fr-FR"/>
        </w:rPr>
        <w:t>)</w:t>
      </w:r>
      <w:r w:rsidR="009E6BFC">
        <w:rPr>
          <w:lang w:val="fr-FR"/>
        </w:rPr>
        <w:t>.</w:t>
      </w:r>
      <w:bookmarkStart w:id="6" w:name="_GoBack"/>
      <w:bookmarkEnd w:id="6"/>
    </w:p>
    <w:p w14:paraId="3D4D2ED3" w14:textId="5A723768" w:rsidR="00BE2C7A" w:rsidRPr="005E4E6A" w:rsidRDefault="00BE2C7A" w:rsidP="00334DBD">
      <w:pPr>
        <w:rPr>
          <w:lang w:val="fr-FR"/>
        </w:rPr>
      </w:pPr>
      <w:r w:rsidRPr="005E4E6A">
        <w:rPr>
          <w:lang w:val="fr-FR"/>
        </w:rPr>
        <w:t>Le présent rapport rend compte des travaux et des résultats de la réunion.</w:t>
      </w:r>
    </w:p>
    <w:p w14:paraId="550A17B6" w14:textId="77777777" w:rsidR="00BE2C7A" w:rsidRPr="005E4E6A" w:rsidRDefault="00BE2C7A" w:rsidP="00334DBD">
      <w:pPr>
        <w:pStyle w:val="Headingb"/>
        <w:rPr>
          <w:lang w:val="fr-FR"/>
        </w:rPr>
      </w:pPr>
      <w:r w:rsidRPr="005E4E6A">
        <w:rPr>
          <w:lang w:val="fr-FR"/>
        </w:rPr>
        <w:t>Participation</w:t>
      </w:r>
    </w:p>
    <w:p w14:paraId="6B0A0245" w14:textId="3AB855BD" w:rsidR="00A54CA6" w:rsidRPr="005E4E6A" w:rsidRDefault="00BE2C7A" w:rsidP="00334DBD">
      <w:pPr>
        <w:rPr>
          <w:lang w:val="fr-FR"/>
        </w:rPr>
      </w:pPr>
      <w:r w:rsidRPr="005E4E6A">
        <w:rPr>
          <w:lang w:val="fr-FR"/>
        </w:rPr>
        <w:t xml:space="preserve">La réunion </w:t>
      </w:r>
      <w:r w:rsidR="00814B62" w:rsidRPr="005E4E6A">
        <w:rPr>
          <w:lang w:val="fr-FR"/>
        </w:rPr>
        <w:t>a été suivie par</w:t>
      </w:r>
      <w:r w:rsidRPr="005E4E6A">
        <w:rPr>
          <w:lang w:val="fr-FR"/>
        </w:rPr>
        <w:t xml:space="preserve"> </w:t>
      </w:r>
      <w:r w:rsidR="00814B62" w:rsidRPr="005E4E6A">
        <w:rPr>
          <w:lang w:val="fr-FR"/>
        </w:rPr>
        <w:t>87</w:t>
      </w:r>
      <w:r w:rsidRPr="005E4E6A">
        <w:rPr>
          <w:lang w:val="fr-FR"/>
        </w:rPr>
        <w:t xml:space="preserve"> délégués représentant </w:t>
      </w:r>
      <w:r w:rsidR="00814B62" w:rsidRPr="005E4E6A">
        <w:rPr>
          <w:lang w:val="fr-FR"/>
        </w:rPr>
        <w:t>sept</w:t>
      </w:r>
      <w:r w:rsidRPr="005E4E6A">
        <w:rPr>
          <w:lang w:val="fr-FR"/>
        </w:rPr>
        <w:t xml:space="preserve"> </w:t>
      </w:r>
      <w:r w:rsidR="00334DBD" w:rsidRPr="005E4E6A">
        <w:rPr>
          <w:lang w:val="fr-FR"/>
        </w:rPr>
        <w:t>É</w:t>
      </w:r>
      <w:r w:rsidRPr="005E4E6A">
        <w:rPr>
          <w:lang w:val="fr-FR"/>
        </w:rPr>
        <w:t xml:space="preserve">tats Membres de la région de la CEI et </w:t>
      </w:r>
      <w:r w:rsidR="00814B62" w:rsidRPr="005E4E6A">
        <w:rPr>
          <w:lang w:val="fr-FR"/>
        </w:rPr>
        <w:t>quinze</w:t>
      </w:r>
      <w:r w:rsidRPr="005E4E6A">
        <w:rPr>
          <w:lang w:val="fr-FR"/>
        </w:rPr>
        <w:t xml:space="preserve"> </w:t>
      </w:r>
      <w:r w:rsidR="00407AEC" w:rsidRPr="005E4E6A">
        <w:rPr>
          <w:lang w:val="fr-FR"/>
        </w:rPr>
        <w:t>États</w:t>
      </w:r>
      <w:r w:rsidRPr="005E4E6A">
        <w:rPr>
          <w:lang w:val="fr-FR"/>
        </w:rPr>
        <w:t xml:space="preserve"> Membres d'autres régions. Cliquez </w:t>
      </w:r>
      <w:hyperlink r:id="rId9" w:history="1">
        <w:r w:rsidRPr="005E4E6A">
          <w:rPr>
            <w:rStyle w:val="Hyperlink"/>
            <w:lang w:val="fr-FR"/>
          </w:rPr>
          <w:t>ici</w:t>
        </w:r>
      </w:hyperlink>
      <w:r w:rsidRPr="005E4E6A">
        <w:rPr>
          <w:lang w:val="fr-FR"/>
        </w:rPr>
        <w:t xml:space="preserve"> pour voir la liste des participants.</w:t>
      </w:r>
    </w:p>
    <w:p w14:paraId="4CBDFD2A" w14:textId="492EB813" w:rsidR="00C7575C" w:rsidRPr="005E4E6A" w:rsidRDefault="00C7575C" w:rsidP="00334DBD">
      <w:pPr>
        <w:rPr>
          <w:lang w:val="fr-FR"/>
        </w:rPr>
      </w:pPr>
      <w:r w:rsidRPr="005E4E6A">
        <w:rPr>
          <w:lang w:val="fr-FR"/>
        </w:rPr>
        <w:br w:type="page"/>
      </w:r>
    </w:p>
    <w:p w14:paraId="2447B0C1" w14:textId="7F599D75" w:rsidR="0070796E" w:rsidRPr="005E4E6A" w:rsidRDefault="00BE2C7A" w:rsidP="00EE7DEB">
      <w:pPr>
        <w:pStyle w:val="Heading1"/>
        <w:rPr>
          <w:lang w:val="fr-FR"/>
        </w:rPr>
      </w:pPr>
      <w:r w:rsidRPr="005E4E6A">
        <w:rPr>
          <w:lang w:val="fr-FR"/>
        </w:rPr>
        <w:lastRenderedPageBreak/>
        <w:t>1</w:t>
      </w:r>
      <w:r w:rsidRPr="005E4E6A">
        <w:rPr>
          <w:lang w:val="fr-FR"/>
        </w:rPr>
        <w:tab/>
        <w:t>Cérémonie d'ouverture</w:t>
      </w:r>
    </w:p>
    <w:p w14:paraId="39863292" w14:textId="57BFA33A" w:rsidR="00BE2C7A" w:rsidRPr="005E4E6A" w:rsidRDefault="00814B62" w:rsidP="00334DBD">
      <w:pPr>
        <w:rPr>
          <w:lang w:val="fr-FR"/>
        </w:rPr>
      </w:pPr>
      <w:r w:rsidRPr="005E4E6A">
        <w:rPr>
          <w:rFonts w:cstheme="minorHAnsi"/>
          <w:color w:val="000000"/>
          <w:lang w:val="fr-FR"/>
        </w:rPr>
        <w:t>Lors de la cérémonie d'ouverture, les participants de haut niveau ci-après ont souhaité la bienvenue aux participants</w:t>
      </w:r>
      <w:r w:rsidR="00C87522" w:rsidRPr="005E4E6A">
        <w:rPr>
          <w:lang w:val="fr-FR"/>
        </w:rPr>
        <w:t>:</w:t>
      </w:r>
    </w:p>
    <w:p w14:paraId="514F75C5" w14:textId="63AA572D" w:rsidR="00C87522" w:rsidRPr="005E4E6A" w:rsidRDefault="00C87522" w:rsidP="00334DBD">
      <w:pPr>
        <w:rPr>
          <w:lang w:val="fr-FR"/>
        </w:rPr>
      </w:pPr>
      <w:r w:rsidRPr="005E4E6A">
        <w:rPr>
          <w:b/>
          <w:bCs/>
          <w:lang w:val="fr-FR"/>
        </w:rPr>
        <w:t>Mme Doreen Bogdan-Martin</w:t>
      </w:r>
      <w:r w:rsidRPr="005E4E6A">
        <w:rPr>
          <w:lang w:val="fr-FR"/>
        </w:rPr>
        <w:t>, Directrice du Bureau de développement des télécommunications</w:t>
      </w:r>
      <w:r w:rsidR="00126A4C" w:rsidRPr="005E4E6A">
        <w:rPr>
          <w:lang w:val="fr-FR"/>
        </w:rPr>
        <w:t>,</w:t>
      </w:r>
      <w:r w:rsidRPr="005E4E6A">
        <w:rPr>
          <w:lang w:val="fr-FR"/>
        </w:rPr>
        <w:t xml:space="preserve"> UIT</w:t>
      </w:r>
      <w:r w:rsidR="00492832" w:rsidRPr="005E4E6A">
        <w:rPr>
          <w:lang w:val="fr-FR"/>
        </w:rPr>
        <w:t>.</w:t>
      </w:r>
    </w:p>
    <w:p w14:paraId="2ED5530B" w14:textId="0AF2F34C" w:rsidR="00C87522" w:rsidRPr="005E4E6A" w:rsidRDefault="00492832" w:rsidP="00334DBD">
      <w:pPr>
        <w:rPr>
          <w:lang w:val="fr-FR"/>
        </w:rPr>
      </w:pPr>
      <w:r w:rsidRPr="005E4E6A">
        <w:rPr>
          <w:b/>
          <w:bCs/>
          <w:lang w:val="fr-FR"/>
        </w:rPr>
        <w:t>M. Nurudin Mukhitdinov</w:t>
      </w:r>
      <w:r w:rsidRPr="005E4E6A">
        <w:rPr>
          <w:lang w:val="fr-FR"/>
        </w:rPr>
        <w:t>, Directeur général, Comité exécutif</w:t>
      </w:r>
      <w:r w:rsidR="00126A4C" w:rsidRPr="005E4E6A">
        <w:rPr>
          <w:lang w:val="fr-FR"/>
        </w:rPr>
        <w:t>,</w:t>
      </w:r>
      <w:r w:rsidRPr="005E4E6A">
        <w:rPr>
          <w:lang w:val="fr-FR"/>
        </w:rPr>
        <w:t xml:space="preserve"> Communauté régionale des communications (RCC).</w:t>
      </w:r>
    </w:p>
    <w:p w14:paraId="515EBCA4" w14:textId="25176741" w:rsidR="00492832" w:rsidRPr="005E4E6A" w:rsidRDefault="00492832" w:rsidP="00334DBD">
      <w:pPr>
        <w:rPr>
          <w:szCs w:val="24"/>
          <w:lang w:val="fr-FR"/>
        </w:rPr>
      </w:pPr>
      <w:r w:rsidRPr="005E4E6A">
        <w:rPr>
          <w:b/>
          <w:bCs/>
          <w:szCs w:val="24"/>
          <w:lang w:val="fr-FR"/>
        </w:rPr>
        <w:t>M. Elmir Velizade</w:t>
      </w:r>
      <w:r w:rsidRPr="005E4E6A">
        <w:rPr>
          <w:lang w:val="fr-FR"/>
        </w:rPr>
        <w:t xml:space="preserve">, </w:t>
      </w:r>
      <w:r w:rsidR="00015685" w:rsidRPr="005E4E6A">
        <w:rPr>
          <w:lang w:val="fr-FR"/>
        </w:rPr>
        <w:t>Vice-Ministre des transports, des communications et des hautes technologies de la République d'Azerba</w:t>
      </w:r>
      <w:r w:rsidR="004211D8" w:rsidRPr="005E4E6A">
        <w:rPr>
          <w:lang w:val="fr-FR"/>
        </w:rPr>
        <w:t>ïdjan</w:t>
      </w:r>
      <w:r w:rsidRPr="005E4E6A">
        <w:rPr>
          <w:szCs w:val="24"/>
          <w:lang w:val="fr-FR"/>
        </w:rPr>
        <w:t>.</w:t>
      </w:r>
    </w:p>
    <w:p w14:paraId="05479615" w14:textId="34FB01B8" w:rsidR="00492832" w:rsidRPr="005E4E6A" w:rsidRDefault="00492832" w:rsidP="00334DBD">
      <w:pPr>
        <w:pStyle w:val="Heading1"/>
        <w:rPr>
          <w:lang w:val="fr-FR"/>
        </w:rPr>
      </w:pPr>
      <w:r w:rsidRPr="005E4E6A">
        <w:rPr>
          <w:lang w:val="fr-FR"/>
        </w:rPr>
        <w:t>2</w:t>
      </w:r>
      <w:r w:rsidRPr="005E4E6A">
        <w:rPr>
          <w:lang w:val="fr-FR"/>
        </w:rPr>
        <w:tab/>
      </w:r>
      <w:r w:rsidR="00334DBD" w:rsidRPr="005E4E6A">
        <w:rPr>
          <w:lang w:val="fr-FR"/>
        </w:rPr>
        <w:t>É</w:t>
      </w:r>
      <w:r w:rsidRPr="005E4E6A">
        <w:rPr>
          <w:lang w:val="fr-FR"/>
        </w:rPr>
        <w:t>lection du Président et du Vice-Président</w:t>
      </w:r>
    </w:p>
    <w:p w14:paraId="72ABA116" w14:textId="357BCA5D" w:rsidR="00492832" w:rsidRPr="005E4E6A" w:rsidRDefault="00371BA4" w:rsidP="00334DBD">
      <w:pPr>
        <w:rPr>
          <w:rFonts w:asciiTheme="minorHAnsi" w:hAnsiTheme="minorHAnsi"/>
          <w:lang w:val="fr-FR"/>
        </w:rPr>
      </w:pPr>
      <w:r w:rsidRPr="005E4E6A">
        <w:rPr>
          <w:lang w:val="fr-FR"/>
        </w:rPr>
        <w:t>Conformément à la proposition présentée par l'Administration de la Fédération de Russie et aux consultations informelles tenues avec les États Membres de l'UIT de la région de la CEI, M.</w:t>
      </w:r>
      <w:r w:rsidR="00334DBD" w:rsidRPr="005E4E6A">
        <w:rPr>
          <w:lang w:val="fr-FR"/>
        </w:rPr>
        <w:t> </w:t>
      </w:r>
      <w:r w:rsidRPr="005E4E6A">
        <w:rPr>
          <w:lang w:val="fr-FR"/>
        </w:rPr>
        <w:t>Rashid</w:t>
      </w:r>
      <w:r w:rsidR="00334DBD" w:rsidRPr="005E4E6A">
        <w:rPr>
          <w:lang w:val="fr-FR"/>
        </w:rPr>
        <w:t> </w:t>
      </w:r>
      <w:r w:rsidRPr="005E4E6A">
        <w:rPr>
          <w:lang w:val="fr-FR"/>
        </w:rPr>
        <w:t xml:space="preserve">Ismailov, Président de PJSC VimpelCom (Fédération de Russie), a été élu à l'unanimité Président de la RPM-CEI. Les participants ont en outre souscrit à la recommandation des chefs de délégation et ont élu M. </w:t>
      </w:r>
      <w:r w:rsidR="00492832" w:rsidRPr="005E4E6A">
        <w:rPr>
          <w:lang w:val="fr-FR"/>
        </w:rPr>
        <w:t xml:space="preserve">Alexey Borodin, </w:t>
      </w:r>
      <w:r w:rsidRPr="005E4E6A">
        <w:rPr>
          <w:lang w:val="fr-FR"/>
        </w:rPr>
        <w:t xml:space="preserve">représentant de </w:t>
      </w:r>
      <w:r w:rsidR="00492832" w:rsidRPr="005E4E6A">
        <w:rPr>
          <w:lang w:val="fr-FR"/>
        </w:rPr>
        <w:t xml:space="preserve">PJSC Rostelecom </w:t>
      </w:r>
      <w:r w:rsidRPr="005E4E6A">
        <w:rPr>
          <w:lang w:val="fr-FR"/>
        </w:rPr>
        <w:t>à Genève (Fédération de Russie)</w:t>
      </w:r>
      <w:r w:rsidR="00492832" w:rsidRPr="005E4E6A">
        <w:rPr>
          <w:lang w:val="fr-FR"/>
        </w:rPr>
        <w:t xml:space="preserve">, </w:t>
      </w:r>
      <w:r w:rsidRPr="005E4E6A">
        <w:rPr>
          <w:lang w:val="fr-FR"/>
        </w:rPr>
        <w:t>au poste de Vice-Président.</w:t>
      </w:r>
    </w:p>
    <w:p w14:paraId="57585443" w14:textId="0B9971FE" w:rsidR="00492832" w:rsidRPr="005E4E6A" w:rsidRDefault="00371BA4" w:rsidP="00334DBD">
      <w:pPr>
        <w:rPr>
          <w:lang w:val="fr-FR"/>
        </w:rPr>
      </w:pPr>
      <w:r w:rsidRPr="005E4E6A">
        <w:rPr>
          <w:lang w:val="fr-FR"/>
        </w:rPr>
        <w:t xml:space="preserve">Le Président a présenté </w:t>
      </w:r>
      <w:r w:rsidR="00492832" w:rsidRPr="005E4E6A">
        <w:rPr>
          <w:lang w:val="fr-FR"/>
        </w:rPr>
        <w:t>M</w:t>
      </w:r>
      <w:r w:rsidRPr="005E4E6A">
        <w:rPr>
          <w:lang w:val="fr-FR"/>
        </w:rPr>
        <w:t>me</w:t>
      </w:r>
      <w:r w:rsidR="00492832" w:rsidRPr="005E4E6A">
        <w:rPr>
          <w:lang w:val="fr-FR"/>
        </w:rPr>
        <w:t xml:space="preserve"> Natalia Mochu, </w:t>
      </w:r>
      <w:r w:rsidRPr="005E4E6A">
        <w:rPr>
          <w:lang w:val="fr-FR"/>
        </w:rPr>
        <w:t>Directrice du Bureau régional de l'UIT pour</w:t>
      </w:r>
      <w:r w:rsidR="00DD0380" w:rsidRPr="005E4E6A">
        <w:rPr>
          <w:lang w:val="fr-FR"/>
        </w:rPr>
        <w:t xml:space="preserve"> les pays de</w:t>
      </w:r>
      <w:r w:rsidRPr="005E4E6A">
        <w:rPr>
          <w:lang w:val="fr-FR"/>
        </w:rPr>
        <w:t xml:space="preserve"> la CEI</w:t>
      </w:r>
      <w:r w:rsidR="00492832" w:rsidRPr="005E4E6A">
        <w:rPr>
          <w:lang w:val="fr-FR"/>
        </w:rPr>
        <w:t xml:space="preserve">, </w:t>
      </w:r>
      <w:r w:rsidRPr="005E4E6A">
        <w:rPr>
          <w:lang w:val="fr-FR"/>
        </w:rPr>
        <w:t>qui assurerait la fonction de Secrétaire de la RPM-CEI.</w:t>
      </w:r>
    </w:p>
    <w:p w14:paraId="33574840" w14:textId="1CC080B4" w:rsidR="00492832" w:rsidRPr="005E4E6A" w:rsidRDefault="00492832" w:rsidP="00334DBD">
      <w:pPr>
        <w:pStyle w:val="Heading1"/>
        <w:rPr>
          <w:lang w:val="fr-FR"/>
        </w:rPr>
      </w:pPr>
      <w:r w:rsidRPr="005E4E6A">
        <w:rPr>
          <w:lang w:val="fr-FR"/>
        </w:rPr>
        <w:t>3</w:t>
      </w:r>
      <w:r w:rsidRPr="005E4E6A">
        <w:rPr>
          <w:lang w:val="fr-FR"/>
        </w:rPr>
        <w:tab/>
      </w:r>
      <w:r w:rsidR="00371BA4" w:rsidRPr="005E4E6A">
        <w:rPr>
          <w:lang w:val="fr-FR"/>
        </w:rPr>
        <w:t>Adoption de l'ordre du jour et du plan de gestion du temps</w:t>
      </w:r>
    </w:p>
    <w:p w14:paraId="003B18F1" w14:textId="3CE3776D" w:rsidR="00492832" w:rsidRPr="005E4E6A" w:rsidRDefault="00492832" w:rsidP="00334DBD">
      <w:pPr>
        <w:rPr>
          <w:lang w:val="fr-FR"/>
        </w:rPr>
      </w:pPr>
      <w:r w:rsidRPr="005E4E6A">
        <w:rPr>
          <w:lang w:val="fr-FR"/>
        </w:rPr>
        <w:t xml:space="preserve">Les participants ont adopté l'ordre du jour, qui figure dans le </w:t>
      </w:r>
      <w:hyperlink r:id="rId10" w:history="1">
        <w:r w:rsidRPr="005E4E6A">
          <w:rPr>
            <w:rStyle w:val="Hyperlink"/>
            <w:b/>
            <w:bCs/>
            <w:lang w:val="fr-FR"/>
          </w:rPr>
          <w:t>Document 1</w:t>
        </w:r>
      </w:hyperlink>
      <w:r w:rsidRPr="005E4E6A">
        <w:rPr>
          <w:lang w:val="fr-FR"/>
        </w:rPr>
        <w:t>.</w:t>
      </w:r>
    </w:p>
    <w:p w14:paraId="7D696B42" w14:textId="47C2D258" w:rsidR="00492832" w:rsidRPr="005E4E6A" w:rsidRDefault="00492832" w:rsidP="00334DBD">
      <w:pPr>
        <w:rPr>
          <w:lang w:val="fr-FR"/>
        </w:rPr>
      </w:pPr>
      <w:r w:rsidRPr="005E4E6A">
        <w:rPr>
          <w:lang w:val="fr-FR"/>
        </w:rPr>
        <w:t>Le secrétariat du BDT a indiqué que la RPM-CEI avait reçu 36 contributions. Après avoir examiné toutes les contributions concernant les domaines d'activité de l'UIT-D, les participants ont adopté le plan de gestion du temps (</w:t>
      </w:r>
      <w:hyperlink r:id="rId11" w:history="1">
        <w:r w:rsidRPr="005E4E6A">
          <w:rPr>
            <w:rStyle w:val="Hyperlink"/>
            <w:b/>
            <w:bCs/>
            <w:lang w:val="fr-FR"/>
          </w:rPr>
          <w:t>Document DT/1</w:t>
        </w:r>
      </w:hyperlink>
      <w:r w:rsidRPr="005E4E6A">
        <w:rPr>
          <w:lang w:val="fr-FR"/>
        </w:rPr>
        <w:t>). Tous les documents de la réunion sont accessibles sur le site web de la RPM-CEI.</w:t>
      </w:r>
    </w:p>
    <w:p w14:paraId="686BD233" w14:textId="13D72D31" w:rsidR="00492832" w:rsidRPr="005E4E6A" w:rsidRDefault="00492832" w:rsidP="00334DBD">
      <w:pPr>
        <w:pStyle w:val="Heading1"/>
        <w:rPr>
          <w:lang w:val="fr-FR"/>
        </w:rPr>
      </w:pPr>
      <w:r w:rsidRPr="005E4E6A">
        <w:rPr>
          <w:lang w:val="fr-FR"/>
        </w:rPr>
        <w:t>4</w:t>
      </w:r>
      <w:r w:rsidRPr="005E4E6A">
        <w:rPr>
          <w:lang w:val="fr-FR"/>
        </w:rPr>
        <w:tab/>
      </w:r>
      <w:bookmarkStart w:id="7" w:name="_Hlk64973022"/>
      <w:r w:rsidRPr="005E4E6A">
        <w:rPr>
          <w:lang w:val="fr-FR"/>
        </w:rPr>
        <w:t xml:space="preserve">Tendances dans le domaine du numérique </w:t>
      </w:r>
      <w:bookmarkEnd w:id="7"/>
      <w:r w:rsidR="003D49E3" w:rsidRPr="005E4E6A">
        <w:rPr>
          <w:lang w:val="fr-FR"/>
        </w:rPr>
        <w:t>dans la région de la CEI</w:t>
      </w:r>
    </w:p>
    <w:p w14:paraId="199C864E" w14:textId="7FA5354C" w:rsidR="00492832" w:rsidRPr="005E4E6A" w:rsidRDefault="009E6BFC" w:rsidP="00334DBD">
      <w:pPr>
        <w:rPr>
          <w:lang w:val="fr-FR"/>
        </w:rPr>
      </w:pPr>
      <w:hyperlink r:id="rId12" w:history="1">
        <w:r w:rsidR="00492832" w:rsidRPr="005E4E6A">
          <w:rPr>
            <w:rStyle w:val="Hyperlink"/>
            <w:b/>
            <w:bCs/>
            <w:lang w:val="fr-FR"/>
          </w:rPr>
          <w:t>Document 2</w:t>
        </w:r>
      </w:hyperlink>
      <w:r w:rsidR="00492832" w:rsidRPr="005E4E6A">
        <w:rPr>
          <w:lang w:val="fr-FR"/>
        </w:rPr>
        <w:t xml:space="preserve">: Ce document intitulé "Tendances dans le domaine du numérique </w:t>
      </w:r>
      <w:r w:rsidR="004705DE" w:rsidRPr="005E4E6A">
        <w:rPr>
          <w:lang w:val="fr-FR"/>
        </w:rPr>
        <w:t>dans la région de la CEI</w:t>
      </w:r>
      <w:r w:rsidR="00492832" w:rsidRPr="005E4E6A">
        <w:rPr>
          <w:lang w:val="fr-FR"/>
        </w:rPr>
        <w:t xml:space="preserve">" a été présenté par </w:t>
      </w:r>
      <w:r w:rsidR="004705DE" w:rsidRPr="005E4E6A">
        <w:rPr>
          <w:lang w:val="fr-FR"/>
        </w:rPr>
        <w:t>Mme Natalia Mochu</w:t>
      </w:r>
      <w:r w:rsidR="00492832" w:rsidRPr="005E4E6A">
        <w:rPr>
          <w:lang w:val="fr-FR"/>
        </w:rPr>
        <w:t xml:space="preserve">, </w:t>
      </w:r>
      <w:r w:rsidR="004705DE" w:rsidRPr="005E4E6A">
        <w:rPr>
          <w:lang w:val="fr-FR"/>
        </w:rPr>
        <w:t xml:space="preserve">Directrice du Bureau régional de l'UIT pour </w:t>
      </w:r>
      <w:r w:rsidR="00DD0380" w:rsidRPr="005E4E6A">
        <w:rPr>
          <w:lang w:val="fr-FR"/>
        </w:rPr>
        <w:t xml:space="preserve">les pays </w:t>
      </w:r>
      <w:r w:rsidR="00407AEC" w:rsidRPr="005E4E6A">
        <w:rPr>
          <w:lang w:val="fr-FR"/>
        </w:rPr>
        <w:t xml:space="preserve">de </w:t>
      </w:r>
      <w:r w:rsidR="004705DE" w:rsidRPr="005E4E6A">
        <w:rPr>
          <w:lang w:val="fr-FR"/>
        </w:rPr>
        <w:t>la CEI</w:t>
      </w:r>
      <w:r w:rsidR="00492832" w:rsidRPr="005E4E6A">
        <w:rPr>
          <w:lang w:val="fr-FR"/>
        </w:rPr>
        <w:t xml:space="preserve">. Ce document donne une vue d'ensemble des tendances actuelles et des évolutions dans le domaine des infrastructures TIC, de l'accès aux TIC et de leur utilisation dans la région </w:t>
      </w:r>
      <w:r w:rsidR="00015CED" w:rsidRPr="005E4E6A">
        <w:rPr>
          <w:lang w:val="fr-FR"/>
        </w:rPr>
        <w:t>de la CEI</w:t>
      </w:r>
      <w:r w:rsidR="00492832" w:rsidRPr="005E4E6A">
        <w:rPr>
          <w:lang w:val="fr-FR"/>
        </w:rPr>
        <w:t xml:space="preserve">. </w:t>
      </w:r>
      <w:r w:rsidR="00015CED" w:rsidRPr="005E4E6A">
        <w:rPr>
          <w:lang w:val="fr-FR"/>
        </w:rPr>
        <w:t>Il montre les progrès accomplis concernant le développement des TIC</w:t>
      </w:r>
      <w:r w:rsidR="00492832" w:rsidRPr="005E4E6A">
        <w:rPr>
          <w:lang w:val="fr-FR"/>
        </w:rPr>
        <w:t xml:space="preserve"> </w:t>
      </w:r>
      <w:r w:rsidR="00015CED" w:rsidRPr="005E4E6A">
        <w:rPr>
          <w:lang w:val="fr-FR"/>
        </w:rPr>
        <w:t>depuis la dernière Conférence mondiale de développement des télécommunications (CMDT-17), tenue du 9 au 20 octobre 2017 à Buenos Aires (Argentine)</w:t>
      </w:r>
      <w:r w:rsidR="00492832" w:rsidRPr="005E4E6A">
        <w:rPr>
          <w:lang w:val="fr-FR"/>
        </w:rPr>
        <w:t>. I</w:t>
      </w:r>
      <w:r w:rsidR="00015CED" w:rsidRPr="005E4E6A">
        <w:rPr>
          <w:lang w:val="fr-FR"/>
        </w:rPr>
        <w:t>l dresse en outre un état des lieux de l'évolution des politiques et de la réglementation dans le secteur, des services et applications numériques, de la cybersécurité et des compétences numériques</w:t>
      </w:r>
      <w:r w:rsidR="003E43E4" w:rsidRPr="005E4E6A">
        <w:rPr>
          <w:lang w:val="fr-FR"/>
        </w:rPr>
        <w:t>,</w:t>
      </w:r>
      <w:r w:rsidR="00015CED" w:rsidRPr="005E4E6A">
        <w:rPr>
          <w:lang w:val="fr-FR"/>
        </w:rPr>
        <w:t xml:space="preserve"> et </w:t>
      </w:r>
      <w:r w:rsidR="003E43E4" w:rsidRPr="005E4E6A">
        <w:rPr>
          <w:lang w:val="fr-FR"/>
        </w:rPr>
        <w:t>traite de</w:t>
      </w:r>
      <w:r w:rsidR="00015CED" w:rsidRPr="005E4E6A">
        <w:rPr>
          <w:lang w:val="fr-FR"/>
        </w:rPr>
        <w:t xml:space="preserve"> la mise en œuvre des initiatives régionales de l'UIT pour la région de la CEI. Ce document peut servir de référence aux membres de l'UIT pour l'examen des progrès accomplis et la définition des priorités en matière de développement des TIC dans la région de la CEI.</w:t>
      </w:r>
    </w:p>
    <w:p w14:paraId="52EA1FA6" w14:textId="56D96B1D" w:rsidR="003E43E4" w:rsidRPr="005E4E6A" w:rsidRDefault="003E43E4" w:rsidP="00334DBD">
      <w:pPr>
        <w:rPr>
          <w:lang w:val="fr-FR"/>
        </w:rPr>
      </w:pPr>
      <w:r w:rsidRPr="005E4E6A">
        <w:rPr>
          <w:lang w:val="fr-FR"/>
        </w:rPr>
        <w:t xml:space="preserve">Les participants à la RPM-CEI ont pris note </w:t>
      </w:r>
      <w:r w:rsidR="00DD0380" w:rsidRPr="005E4E6A">
        <w:rPr>
          <w:lang w:val="fr-FR"/>
        </w:rPr>
        <w:t>du</w:t>
      </w:r>
      <w:r w:rsidRPr="005E4E6A">
        <w:rPr>
          <w:lang w:val="fr-FR"/>
        </w:rPr>
        <w:t xml:space="preserve"> document.</w:t>
      </w:r>
    </w:p>
    <w:p w14:paraId="6BD4C238" w14:textId="4240C601" w:rsidR="00492832" w:rsidRPr="005E4E6A" w:rsidRDefault="00492832" w:rsidP="00407AEC">
      <w:pPr>
        <w:pStyle w:val="Heading1"/>
        <w:spacing w:before="0"/>
        <w:rPr>
          <w:lang w:val="fr-FR"/>
        </w:rPr>
      </w:pPr>
      <w:r w:rsidRPr="005E4E6A">
        <w:rPr>
          <w:lang w:val="fr-FR"/>
        </w:rPr>
        <w:lastRenderedPageBreak/>
        <w:t>5</w:t>
      </w:r>
      <w:r w:rsidRPr="005E4E6A">
        <w:rPr>
          <w:lang w:val="fr-FR"/>
        </w:rPr>
        <w:tab/>
        <w:t>Rapport sur la mise en œuvre du Plan d'action de Buenos Aires (y compris les initiatives régionales)</w:t>
      </w:r>
      <w:r w:rsidR="0077712F" w:rsidRPr="005E4E6A">
        <w:rPr>
          <w:lang w:val="fr-FR"/>
        </w:rPr>
        <w:t xml:space="preserve"> adopté par la CMDT-17</w:t>
      </w:r>
      <w:r w:rsidRPr="005E4E6A">
        <w:rPr>
          <w:lang w:val="fr-FR"/>
        </w:rPr>
        <w:t xml:space="preserve"> et contribution à la mise en œuvre du Plan d'action du SMSI et des Objectifs de développement durable (ODD)</w:t>
      </w:r>
    </w:p>
    <w:p w14:paraId="20ADC193" w14:textId="73BCC6DF" w:rsidR="00492832" w:rsidRPr="005E4E6A" w:rsidRDefault="00DD0380" w:rsidP="00334DBD">
      <w:pPr>
        <w:rPr>
          <w:szCs w:val="24"/>
          <w:lang w:val="fr-FR"/>
        </w:rPr>
      </w:pPr>
      <w:bookmarkStart w:id="8" w:name="_Hlk70340029"/>
      <w:r w:rsidRPr="005E4E6A">
        <w:rPr>
          <w:lang w:val="fr-FR"/>
        </w:rPr>
        <w:t xml:space="preserve">Le </w:t>
      </w:r>
      <w:hyperlink r:id="rId13" w:history="1">
        <w:r w:rsidR="00492832" w:rsidRPr="005E4E6A">
          <w:rPr>
            <w:rStyle w:val="Hyperlink"/>
            <w:b/>
            <w:bCs/>
            <w:lang w:val="fr-FR"/>
          </w:rPr>
          <w:t>Document 3</w:t>
        </w:r>
      </w:hyperlink>
      <w:r w:rsidR="00492832" w:rsidRPr="005E4E6A">
        <w:rPr>
          <w:lang w:val="fr-FR"/>
        </w:rPr>
        <w:t xml:space="preserve"> </w:t>
      </w:r>
      <w:bookmarkEnd w:id="8"/>
      <w:r w:rsidRPr="005E4E6A">
        <w:rPr>
          <w:lang w:val="fr-FR"/>
        </w:rPr>
        <w:t>intitulé</w:t>
      </w:r>
      <w:r w:rsidR="00492832" w:rsidRPr="005E4E6A">
        <w:rPr>
          <w:lang w:val="fr-FR"/>
        </w:rPr>
        <w:t xml:space="preserve"> </w:t>
      </w:r>
      <w:r w:rsidR="00334DBD" w:rsidRPr="005E4E6A">
        <w:rPr>
          <w:lang w:val="fr-FR"/>
        </w:rPr>
        <w:t>"</w:t>
      </w:r>
      <w:r w:rsidR="00492832" w:rsidRPr="005E4E6A">
        <w:rPr>
          <w:lang w:val="fr-FR"/>
        </w:rPr>
        <w:t>Mise en œuvre de la gestion axée sur les résultats (GAR) au BDT</w:t>
      </w:r>
      <w:r w:rsidR="00334DBD" w:rsidRPr="005E4E6A">
        <w:rPr>
          <w:lang w:val="fr-FR"/>
        </w:rPr>
        <w:t>"</w:t>
      </w:r>
      <w:r w:rsidR="00492832" w:rsidRPr="005E4E6A">
        <w:rPr>
          <w:lang w:val="fr-FR"/>
        </w:rPr>
        <w:t xml:space="preserve"> </w:t>
      </w:r>
      <w:r w:rsidRPr="005E4E6A">
        <w:rPr>
          <w:lang w:val="fr-FR"/>
        </w:rPr>
        <w:t>a été présenté par M.</w:t>
      </w:r>
      <w:r w:rsidR="00492832" w:rsidRPr="005E4E6A">
        <w:rPr>
          <w:lang w:val="fr-FR"/>
        </w:rPr>
        <w:t xml:space="preserve"> Stephen Bereaux, </w:t>
      </w:r>
      <w:r w:rsidRPr="005E4E6A">
        <w:rPr>
          <w:lang w:val="fr-FR"/>
        </w:rPr>
        <w:t>Adjoint à la Directrice du</w:t>
      </w:r>
      <w:r w:rsidR="00492832" w:rsidRPr="005E4E6A">
        <w:rPr>
          <w:lang w:val="fr-FR"/>
        </w:rPr>
        <w:t xml:space="preserve"> BDT. </w:t>
      </w:r>
      <w:r w:rsidR="00492832" w:rsidRPr="005E4E6A">
        <w:rPr>
          <w:szCs w:val="24"/>
          <w:lang w:val="fr-FR"/>
        </w:rPr>
        <w:t>En 2019, le BDT a entamé une refonte complète de sa mise en œuvre de la gestion axée sur les résultats, afin que le Bureau soit à même de relever les défis que pose un environnement du développement en évolution rapide et qu'il soit "en adéquation avec sa mission". Cette réforme permettra d'instaurer la gestion axée sur les résultats (GAR) pour la mise en œuvre de tous les programmes de travail, comme outil pour la prise de décisions et le suivi en matière de gestion, et d'obtenir des éléments concrets attestant de l'efficacité du BDT. La GAR servira en outre de plate-forme pour associer des partenaires internes et externes, et pour reproduire et déployer à grande échelle les projets et les initiatives relatives aux programmes de travail qui ont fait leurs preuves.</w:t>
      </w:r>
    </w:p>
    <w:p w14:paraId="4DEBE043" w14:textId="67B6AB80" w:rsidR="00492832" w:rsidRPr="005E4E6A" w:rsidRDefault="00866663" w:rsidP="00334DBD">
      <w:pPr>
        <w:rPr>
          <w:lang w:val="fr-FR"/>
        </w:rPr>
      </w:pPr>
      <w:r w:rsidRPr="005E4E6A">
        <w:rPr>
          <w:lang w:val="fr-FR"/>
        </w:rPr>
        <w:t>L</w:t>
      </w:r>
      <w:r w:rsidR="00DD0380" w:rsidRPr="005E4E6A">
        <w:rPr>
          <w:lang w:val="fr-FR"/>
        </w:rPr>
        <w:t>es participants à l</w:t>
      </w:r>
      <w:r w:rsidRPr="005E4E6A">
        <w:rPr>
          <w:lang w:val="fr-FR"/>
        </w:rPr>
        <w:t xml:space="preserve">a RPM-CEI </w:t>
      </w:r>
      <w:r w:rsidR="00DD0380" w:rsidRPr="005E4E6A">
        <w:rPr>
          <w:lang w:val="fr-FR"/>
        </w:rPr>
        <w:t>ont</w:t>
      </w:r>
      <w:r w:rsidRPr="005E4E6A">
        <w:rPr>
          <w:lang w:val="fr-FR"/>
        </w:rPr>
        <w:t xml:space="preserve"> pris note </w:t>
      </w:r>
      <w:r w:rsidR="00DD0380" w:rsidRPr="005E4E6A">
        <w:rPr>
          <w:lang w:val="fr-FR"/>
        </w:rPr>
        <w:t>du</w:t>
      </w:r>
      <w:r w:rsidRPr="005E4E6A">
        <w:rPr>
          <w:lang w:val="fr-FR"/>
        </w:rPr>
        <w:t xml:space="preserve"> document.</w:t>
      </w:r>
    </w:p>
    <w:p w14:paraId="091EF11C" w14:textId="499A4B97" w:rsidR="00866663" w:rsidRPr="005E4E6A" w:rsidRDefault="00DD0380" w:rsidP="00334DBD">
      <w:pPr>
        <w:rPr>
          <w:lang w:val="fr-FR"/>
        </w:rPr>
      </w:pPr>
      <w:r w:rsidRPr="005E4E6A">
        <w:rPr>
          <w:lang w:val="fr-FR"/>
        </w:rPr>
        <w:t xml:space="preserve">Le </w:t>
      </w:r>
      <w:hyperlink r:id="rId14" w:history="1">
        <w:r w:rsidR="00866663" w:rsidRPr="005E4E6A">
          <w:rPr>
            <w:rStyle w:val="Hyperlink"/>
            <w:b/>
            <w:bCs/>
            <w:lang w:val="fr-FR"/>
          </w:rPr>
          <w:t>Document 4</w:t>
        </w:r>
      </w:hyperlink>
      <w:r w:rsidR="00866663" w:rsidRPr="005E4E6A">
        <w:rPr>
          <w:lang w:val="fr-FR"/>
        </w:rPr>
        <w:t xml:space="preserve"> </w:t>
      </w:r>
      <w:r w:rsidRPr="005E4E6A">
        <w:rPr>
          <w:lang w:val="fr-FR"/>
        </w:rPr>
        <w:t>int</w:t>
      </w:r>
      <w:r w:rsidR="00407AEC" w:rsidRPr="005E4E6A">
        <w:rPr>
          <w:lang w:val="fr-FR"/>
        </w:rPr>
        <w:t>i</w:t>
      </w:r>
      <w:r w:rsidRPr="005E4E6A">
        <w:rPr>
          <w:lang w:val="fr-FR"/>
        </w:rPr>
        <w:t>t</w:t>
      </w:r>
      <w:r w:rsidR="00407AEC" w:rsidRPr="005E4E6A">
        <w:rPr>
          <w:lang w:val="fr-FR"/>
        </w:rPr>
        <w:t>u</w:t>
      </w:r>
      <w:r w:rsidRPr="005E4E6A">
        <w:rPr>
          <w:lang w:val="fr-FR"/>
        </w:rPr>
        <w:t>lé</w:t>
      </w:r>
      <w:r w:rsidR="00866663" w:rsidRPr="005E4E6A">
        <w:rPr>
          <w:lang w:val="fr-FR"/>
        </w:rPr>
        <w:t xml:space="preserve"> </w:t>
      </w:r>
      <w:r w:rsidR="00334DBD" w:rsidRPr="005E4E6A">
        <w:rPr>
          <w:lang w:val="fr-FR"/>
        </w:rPr>
        <w:t>"</w:t>
      </w:r>
      <w:r w:rsidR="00866663" w:rsidRPr="005E4E6A">
        <w:rPr>
          <w:lang w:val="fr-FR"/>
        </w:rPr>
        <w:t>Rapport sur la mise en œuvre du Plan d'action de Buenos Aires (y compris les initiatives régionales) adopté par la CMDT-17 et contribution à la mise en œuvre du Plan d'action du SMSI et des Objectifs de développement durable (ODD)</w:t>
      </w:r>
      <w:r w:rsidR="00334DBD" w:rsidRPr="005E4E6A">
        <w:rPr>
          <w:lang w:val="fr-FR"/>
        </w:rPr>
        <w:t>"</w:t>
      </w:r>
      <w:r w:rsidR="00866663" w:rsidRPr="005E4E6A">
        <w:rPr>
          <w:lang w:val="fr-FR"/>
        </w:rPr>
        <w:t xml:space="preserve"> </w:t>
      </w:r>
      <w:r w:rsidRPr="005E4E6A">
        <w:rPr>
          <w:lang w:val="fr-FR"/>
        </w:rPr>
        <w:t>a été présenté par M.</w:t>
      </w:r>
      <w:r w:rsidR="00334DBD" w:rsidRPr="005E4E6A">
        <w:rPr>
          <w:lang w:val="fr-FR"/>
        </w:rPr>
        <w:t> </w:t>
      </w:r>
      <w:r w:rsidRPr="005E4E6A">
        <w:rPr>
          <w:lang w:val="fr-FR"/>
        </w:rPr>
        <w:t>Stephen Bereaux, Adjoint à la Directrice du BDT</w:t>
      </w:r>
      <w:r w:rsidR="00866663" w:rsidRPr="005E4E6A">
        <w:rPr>
          <w:lang w:val="fr-FR"/>
        </w:rPr>
        <w:t xml:space="preserve">, </w:t>
      </w:r>
      <w:r w:rsidRPr="005E4E6A">
        <w:rPr>
          <w:lang w:val="fr-FR"/>
        </w:rPr>
        <w:t>et</w:t>
      </w:r>
      <w:r w:rsidR="00866663" w:rsidRPr="005E4E6A">
        <w:rPr>
          <w:lang w:val="fr-FR"/>
        </w:rPr>
        <w:t xml:space="preserve"> M</w:t>
      </w:r>
      <w:r w:rsidRPr="005E4E6A">
        <w:rPr>
          <w:lang w:val="fr-FR"/>
        </w:rPr>
        <w:t xml:space="preserve">me </w:t>
      </w:r>
      <w:r w:rsidR="00866663" w:rsidRPr="005E4E6A">
        <w:rPr>
          <w:lang w:val="fr-FR"/>
        </w:rPr>
        <w:t xml:space="preserve">Natalia Mochu, </w:t>
      </w:r>
      <w:r w:rsidRPr="005E4E6A">
        <w:rPr>
          <w:lang w:val="fr-FR"/>
        </w:rPr>
        <w:t>Directrice du Bureau régional de l'UIT pour les pays de la CEI</w:t>
      </w:r>
      <w:r w:rsidR="00866663" w:rsidRPr="005E4E6A">
        <w:rPr>
          <w:lang w:val="fr-FR"/>
        </w:rPr>
        <w:t xml:space="preserve">. La CMDT-17 a eu lieu à Buenos Aires (Argentine) du 9 au 20 octobre 2017 et a adopté le </w:t>
      </w:r>
      <w:hyperlink r:id="rId15" w:history="1">
        <w:r w:rsidR="00866663" w:rsidRPr="005E4E6A">
          <w:rPr>
            <w:rStyle w:val="Hyperlink"/>
            <w:lang w:val="fr-FR"/>
          </w:rPr>
          <w:t>Plan d'action de Buenos Aires</w:t>
        </w:r>
      </w:hyperlink>
      <w:r w:rsidR="00866663" w:rsidRPr="005E4E6A">
        <w:rPr>
          <w:lang w:val="fr-FR"/>
        </w:rPr>
        <w:t xml:space="preserve">. Ce Plan, qui comprend les programmes de l'UIT-D, un ensemble d'initiatives régionales et les résolutions, recommandations et Questions confiées aux </w:t>
      </w:r>
      <w:r w:rsidR="00334DBD" w:rsidRPr="005E4E6A">
        <w:rPr>
          <w:lang w:val="fr-FR"/>
        </w:rPr>
        <w:t>c</w:t>
      </w:r>
      <w:r w:rsidR="00866663" w:rsidRPr="005E4E6A">
        <w:rPr>
          <w:lang w:val="fr-FR"/>
        </w:rPr>
        <w:t xml:space="preserve">ommissions d'études nouvelles ou révisées, définit le mandat, les objectifs et les priorités du Secteur </w:t>
      </w:r>
      <w:r w:rsidRPr="005E4E6A">
        <w:rPr>
          <w:lang w:val="fr-FR"/>
        </w:rPr>
        <w:t>de l'</w:t>
      </w:r>
      <w:r w:rsidR="00866663" w:rsidRPr="005E4E6A">
        <w:rPr>
          <w:lang w:val="fr-FR"/>
        </w:rPr>
        <w:t xml:space="preserve">UIT-D pour la période 2018-2021. Il aligne en outre les travaux </w:t>
      </w:r>
      <w:r w:rsidRPr="005E4E6A">
        <w:rPr>
          <w:lang w:val="fr-FR"/>
        </w:rPr>
        <w:t>de l'UIT-D</w:t>
      </w:r>
      <w:r w:rsidR="00866663" w:rsidRPr="005E4E6A">
        <w:rPr>
          <w:lang w:val="fr-FR"/>
        </w:rPr>
        <w:t xml:space="preserve"> sur les objectifs stratégiques de l'UIT afin de permettre aux pays de tirer pleinement parti des TIC.</w:t>
      </w:r>
    </w:p>
    <w:p w14:paraId="354831E5" w14:textId="5F74CE8F" w:rsidR="00866663" w:rsidRPr="005E4E6A" w:rsidRDefault="00DD0380" w:rsidP="00334DBD">
      <w:pPr>
        <w:rPr>
          <w:lang w:val="fr-FR"/>
        </w:rPr>
      </w:pPr>
      <w:r w:rsidRPr="005E4E6A">
        <w:rPr>
          <w:lang w:val="fr-FR"/>
        </w:rPr>
        <w:t>C</w:t>
      </w:r>
      <w:r w:rsidR="00866663" w:rsidRPr="005E4E6A">
        <w:rPr>
          <w:lang w:val="fr-FR"/>
        </w:rPr>
        <w:t>e présent document rend compte de la mise en œuvre du Plan d'action de Buenos Aires et de sa contribution à la mise en œuvre du Plan d'action du SMSI et à la réalisation des ODD. Il met également en avant les changements qui ont été apportés au Bureau de développement des télécommunications (BDT), qui est l'agent d'exécution de l'UIT</w:t>
      </w:r>
      <w:r w:rsidR="00866663" w:rsidRPr="005E4E6A">
        <w:rPr>
          <w:lang w:val="fr-FR"/>
        </w:rPr>
        <w:noBreakHyphen/>
        <w:t>D, afin de veiller à ce que celui-ci soit capable d'évoluer aussi vite que l'environnement dans lequel il fonctionne. L'importance vitale des TIC et leur rôle en tant que moteur du développement socio-économique et facilitateur de la reprise économique ont une fois encore été mis en lumière par la pandémie de COVID-19, qui frappe tous les pays du monde. Ce constat a également montré qu'il était nécessaire de disposer d'un BDT plus souple et plus réactif, qui soit capable de conduire l'action menée pour faire en sorte que tous les habitants de tous les pays soient connectés.</w:t>
      </w:r>
    </w:p>
    <w:p w14:paraId="26472B7B" w14:textId="6FA2A717" w:rsidR="00866663" w:rsidRPr="005E4E6A" w:rsidRDefault="00DD0380" w:rsidP="00334DBD">
      <w:pPr>
        <w:rPr>
          <w:lang w:val="fr-FR"/>
        </w:rPr>
      </w:pPr>
      <w:r w:rsidRPr="005E4E6A">
        <w:rPr>
          <w:lang w:val="fr-FR"/>
        </w:rPr>
        <w:t xml:space="preserve">Les participants à la RPM-CEI ont </w:t>
      </w:r>
      <w:r w:rsidR="00866663" w:rsidRPr="005E4E6A">
        <w:rPr>
          <w:lang w:val="fr-FR"/>
        </w:rPr>
        <w:t>pris note du document.</w:t>
      </w:r>
    </w:p>
    <w:p w14:paraId="29A222D4" w14:textId="27842B3C" w:rsidR="00866663" w:rsidRPr="005E4E6A" w:rsidRDefault="00866663" w:rsidP="00407AEC">
      <w:pPr>
        <w:pStyle w:val="Heading1"/>
        <w:spacing w:before="240"/>
        <w:rPr>
          <w:lang w:val="fr-FR"/>
        </w:rPr>
      </w:pPr>
      <w:r w:rsidRPr="005E4E6A">
        <w:rPr>
          <w:lang w:val="fr-FR"/>
        </w:rPr>
        <w:t>6</w:t>
      </w:r>
      <w:r w:rsidRPr="005E4E6A">
        <w:rPr>
          <w:lang w:val="fr-FR"/>
        </w:rPr>
        <w:tab/>
        <w:t>Rapport sur la mise en œuvre des résultats des autres conférences, assemblées et réunions de l'UIT intéressant les travaux de l'UIT-D: PP-18, CMR-19, AR-19 et AMNT-16</w:t>
      </w:r>
    </w:p>
    <w:p w14:paraId="147B5E4A" w14:textId="69A963D2" w:rsidR="00866663" w:rsidRPr="005E4E6A" w:rsidRDefault="009722DA" w:rsidP="00334DBD">
      <w:pPr>
        <w:rPr>
          <w:lang w:val="fr-FR"/>
        </w:rPr>
      </w:pPr>
      <w:r w:rsidRPr="005E4E6A">
        <w:rPr>
          <w:lang w:val="fr-FR"/>
        </w:rPr>
        <w:t xml:space="preserve">Le </w:t>
      </w:r>
      <w:hyperlink r:id="rId16" w:history="1">
        <w:r w:rsidR="00866663" w:rsidRPr="005E4E6A">
          <w:rPr>
            <w:rStyle w:val="Hyperlink"/>
            <w:b/>
            <w:bCs/>
            <w:lang w:val="fr-FR"/>
          </w:rPr>
          <w:t>Document 5</w:t>
        </w:r>
      </w:hyperlink>
      <w:r w:rsidR="00866663" w:rsidRPr="005E4E6A">
        <w:rPr>
          <w:lang w:val="fr-FR"/>
        </w:rPr>
        <w:t xml:space="preserve"> </w:t>
      </w:r>
      <w:r w:rsidRPr="005E4E6A">
        <w:rPr>
          <w:lang w:val="fr-FR"/>
        </w:rPr>
        <w:t>intitulé</w:t>
      </w:r>
      <w:r w:rsidR="00866663" w:rsidRPr="005E4E6A">
        <w:rPr>
          <w:lang w:val="fr-FR"/>
        </w:rPr>
        <w:t xml:space="preserve"> </w:t>
      </w:r>
      <w:r w:rsidR="00334DBD" w:rsidRPr="005E4E6A">
        <w:rPr>
          <w:lang w:val="fr-FR"/>
        </w:rPr>
        <w:t>"</w:t>
      </w:r>
      <w:r w:rsidR="00866663" w:rsidRPr="005E4E6A">
        <w:rPr>
          <w:lang w:val="fr-FR"/>
        </w:rPr>
        <w:t xml:space="preserve">Rapport sur la mise en œuvre des résultats des autres conférences, </w:t>
      </w:r>
      <w:r w:rsidR="00866663" w:rsidRPr="005E4E6A">
        <w:rPr>
          <w:lang w:val="fr-FR"/>
        </w:rPr>
        <w:br/>
        <w:t xml:space="preserve">assemblées et réunions de l'UIT intéressant les travaux de l'UIT-D: PP-18, CMR-19, AR-19 et </w:t>
      </w:r>
      <w:r w:rsidR="00866663" w:rsidRPr="005E4E6A">
        <w:rPr>
          <w:lang w:val="fr-FR"/>
        </w:rPr>
        <w:lastRenderedPageBreak/>
        <w:t>AMNT</w:t>
      </w:r>
      <w:r w:rsidR="00334DBD" w:rsidRPr="005E4E6A">
        <w:rPr>
          <w:lang w:val="fr-FR"/>
        </w:rPr>
        <w:noBreakHyphen/>
      </w:r>
      <w:r w:rsidR="00866663" w:rsidRPr="005E4E6A">
        <w:rPr>
          <w:lang w:val="fr-FR"/>
        </w:rPr>
        <w:t>16</w:t>
      </w:r>
      <w:r w:rsidR="00334DBD" w:rsidRPr="005E4E6A">
        <w:rPr>
          <w:szCs w:val="24"/>
          <w:lang w:val="fr-FR"/>
        </w:rPr>
        <w:t>"</w:t>
      </w:r>
      <w:r w:rsidR="00866663" w:rsidRPr="005E4E6A">
        <w:rPr>
          <w:szCs w:val="24"/>
          <w:lang w:val="fr-FR"/>
        </w:rPr>
        <w:t xml:space="preserve"> </w:t>
      </w:r>
      <w:r w:rsidRPr="005E4E6A">
        <w:rPr>
          <w:szCs w:val="24"/>
          <w:lang w:val="fr-FR"/>
        </w:rPr>
        <w:t>a été présenté par M.</w:t>
      </w:r>
      <w:r w:rsidR="00866663" w:rsidRPr="005E4E6A">
        <w:rPr>
          <w:szCs w:val="24"/>
          <w:lang w:val="fr-FR"/>
        </w:rPr>
        <w:t xml:space="preserve"> Marco Obiso, </w:t>
      </w:r>
      <w:r w:rsidRPr="005E4E6A">
        <w:rPr>
          <w:rFonts w:eastAsia="Calibri" w:cstheme="minorHAnsi"/>
          <w:szCs w:val="24"/>
          <w:lang w:val="fr-FR"/>
        </w:rPr>
        <w:t>Chef du Département des réseaux et de la société numérique</w:t>
      </w:r>
      <w:r w:rsidR="00866663" w:rsidRPr="005E4E6A">
        <w:rPr>
          <w:szCs w:val="24"/>
          <w:lang w:val="fr-FR"/>
        </w:rPr>
        <w:t xml:space="preserve">. </w:t>
      </w:r>
      <w:r w:rsidRPr="005E4E6A">
        <w:rPr>
          <w:lang w:val="fr-FR"/>
        </w:rPr>
        <w:t>Ce</w:t>
      </w:r>
      <w:r w:rsidR="00866663" w:rsidRPr="005E4E6A">
        <w:rPr>
          <w:lang w:val="fr-FR"/>
        </w:rPr>
        <w:t xml:space="preserve"> document contient un résumé des résultats des conférences, assemblées et réunions de l'UIT intéressant les travaux de l'UIT-D, y compris l'état d'avancement de leur mise en œuvre.</w:t>
      </w:r>
    </w:p>
    <w:p w14:paraId="1EAAA3FA" w14:textId="0143F977" w:rsidR="00866663" w:rsidRPr="005E4E6A" w:rsidRDefault="009722DA" w:rsidP="00334DBD">
      <w:pPr>
        <w:rPr>
          <w:lang w:val="fr-FR"/>
        </w:rPr>
      </w:pPr>
      <w:r w:rsidRPr="005E4E6A">
        <w:rPr>
          <w:lang w:val="fr-FR"/>
        </w:rPr>
        <w:t xml:space="preserve">Les participants à la RPM-CEI ont </w:t>
      </w:r>
      <w:r w:rsidR="00866663" w:rsidRPr="005E4E6A">
        <w:rPr>
          <w:lang w:val="fr-FR"/>
        </w:rPr>
        <w:t>pris note du document.</w:t>
      </w:r>
    </w:p>
    <w:p w14:paraId="49B4757D" w14:textId="5CFBA076" w:rsidR="00866663" w:rsidRPr="005E4E6A" w:rsidRDefault="00866663" w:rsidP="00334DBD">
      <w:pPr>
        <w:pStyle w:val="Heading1"/>
        <w:rPr>
          <w:lang w:val="fr-FR"/>
        </w:rPr>
      </w:pPr>
      <w:r w:rsidRPr="005E4E6A">
        <w:rPr>
          <w:lang w:val="fr-FR"/>
        </w:rPr>
        <w:t>7</w:t>
      </w:r>
      <w:r w:rsidRPr="005E4E6A">
        <w:rPr>
          <w:lang w:val="fr-FR"/>
        </w:rPr>
        <w:tab/>
        <w:t>Travaux préparatoires en vue de la CMDT-21</w:t>
      </w:r>
    </w:p>
    <w:p w14:paraId="3C47C9AD" w14:textId="0AD8FA91" w:rsidR="00866663" w:rsidRPr="005E4E6A" w:rsidRDefault="00866663" w:rsidP="00334DBD">
      <w:pPr>
        <w:pStyle w:val="Heading2"/>
        <w:rPr>
          <w:lang w:val="fr-FR"/>
        </w:rPr>
      </w:pPr>
      <w:r w:rsidRPr="005E4E6A">
        <w:rPr>
          <w:lang w:val="fr-FR"/>
        </w:rPr>
        <w:t>7.1</w:t>
      </w:r>
      <w:r w:rsidRPr="005E4E6A">
        <w:rPr>
          <w:lang w:val="fr-FR"/>
        </w:rPr>
        <w:tab/>
        <w:t>Rapport du Groupe de travail du GCDT sur les activités préparatoires en vue de la CMDT (GT-GCDT-Prep)</w:t>
      </w:r>
    </w:p>
    <w:p w14:paraId="411134EA" w14:textId="1DF29453" w:rsidR="00866663" w:rsidRPr="005E4E6A" w:rsidRDefault="00844CF8" w:rsidP="00334DBD">
      <w:pPr>
        <w:rPr>
          <w:lang w:val="fr-FR"/>
        </w:rPr>
      </w:pPr>
      <w:r w:rsidRPr="005E4E6A">
        <w:rPr>
          <w:lang w:val="fr-FR"/>
        </w:rPr>
        <w:t xml:space="preserve">Le </w:t>
      </w:r>
      <w:hyperlink r:id="rId17" w:history="1">
        <w:hyperlink r:id="rId18" w:history="1">
          <w:r w:rsidR="00866663" w:rsidRPr="005E4E6A">
            <w:rPr>
              <w:rStyle w:val="Hyperlink"/>
              <w:b/>
              <w:bCs/>
              <w:lang w:val="fr-FR"/>
            </w:rPr>
            <w:t>Document 6</w:t>
          </w:r>
        </w:hyperlink>
      </w:hyperlink>
      <w:r w:rsidR="00866663" w:rsidRPr="005E4E6A">
        <w:rPr>
          <w:lang w:val="fr-FR"/>
        </w:rPr>
        <w:t xml:space="preserve"> intitulé </w:t>
      </w:r>
      <w:r w:rsidR="00334DBD" w:rsidRPr="005E4E6A">
        <w:rPr>
          <w:lang w:val="fr-FR"/>
        </w:rPr>
        <w:t>"</w:t>
      </w:r>
      <w:r w:rsidR="00866663" w:rsidRPr="005E4E6A">
        <w:rPr>
          <w:bCs/>
          <w:lang w:val="fr-FR"/>
        </w:rPr>
        <w:t>Rapport final du Groupe de travail du GCDT sur les activités préparatoires en vue de la CMDT (GT-GCDT-Prep)</w:t>
      </w:r>
      <w:r w:rsidR="00334DBD" w:rsidRPr="005E4E6A">
        <w:rPr>
          <w:bCs/>
          <w:lang w:val="fr-FR"/>
        </w:rPr>
        <w:t>"</w:t>
      </w:r>
      <w:r w:rsidR="00866663" w:rsidRPr="005E4E6A">
        <w:rPr>
          <w:lang w:val="fr-FR"/>
        </w:rPr>
        <w:t xml:space="preserve"> a été présenté par M. </w:t>
      </w:r>
      <w:r w:rsidRPr="005E4E6A">
        <w:rPr>
          <w:lang w:val="fr-FR"/>
        </w:rPr>
        <w:t>Stephen Bereaux, Adjoint à la Directrice du BDT</w:t>
      </w:r>
      <w:r w:rsidR="00866663" w:rsidRPr="005E4E6A">
        <w:rPr>
          <w:lang w:val="fr-FR"/>
        </w:rPr>
        <w:t>. Il contient le rapport final sur les travaux du GT-GCDT-Prep</w:t>
      </w:r>
      <w:r w:rsidRPr="005E4E6A">
        <w:rPr>
          <w:lang w:val="fr-FR"/>
        </w:rPr>
        <w:t xml:space="preserve">, y compris les points sur lesquels le Groupe n'était pas parvenu à un consensus et une décision a été prise par les </w:t>
      </w:r>
      <w:r w:rsidR="00866663" w:rsidRPr="005E4E6A">
        <w:rPr>
          <w:lang w:val="fr-FR"/>
        </w:rPr>
        <w:t>participants au GCDT-20/3.</w:t>
      </w:r>
    </w:p>
    <w:p w14:paraId="43C671F0" w14:textId="50A4767C" w:rsidR="00866663" w:rsidRPr="005E4E6A" w:rsidRDefault="00844CF8" w:rsidP="00334DBD">
      <w:pPr>
        <w:rPr>
          <w:lang w:val="fr-FR"/>
        </w:rPr>
      </w:pPr>
      <w:r w:rsidRPr="005E4E6A">
        <w:rPr>
          <w:lang w:val="fr-FR"/>
        </w:rPr>
        <w:t xml:space="preserve">Les participants à la RPM-CEI ont </w:t>
      </w:r>
      <w:r w:rsidR="00866663" w:rsidRPr="005E4E6A">
        <w:rPr>
          <w:lang w:val="fr-FR"/>
        </w:rPr>
        <w:t>pris note du document.</w:t>
      </w:r>
    </w:p>
    <w:p w14:paraId="07103AB5" w14:textId="77777777" w:rsidR="00866663" w:rsidRPr="005E4E6A" w:rsidRDefault="00866663" w:rsidP="00334DBD">
      <w:pPr>
        <w:pStyle w:val="Heading2"/>
        <w:rPr>
          <w:lang w:val="fr-FR"/>
        </w:rPr>
      </w:pPr>
      <w:r w:rsidRPr="005E4E6A">
        <w:rPr>
          <w:lang w:val="fr-FR"/>
        </w:rPr>
        <w:t>7.2</w:t>
      </w:r>
      <w:r w:rsidRPr="005E4E6A">
        <w:rPr>
          <w:lang w:val="fr-FR"/>
        </w:rPr>
        <w:tab/>
        <w:t>Rapport du Groupe de travail du GCDT sur les Résolutions, la Déclaration et les priorités thématiques de la CMDT (GT-GCDT-RDTP)</w:t>
      </w:r>
    </w:p>
    <w:p w14:paraId="46CB030F" w14:textId="67C5810B" w:rsidR="00866663" w:rsidRPr="005E4E6A" w:rsidRDefault="00844CF8" w:rsidP="00334DBD">
      <w:pPr>
        <w:rPr>
          <w:szCs w:val="24"/>
          <w:lang w:val="fr-FR"/>
        </w:rPr>
      </w:pPr>
      <w:r w:rsidRPr="005E4E6A">
        <w:rPr>
          <w:lang w:val="fr-FR"/>
        </w:rPr>
        <w:t xml:space="preserve">Le </w:t>
      </w:r>
      <w:hyperlink r:id="rId19" w:history="1">
        <w:hyperlink r:id="rId20" w:history="1">
          <w:r w:rsidR="00866663" w:rsidRPr="005E4E6A">
            <w:rPr>
              <w:rStyle w:val="Hyperlink"/>
              <w:b/>
              <w:bCs/>
              <w:lang w:val="fr-FR"/>
            </w:rPr>
            <w:t>Document 7</w:t>
          </w:r>
        </w:hyperlink>
      </w:hyperlink>
      <w:r w:rsidR="00866663" w:rsidRPr="005E4E6A">
        <w:rPr>
          <w:lang w:val="fr-FR"/>
        </w:rPr>
        <w:t xml:space="preserve"> intitulé </w:t>
      </w:r>
      <w:r w:rsidR="00334DBD" w:rsidRPr="005E4E6A">
        <w:rPr>
          <w:lang w:val="fr-FR"/>
        </w:rPr>
        <w:t>"</w:t>
      </w:r>
      <w:r w:rsidR="00866663" w:rsidRPr="005E4E6A">
        <w:rPr>
          <w:rFonts w:eastAsia="Calibri" w:cs="Calibri"/>
          <w:bCs/>
          <w:color w:val="000000" w:themeColor="text1"/>
          <w:lang w:val="fr-FR"/>
        </w:rPr>
        <w:t>Rapport de la Réunion du Groupe de travail du GCDT sur les Résolutions, la Déclaration et les priorités thématiques (GT-GCDT-RDTP)</w:t>
      </w:r>
      <w:r w:rsidR="00334DBD" w:rsidRPr="005E4E6A">
        <w:rPr>
          <w:rFonts w:eastAsia="Calibri" w:cs="Calibri"/>
          <w:bCs/>
          <w:color w:val="000000" w:themeColor="text1"/>
          <w:lang w:val="fr-FR"/>
        </w:rPr>
        <w:t>"</w:t>
      </w:r>
      <w:r w:rsidR="00866663" w:rsidRPr="005E4E6A">
        <w:rPr>
          <w:rFonts w:eastAsia="Calibri" w:cs="Calibri"/>
          <w:bCs/>
          <w:color w:val="000000" w:themeColor="text1"/>
          <w:lang w:val="fr-FR"/>
        </w:rPr>
        <w:t xml:space="preserve"> </w:t>
      </w:r>
      <w:r w:rsidR="00866663" w:rsidRPr="005E4E6A">
        <w:rPr>
          <w:bCs/>
          <w:lang w:val="fr-FR"/>
        </w:rPr>
        <w:t>a</w:t>
      </w:r>
      <w:r w:rsidR="00866663" w:rsidRPr="005E4E6A">
        <w:rPr>
          <w:lang w:val="fr-FR"/>
        </w:rPr>
        <w:t xml:space="preserve"> été présenté par M. </w:t>
      </w:r>
      <w:r w:rsidR="00866663" w:rsidRPr="005E4E6A">
        <w:rPr>
          <w:rFonts w:eastAsia="Calibri" w:cs="Calibri"/>
          <w:color w:val="000000" w:themeColor="text1"/>
          <w:lang w:val="fr-FR"/>
        </w:rPr>
        <w:t>Ahmad</w:t>
      </w:r>
      <w:r w:rsidR="009A4E18" w:rsidRPr="005E4E6A">
        <w:rPr>
          <w:rFonts w:eastAsia="Calibri" w:cs="Calibri"/>
          <w:color w:val="000000" w:themeColor="text1"/>
          <w:lang w:val="fr-FR"/>
        </w:rPr>
        <w:t> </w:t>
      </w:r>
      <w:r w:rsidR="00866663" w:rsidRPr="005E4E6A">
        <w:rPr>
          <w:rFonts w:eastAsia="Calibri" w:cs="Calibri"/>
          <w:color w:val="000000" w:themeColor="text1"/>
          <w:lang w:val="fr-FR"/>
        </w:rPr>
        <w:t>Reza</w:t>
      </w:r>
      <w:r w:rsidR="009A4E18" w:rsidRPr="005E4E6A">
        <w:rPr>
          <w:rFonts w:eastAsia="Calibri" w:cs="Calibri"/>
          <w:color w:val="000000" w:themeColor="text1"/>
          <w:lang w:val="fr-FR"/>
        </w:rPr>
        <w:t> </w:t>
      </w:r>
      <w:r w:rsidR="00866663" w:rsidRPr="005E4E6A">
        <w:rPr>
          <w:rFonts w:eastAsia="Calibri" w:cs="Calibri"/>
          <w:color w:val="000000" w:themeColor="text1"/>
          <w:lang w:val="fr-FR"/>
        </w:rPr>
        <w:t xml:space="preserve">Sharafat, Président du Groupe de travail du GCDT sur les Résolutions, la Déclaration et les priorités thématiques de la CMDT. </w:t>
      </w:r>
      <w:r w:rsidR="00967FBC" w:rsidRPr="005E4E6A">
        <w:rPr>
          <w:rFonts w:eastAsia="Calibri" w:cs="Calibri"/>
          <w:color w:val="000000" w:themeColor="text1"/>
          <w:lang w:val="fr-FR"/>
        </w:rPr>
        <w:t xml:space="preserve">Il </w:t>
      </w:r>
      <w:r w:rsidR="00967FBC" w:rsidRPr="005E4E6A">
        <w:rPr>
          <w:szCs w:val="24"/>
          <w:lang w:val="fr-FR"/>
        </w:rPr>
        <w:t>contient le rapport d'activité du GT</w:t>
      </w:r>
      <w:r w:rsidR="009A4E18" w:rsidRPr="005E4E6A">
        <w:rPr>
          <w:szCs w:val="24"/>
          <w:lang w:val="fr-FR"/>
        </w:rPr>
        <w:noBreakHyphen/>
      </w:r>
      <w:r w:rsidR="00967FBC" w:rsidRPr="005E4E6A">
        <w:rPr>
          <w:szCs w:val="24"/>
          <w:lang w:val="fr-FR"/>
        </w:rPr>
        <w:t>GCDT</w:t>
      </w:r>
      <w:r w:rsidR="009A4E18" w:rsidRPr="005E4E6A">
        <w:rPr>
          <w:szCs w:val="24"/>
          <w:lang w:val="fr-FR"/>
        </w:rPr>
        <w:noBreakHyphen/>
      </w:r>
      <w:r w:rsidR="00967FBC" w:rsidRPr="005E4E6A">
        <w:rPr>
          <w:szCs w:val="24"/>
          <w:lang w:val="fr-FR"/>
        </w:rPr>
        <w:t>RDTP</w:t>
      </w:r>
      <w:r w:rsidR="00866663" w:rsidRPr="005E4E6A">
        <w:rPr>
          <w:szCs w:val="24"/>
          <w:lang w:val="fr-FR"/>
        </w:rPr>
        <w:t xml:space="preserve">. </w:t>
      </w:r>
      <w:r w:rsidR="00967FBC" w:rsidRPr="005E4E6A">
        <w:rPr>
          <w:szCs w:val="24"/>
          <w:lang w:val="fr-FR"/>
        </w:rPr>
        <w:t>Le Groupe poursuivra ses travaux et soumettra son prochain rapport au GCDT-21</w:t>
      </w:r>
      <w:r w:rsidR="009A4E18" w:rsidRPr="005E4E6A">
        <w:rPr>
          <w:szCs w:val="24"/>
          <w:lang w:val="fr-FR"/>
        </w:rPr>
        <w:t>.</w:t>
      </w:r>
    </w:p>
    <w:p w14:paraId="19FCC392" w14:textId="4DCD38B7" w:rsidR="00866663" w:rsidRPr="005E4E6A" w:rsidRDefault="00967FBC" w:rsidP="00334DBD">
      <w:pPr>
        <w:rPr>
          <w:lang w:val="fr-FR"/>
        </w:rPr>
      </w:pPr>
      <w:r w:rsidRPr="005E4E6A">
        <w:rPr>
          <w:lang w:val="fr-FR"/>
        </w:rPr>
        <w:t xml:space="preserve">Les participants à la RPM-CEI ont </w:t>
      </w:r>
      <w:r w:rsidR="00866663" w:rsidRPr="005E4E6A">
        <w:rPr>
          <w:lang w:val="fr-FR"/>
        </w:rPr>
        <w:t>pris note du document.</w:t>
      </w:r>
    </w:p>
    <w:p w14:paraId="65503D60" w14:textId="77777777" w:rsidR="00866663" w:rsidRPr="005E4E6A" w:rsidRDefault="00866663" w:rsidP="00334DBD">
      <w:pPr>
        <w:pStyle w:val="Heading2"/>
        <w:rPr>
          <w:lang w:val="fr-FR"/>
        </w:rPr>
      </w:pPr>
      <w:r w:rsidRPr="005E4E6A">
        <w:rPr>
          <w:lang w:val="fr-FR"/>
        </w:rPr>
        <w:t>7.3</w:t>
      </w:r>
      <w:r w:rsidRPr="005E4E6A">
        <w:rPr>
          <w:lang w:val="fr-FR"/>
        </w:rPr>
        <w:tab/>
        <w:t>Groupe de travail du GCDT chargé de la planification stratégique et opérationnelle (GT</w:t>
      </w:r>
      <w:r w:rsidRPr="005E4E6A">
        <w:rPr>
          <w:lang w:val="fr-FR"/>
        </w:rPr>
        <w:noBreakHyphen/>
        <w:t>GCDT-SOP)</w:t>
      </w:r>
    </w:p>
    <w:p w14:paraId="4AA0C728" w14:textId="2ACB3B2E" w:rsidR="002F4E5B" w:rsidRPr="005E4E6A" w:rsidRDefault="002F4E5B" w:rsidP="00334DBD">
      <w:pPr>
        <w:rPr>
          <w:lang w:val="fr-FR"/>
        </w:rPr>
      </w:pPr>
      <w:r w:rsidRPr="005E4E6A">
        <w:rPr>
          <w:lang w:val="fr-FR"/>
        </w:rPr>
        <w:t xml:space="preserve">Le </w:t>
      </w:r>
      <w:hyperlink r:id="rId21" w:history="1">
        <w:hyperlink r:id="rId22" w:history="1">
          <w:r w:rsidR="00866663" w:rsidRPr="005E4E6A">
            <w:rPr>
              <w:rStyle w:val="Hyperlink"/>
              <w:b/>
              <w:bCs/>
              <w:lang w:val="fr-FR"/>
            </w:rPr>
            <w:t>Document 8</w:t>
          </w:r>
        </w:hyperlink>
      </w:hyperlink>
      <w:r w:rsidR="00866663" w:rsidRPr="005E4E6A">
        <w:rPr>
          <w:lang w:val="fr-FR"/>
        </w:rPr>
        <w:t xml:space="preserve"> intitulé </w:t>
      </w:r>
      <w:r w:rsidR="009A4E18" w:rsidRPr="005E4E6A">
        <w:rPr>
          <w:lang w:val="fr-FR"/>
        </w:rPr>
        <w:t>"</w:t>
      </w:r>
      <w:r w:rsidR="00866663" w:rsidRPr="005E4E6A">
        <w:rPr>
          <w:lang w:val="fr-FR"/>
        </w:rPr>
        <w:t>Rapport du Groupe de travail du GCDT chargé de la planification stratégique et opérationnelle (GT-GCDT-SOP)</w:t>
      </w:r>
      <w:r w:rsidR="009A4E18" w:rsidRPr="005E4E6A">
        <w:rPr>
          <w:lang w:val="fr-FR"/>
        </w:rPr>
        <w:t>"</w:t>
      </w:r>
      <w:r w:rsidR="00866663" w:rsidRPr="005E4E6A">
        <w:rPr>
          <w:lang w:val="fr-FR"/>
        </w:rPr>
        <w:t xml:space="preserve"> a été présenté par Mme Blanca Gonzalez</w:t>
      </w:r>
      <w:r w:rsidRPr="005E4E6A">
        <w:rPr>
          <w:lang w:val="fr-FR"/>
        </w:rPr>
        <w:t>, Vice</w:t>
      </w:r>
      <w:r w:rsidR="00FF3188" w:rsidRPr="005E4E6A">
        <w:rPr>
          <w:lang w:val="fr-FR"/>
        </w:rPr>
        <w:noBreakHyphen/>
      </w:r>
      <w:r w:rsidRPr="005E4E6A">
        <w:rPr>
          <w:lang w:val="fr-FR"/>
        </w:rPr>
        <w:t>Présidente du GCDT</w:t>
      </w:r>
      <w:r w:rsidR="00866663" w:rsidRPr="005E4E6A">
        <w:rPr>
          <w:lang w:val="fr-FR"/>
        </w:rPr>
        <w:t xml:space="preserve">. </w:t>
      </w:r>
      <w:r w:rsidRPr="005E4E6A">
        <w:rPr>
          <w:lang w:val="fr-FR"/>
        </w:rPr>
        <w:t xml:space="preserve">Il contient </w:t>
      </w:r>
      <w:r w:rsidRPr="005E4E6A">
        <w:rPr>
          <w:szCs w:val="24"/>
          <w:lang w:val="fr-FR"/>
        </w:rPr>
        <w:t>un rapport sur les activités menées par le GT-GCDT-SOP depuis sa création. Il contient en outre des recommandations concernant la voie à suivre que les participants au GCDT</w:t>
      </w:r>
      <w:r w:rsidR="009A4E18" w:rsidRPr="005E4E6A">
        <w:rPr>
          <w:szCs w:val="24"/>
          <w:lang w:val="fr-FR"/>
        </w:rPr>
        <w:noBreakHyphen/>
      </w:r>
      <w:r w:rsidRPr="005E4E6A">
        <w:rPr>
          <w:szCs w:val="24"/>
          <w:lang w:val="fr-FR"/>
        </w:rPr>
        <w:t>20/3 ont approuvées.</w:t>
      </w:r>
    </w:p>
    <w:p w14:paraId="76A03F2C" w14:textId="39847B3E" w:rsidR="00C65376" w:rsidRPr="005E4E6A" w:rsidRDefault="00683C22" w:rsidP="00334DBD">
      <w:pPr>
        <w:rPr>
          <w:lang w:val="fr-FR"/>
        </w:rPr>
      </w:pPr>
      <w:r w:rsidRPr="005E4E6A">
        <w:rPr>
          <w:lang w:val="fr-FR"/>
        </w:rPr>
        <w:t xml:space="preserve">Les participants à la RPM-CEI ont </w:t>
      </w:r>
      <w:r w:rsidR="00C65376" w:rsidRPr="005E4E6A">
        <w:rPr>
          <w:lang w:val="fr-FR"/>
        </w:rPr>
        <w:t>pris note du document.</w:t>
      </w:r>
    </w:p>
    <w:p w14:paraId="28BF5CE8" w14:textId="244312EC" w:rsidR="00C65376" w:rsidRPr="005E4E6A" w:rsidRDefault="00C65376" w:rsidP="00334DBD">
      <w:pPr>
        <w:pStyle w:val="Heading1"/>
        <w:rPr>
          <w:rFonts w:asciiTheme="minorHAnsi" w:hAnsiTheme="minorHAnsi"/>
          <w:sz w:val="28"/>
          <w:lang w:val="fr-FR"/>
        </w:rPr>
      </w:pPr>
      <w:r w:rsidRPr="005E4E6A">
        <w:rPr>
          <w:lang w:val="fr-FR"/>
        </w:rPr>
        <w:t>8</w:t>
      </w:r>
      <w:r w:rsidRPr="005E4E6A">
        <w:rPr>
          <w:lang w:val="fr-FR"/>
        </w:rPr>
        <w:tab/>
        <w:t xml:space="preserve">Identification </w:t>
      </w:r>
      <w:r w:rsidR="0037652A" w:rsidRPr="005E4E6A">
        <w:rPr>
          <w:lang w:val="fr-FR"/>
        </w:rPr>
        <w:t>des domaines prioritaires pour la région</w:t>
      </w:r>
    </w:p>
    <w:p w14:paraId="505C0493" w14:textId="3167DB78" w:rsidR="00C65376" w:rsidRPr="005E4E6A" w:rsidRDefault="0037652A" w:rsidP="00334DBD">
      <w:pPr>
        <w:rPr>
          <w:lang w:val="fr-FR"/>
        </w:rPr>
      </w:pPr>
      <w:r w:rsidRPr="005E4E6A">
        <w:rPr>
          <w:lang w:val="fr-FR"/>
        </w:rPr>
        <w:t>Les contributions ci-après ont été examinées au titre du point 8 de l'ordre du jour</w:t>
      </w:r>
      <w:r w:rsidR="008F71DA" w:rsidRPr="005E4E6A">
        <w:rPr>
          <w:lang w:val="fr-FR"/>
        </w:rPr>
        <w:t>:</w:t>
      </w:r>
    </w:p>
    <w:p w14:paraId="6E39264D" w14:textId="2A85C9F2" w:rsidR="00FB7AEF" w:rsidRPr="005E4E6A" w:rsidRDefault="005D0790" w:rsidP="00334DBD">
      <w:pPr>
        <w:rPr>
          <w:lang w:val="fr-FR"/>
        </w:rPr>
      </w:pPr>
      <w:r w:rsidRPr="005E4E6A">
        <w:rPr>
          <w:lang w:val="fr-FR"/>
        </w:rPr>
        <w:t xml:space="preserve">Le </w:t>
      </w:r>
      <w:hyperlink r:id="rId23" w:history="1">
        <w:r w:rsidR="00C65376" w:rsidRPr="005E4E6A">
          <w:rPr>
            <w:rStyle w:val="Hyperlink"/>
            <w:b/>
            <w:bCs/>
            <w:lang w:val="fr-FR"/>
          </w:rPr>
          <w:t>Document 9</w:t>
        </w:r>
      </w:hyperlink>
      <w:r w:rsidR="00C65376" w:rsidRPr="005E4E6A">
        <w:rPr>
          <w:lang w:val="fr-FR"/>
        </w:rPr>
        <w:t xml:space="preserve"> </w:t>
      </w:r>
      <w:r w:rsidRPr="005E4E6A">
        <w:rPr>
          <w:lang w:val="fr-FR"/>
        </w:rPr>
        <w:t xml:space="preserve">intitulé </w:t>
      </w:r>
      <w:r w:rsidR="009A4E18" w:rsidRPr="005E4E6A">
        <w:rPr>
          <w:lang w:val="fr-FR"/>
        </w:rPr>
        <w:t>"</w:t>
      </w:r>
      <w:r w:rsidR="00BE515F" w:rsidRPr="005E4E6A">
        <w:rPr>
          <w:lang w:val="fr-FR"/>
        </w:rPr>
        <w:t xml:space="preserve">Système de mesure du temps, de la fréquence </w:t>
      </w:r>
      <w:r w:rsidR="00E36132" w:rsidRPr="005E4E6A">
        <w:rPr>
          <w:lang w:val="fr-FR"/>
        </w:rPr>
        <w:t xml:space="preserve">et </w:t>
      </w:r>
      <w:r w:rsidR="00BE515F" w:rsidRPr="005E4E6A">
        <w:rPr>
          <w:lang w:val="fr-FR"/>
        </w:rPr>
        <w:t>du volume de données dans les réseaux TIC numérique</w:t>
      </w:r>
      <w:r w:rsidR="00E36132" w:rsidRPr="005E4E6A">
        <w:rPr>
          <w:lang w:val="fr-FR"/>
        </w:rPr>
        <w:t>s</w:t>
      </w:r>
      <w:r w:rsidR="009A4E18" w:rsidRPr="005E4E6A">
        <w:rPr>
          <w:lang w:val="fr-FR"/>
        </w:rPr>
        <w:t>"</w:t>
      </w:r>
      <w:r w:rsidR="00BE515F" w:rsidRPr="005E4E6A">
        <w:rPr>
          <w:lang w:val="fr-FR"/>
        </w:rPr>
        <w:t xml:space="preserve"> a été présenté par M. Sergey Melnik, Université technique des communications et de l'informatique de Moscou (MTUCI). L'objectif de cette contribution est de proposer une nouvelle initiative pour définir les règles et procédures à appliquer pour mesurer le</w:t>
      </w:r>
      <w:r w:rsidR="00E36132" w:rsidRPr="005E4E6A">
        <w:rPr>
          <w:lang w:val="fr-FR"/>
        </w:rPr>
        <w:t>s</w:t>
      </w:r>
      <w:r w:rsidR="00BE515F" w:rsidRPr="005E4E6A">
        <w:rPr>
          <w:lang w:val="fr-FR"/>
        </w:rPr>
        <w:t xml:space="preserve"> paramètre</w:t>
      </w:r>
      <w:r w:rsidR="00E36132" w:rsidRPr="005E4E6A">
        <w:rPr>
          <w:lang w:val="fr-FR"/>
        </w:rPr>
        <w:t>s</w:t>
      </w:r>
      <w:r w:rsidR="00BE515F" w:rsidRPr="005E4E6A">
        <w:rPr>
          <w:lang w:val="fr-FR"/>
        </w:rPr>
        <w:t xml:space="preserve"> des transmissions de </w:t>
      </w:r>
      <w:r w:rsidR="00BE515F" w:rsidRPr="005E4E6A">
        <w:rPr>
          <w:lang w:val="fr-FR"/>
        </w:rPr>
        <w:lastRenderedPageBreak/>
        <w:t>données numériques via des canaux de communication, l'Internet et la téléphonie dans des systèmes de communication modernes et futurs. Cette initiative contribuera au développement économique et social des pays.</w:t>
      </w:r>
    </w:p>
    <w:p w14:paraId="0A41B0A9" w14:textId="62E4F8A2" w:rsidR="00BE515F" w:rsidRPr="005E4E6A" w:rsidRDefault="005D0790" w:rsidP="00334DBD">
      <w:pPr>
        <w:rPr>
          <w:rFonts w:cstheme="minorHAnsi"/>
          <w:szCs w:val="28"/>
          <w:lang w:val="fr-FR"/>
        </w:rPr>
      </w:pPr>
      <w:r w:rsidRPr="005E4E6A">
        <w:rPr>
          <w:lang w:val="fr-FR"/>
        </w:rPr>
        <w:t xml:space="preserve">Le </w:t>
      </w:r>
      <w:hyperlink r:id="rId24" w:history="1">
        <w:r w:rsidR="00C65376" w:rsidRPr="005E4E6A">
          <w:rPr>
            <w:rStyle w:val="Hyperlink"/>
            <w:b/>
            <w:bCs/>
            <w:lang w:val="fr-FR"/>
          </w:rPr>
          <w:t>Document 10</w:t>
        </w:r>
      </w:hyperlink>
      <w:r w:rsidR="00C65376" w:rsidRPr="005E4E6A">
        <w:rPr>
          <w:lang w:val="fr-FR"/>
        </w:rPr>
        <w:t xml:space="preserve"> </w:t>
      </w:r>
      <w:r w:rsidRPr="005E4E6A">
        <w:rPr>
          <w:lang w:val="fr-FR"/>
        </w:rPr>
        <w:t xml:space="preserve">intitulé </w:t>
      </w:r>
      <w:r w:rsidR="00334DBD" w:rsidRPr="005E4E6A">
        <w:rPr>
          <w:lang w:val="fr-FR"/>
        </w:rPr>
        <w:t>"</w:t>
      </w:r>
      <w:r w:rsidR="00BE515F" w:rsidRPr="005E4E6A">
        <w:rPr>
          <w:rFonts w:cstheme="minorHAnsi"/>
          <w:szCs w:val="28"/>
          <w:lang w:val="fr-FR"/>
        </w:rPr>
        <w:t>Proposition d'initiative régionale pour la CMDT</w:t>
      </w:r>
      <w:r w:rsidR="00C65376" w:rsidRPr="005E4E6A">
        <w:rPr>
          <w:rFonts w:cstheme="minorHAnsi"/>
          <w:szCs w:val="28"/>
          <w:lang w:val="fr-FR"/>
        </w:rPr>
        <w:t>-21</w:t>
      </w:r>
      <w:r w:rsidR="00E36132" w:rsidRPr="005E4E6A">
        <w:rPr>
          <w:rFonts w:cstheme="minorHAnsi"/>
          <w:szCs w:val="28"/>
          <w:lang w:val="fr-FR"/>
        </w:rPr>
        <w:t>: C</w:t>
      </w:r>
      <w:r w:rsidR="00BE515F" w:rsidRPr="005E4E6A">
        <w:rPr>
          <w:rFonts w:cstheme="minorHAnsi"/>
          <w:szCs w:val="28"/>
          <w:lang w:val="fr-FR"/>
        </w:rPr>
        <w:t>réer des villes et communautés intelligentes (SC&amp;C), y compris des régions intelligentes, des villes intelligentes et durables (SSC) et des villages intelligents</w:t>
      </w:r>
      <w:r w:rsidR="009A4E18" w:rsidRPr="005E4E6A">
        <w:rPr>
          <w:rFonts w:cstheme="minorHAnsi"/>
          <w:szCs w:val="28"/>
          <w:lang w:val="fr-FR"/>
        </w:rPr>
        <w:t>"</w:t>
      </w:r>
      <w:r w:rsidR="00BE515F" w:rsidRPr="005E4E6A">
        <w:rPr>
          <w:rFonts w:cstheme="minorHAnsi"/>
          <w:szCs w:val="28"/>
          <w:lang w:val="fr-FR"/>
        </w:rPr>
        <w:t xml:space="preserve"> a</w:t>
      </w:r>
      <w:r w:rsidR="00E36132" w:rsidRPr="005E4E6A">
        <w:rPr>
          <w:rFonts w:cstheme="minorHAnsi"/>
          <w:szCs w:val="28"/>
          <w:lang w:val="fr-FR"/>
        </w:rPr>
        <w:t xml:space="preserve"> été </w:t>
      </w:r>
      <w:r w:rsidR="00BE515F" w:rsidRPr="005E4E6A">
        <w:rPr>
          <w:rFonts w:cstheme="minorHAnsi"/>
          <w:szCs w:val="28"/>
          <w:lang w:val="fr-FR"/>
        </w:rPr>
        <w:t xml:space="preserve">présenté par M. Evgeny Solovyov, Ministère des communications et de l'informatisation, République du Bélarus. Dans la région de la CEI, les villes et communautés intelligentes </w:t>
      </w:r>
      <w:r w:rsidR="00E36132" w:rsidRPr="005E4E6A">
        <w:rPr>
          <w:rFonts w:cstheme="minorHAnsi"/>
          <w:szCs w:val="28"/>
          <w:lang w:val="fr-FR"/>
        </w:rPr>
        <w:t>sont</w:t>
      </w:r>
      <w:r w:rsidR="00BE515F" w:rsidRPr="005E4E6A">
        <w:rPr>
          <w:rFonts w:cstheme="minorHAnsi"/>
          <w:szCs w:val="28"/>
          <w:lang w:val="fr-FR"/>
        </w:rPr>
        <w:t xml:space="preserve"> une méthode de plus en plus populaire pour parvenir au développement socio-économique. Ce</w:t>
      </w:r>
      <w:r w:rsidR="003A0EE9" w:rsidRPr="005E4E6A">
        <w:rPr>
          <w:rFonts w:cstheme="minorHAnsi"/>
          <w:szCs w:val="28"/>
          <w:lang w:val="fr-FR"/>
        </w:rPr>
        <w:t xml:space="preserve"> concept </w:t>
      </w:r>
      <w:r w:rsidR="00BE515F" w:rsidRPr="005E4E6A">
        <w:rPr>
          <w:rFonts w:cstheme="minorHAnsi"/>
          <w:szCs w:val="28"/>
          <w:lang w:val="fr-FR"/>
        </w:rPr>
        <w:t>couvre non seulement la création de ville</w:t>
      </w:r>
      <w:r w:rsidR="003A0EE9" w:rsidRPr="005E4E6A">
        <w:rPr>
          <w:rFonts w:cstheme="minorHAnsi"/>
          <w:szCs w:val="28"/>
          <w:lang w:val="fr-FR"/>
        </w:rPr>
        <w:t>s</w:t>
      </w:r>
      <w:r w:rsidR="00BE515F" w:rsidRPr="005E4E6A">
        <w:rPr>
          <w:rFonts w:cstheme="minorHAnsi"/>
          <w:szCs w:val="28"/>
          <w:lang w:val="fr-FR"/>
        </w:rPr>
        <w:t xml:space="preserve"> intelligente</w:t>
      </w:r>
      <w:r w:rsidR="003A0EE9" w:rsidRPr="005E4E6A">
        <w:rPr>
          <w:rFonts w:cstheme="minorHAnsi"/>
          <w:szCs w:val="28"/>
          <w:lang w:val="fr-FR"/>
        </w:rPr>
        <w:t>s</w:t>
      </w:r>
      <w:r w:rsidR="00BE515F" w:rsidRPr="005E4E6A">
        <w:rPr>
          <w:rFonts w:cstheme="minorHAnsi"/>
          <w:szCs w:val="28"/>
          <w:lang w:val="fr-FR"/>
        </w:rPr>
        <w:t xml:space="preserve"> et durable</w:t>
      </w:r>
      <w:r w:rsidR="003A0EE9" w:rsidRPr="005E4E6A">
        <w:rPr>
          <w:rFonts w:cstheme="minorHAnsi"/>
          <w:szCs w:val="28"/>
          <w:lang w:val="fr-FR"/>
        </w:rPr>
        <w:t>s</w:t>
      </w:r>
      <w:r w:rsidR="00BE515F" w:rsidRPr="005E4E6A">
        <w:rPr>
          <w:rFonts w:cstheme="minorHAnsi"/>
          <w:szCs w:val="28"/>
          <w:lang w:val="fr-FR"/>
        </w:rPr>
        <w:t>, mais aussi de villages intelligents et de régions intelligentes. Cette approche est une tendance moderne qui doit être analysée,</w:t>
      </w:r>
      <w:r w:rsidR="003A0EE9" w:rsidRPr="005E4E6A">
        <w:rPr>
          <w:rFonts w:cstheme="minorHAnsi"/>
          <w:szCs w:val="28"/>
          <w:lang w:val="fr-FR"/>
        </w:rPr>
        <w:t xml:space="preserve"> approfondie </w:t>
      </w:r>
      <w:r w:rsidR="00BE515F" w:rsidRPr="005E4E6A">
        <w:rPr>
          <w:rFonts w:cstheme="minorHAnsi"/>
          <w:szCs w:val="28"/>
          <w:lang w:val="fr-FR"/>
        </w:rPr>
        <w:t>et</w:t>
      </w:r>
      <w:r w:rsidR="003A0EE9" w:rsidRPr="005E4E6A">
        <w:rPr>
          <w:rFonts w:cstheme="minorHAnsi"/>
          <w:szCs w:val="28"/>
          <w:lang w:val="fr-FR"/>
        </w:rPr>
        <w:t xml:space="preserve"> complétée</w:t>
      </w:r>
      <w:r w:rsidR="00BE515F" w:rsidRPr="005E4E6A">
        <w:rPr>
          <w:rFonts w:cstheme="minorHAnsi"/>
          <w:szCs w:val="28"/>
          <w:lang w:val="fr-FR"/>
        </w:rPr>
        <w:t xml:space="preserve">. À cet égard, l'UIT peut apporter une assistance active à ses États Membres de la région </w:t>
      </w:r>
      <w:r w:rsidR="00E36132" w:rsidRPr="005E4E6A">
        <w:rPr>
          <w:rFonts w:cstheme="minorHAnsi"/>
          <w:szCs w:val="28"/>
          <w:lang w:val="fr-FR"/>
        </w:rPr>
        <w:t>en vue d'</w:t>
      </w:r>
      <w:r w:rsidR="00BE515F" w:rsidRPr="005E4E6A">
        <w:rPr>
          <w:rFonts w:cstheme="minorHAnsi"/>
          <w:szCs w:val="28"/>
          <w:lang w:val="fr-FR"/>
        </w:rPr>
        <w:t xml:space="preserve">élaborer des cadres juridiques et réglementaires, </w:t>
      </w:r>
      <w:r w:rsidR="00E36132" w:rsidRPr="005E4E6A">
        <w:rPr>
          <w:rFonts w:cstheme="minorHAnsi"/>
          <w:szCs w:val="28"/>
          <w:lang w:val="fr-FR"/>
        </w:rPr>
        <w:t xml:space="preserve">de </w:t>
      </w:r>
      <w:r w:rsidR="00BE515F" w:rsidRPr="005E4E6A">
        <w:rPr>
          <w:rFonts w:cstheme="minorHAnsi"/>
          <w:szCs w:val="28"/>
          <w:lang w:val="fr-FR"/>
        </w:rPr>
        <w:t>créer l'infrastructure nécessaire,</w:t>
      </w:r>
      <w:r w:rsidR="00E36132" w:rsidRPr="005E4E6A">
        <w:rPr>
          <w:rFonts w:cstheme="minorHAnsi"/>
          <w:szCs w:val="28"/>
          <w:lang w:val="fr-FR"/>
        </w:rPr>
        <w:t xml:space="preserve"> de</w:t>
      </w:r>
      <w:r w:rsidR="00BE515F" w:rsidRPr="005E4E6A">
        <w:rPr>
          <w:rFonts w:cstheme="minorHAnsi"/>
          <w:szCs w:val="28"/>
          <w:lang w:val="fr-FR"/>
        </w:rPr>
        <w:t xml:space="preserve"> mettre en place des services et applications modernes </w:t>
      </w:r>
      <w:r w:rsidR="00E36132" w:rsidRPr="005E4E6A">
        <w:rPr>
          <w:rFonts w:cstheme="minorHAnsi"/>
          <w:szCs w:val="28"/>
          <w:lang w:val="fr-FR"/>
        </w:rPr>
        <w:t>pour</w:t>
      </w:r>
      <w:r w:rsidR="00BE515F" w:rsidRPr="005E4E6A">
        <w:rPr>
          <w:rFonts w:cstheme="minorHAnsi"/>
          <w:szCs w:val="28"/>
          <w:lang w:val="fr-FR"/>
        </w:rPr>
        <w:t xml:space="preserve"> différents aspects des communautés et villes intelligentes (éducation, soins de santé, tourisme, transport</w:t>
      </w:r>
      <w:r w:rsidR="00E36132" w:rsidRPr="005E4E6A">
        <w:rPr>
          <w:rFonts w:cstheme="minorHAnsi"/>
          <w:szCs w:val="28"/>
          <w:lang w:val="fr-FR"/>
        </w:rPr>
        <w:t>s</w:t>
      </w:r>
      <w:r w:rsidR="00BE515F" w:rsidRPr="005E4E6A">
        <w:rPr>
          <w:rFonts w:cstheme="minorHAnsi"/>
          <w:szCs w:val="28"/>
          <w:lang w:val="fr-FR"/>
        </w:rPr>
        <w:t xml:space="preserve">, énergie, sécurité, environnement, etc.) et </w:t>
      </w:r>
      <w:r w:rsidR="00E36132" w:rsidRPr="005E4E6A">
        <w:rPr>
          <w:rFonts w:cstheme="minorHAnsi"/>
          <w:szCs w:val="28"/>
          <w:lang w:val="fr-FR"/>
        </w:rPr>
        <w:t>d'</w:t>
      </w:r>
      <w:r w:rsidR="00BE515F" w:rsidRPr="005E4E6A">
        <w:rPr>
          <w:rFonts w:cstheme="minorHAnsi"/>
          <w:szCs w:val="28"/>
          <w:lang w:val="fr-FR"/>
        </w:rPr>
        <w:t xml:space="preserve">aider </w:t>
      </w:r>
      <w:r w:rsidR="00E36132" w:rsidRPr="005E4E6A">
        <w:rPr>
          <w:rFonts w:cstheme="minorHAnsi"/>
          <w:szCs w:val="28"/>
          <w:lang w:val="fr-FR"/>
        </w:rPr>
        <w:t>les habitants</w:t>
      </w:r>
      <w:r w:rsidR="00BE515F" w:rsidRPr="005E4E6A">
        <w:rPr>
          <w:rFonts w:cstheme="minorHAnsi"/>
          <w:szCs w:val="28"/>
          <w:lang w:val="fr-FR"/>
        </w:rPr>
        <w:t xml:space="preserve">, les entreprises et les autorités à mieux maîtriser les </w:t>
      </w:r>
      <w:r w:rsidR="00E36132" w:rsidRPr="005E4E6A">
        <w:rPr>
          <w:rFonts w:cstheme="minorHAnsi"/>
          <w:szCs w:val="28"/>
          <w:lang w:val="fr-FR"/>
        </w:rPr>
        <w:t>outils</w:t>
      </w:r>
      <w:r w:rsidR="00BE515F" w:rsidRPr="005E4E6A">
        <w:rPr>
          <w:rFonts w:cstheme="minorHAnsi"/>
          <w:szCs w:val="28"/>
          <w:lang w:val="fr-FR"/>
        </w:rPr>
        <w:t xml:space="preserve"> numériques qu'offrent ces villes et communautés intelligentes.</w:t>
      </w:r>
    </w:p>
    <w:p w14:paraId="1845F22A" w14:textId="240A4727" w:rsidR="003A0EE9" w:rsidRPr="005E4E6A" w:rsidRDefault="003A0EE9" w:rsidP="00334DBD">
      <w:pPr>
        <w:rPr>
          <w:lang w:val="fr-FR"/>
        </w:rPr>
      </w:pPr>
      <w:bookmarkStart w:id="9" w:name="_Hlk70416458"/>
      <w:r w:rsidRPr="005E4E6A">
        <w:rPr>
          <w:b/>
          <w:bCs/>
          <w:lang w:val="fr-FR"/>
        </w:rPr>
        <w:t xml:space="preserve">Le Ministère des transports, des communications et des </w:t>
      </w:r>
      <w:r w:rsidR="00417084" w:rsidRPr="005E4E6A">
        <w:rPr>
          <w:b/>
          <w:bCs/>
          <w:lang w:val="fr-FR"/>
        </w:rPr>
        <w:t>hautes</w:t>
      </w:r>
      <w:r w:rsidRPr="005E4E6A">
        <w:rPr>
          <w:b/>
          <w:bCs/>
          <w:lang w:val="fr-FR"/>
        </w:rPr>
        <w:t xml:space="preserve"> technologies de la République d'Azerbaïdjan</w:t>
      </w:r>
      <w:r w:rsidRPr="005E4E6A">
        <w:rPr>
          <w:bCs/>
          <w:lang w:val="fr-FR"/>
        </w:rPr>
        <w:t xml:space="preserve"> a proposé une nouvelle initiative régionale </w:t>
      </w:r>
      <w:r w:rsidR="00417084" w:rsidRPr="005E4E6A">
        <w:rPr>
          <w:bCs/>
          <w:lang w:val="fr-FR"/>
        </w:rPr>
        <w:t>pour</w:t>
      </w:r>
      <w:r w:rsidRPr="005E4E6A">
        <w:rPr>
          <w:bCs/>
          <w:lang w:val="fr-FR"/>
        </w:rPr>
        <w:t xml:space="preserve"> la </w:t>
      </w:r>
      <w:r w:rsidR="009A4E18" w:rsidRPr="005E4E6A">
        <w:rPr>
          <w:bCs/>
          <w:lang w:val="fr-FR"/>
        </w:rPr>
        <w:t>CMDT-21</w:t>
      </w:r>
      <w:r w:rsidRPr="005E4E6A">
        <w:rPr>
          <w:bCs/>
          <w:lang w:val="fr-FR"/>
        </w:rPr>
        <w:t xml:space="preserve">, intitulée </w:t>
      </w:r>
      <w:r w:rsidR="009A4E18" w:rsidRPr="005E4E6A">
        <w:rPr>
          <w:bCs/>
          <w:lang w:val="fr-FR"/>
        </w:rPr>
        <w:t>"</w:t>
      </w:r>
      <w:r w:rsidRPr="005E4E6A">
        <w:rPr>
          <w:bCs/>
          <w:lang w:val="fr-FR"/>
        </w:rPr>
        <w:t>Cybersécurité: renforcer les capacités et resserrer la coopération régionale</w:t>
      </w:r>
      <w:r w:rsidR="00A85C06" w:rsidRPr="005E4E6A">
        <w:rPr>
          <w:bCs/>
          <w:lang w:val="fr-FR"/>
        </w:rPr>
        <w:t xml:space="preserve"> pour intervenir sans attendre en cas de cybermenace</w:t>
      </w:r>
      <w:r w:rsidR="009A4E18" w:rsidRPr="005E4E6A">
        <w:rPr>
          <w:bCs/>
          <w:lang w:val="fr-FR"/>
        </w:rPr>
        <w:t>".</w:t>
      </w:r>
      <w:r w:rsidR="00A85C06" w:rsidRPr="005E4E6A">
        <w:rPr>
          <w:bCs/>
          <w:lang w:val="fr-FR"/>
        </w:rPr>
        <w:t xml:space="preserve"> Les principaux objectifs de cette proposition d'initiative régionale sont les suivants:</w:t>
      </w:r>
    </w:p>
    <w:bookmarkEnd w:id="9"/>
    <w:p w14:paraId="5CC8B650" w14:textId="69F057F9" w:rsidR="00A85C06" w:rsidRPr="005E4E6A" w:rsidRDefault="00C65376" w:rsidP="00334DBD">
      <w:pPr>
        <w:pStyle w:val="enumlev1"/>
        <w:rPr>
          <w:lang w:val="fr-FR"/>
        </w:rPr>
      </w:pPr>
      <w:r w:rsidRPr="005E4E6A">
        <w:rPr>
          <w:lang w:val="fr-FR"/>
        </w:rPr>
        <w:t>1)</w:t>
      </w:r>
      <w:r w:rsidRPr="005E4E6A">
        <w:rPr>
          <w:lang w:val="fr-FR"/>
        </w:rPr>
        <w:tab/>
      </w:r>
      <w:r w:rsidR="00A85C06" w:rsidRPr="005E4E6A">
        <w:rPr>
          <w:lang w:val="fr-FR"/>
        </w:rPr>
        <w:t>Conduire des exercices régionaux et nationaux de cybersécurité</w:t>
      </w:r>
      <w:r w:rsidR="009A4E18" w:rsidRPr="005E4E6A">
        <w:rPr>
          <w:lang w:val="fr-FR"/>
        </w:rPr>
        <w:t>.</w:t>
      </w:r>
    </w:p>
    <w:p w14:paraId="24FE3A73" w14:textId="76B6182F" w:rsidR="00A85C06" w:rsidRPr="005E4E6A" w:rsidRDefault="00C65376" w:rsidP="00334DBD">
      <w:pPr>
        <w:pStyle w:val="enumlev1"/>
        <w:rPr>
          <w:lang w:val="fr-FR"/>
        </w:rPr>
      </w:pPr>
      <w:r w:rsidRPr="005E4E6A">
        <w:rPr>
          <w:lang w:val="fr-FR"/>
        </w:rPr>
        <w:t>2)</w:t>
      </w:r>
      <w:r w:rsidRPr="005E4E6A">
        <w:rPr>
          <w:lang w:val="fr-FR"/>
        </w:rPr>
        <w:tab/>
      </w:r>
      <w:r w:rsidR="00A85C06" w:rsidRPr="005E4E6A">
        <w:rPr>
          <w:lang w:val="fr-FR"/>
        </w:rPr>
        <w:t>Créer et renforcer des centres publics et nationaux d'intervention en cas de cyberincident</w:t>
      </w:r>
      <w:r w:rsidR="009A4E18" w:rsidRPr="005E4E6A">
        <w:rPr>
          <w:lang w:val="fr-FR"/>
        </w:rPr>
        <w:t>.</w:t>
      </w:r>
    </w:p>
    <w:p w14:paraId="533FEEE7" w14:textId="738D9C55" w:rsidR="00A85C06" w:rsidRPr="005E4E6A" w:rsidRDefault="00C65376" w:rsidP="00334DBD">
      <w:pPr>
        <w:pStyle w:val="enumlev1"/>
        <w:rPr>
          <w:lang w:val="fr-FR"/>
        </w:rPr>
      </w:pPr>
      <w:r w:rsidRPr="005E4E6A">
        <w:rPr>
          <w:lang w:val="fr-FR"/>
        </w:rPr>
        <w:t>3)</w:t>
      </w:r>
      <w:r w:rsidRPr="005E4E6A">
        <w:rPr>
          <w:lang w:val="fr-FR"/>
        </w:rPr>
        <w:tab/>
      </w:r>
      <w:r w:rsidR="00A85C06" w:rsidRPr="005E4E6A">
        <w:rPr>
          <w:lang w:val="fr-FR"/>
        </w:rPr>
        <w:t>Facilit</w:t>
      </w:r>
      <w:r w:rsidR="00417084" w:rsidRPr="005E4E6A">
        <w:rPr>
          <w:lang w:val="fr-FR"/>
        </w:rPr>
        <w:t>er</w:t>
      </w:r>
      <w:r w:rsidR="00A85C06" w:rsidRPr="005E4E6A">
        <w:rPr>
          <w:lang w:val="fr-FR"/>
        </w:rPr>
        <w:t xml:space="preserve"> l'élaboration de stratégies nationales en matière de cybersécurité</w:t>
      </w:r>
      <w:r w:rsidR="009A4E18" w:rsidRPr="005E4E6A">
        <w:rPr>
          <w:lang w:val="fr-FR"/>
        </w:rPr>
        <w:t>.</w:t>
      </w:r>
    </w:p>
    <w:p w14:paraId="666BC1BC" w14:textId="76711A91" w:rsidR="00A85C06" w:rsidRPr="005E4E6A" w:rsidRDefault="00C65376" w:rsidP="00334DBD">
      <w:pPr>
        <w:pStyle w:val="enumlev1"/>
        <w:rPr>
          <w:lang w:val="fr-FR"/>
        </w:rPr>
      </w:pPr>
      <w:r w:rsidRPr="005E4E6A">
        <w:rPr>
          <w:lang w:val="fr-FR"/>
        </w:rPr>
        <w:t>4)</w:t>
      </w:r>
      <w:r w:rsidRPr="005E4E6A">
        <w:rPr>
          <w:lang w:val="fr-FR"/>
        </w:rPr>
        <w:tab/>
      </w:r>
      <w:r w:rsidR="00417084" w:rsidRPr="005E4E6A">
        <w:rPr>
          <w:lang w:val="fr-FR"/>
        </w:rPr>
        <w:t>Organiser</w:t>
      </w:r>
      <w:r w:rsidR="00A85C06" w:rsidRPr="005E4E6A">
        <w:rPr>
          <w:lang w:val="fr-FR"/>
        </w:rPr>
        <w:t xml:space="preserve"> des ateliers et des séminaires spécialisés.</w:t>
      </w:r>
    </w:p>
    <w:p w14:paraId="387BC026" w14:textId="2A8883D1" w:rsidR="00A85C06" w:rsidRPr="005E4E6A" w:rsidRDefault="00A85C06" w:rsidP="00334DBD">
      <w:pPr>
        <w:rPr>
          <w:lang w:val="fr-FR"/>
        </w:rPr>
      </w:pPr>
      <w:r w:rsidRPr="005E4E6A">
        <w:rPr>
          <w:lang w:val="fr-FR"/>
        </w:rPr>
        <w:t xml:space="preserve">Le Ministère des transports, des communications et des </w:t>
      </w:r>
      <w:r w:rsidR="00417084" w:rsidRPr="005E4E6A">
        <w:rPr>
          <w:lang w:val="fr-FR"/>
        </w:rPr>
        <w:t>hautes</w:t>
      </w:r>
      <w:r w:rsidRPr="005E4E6A">
        <w:rPr>
          <w:lang w:val="fr-FR"/>
        </w:rPr>
        <w:t xml:space="preserve"> technologies de la République d'Azerbaïdjan a en outre proposé </w:t>
      </w:r>
      <w:r w:rsidR="00417084" w:rsidRPr="005E4E6A">
        <w:rPr>
          <w:lang w:val="fr-FR"/>
        </w:rPr>
        <w:t>d'organiser</w:t>
      </w:r>
      <w:r w:rsidRPr="005E4E6A">
        <w:rPr>
          <w:lang w:val="fr-FR"/>
        </w:rPr>
        <w:t xml:space="preserve"> chaque année des exercices régionaux de cybersécurité de l'UIT à Bakou.</w:t>
      </w:r>
    </w:p>
    <w:p w14:paraId="4041E57E" w14:textId="325EA045" w:rsidR="00E24B40" w:rsidRPr="005E4E6A" w:rsidRDefault="005D0790" w:rsidP="00334DBD">
      <w:pPr>
        <w:rPr>
          <w:lang w:val="fr-FR"/>
        </w:rPr>
      </w:pPr>
      <w:r w:rsidRPr="005E4E6A">
        <w:rPr>
          <w:lang w:val="fr-FR"/>
        </w:rPr>
        <w:t xml:space="preserve">Le </w:t>
      </w:r>
      <w:hyperlink r:id="rId25" w:history="1">
        <w:r w:rsidR="00C65376" w:rsidRPr="005E4E6A">
          <w:rPr>
            <w:rStyle w:val="Hyperlink"/>
            <w:b/>
            <w:bCs/>
            <w:lang w:val="fr-FR"/>
          </w:rPr>
          <w:t>Document 11</w:t>
        </w:r>
      </w:hyperlink>
      <w:r w:rsidR="00C65376" w:rsidRPr="005E4E6A">
        <w:rPr>
          <w:lang w:val="fr-FR"/>
        </w:rPr>
        <w:t xml:space="preserve"> </w:t>
      </w:r>
      <w:r w:rsidRPr="005E4E6A">
        <w:rPr>
          <w:lang w:val="fr-FR"/>
        </w:rPr>
        <w:t xml:space="preserve">intitulé </w:t>
      </w:r>
      <w:r w:rsidR="00334DBD" w:rsidRPr="005E4E6A">
        <w:rPr>
          <w:lang w:val="fr-FR"/>
        </w:rPr>
        <w:t>"</w:t>
      </w:r>
      <w:r w:rsidR="00E24B40" w:rsidRPr="005E4E6A">
        <w:rPr>
          <w:lang w:val="fr-FR"/>
        </w:rPr>
        <w:t>Proposition de la République kirghize en vue d'élargir le domaine prioritaire de la cybersécurité</w:t>
      </w:r>
      <w:r w:rsidR="009A4E18" w:rsidRPr="005E4E6A">
        <w:rPr>
          <w:lang w:val="fr-FR"/>
        </w:rPr>
        <w:t>"</w:t>
      </w:r>
      <w:r w:rsidR="00E24B40" w:rsidRPr="005E4E6A">
        <w:rPr>
          <w:lang w:val="fr-FR"/>
        </w:rPr>
        <w:t xml:space="preserve"> a été présenté par Mme Natalia Mochu, Directrice du Bureau régional de l'UIT pour les pays </w:t>
      </w:r>
      <w:r w:rsidR="00EE7DEB" w:rsidRPr="005E4E6A">
        <w:rPr>
          <w:lang w:val="fr-FR"/>
        </w:rPr>
        <w:t xml:space="preserve">de </w:t>
      </w:r>
      <w:r w:rsidR="00E24B40" w:rsidRPr="005E4E6A">
        <w:rPr>
          <w:lang w:val="fr-FR"/>
        </w:rPr>
        <w:t xml:space="preserve">la CEI. Le document contient une proposition </w:t>
      </w:r>
      <w:r w:rsidR="00FC721F" w:rsidRPr="005E4E6A">
        <w:rPr>
          <w:lang w:val="fr-FR"/>
        </w:rPr>
        <w:t>soumise</w:t>
      </w:r>
      <w:r w:rsidR="00E24B40" w:rsidRPr="005E4E6A">
        <w:rPr>
          <w:lang w:val="fr-FR"/>
        </w:rPr>
        <w:t xml:space="preserve"> par l'Administration de la République kirghize en vue d'identifier la cybersécurité comme un domaine prioritaire et de renforcer l'assistance fournie aux pays </w:t>
      </w:r>
      <w:r w:rsidR="00FC721F" w:rsidRPr="005E4E6A">
        <w:rPr>
          <w:lang w:val="fr-FR"/>
        </w:rPr>
        <w:t>pour améliorer</w:t>
      </w:r>
      <w:r w:rsidR="00E24B40" w:rsidRPr="005E4E6A">
        <w:rPr>
          <w:lang w:val="fr-FR"/>
        </w:rPr>
        <w:t xml:space="preserve"> la cybersécurité. La République kirghize fait l</w:t>
      </w:r>
      <w:r w:rsidR="00FC721F" w:rsidRPr="005E4E6A">
        <w:rPr>
          <w:lang w:val="fr-FR"/>
        </w:rPr>
        <w:t>es</w:t>
      </w:r>
      <w:r w:rsidR="00E24B40" w:rsidRPr="005E4E6A">
        <w:rPr>
          <w:lang w:val="fr-FR"/>
        </w:rPr>
        <w:t xml:space="preserve"> proposition</w:t>
      </w:r>
      <w:r w:rsidR="00FC721F" w:rsidRPr="005E4E6A">
        <w:rPr>
          <w:lang w:val="fr-FR"/>
        </w:rPr>
        <w:t>s</w:t>
      </w:r>
      <w:r w:rsidR="00E24B40" w:rsidRPr="005E4E6A">
        <w:rPr>
          <w:lang w:val="fr-FR"/>
        </w:rPr>
        <w:t xml:space="preserve"> correspondant</w:t>
      </w:r>
      <w:r w:rsidR="00FC721F" w:rsidRPr="005E4E6A">
        <w:rPr>
          <w:lang w:val="fr-FR"/>
        </w:rPr>
        <w:t>es</w:t>
      </w:r>
      <w:r w:rsidR="00E24B40" w:rsidRPr="005E4E6A">
        <w:rPr>
          <w:lang w:val="fr-FR"/>
        </w:rPr>
        <w:t xml:space="preserve"> </w:t>
      </w:r>
      <w:r w:rsidR="00FC721F" w:rsidRPr="005E4E6A">
        <w:rPr>
          <w:lang w:val="fr-FR"/>
        </w:rPr>
        <w:t>a</w:t>
      </w:r>
      <w:r w:rsidR="00E24B40" w:rsidRPr="005E4E6A">
        <w:rPr>
          <w:lang w:val="fr-FR"/>
        </w:rPr>
        <w:t xml:space="preserve">fin d'élargir l'assistance et </w:t>
      </w:r>
      <w:r w:rsidR="00FC721F" w:rsidRPr="005E4E6A">
        <w:rPr>
          <w:lang w:val="fr-FR"/>
        </w:rPr>
        <w:t>l'aide apportées aux</w:t>
      </w:r>
      <w:r w:rsidR="00E24B40" w:rsidRPr="005E4E6A">
        <w:rPr>
          <w:lang w:val="fr-FR"/>
        </w:rPr>
        <w:t xml:space="preserve"> pays en développement dans le domaine de la cybersécurité.</w:t>
      </w:r>
    </w:p>
    <w:p w14:paraId="134D5C3A" w14:textId="5D478AB7" w:rsidR="00E24B40" w:rsidRPr="005E4E6A" w:rsidRDefault="005D0790" w:rsidP="00334DBD">
      <w:pPr>
        <w:rPr>
          <w:lang w:val="fr-FR"/>
        </w:rPr>
      </w:pPr>
      <w:r w:rsidRPr="005E4E6A">
        <w:rPr>
          <w:lang w:val="fr-FR"/>
        </w:rPr>
        <w:t xml:space="preserve">Le </w:t>
      </w:r>
      <w:hyperlink r:id="rId26" w:history="1">
        <w:r w:rsidR="00C65376" w:rsidRPr="005E4E6A">
          <w:rPr>
            <w:rStyle w:val="Hyperlink"/>
            <w:b/>
            <w:bCs/>
            <w:lang w:val="fr-FR"/>
          </w:rPr>
          <w:t>Document 20</w:t>
        </w:r>
      </w:hyperlink>
      <w:r w:rsidR="00C65376" w:rsidRPr="005E4E6A">
        <w:rPr>
          <w:lang w:val="fr-FR"/>
        </w:rPr>
        <w:t xml:space="preserve"> </w:t>
      </w:r>
      <w:r w:rsidRPr="005E4E6A">
        <w:rPr>
          <w:lang w:val="fr-FR"/>
        </w:rPr>
        <w:t xml:space="preserve">intitulé </w:t>
      </w:r>
      <w:r w:rsidR="00334DBD" w:rsidRPr="005E4E6A">
        <w:rPr>
          <w:lang w:val="fr-FR"/>
        </w:rPr>
        <w:t>"</w:t>
      </w:r>
      <w:r w:rsidR="00E24B40" w:rsidRPr="005E4E6A">
        <w:rPr>
          <w:lang w:val="fr-FR"/>
        </w:rPr>
        <w:t>Projet d'initiative régionale pour la CEI: Développ</w:t>
      </w:r>
      <w:r w:rsidR="0019068E" w:rsidRPr="005E4E6A">
        <w:rPr>
          <w:lang w:val="fr-FR"/>
        </w:rPr>
        <w:t>er</w:t>
      </w:r>
      <w:r w:rsidR="00E24B40" w:rsidRPr="005E4E6A">
        <w:rPr>
          <w:lang w:val="fr-FR"/>
        </w:rPr>
        <w:t xml:space="preserve"> et renforcer la maîtrise des outils</w:t>
      </w:r>
      <w:r w:rsidR="0019068E" w:rsidRPr="005E4E6A">
        <w:rPr>
          <w:lang w:val="fr-FR"/>
        </w:rPr>
        <w:t xml:space="preserve"> pour les personnes handicapées et les personnes ayant des besoins particuliers</w:t>
      </w:r>
      <w:r w:rsidR="00334DBD" w:rsidRPr="005E4E6A">
        <w:rPr>
          <w:lang w:val="fr-FR"/>
        </w:rPr>
        <w:t>"</w:t>
      </w:r>
      <w:r w:rsidR="00407AEC" w:rsidRPr="005E4E6A">
        <w:rPr>
          <w:lang w:val="fr-FR"/>
        </w:rPr>
        <w:t xml:space="preserve"> </w:t>
      </w:r>
      <w:r w:rsidR="00E24B40" w:rsidRPr="005E4E6A">
        <w:rPr>
          <w:lang w:val="fr-FR"/>
        </w:rPr>
        <w:t xml:space="preserve">a été présenté par Mme </w:t>
      </w:r>
      <w:r w:rsidR="00C65376" w:rsidRPr="005E4E6A">
        <w:rPr>
          <w:lang w:val="fr-FR"/>
        </w:rPr>
        <w:t xml:space="preserve">Ainura Sadyrbaeva, </w:t>
      </w:r>
      <w:r w:rsidR="00E24B40" w:rsidRPr="005E4E6A">
        <w:rPr>
          <w:lang w:val="fr-FR"/>
        </w:rPr>
        <w:t xml:space="preserve">Institut d'électronique et des télécommunications, République kirghize. </w:t>
      </w:r>
      <w:r w:rsidR="0019068E" w:rsidRPr="005E4E6A">
        <w:rPr>
          <w:lang w:val="fr-FR"/>
        </w:rPr>
        <w:t>T</w:t>
      </w:r>
      <w:r w:rsidR="00E24B40" w:rsidRPr="005E4E6A">
        <w:rPr>
          <w:lang w:val="fr-FR"/>
        </w:rPr>
        <w:t xml:space="preserve">ous les pays </w:t>
      </w:r>
      <w:r w:rsidR="0019068E" w:rsidRPr="005E4E6A">
        <w:rPr>
          <w:lang w:val="fr-FR"/>
        </w:rPr>
        <w:t>adoptent</w:t>
      </w:r>
      <w:r w:rsidR="00E24B40" w:rsidRPr="005E4E6A">
        <w:rPr>
          <w:lang w:val="fr-FR"/>
        </w:rPr>
        <w:t xml:space="preserve"> progressivement </w:t>
      </w:r>
      <w:r w:rsidR="0019068E" w:rsidRPr="005E4E6A">
        <w:rPr>
          <w:lang w:val="fr-FR"/>
        </w:rPr>
        <w:t>l'</w:t>
      </w:r>
      <w:r w:rsidR="00E24B40" w:rsidRPr="005E4E6A">
        <w:rPr>
          <w:lang w:val="fr-FR"/>
        </w:rPr>
        <w:t xml:space="preserve">économie numérique et le nombre de métiers ne nécessitant pas de compétences numériques diminue. La pandémie de COVID-19 nous a tous forcés à revoir les </w:t>
      </w:r>
      <w:r w:rsidR="00E24B40" w:rsidRPr="005E4E6A">
        <w:rPr>
          <w:lang w:val="fr-FR"/>
        </w:rPr>
        <w:lastRenderedPageBreak/>
        <w:t>méthodes et les technologies que nous utilisons pour travailler et</w:t>
      </w:r>
      <w:r w:rsidR="0019068E" w:rsidRPr="005E4E6A">
        <w:rPr>
          <w:lang w:val="fr-FR"/>
        </w:rPr>
        <w:t xml:space="preserve"> elle</w:t>
      </w:r>
      <w:r w:rsidR="00E24B40" w:rsidRPr="005E4E6A">
        <w:rPr>
          <w:lang w:val="fr-FR"/>
        </w:rPr>
        <w:t xml:space="preserve"> a </w:t>
      </w:r>
      <w:r w:rsidR="0019068E" w:rsidRPr="005E4E6A">
        <w:rPr>
          <w:lang w:val="fr-FR"/>
        </w:rPr>
        <w:t>même encore</w:t>
      </w:r>
      <w:r w:rsidR="00E24B40" w:rsidRPr="005E4E6A">
        <w:rPr>
          <w:lang w:val="fr-FR"/>
        </w:rPr>
        <w:t xml:space="preserve"> accéléré </w:t>
      </w:r>
      <w:r w:rsidR="0019068E" w:rsidRPr="005E4E6A">
        <w:rPr>
          <w:lang w:val="fr-FR"/>
        </w:rPr>
        <w:t>l'adoption des</w:t>
      </w:r>
      <w:r w:rsidR="00E24B40" w:rsidRPr="005E4E6A">
        <w:rPr>
          <w:lang w:val="fr-FR"/>
        </w:rPr>
        <w:t xml:space="preserve"> technologies numériques dans tous les domaines de l'activité humaine. Cette situation a accentué les difficultés que rencontrent les personnes handicapées, en réduisant de manière considérable le nombre total d'emplois disponibles et en faisant des compétences numériques une condition indispensable de recrutement. Par conséquent, il n'a jamais été aussi important de développer et </w:t>
      </w:r>
      <w:r w:rsidR="0019068E" w:rsidRPr="005E4E6A">
        <w:rPr>
          <w:lang w:val="fr-FR"/>
        </w:rPr>
        <w:t>d'accroître</w:t>
      </w:r>
      <w:r w:rsidR="00E24B40" w:rsidRPr="005E4E6A">
        <w:rPr>
          <w:lang w:val="fr-FR"/>
        </w:rPr>
        <w:t xml:space="preserve"> le niveau de maîtrise des outils numériques des personnes handicapées. Cette proposition </w:t>
      </w:r>
      <w:r w:rsidR="0019068E" w:rsidRPr="005E4E6A">
        <w:rPr>
          <w:lang w:val="fr-FR"/>
        </w:rPr>
        <w:t>d'</w:t>
      </w:r>
      <w:r w:rsidR="00E24B40" w:rsidRPr="005E4E6A">
        <w:rPr>
          <w:lang w:val="fr-FR"/>
        </w:rPr>
        <w:t xml:space="preserve">initiative régionale vise à définir </w:t>
      </w:r>
      <w:r w:rsidR="0019068E" w:rsidRPr="005E4E6A">
        <w:rPr>
          <w:lang w:val="fr-FR"/>
        </w:rPr>
        <w:t>l</w:t>
      </w:r>
      <w:r w:rsidR="00E24B40" w:rsidRPr="005E4E6A">
        <w:rPr>
          <w:lang w:val="fr-FR"/>
        </w:rPr>
        <w:t xml:space="preserve">es conditions </w:t>
      </w:r>
      <w:r w:rsidR="0019068E" w:rsidRPr="005E4E6A">
        <w:rPr>
          <w:lang w:val="fr-FR"/>
        </w:rPr>
        <w:t>permettant de</w:t>
      </w:r>
      <w:r w:rsidR="00E24B40" w:rsidRPr="005E4E6A">
        <w:rPr>
          <w:lang w:val="fr-FR"/>
        </w:rPr>
        <w:t xml:space="preserve"> garantir le fonctionnement pérenne des services de développement de</w:t>
      </w:r>
      <w:r w:rsidR="0019068E" w:rsidRPr="005E4E6A">
        <w:rPr>
          <w:lang w:val="fr-FR"/>
        </w:rPr>
        <w:t>s compétences</w:t>
      </w:r>
      <w:r w:rsidR="00E24B40" w:rsidRPr="005E4E6A">
        <w:rPr>
          <w:lang w:val="fr-FR"/>
        </w:rPr>
        <w:t xml:space="preserve"> numériques </w:t>
      </w:r>
      <w:r w:rsidR="0019068E" w:rsidRPr="005E4E6A">
        <w:rPr>
          <w:lang w:val="fr-FR"/>
        </w:rPr>
        <w:t>d</w:t>
      </w:r>
      <w:r w:rsidR="00E24B40" w:rsidRPr="005E4E6A">
        <w:rPr>
          <w:lang w:val="fr-FR"/>
        </w:rPr>
        <w:t>es personnes handicapées</w:t>
      </w:r>
      <w:r w:rsidR="00FF125F" w:rsidRPr="005E4E6A">
        <w:rPr>
          <w:lang w:val="fr-FR"/>
        </w:rPr>
        <w:t xml:space="preserve"> et à formuler des recommandations appropriées.</w:t>
      </w:r>
    </w:p>
    <w:p w14:paraId="58205978" w14:textId="01618284" w:rsidR="00FF125F" w:rsidRPr="005E4E6A" w:rsidRDefault="005D0790" w:rsidP="00334DBD">
      <w:pPr>
        <w:rPr>
          <w:lang w:val="fr-FR"/>
        </w:rPr>
      </w:pPr>
      <w:r w:rsidRPr="005E4E6A">
        <w:rPr>
          <w:lang w:val="fr-FR"/>
        </w:rPr>
        <w:t xml:space="preserve">Le </w:t>
      </w:r>
      <w:hyperlink r:id="rId27" w:history="1">
        <w:r w:rsidR="00C65376" w:rsidRPr="005E4E6A">
          <w:rPr>
            <w:rStyle w:val="Hyperlink"/>
            <w:b/>
            <w:bCs/>
            <w:lang w:val="fr-FR"/>
          </w:rPr>
          <w:t>Document 31</w:t>
        </w:r>
      </w:hyperlink>
      <w:r w:rsidR="00C65376" w:rsidRPr="005E4E6A">
        <w:rPr>
          <w:lang w:val="fr-FR"/>
        </w:rPr>
        <w:t xml:space="preserve"> </w:t>
      </w:r>
      <w:r w:rsidRPr="005E4E6A">
        <w:rPr>
          <w:lang w:val="fr-FR"/>
        </w:rPr>
        <w:t xml:space="preserve">intitulé </w:t>
      </w:r>
      <w:r w:rsidR="00334DBD" w:rsidRPr="005E4E6A">
        <w:rPr>
          <w:lang w:val="fr-FR"/>
        </w:rPr>
        <w:t>"</w:t>
      </w:r>
      <w:r w:rsidR="00FF125F" w:rsidRPr="005E4E6A">
        <w:rPr>
          <w:lang w:val="fr-FR"/>
        </w:rPr>
        <w:t xml:space="preserve">Nouvelle initiative régionale de la </w:t>
      </w:r>
      <w:r w:rsidR="009A4E18" w:rsidRPr="005E4E6A">
        <w:rPr>
          <w:lang w:val="fr-FR"/>
        </w:rPr>
        <w:t>CMDT-21</w:t>
      </w:r>
      <w:r w:rsidR="00FF125F" w:rsidRPr="005E4E6A">
        <w:rPr>
          <w:lang w:val="fr-FR"/>
        </w:rPr>
        <w:t>: Sécurité de l'information (cybersécurité) et protection des données personnelles</w:t>
      </w:r>
      <w:r w:rsidR="00334DBD" w:rsidRPr="005E4E6A">
        <w:rPr>
          <w:lang w:val="fr-FR"/>
        </w:rPr>
        <w:t>"</w:t>
      </w:r>
      <w:r w:rsidR="00407AEC" w:rsidRPr="005E4E6A">
        <w:rPr>
          <w:lang w:val="fr-FR"/>
        </w:rPr>
        <w:t xml:space="preserve"> </w:t>
      </w:r>
      <w:r w:rsidR="00FF125F" w:rsidRPr="005E4E6A">
        <w:rPr>
          <w:lang w:val="fr-FR"/>
        </w:rPr>
        <w:t xml:space="preserve">a été présenté par Mme Natalia Mochu, Directrice du Bureau régional de l'UIT pour les pays </w:t>
      </w:r>
      <w:r w:rsidR="00EE7DEB" w:rsidRPr="005E4E6A">
        <w:rPr>
          <w:lang w:val="fr-FR"/>
        </w:rPr>
        <w:t xml:space="preserve">de </w:t>
      </w:r>
      <w:r w:rsidR="00FF125F" w:rsidRPr="005E4E6A">
        <w:rPr>
          <w:lang w:val="fr-FR"/>
        </w:rPr>
        <w:t xml:space="preserve">la CEI. Le Ministère du développement numérique, de l'innovation et de l'industrie aérospatiale de la République du Kazakhstan note une accélération des processus d'informatisation dans tous les </w:t>
      </w:r>
      <w:r w:rsidR="00A1087F" w:rsidRPr="005E4E6A">
        <w:rPr>
          <w:lang w:val="fr-FR"/>
        </w:rPr>
        <w:t>domaines</w:t>
      </w:r>
      <w:r w:rsidR="00FF125F" w:rsidRPr="005E4E6A">
        <w:rPr>
          <w:lang w:val="fr-FR"/>
        </w:rPr>
        <w:t xml:space="preserve"> d'activité de l'État, d</w:t>
      </w:r>
      <w:r w:rsidR="00A1087F" w:rsidRPr="005E4E6A">
        <w:rPr>
          <w:lang w:val="fr-FR"/>
        </w:rPr>
        <w:t>ans l</w:t>
      </w:r>
      <w:r w:rsidR="00FF125F" w:rsidRPr="005E4E6A">
        <w:rPr>
          <w:lang w:val="fr-FR"/>
        </w:rPr>
        <w:t>es organisations et d</w:t>
      </w:r>
      <w:r w:rsidR="00A1087F" w:rsidRPr="005E4E6A">
        <w:rPr>
          <w:lang w:val="fr-FR"/>
        </w:rPr>
        <w:t>ans</w:t>
      </w:r>
      <w:r w:rsidR="00FF125F" w:rsidRPr="005E4E6A">
        <w:rPr>
          <w:lang w:val="fr-FR"/>
        </w:rPr>
        <w:t xml:space="preserve"> la société civile. L'un des enjeux les plus importants en ce qui concerne l'informatisation e</w:t>
      </w:r>
      <w:r w:rsidR="00A1087F" w:rsidRPr="005E4E6A">
        <w:rPr>
          <w:lang w:val="fr-FR"/>
        </w:rPr>
        <w:t>s</w:t>
      </w:r>
      <w:r w:rsidR="00FF125F" w:rsidRPr="005E4E6A">
        <w:rPr>
          <w:lang w:val="fr-FR"/>
        </w:rPr>
        <w:t xml:space="preserve">t de garantir la sécurité de l'information et la protection des données personnelles. À cet égard, il est proposé </w:t>
      </w:r>
      <w:r w:rsidR="00A1087F" w:rsidRPr="005E4E6A">
        <w:rPr>
          <w:lang w:val="fr-FR"/>
        </w:rPr>
        <w:t>que</w:t>
      </w:r>
      <w:r w:rsidR="00FF125F" w:rsidRPr="005E4E6A">
        <w:rPr>
          <w:lang w:val="fr-FR"/>
        </w:rPr>
        <w:t xml:space="preserve"> la sécurité de l'information (cybersécurité)</w:t>
      </w:r>
      <w:r w:rsidR="00A1087F" w:rsidRPr="005E4E6A">
        <w:rPr>
          <w:lang w:val="fr-FR"/>
        </w:rPr>
        <w:t xml:space="preserve"> soit</w:t>
      </w:r>
      <w:r w:rsidR="00FF125F" w:rsidRPr="005E4E6A">
        <w:rPr>
          <w:lang w:val="fr-FR"/>
        </w:rPr>
        <w:t xml:space="preserve"> l'une des priorités régionales </w:t>
      </w:r>
      <w:r w:rsidR="00A1087F" w:rsidRPr="005E4E6A">
        <w:rPr>
          <w:lang w:val="fr-FR"/>
        </w:rPr>
        <w:t>définies par</w:t>
      </w:r>
      <w:r w:rsidR="00FF125F" w:rsidRPr="005E4E6A">
        <w:rPr>
          <w:lang w:val="fr-FR"/>
        </w:rPr>
        <w:t xml:space="preserve"> l'</w:t>
      </w:r>
      <w:r w:rsidR="009A4E18" w:rsidRPr="005E4E6A">
        <w:rPr>
          <w:lang w:val="fr-FR"/>
        </w:rPr>
        <w:t>UIT-D</w:t>
      </w:r>
      <w:r w:rsidR="00FF125F" w:rsidRPr="005E4E6A">
        <w:rPr>
          <w:lang w:val="fr-FR"/>
        </w:rPr>
        <w:t xml:space="preserve"> pour ce nouveau cycle.</w:t>
      </w:r>
    </w:p>
    <w:p w14:paraId="7FDA54AD" w14:textId="6A535E89" w:rsidR="00FF125F" w:rsidRPr="005E4E6A" w:rsidRDefault="005D0790" w:rsidP="00334DBD">
      <w:pPr>
        <w:rPr>
          <w:lang w:val="fr-FR"/>
        </w:rPr>
      </w:pPr>
      <w:r w:rsidRPr="005E4E6A">
        <w:rPr>
          <w:lang w:val="fr-FR"/>
        </w:rPr>
        <w:t xml:space="preserve">Le </w:t>
      </w:r>
      <w:hyperlink r:id="rId28" w:history="1">
        <w:r w:rsidR="00C65376" w:rsidRPr="005E4E6A">
          <w:rPr>
            <w:rStyle w:val="Hyperlink"/>
            <w:b/>
            <w:bCs/>
            <w:lang w:val="fr-FR"/>
          </w:rPr>
          <w:t>Document 35</w:t>
        </w:r>
      </w:hyperlink>
      <w:r w:rsidR="00C65376" w:rsidRPr="005E4E6A">
        <w:rPr>
          <w:lang w:val="fr-FR"/>
        </w:rPr>
        <w:t xml:space="preserve"> </w:t>
      </w:r>
      <w:r w:rsidRPr="005E4E6A">
        <w:rPr>
          <w:lang w:val="fr-FR"/>
        </w:rPr>
        <w:t xml:space="preserve">intitulé </w:t>
      </w:r>
      <w:r w:rsidR="00334DBD" w:rsidRPr="005E4E6A">
        <w:rPr>
          <w:lang w:val="fr-FR"/>
        </w:rPr>
        <w:t>"</w:t>
      </w:r>
      <w:r w:rsidR="00FF125F" w:rsidRPr="005E4E6A">
        <w:rPr>
          <w:lang w:val="fr-FR"/>
        </w:rPr>
        <w:t>Projet d'initiative régionale pour la CEI: Compétences numériques</w:t>
      </w:r>
      <w:r w:rsidR="00334DBD" w:rsidRPr="005E4E6A">
        <w:rPr>
          <w:lang w:val="fr-FR"/>
        </w:rPr>
        <w:t>"</w:t>
      </w:r>
      <w:r w:rsidR="00407AEC" w:rsidRPr="005E4E6A">
        <w:rPr>
          <w:lang w:val="fr-FR"/>
        </w:rPr>
        <w:t xml:space="preserve"> </w:t>
      </w:r>
      <w:r w:rsidR="00FF125F" w:rsidRPr="005E4E6A">
        <w:rPr>
          <w:lang w:val="fr-FR"/>
        </w:rPr>
        <w:t>a été présenté par Mme</w:t>
      </w:r>
      <w:r w:rsidR="00C65376" w:rsidRPr="005E4E6A">
        <w:rPr>
          <w:lang w:val="fr-FR"/>
        </w:rPr>
        <w:t xml:space="preserve"> Ekaterina Fomicheva, PJSC Rostelecom. </w:t>
      </w:r>
      <w:r w:rsidR="00FF125F" w:rsidRPr="005E4E6A">
        <w:rPr>
          <w:lang w:val="fr-FR"/>
        </w:rPr>
        <w:t>On observe ces dernières années une progression rapide du développement des technologies numériques partout dans le monde. La plupart des États met</w:t>
      </w:r>
      <w:r w:rsidR="00FC4974" w:rsidRPr="005E4E6A">
        <w:rPr>
          <w:lang w:val="fr-FR"/>
        </w:rPr>
        <w:t>tent</w:t>
      </w:r>
      <w:r w:rsidR="00FF125F" w:rsidRPr="005E4E6A">
        <w:rPr>
          <w:lang w:val="fr-FR"/>
        </w:rPr>
        <w:t xml:space="preserve"> actuellement en œuvre des stratégies/programmes </w:t>
      </w:r>
      <w:r w:rsidR="00FC4974" w:rsidRPr="005E4E6A">
        <w:rPr>
          <w:lang w:val="fr-FR"/>
        </w:rPr>
        <w:t>nationaux</w:t>
      </w:r>
      <w:r w:rsidR="00FF125F" w:rsidRPr="005E4E6A">
        <w:rPr>
          <w:lang w:val="fr-FR"/>
        </w:rPr>
        <w:t xml:space="preserve"> de développement de </w:t>
      </w:r>
      <w:r w:rsidR="00FC4974" w:rsidRPr="005E4E6A">
        <w:rPr>
          <w:lang w:val="fr-FR"/>
        </w:rPr>
        <w:t>l'</w:t>
      </w:r>
      <w:r w:rsidR="00FF125F" w:rsidRPr="005E4E6A">
        <w:rPr>
          <w:lang w:val="fr-FR"/>
        </w:rPr>
        <w:t xml:space="preserve">économie numérique et, </w:t>
      </w:r>
      <w:r w:rsidR="00FC4974" w:rsidRPr="005E4E6A">
        <w:rPr>
          <w:lang w:val="fr-FR"/>
        </w:rPr>
        <w:t>dans ce contexte</w:t>
      </w:r>
      <w:r w:rsidR="00FF125F" w:rsidRPr="005E4E6A">
        <w:rPr>
          <w:lang w:val="fr-FR"/>
        </w:rPr>
        <w:t xml:space="preserve">, </w:t>
      </w:r>
      <w:r w:rsidR="00FC4974" w:rsidRPr="005E4E6A">
        <w:rPr>
          <w:lang w:val="fr-FR"/>
        </w:rPr>
        <w:t xml:space="preserve">apparaissent </w:t>
      </w:r>
      <w:r w:rsidR="00FF125F" w:rsidRPr="005E4E6A">
        <w:rPr>
          <w:lang w:val="fr-FR"/>
        </w:rPr>
        <w:t xml:space="preserve">de nouvelles activités et professions </w:t>
      </w:r>
      <w:r w:rsidR="00FC4974" w:rsidRPr="005E4E6A">
        <w:rPr>
          <w:lang w:val="fr-FR"/>
        </w:rPr>
        <w:t>pour lesquelles</w:t>
      </w:r>
      <w:r w:rsidR="00FF125F" w:rsidRPr="005E4E6A">
        <w:rPr>
          <w:lang w:val="fr-FR"/>
        </w:rPr>
        <w:t xml:space="preserve"> la priorité est donnée aux spécialistes ayant des compétences et connaissances numériques spécifiques.</w:t>
      </w:r>
    </w:p>
    <w:p w14:paraId="13E7AF7B" w14:textId="6FD40831" w:rsidR="00BC6803" w:rsidRPr="005E4E6A" w:rsidRDefault="00BC6803" w:rsidP="00334DBD">
      <w:pPr>
        <w:rPr>
          <w:lang w:val="fr-FR"/>
        </w:rPr>
      </w:pPr>
      <w:r w:rsidRPr="005E4E6A">
        <w:rPr>
          <w:lang w:val="fr-FR"/>
        </w:rPr>
        <w:t xml:space="preserve">Pendant la pandémie de COVID-19, nombreux sont ceux à s'être aperçus </w:t>
      </w:r>
      <w:r w:rsidR="001F4DA9" w:rsidRPr="005E4E6A">
        <w:rPr>
          <w:lang w:val="fr-FR"/>
        </w:rPr>
        <w:t>de</w:t>
      </w:r>
      <w:r w:rsidRPr="005E4E6A">
        <w:rPr>
          <w:lang w:val="fr-FR"/>
        </w:rPr>
        <w:t xml:space="preserve"> l'importance des TIC dans des conditions aussi difficiles, qui peuvent aboutir à l'isolement total d'une personne. Les citoyens ont dû s'adapter aux nouvelles conditions et le marché a dû proposer rapidement de nouvelles solutions numériques dans différents domaines, comme les soins de santé, l'éducation et les communications. En plus des services essentiels, il s'est avéré également important de proposer des services en ligne pour accéder à l'art et à la culture.</w:t>
      </w:r>
    </w:p>
    <w:p w14:paraId="1626C3EF" w14:textId="4073153E" w:rsidR="00FF125F" w:rsidRPr="005E4E6A" w:rsidRDefault="00BC6803" w:rsidP="00334DBD">
      <w:pPr>
        <w:rPr>
          <w:lang w:val="fr-FR"/>
        </w:rPr>
      </w:pPr>
      <w:r w:rsidRPr="005E4E6A">
        <w:rPr>
          <w:lang w:val="fr-FR"/>
        </w:rPr>
        <w:t xml:space="preserve">Actuellement, </w:t>
      </w:r>
      <w:r w:rsidR="001F4DA9" w:rsidRPr="005E4E6A">
        <w:rPr>
          <w:lang w:val="fr-FR"/>
        </w:rPr>
        <w:t xml:space="preserve">et </w:t>
      </w:r>
      <w:r w:rsidRPr="005E4E6A">
        <w:rPr>
          <w:lang w:val="fr-FR"/>
        </w:rPr>
        <w:t>tant que les pays n'</w:t>
      </w:r>
      <w:r w:rsidR="001F4DA9" w:rsidRPr="005E4E6A">
        <w:rPr>
          <w:lang w:val="fr-FR"/>
        </w:rPr>
        <w:t>aur</w:t>
      </w:r>
      <w:r w:rsidRPr="005E4E6A">
        <w:rPr>
          <w:lang w:val="fr-FR"/>
        </w:rPr>
        <w:t xml:space="preserve">ont pas </w:t>
      </w:r>
      <w:r w:rsidR="001F4DA9" w:rsidRPr="005E4E6A">
        <w:rPr>
          <w:lang w:val="fr-FR"/>
        </w:rPr>
        <w:t>levé</w:t>
      </w:r>
      <w:r w:rsidRPr="005E4E6A">
        <w:rPr>
          <w:lang w:val="fr-FR"/>
        </w:rPr>
        <w:t xml:space="preserve"> toutes les restrictions liées au COVID-19, il existe toujours une demande importante pour </w:t>
      </w:r>
      <w:r w:rsidR="001F4DA9" w:rsidRPr="005E4E6A">
        <w:rPr>
          <w:lang w:val="fr-FR"/>
        </w:rPr>
        <w:t>d</w:t>
      </w:r>
      <w:r w:rsidRPr="005E4E6A">
        <w:rPr>
          <w:lang w:val="fr-FR"/>
        </w:rPr>
        <w:t xml:space="preserve">es services en ligne dans les domaines de l'art et de la culture, par exemple des visites virtuelles des expositions et </w:t>
      </w:r>
      <w:r w:rsidR="001F4DA9" w:rsidRPr="005E4E6A">
        <w:rPr>
          <w:lang w:val="fr-FR"/>
        </w:rPr>
        <w:t xml:space="preserve">des </w:t>
      </w:r>
      <w:r w:rsidRPr="005E4E6A">
        <w:rPr>
          <w:lang w:val="fr-FR"/>
        </w:rPr>
        <w:t xml:space="preserve">galeries des musées. De plus, la réalité virtuelle est capable de donner aux personnes l'impression d'être dans des lieux </w:t>
      </w:r>
      <w:r w:rsidR="001F4DA9" w:rsidRPr="005E4E6A">
        <w:rPr>
          <w:lang w:val="fr-FR"/>
        </w:rPr>
        <w:t>qu'elles</w:t>
      </w:r>
      <w:r w:rsidRPr="005E4E6A">
        <w:rPr>
          <w:lang w:val="fr-FR"/>
        </w:rPr>
        <w:t xml:space="preserve"> ne pourront peut-être jamais visiter dans la réalité. Ainsi, les visites des musées en réalité virtuelle sont de plus en plus populaire</w:t>
      </w:r>
      <w:r w:rsidR="001F4DA9" w:rsidRPr="005E4E6A">
        <w:rPr>
          <w:lang w:val="fr-FR"/>
        </w:rPr>
        <w:t>s</w:t>
      </w:r>
      <w:r w:rsidRPr="005E4E6A">
        <w:rPr>
          <w:lang w:val="fr-FR"/>
        </w:rPr>
        <w:t xml:space="preserve">. Les technologies modernes permettent aux personnes de contempler des œuvres d'art </w:t>
      </w:r>
      <w:r w:rsidR="001F4DA9" w:rsidRPr="005E4E6A">
        <w:rPr>
          <w:lang w:val="fr-FR"/>
        </w:rPr>
        <w:t>et des pièces</w:t>
      </w:r>
      <w:r w:rsidRPr="005E4E6A">
        <w:rPr>
          <w:lang w:val="fr-FR"/>
        </w:rPr>
        <w:t xml:space="preserve"> exceptionnel</w:t>
      </w:r>
      <w:r w:rsidR="001F4DA9" w:rsidRPr="005E4E6A">
        <w:rPr>
          <w:lang w:val="fr-FR"/>
        </w:rPr>
        <w:t>les</w:t>
      </w:r>
      <w:r w:rsidRPr="005E4E6A">
        <w:rPr>
          <w:lang w:val="fr-FR"/>
        </w:rPr>
        <w:t xml:space="preserve">; toutefois, de nombreux citoyens, en particulier les personnes âgées, </w:t>
      </w:r>
      <w:r w:rsidR="001F4DA9" w:rsidRPr="005E4E6A">
        <w:rPr>
          <w:lang w:val="fr-FR"/>
        </w:rPr>
        <w:t>n'ont</w:t>
      </w:r>
      <w:r w:rsidRPr="005E4E6A">
        <w:rPr>
          <w:lang w:val="fr-FR"/>
        </w:rPr>
        <w:t xml:space="preserve"> pas </w:t>
      </w:r>
      <w:r w:rsidR="001F4DA9" w:rsidRPr="005E4E6A">
        <w:rPr>
          <w:lang w:val="fr-FR"/>
        </w:rPr>
        <w:t>l</w:t>
      </w:r>
      <w:r w:rsidRPr="005E4E6A">
        <w:rPr>
          <w:lang w:val="fr-FR"/>
        </w:rPr>
        <w:t>es compétences numériques requises pour profiter du large éventail de possibilités proposées.</w:t>
      </w:r>
    </w:p>
    <w:p w14:paraId="6218BA31" w14:textId="2137504A" w:rsidR="00B737F7" w:rsidRPr="005E4E6A" w:rsidRDefault="005D0790" w:rsidP="00334DBD">
      <w:pPr>
        <w:rPr>
          <w:lang w:val="fr-FR"/>
        </w:rPr>
      </w:pPr>
      <w:r w:rsidRPr="005E4E6A">
        <w:rPr>
          <w:lang w:val="fr-FR"/>
        </w:rPr>
        <w:t xml:space="preserve">Le </w:t>
      </w:r>
      <w:hyperlink r:id="rId29" w:history="1">
        <w:r w:rsidR="00C65376" w:rsidRPr="005E4E6A">
          <w:rPr>
            <w:rStyle w:val="Hyperlink"/>
            <w:b/>
            <w:bCs/>
            <w:lang w:val="fr-FR"/>
          </w:rPr>
          <w:t>Document 36</w:t>
        </w:r>
      </w:hyperlink>
      <w:r w:rsidR="00C65376" w:rsidRPr="005E4E6A">
        <w:rPr>
          <w:lang w:val="fr-FR"/>
        </w:rPr>
        <w:t xml:space="preserve"> </w:t>
      </w:r>
      <w:r w:rsidRPr="005E4E6A">
        <w:rPr>
          <w:lang w:val="fr-FR"/>
        </w:rPr>
        <w:t xml:space="preserve">intitulé </w:t>
      </w:r>
      <w:r w:rsidR="00334DBD" w:rsidRPr="005E4E6A">
        <w:rPr>
          <w:lang w:val="fr-FR"/>
        </w:rPr>
        <w:t>"</w:t>
      </w:r>
      <w:r w:rsidR="00BC6803" w:rsidRPr="005E4E6A">
        <w:rPr>
          <w:lang w:val="fr-FR"/>
        </w:rPr>
        <w:t xml:space="preserve">Initiative régionale </w:t>
      </w:r>
      <w:r w:rsidR="00C65376" w:rsidRPr="005E4E6A">
        <w:rPr>
          <w:lang w:val="fr-FR"/>
        </w:rPr>
        <w:t xml:space="preserve">5: </w:t>
      </w:r>
      <w:r w:rsidR="00BC6803" w:rsidRPr="005E4E6A">
        <w:rPr>
          <w:lang w:val="fr-FR"/>
        </w:rPr>
        <w:t>Développement de l'infrastructure pour promouvoir l'innovation et les partenariats concernant les nouvelles technologies – Internet des objets, y compris l'Internet industriel</w:t>
      </w:r>
      <w:r w:rsidR="0087178D" w:rsidRPr="005E4E6A">
        <w:rPr>
          <w:lang w:val="fr-FR"/>
        </w:rPr>
        <w:t xml:space="preserve"> des objets</w:t>
      </w:r>
      <w:r w:rsidR="00BC6803" w:rsidRPr="005E4E6A">
        <w:rPr>
          <w:lang w:val="fr-FR"/>
        </w:rPr>
        <w:t xml:space="preserve">, villes et communautés intelligentes, </w:t>
      </w:r>
      <w:r w:rsidR="00F262A7" w:rsidRPr="005E4E6A">
        <w:rPr>
          <w:lang w:val="fr-FR"/>
        </w:rPr>
        <w:t xml:space="preserve">réseaux de prochaine génération </w:t>
      </w:r>
      <w:r w:rsidR="00BC6803" w:rsidRPr="005E4E6A">
        <w:rPr>
          <w:lang w:val="fr-FR"/>
        </w:rPr>
        <w:t>5G/IMT-2020 et NET-2030</w:t>
      </w:r>
      <w:r w:rsidR="00B737F7" w:rsidRPr="005E4E6A">
        <w:rPr>
          <w:lang w:val="fr-FR"/>
        </w:rPr>
        <w:t xml:space="preserve">, </w:t>
      </w:r>
      <w:r w:rsidR="00B737F7" w:rsidRPr="005E4E6A">
        <w:rPr>
          <w:lang w:val="fr-FR"/>
        </w:rPr>
        <w:lastRenderedPageBreak/>
        <w:t>technologies quantiques, intelligence artificielle, santé numérique, compétence</w:t>
      </w:r>
      <w:r w:rsidR="00266FDF" w:rsidRPr="005E4E6A">
        <w:rPr>
          <w:lang w:val="fr-FR"/>
        </w:rPr>
        <w:t>s</w:t>
      </w:r>
      <w:r w:rsidR="00B737F7" w:rsidRPr="005E4E6A">
        <w:rPr>
          <w:lang w:val="fr-FR"/>
        </w:rPr>
        <w:t xml:space="preserve"> numérique</w:t>
      </w:r>
      <w:r w:rsidR="00266FDF" w:rsidRPr="005E4E6A">
        <w:rPr>
          <w:lang w:val="fr-FR"/>
        </w:rPr>
        <w:t>s</w:t>
      </w:r>
      <w:r w:rsidR="00B737F7" w:rsidRPr="005E4E6A">
        <w:rPr>
          <w:lang w:val="fr-FR"/>
        </w:rPr>
        <w:t xml:space="preserve">, protection </w:t>
      </w:r>
      <w:r w:rsidR="00266FDF" w:rsidRPr="005E4E6A">
        <w:rPr>
          <w:lang w:val="fr-FR"/>
        </w:rPr>
        <w:t>de l'</w:t>
      </w:r>
      <w:r w:rsidR="00B737F7" w:rsidRPr="005E4E6A">
        <w:rPr>
          <w:lang w:val="fr-FR"/>
        </w:rPr>
        <w:t>environnement</w:t>
      </w:r>
      <w:r w:rsidR="00334DBD" w:rsidRPr="005E4E6A">
        <w:rPr>
          <w:lang w:val="fr-FR"/>
        </w:rPr>
        <w:t>"</w:t>
      </w:r>
      <w:r w:rsidR="00C65376" w:rsidRPr="005E4E6A">
        <w:rPr>
          <w:lang w:val="fr-FR"/>
        </w:rPr>
        <w:t xml:space="preserve"> </w:t>
      </w:r>
      <w:r w:rsidR="00B737F7" w:rsidRPr="005E4E6A">
        <w:rPr>
          <w:lang w:val="fr-FR"/>
        </w:rPr>
        <w:t>a été présenté par Mme</w:t>
      </w:r>
      <w:r w:rsidR="007D6EED" w:rsidRPr="005E4E6A">
        <w:rPr>
          <w:lang w:val="fr-FR"/>
        </w:rPr>
        <w:t> </w:t>
      </w:r>
      <w:r w:rsidR="00C65376" w:rsidRPr="005E4E6A">
        <w:rPr>
          <w:lang w:val="fr-FR"/>
        </w:rPr>
        <w:t xml:space="preserve">Ekaterina Fomicheva, PJSC Rostelecom. </w:t>
      </w:r>
      <w:r w:rsidR="00B737F7" w:rsidRPr="005E4E6A">
        <w:rPr>
          <w:lang w:val="fr-FR"/>
        </w:rPr>
        <w:t xml:space="preserve">La </w:t>
      </w:r>
      <w:r w:rsidR="007D6EED" w:rsidRPr="005E4E6A">
        <w:rPr>
          <w:lang w:val="fr-FR"/>
        </w:rPr>
        <w:t>CMDT-17</w:t>
      </w:r>
      <w:r w:rsidR="00B737F7" w:rsidRPr="005E4E6A">
        <w:rPr>
          <w:lang w:val="fr-FR"/>
        </w:rPr>
        <w:t xml:space="preserve"> a adopté cinq initiatives régionales à l'intention des États Membres de l'UIT de la région de la CEI</w:t>
      </w:r>
      <w:r w:rsidR="00266FDF" w:rsidRPr="005E4E6A">
        <w:rPr>
          <w:lang w:val="fr-FR"/>
        </w:rPr>
        <w:t>. Les initiatives régionales</w:t>
      </w:r>
      <w:r w:rsidR="00B737F7" w:rsidRPr="005E4E6A">
        <w:rPr>
          <w:lang w:val="fr-FR"/>
        </w:rPr>
        <w:t xml:space="preserve"> </w:t>
      </w:r>
      <w:r w:rsidR="00266FDF" w:rsidRPr="005E4E6A">
        <w:rPr>
          <w:lang w:val="fr-FR"/>
        </w:rPr>
        <w:t>ciblent</w:t>
      </w:r>
      <w:r w:rsidR="00B737F7" w:rsidRPr="005E4E6A">
        <w:rPr>
          <w:lang w:val="fr-FR"/>
        </w:rPr>
        <w:t xml:space="preserve"> des domaines prioritaires précis des télécommunications/TIC dans le cadre de partenariats et d'activités de mobilisation des ressources </w:t>
      </w:r>
      <w:r w:rsidR="00266FDF" w:rsidRPr="005E4E6A">
        <w:rPr>
          <w:lang w:val="fr-FR"/>
        </w:rPr>
        <w:t>pour mettre</w:t>
      </w:r>
      <w:r w:rsidR="00B737F7" w:rsidRPr="005E4E6A">
        <w:rPr>
          <w:lang w:val="fr-FR"/>
        </w:rPr>
        <w:t xml:space="preserve"> en œuvre de</w:t>
      </w:r>
      <w:r w:rsidR="00CA2385" w:rsidRPr="005E4E6A">
        <w:rPr>
          <w:lang w:val="fr-FR"/>
        </w:rPr>
        <w:t>s</w:t>
      </w:r>
      <w:r w:rsidR="00B737F7" w:rsidRPr="005E4E6A">
        <w:rPr>
          <w:lang w:val="fr-FR"/>
        </w:rPr>
        <w:t xml:space="preserve"> projets spécifiques. Cette initiative régionale vise à développer l'infrastructure des télécommunications</w:t>
      </w:r>
      <w:r w:rsidR="00CA2385" w:rsidRPr="005E4E6A">
        <w:rPr>
          <w:lang w:val="fr-FR"/>
        </w:rPr>
        <w:t>/TIC</w:t>
      </w:r>
      <w:r w:rsidR="00B737F7" w:rsidRPr="005E4E6A">
        <w:rPr>
          <w:lang w:val="fr-FR"/>
        </w:rPr>
        <w:t xml:space="preserve"> et à promouvoir l'innovation et les partenariats concernant la mise en œuvre des nouvelles technologies </w:t>
      </w:r>
      <w:r w:rsidR="007D6EED" w:rsidRPr="005E4E6A">
        <w:rPr>
          <w:lang w:val="fr-FR"/>
        </w:rPr>
        <w:t>–</w:t>
      </w:r>
      <w:r w:rsidR="00B737F7" w:rsidRPr="005E4E6A">
        <w:rPr>
          <w:lang w:val="fr-FR"/>
        </w:rPr>
        <w:t xml:space="preserve"> Internet des objets, y compris l'Internet industriel</w:t>
      </w:r>
      <w:r w:rsidR="0087178D" w:rsidRPr="005E4E6A">
        <w:rPr>
          <w:lang w:val="fr-FR"/>
        </w:rPr>
        <w:t xml:space="preserve"> des objets</w:t>
      </w:r>
      <w:r w:rsidR="00B737F7" w:rsidRPr="005E4E6A">
        <w:rPr>
          <w:lang w:val="fr-FR"/>
        </w:rPr>
        <w:t xml:space="preserve">, villes et communautés intelligentes, </w:t>
      </w:r>
      <w:r w:rsidR="00F262A7" w:rsidRPr="005E4E6A">
        <w:rPr>
          <w:lang w:val="fr-FR"/>
        </w:rPr>
        <w:t xml:space="preserve">réseaux de prochaine génération </w:t>
      </w:r>
      <w:r w:rsidR="00B737F7" w:rsidRPr="005E4E6A">
        <w:rPr>
          <w:lang w:val="fr-FR"/>
        </w:rPr>
        <w:t>5G/IMT-2020 et NET-2030, technologies quantiques, intelligence artificielle, santé numérique, compétence</w:t>
      </w:r>
      <w:r w:rsidR="00CA2385" w:rsidRPr="005E4E6A">
        <w:rPr>
          <w:lang w:val="fr-FR"/>
        </w:rPr>
        <w:t>s</w:t>
      </w:r>
      <w:r w:rsidR="00B737F7" w:rsidRPr="005E4E6A">
        <w:rPr>
          <w:lang w:val="fr-FR"/>
        </w:rPr>
        <w:t xml:space="preserve"> numérique</w:t>
      </w:r>
      <w:r w:rsidR="00CA2385" w:rsidRPr="005E4E6A">
        <w:rPr>
          <w:lang w:val="fr-FR"/>
        </w:rPr>
        <w:t>s et</w:t>
      </w:r>
      <w:r w:rsidR="00B737F7" w:rsidRPr="005E4E6A">
        <w:rPr>
          <w:lang w:val="fr-FR"/>
        </w:rPr>
        <w:t xml:space="preserve"> protection </w:t>
      </w:r>
      <w:r w:rsidR="00CA2385" w:rsidRPr="005E4E6A">
        <w:rPr>
          <w:lang w:val="fr-FR"/>
        </w:rPr>
        <w:t>de l'</w:t>
      </w:r>
      <w:r w:rsidR="00B737F7" w:rsidRPr="005E4E6A">
        <w:rPr>
          <w:lang w:val="fr-FR"/>
        </w:rPr>
        <w:t>environnement</w:t>
      </w:r>
      <w:r w:rsidR="00CA2385" w:rsidRPr="005E4E6A">
        <w:rPr>
          <w:lang w:val="fr-FR"/>
        </w:rPr>
        <w:t>.</w:t>
      </w:r>
    </w:p>
    <w:p w14:paraId="01217CB3" w14:textId="59665635" w:rsidR="00C65376" w:rsidRPr="005E4E6A" w:rsidRDefault="00C65376" w:rsidP="00334DBD">
      <w:pPr>
        <w:rPr>
          <w:lang w:val="fr-FR"/>
        </w:rPr>
      </w:pPr>
      <w:r w:rsidRPr="005E4E6A">
        <w:rPr>
          <w:lang w:val="fr-FR"/>
        </w:rPr>
        <w:t xml:space="preserve">Les participants sont convenus de créer un groupe </w:t>
      </w:r>
      <w:r w:rsidR="00573DCE" w:rsidRPr="005E4E6A">
        <w:rPr>
          <w:lang w:val="fr-FR"/>
        </w:rPr>
        <w:t>de rédaction dirigé par</w:t>
      </w:r>
      <w:r w:rsidRPr="005E4E6A">
        <w:rPr>
          <w:lang w:val="fr-FR"/>
        </w:rPr>
        <w:t xml:space="preserve"> le Vice</w:t>
      </w:r>
      <w:r w:rsidRPr="005E4E6A">
        <w:rPr>
          <w:lang w:val="fr-FR"/>
        </w:rPr>
        <w:noBreakHyphen/>
        <w:t>Président de la RPM</w:t>
      </w:r>
      <w:r w:rsidRPr="005E4E6A">
        <w:rPr>
          <w:lang w:val="fr-FR"/>
        </w:rPr>
        <w:noBreakHyphen/>
        <w:t xml:space="preserve">CEI, M. </w:t>
      </w:r>
      <w:r w:rsidR="00573DCE" w:rsidRPr="005E4E6A">
        <w:rPr>
          <w:lang w:val="fr-FR"/>
        </w:rPr>
        <w:t>Alexey Borodin</w:t>
      </w:r>
      <w:r w:rsidRPr="005E4E6A">
        <w:rPr>
          <w:lang w:val="fr-FR"/>
        </w:rPr>
        <w:t xml:space="preserve">, afin d'examiner les Documents </w:t>
      </w:r>
      <w:r w:rsidR="00573DCE" w:rsidRPr="005E4E6A">
        <w:rPr>
          <w:lang w:val="fr-FR"/>
        </w:rPr>
        <w:t>9, 10, 11, 20, 3</w:t>
      </w:r>
      <w:r w:rsidR="00BC60E4" w:rsidRPr="005E4E6A">
        <w:rPr>
          <w:lang w:val="fr-FR"/>
        </w:rPr>
        <w:t>1</w:t>
      </w:r>
      <w:r w:rsidR="00573DCE" w:rsidRPr="005E4E6A">
        <w:rPr>
          <w:lang w:val="fr-FR"/>
        </w:rPr>
        <w:t>, 35 et 36</w:t>
      </w:r>
      <w:r w:rsidRPr="005E4E6A">
        <w:rPr>
          <w:lang w:val="fr-FR"/>
        </w:rPr>
        <w:t>. Le groupe a tenu une réunion le deuxième jour de la RPM-CEI</w:t>
      </w:r>
      <w:r w:rsidR="00BC60E4" w:rsidRPr="005E4E6A">
        <w:rPr>
          <w:lang w:val="fr-FR"/>
        </w:rPr>
        <w:t xml:space="preserve"> (22 avril 2021)</w:t>
      </w:r>
      <w:r w:rsidRPr="005E4E6A">
        <w:rPr>
          <w:lang w:val="fr-FR"/>
        </w:rPr>
        <w:t xml:space="preserve"> et a élaboré, sur la base du consensus, </w:t>
      </w:r>
      <w:r w:rsidR="00BC60E4" w:rsidRPr="005E4E6A">
        <w:rPr>
          <w:lang w:val="fr-FR"/>
        </w:rPr>
        <w:t>cinq</w:t>
      </w:r>
      <w:r w:rsidRPr="005E4E6A">
        <w:rPr>
          <w:lang w:val="fr-FR"/>
        </w:rPr>
        <w:t xml:space="preserve"> projets </w:t>
      </w:r>
      <w:r w:rsidR="00BC60E4" w:rsidRPr="005E4E6A">
        <w:rPr>
          <w:lang w:val="fr-FR"/>
        </w:rPr>
        <w:t>d'</w:t>
      </w:r>
      <w:r w:rsidRPr="005E4E6A">
        <w:rPr>
          <w:lang w:val="fr-FR"/>
        </w:rPr>
        <w:t>initiative régionale:</w:t>
      </w:r>
    </w:p>
    <w:p w14:paraId="0B0C09CC" w14:textId="51C1BACB" w:rsidR="00C65376" w:rsidRPr="005E4E6A" w:rsidRDefault="00C65376" w:rsidP="00334DBD">
      <w:pPr>
        <w:rPr>
          <w:rFonts w:asciiTheme="minorHAnsi" w:hAnsiTheme="minorHAnsi"/>
          <w:lang w:val="fr-FR"/>
        </w:rPr>
      </w:pPr>
      <w:bookmarkStart w:id="10" w:name="_Hlk71019583"/>
      <w:r w:rsidRPr="005E4E6A">
        <w:rPr>
          <w:b/>
          <w:bCs/>
          <w:lang w:val="fr-FR"/>
        </w:rPr>
        <w:t>Initiative</w:t>
      </w:r>
      <w:r w:rsidR="00573DCE" w:rsidRPr="005E4E6A">
        <w:rPr>
          <w:b/>
          <w:bCs/>
          <w:lang w:val="fr-FR"/>
        </w:rPr>
        <w:t xml:space="preserve"> régionale</w:t>
      </w:r>
      <w:r w:rsidRPr="005E4E6A">
        <w:rPr>
          <w:b/>
          <w:bCs/>
          <w:lang w:val="fr-FR"/>
        </w:rPr>
        <w:t xml:space="preserve"> 1</w:t>
      </w:r>
      <w:r w:rsidRPr="005E4E6A">
        <w:rPr>
          <w:lang w:val="fr-FR"/>
        </w:rPr>
        <w:t xml:space="preserve">: </w:t>
      </w:r>
      <w:r w:rsidR="00F262A7" w:rsidRPr="005E4E6A">
        <w:rPr>
          <w:lang w:val="fr-FR"/>
        </w:rPr>
        <w:t>Développement de l'infrastructure pour promouvoir l'innovation et les partenariats concernant l</w:t>
      </w:r>
      <w:r w:rsidR="008C7272" w:rsidRPr="005E4E6A">
        <w:rPr>
          <w:lang w:val="fr-FR"/>
        </w:rPr>
        <w:t xml:space="preserve">a mise en </w:t>
      </w:r>
      <w:r w:rsidR="00407AEC" w:rsidRPr="005E4E6A">
        <w:rPr>
          <w:lang w:val="fr-FR"/>
        </w:rPr>
        <w:t>œuvre</w:t>
      </w:r>
      <w:r w:rsidR="008C7272" w:rsidRPr="005E4E6A">
        <w:rPr>
          <w:lang w:val="fr-FR"/>
        </w:rPr>
        <w:t xml:space="preserve"> d</w:t>
      </w:r>
      <w:r w:rsidR="00F262A7" w:rsidRPr="005E4E6A">
        <w:rPr>
          <w:lang w:val="fr-FR"/>
        </w:rPr>
        <w:t>es nouvelles technologies – Internet des objets, y compris l'Internet industriel</w:t>
      </w:r>
      <w:r w:rsidR="0087178D" w:rsidRPr="005E4E6A">
        <w:rPr>
          <w:lang w:val="fr-FR"/>
        </w:rPr>
        <w:t xml:space="preserve"> des objets</w:t>
      </w:r>
      <w:r w:rsidR="00F262A7" w:rsidRPr="005E4E6A">
        <w:rPr>
          <w:lang w:val="fr-FR"/>
        </w:rPr>
        <w:t>, réseaux de prochaine génération 5G/IMT-2020 et NET</w:t>
      </w:r>
      <w:r w:rsidR="007D6EED" w:rsidRPr="005E4E6A">
        <w:rPr>
          <w:lang w:val="fr-FR"/>
        </w:rPr>
        <w:noBreakHyphen/>
      </w:r>
      <w:r w:rsidR="00F262A7" w:rsidRPr="005E4E6A">
        <w:rPr>
          <w:lang w:val="fr-FR"/>
        </w:rPr>
        <w:t xml:space="preserve">2030, technologies quantiques, intelligence artificielle, santé numérique, éducation numérique, protection </w:t>
      </w:r>
      <w:r w:rsidR="00BC60E4" w:rsidRPr="005E4E6A">
        <w:rPr>
          <w:lang w:val="fr-FR"/>
        </w:rPr>
        <w:t>de l'</w:t>
      </w:r>
      <w:r w:rsidR="00F262A7" w:rsidRPr="005E4E6A">
        <w:rPr>
          <w:lang w:val="fr-FR"/>
        </w:rPr>
        <w:t>environnement, villes intelligentes, compétences numériques, etc.</w:t>
      </w:r>
    </w:p>
    <w:p w14:paraId="67E0815E" w14:textId="7DF46220" w:rsidR="00C65376" w:rsidRPr="005E4E6A" w:rsidRDefault="00573DCE" w:rsidP="00334DBD">
      <w:pPr>
        <w:rPr>
          <w:lang w:val="fr-FR"/>
        </w:rPr>
      </w:pPr>
      <w:r w:rsidRPr="005E4E6A">
        <w:rPr>
          <w:b/>
          <w:bCs/>
          <w:lang w:val="fr-FR"/>
        </w:rPr>
        <w:t xml:space="preserve">Initiative régionale </w:t>
      </w:r>
      <w:r w:rsidR="00C65376" w:rsidRPr="005E4E6A">
        <w:rPr>
          <w:b/>
          <w:bCs/>
          <w:lang w:val="fr-FR"/>
        </w:rPr>
        <w:t>2</w:t>
      </w:r>
      <w:r w:rsidR="00C65376" w:rsidRPr="005E4E6A">
        <w:rPr>
          <w:lang w:val="fr-FR"/>
        </w:rPr>
        <w:t xml:space="preserve">: </w:t>
      </w:r>
      <w:r w:rsidR="00F262A7" w:rsidRPr="005E4E6A">
        <w:rPr>
          <w:lang w:val="fr-FR"/>
        </w:rPr>
        <w:t>Cybersécurité et protection des données personnelles</w:t>
      </w:r>
      <w:r w:rsidR="00C65376" w:rsidRPr="005E4E6A">
        <w:rPr>
          <w:lang w:val="fr-FR"/>
        </w:rPr>
        <w:t>.</w:t>
      </w:r>
    </w:p>
    <w:p w14:paraId="3A504DF4" w14:textId="556C68F5" w:rsidR="00F262A7" w:rsidRPr="005E4E6A" w:rsidRDefault="00573DCE" w:rsidP="00334DBD">
      <w:pPr>
        <w:rPr>
          <w:lang w:val="fr-FR"/>
        </w:rPr>
      </w:pPr>
      <w:bookmarkStart w:id="11" w:name="_Hlk70427924"/>
      <w:r w:rsidRPr="005E4E6A">
        <w:rPr>
          <w:b/>
          <w:bCs/>
          <w:lang w:val="fr-FR"/>
        </w:rPr>
        <w:t xml:space="preserve">Initiative régionale </w:t>
      </w:r>
      <w:r w:rsidR="00C65376" w:rsidRPr="005E4E6A">
        <w:rPr>
          <w:b/>
          <w:bCs/>
          <w:lang w:val="fr-FR"/>
        </w:rPr>
        <w:t>3</w:t>
      </w:r>
      <w:r w:rsidR="00C65376" w:rsidRPr="005E4E6A">
        <w:rPr>
          <w:lang w:val="fr-FR"/>
        </w:rPr>
        <w:t>:</w:t>
      </w:r>
      <w:r w:rsidR="00F262A7" w:rsidRPr="005E4E6A">
        <w:rPr>
          <w:lang w:val="fr-FR"/>
        </w:rPr>
        <w:t xml:space="preserve"> Créer un environnement juridique et réglementaire favorable pour accélérer la transformation numérique.</w:t>
      </w:r>
    </w:p>
    <w:bookmarkEnd w:id="11"/>
    <w:p w14:paraId="1D7D06FC" w14:textId="716277CD" w:rsidR="00F262A7" w:rsidRPr="005E4E6A" w:rsidRDefault="00573DCE" w:rsidP="00334DBD">
      <w:pPr>
        <w:rPr>
          <w:b/>
          <w:bCs/>
          <w:lang w:val="fr-FR"/>
        </w:rPr>
      </w:pPr>
      <w:r w:rsidRPr="005E4E6A">
        <w:rPr>
          <w:b/>
          <w:bCs/>
          <w:lang w:val="fr-FR"/>
        </w:rPr>
        <w:t xml:space="preserve">Initiative régionale </w:t>
      </w:r>
      <w:r w:rsidR="00C65376" w:rsidRPr="005E4E6A">
        <w:rPr>
          <w:b/>
          <w:bCs/>
          <w:lang w:val="fr-FR"/>
        </w:rPr>
        <w:t>4</w:t>
      </w:r>
      <w:r w:rsidR="00C65376" w:rsidRPr="005E4E6A">
        <w:rPr>
          <w:lang w:val="fr-FR"/>
        </w:rPr>
        <w:t xml:space="preserve">: </w:t>
      </w:r>
      <w:r w:rsidR="00F262A7" w:rsidRPr="005E4E6A">
        <w:rPr>
          <w:lang w:val="fr-FR"/>
        </w:rPr>
        <w:t>Compétence</w:t>
      </w:r>
      <w:r w:rsidR="00620E4A" w:rsidRPr="005E4E6A">
        <w:rPr>
          <w:lang w:val="fr-FR"/>
        </w:rPr>
        <w:t>s</w:t>
      </w:r>
      <w:r w:rsidR="00F262A7" w:rsidRPr="005E4E6A">
        <w:rPr>
          <w:lang w:val="fr-FR"/>
        </w:rPr>
        <w:t xml:space="preserve"> numérique</w:t>
      </w:r>
      <w:r w:rsidR="00620E4A" w:rsidRPr="005E4E6A">
        <w:rPr>
          <w:lang w:val="fr-FR"/>
        </w:rPr>
        <w:t>s</w:t>
      </w:r>
      <w:r w:rsidR="00F262A7" w:rsidRPr="005E4E6A">
        <w:rPr>
          <w:lang w:val="fr-FR"/>
        </w:rPr>
        <w:t xml:space="preserve"> et accessibilité des TIC pour la population, en particulier pour les personnes handicapées.</w:t>
      </w:r>
    </w:p>
    <w:p w14:paraId="77109CB5" w14:textId="1B19EF48" w:rsidR="00C65376" w:rsidRPr="005E4E6A" w:rsidRDefault="00573DCE" w:rsidP="00334DBD">
      <w:pPr>
        <w:rPr>
          <w:lang w:val="fr-FR"/>
        </w:rPr>
      </w:pPr>
      <w:r w:rsidRPr="005E4E6A">
        <w:rPr>
          <w:b/>
          <w:bCs/>
          <w:lang w:val="fr-FR"/>
        </w:rPr>
        <w:t xml:space="preserve">Initiative régionale </w:t>
      </w:r>
      <w:r w:rsidR="00C65376" w:rsidRPr="005E4E6A">
        <w:rPr>
          <w:b/>
          <w:bCs/>
          <w:lang w:val="fr-FR"/>
        </w:rPr>
        <w:t>5</w:t>
      </w:r>
      <w:r w:rsidR="00C65376" w:rsidRPr="005E4E6A">
        <w:rPr>
          <w:lang w:val="fr-FR"/>
        </w:rPr>
        <w:t xml:space="preserve">: </w:t>
      </w:r>
      <w:r w:rsidR="00F262A7" w:rsidRPr="005E4E6A">
        <w:rPr>
          <w:lang w:val="fr-FR"/>
        </w:rPr>
        <w:t>Développement des villes et communautés intelligentes</w:t>
      </w:r>
      <w:r w:rsidR="00C65376" w:rsidRPr="005E4E6A">
        <w:rPr>
          <w:lang w:val="fr-FR"/>
        </w:rPr>
        <w:t>.</w:t>
      </w:r>
    </w:p>
    <w:bookmarkEnd w:id="10"/>
    <w:p w14:paraId="33A779BF" w14:textId="1EF7EE05" w:rsidR="00C65376" w:rsidRPr="005E4E6A" w:rsidRDefault="00C65376" w:rsidP="00334DBD">
      <w:pPr>
        <w:rPr>
          <w:lang w:val="fr-FR"/>
        </w:rPr>
      </w:pPr>
      <w:r w:rsidRPr="005E4E6A">
        <w:rPr>
          <w:lang w:val="fr-FR"/>
        </w:rPr>
        <w:t>L</w:t>
      </w:r>
      <w:r w:rsidR="00D852A7" w:rsidRPr="005E4E6A">
        <w:rPr>
          <w:lang w:val="fr-FR"/>
        </w:rPr>
        <w:t>es participants à l</w:t>
      </w:r>
      <w:r w:rsidRPr="005E4E6A">
        <w:rPr>
          <w:lang w:val="fr-FR"/>
        </w:rPr>
        <w:t xml:space="preserve">a RPM-CEI </w:t>
      </w:r>
      <w:r w:rsidR="00D852A7" w:rsidRPr="005E4E6A">
        <w:rPr>
          <w:lang w:val="fr-FR"/>
        </w:rPr>
        <w:t>ont</w:t>
      </w:r>
      <w:r w:rsidRPr="005E4E6A">
        <w:rPr>
          <w:lang w:val="fr-FR"/>
        </w:rPr>
        <w:t xml:space="preserve"> entériné les cinq projets d'initiative régionale pour la CEI et </w:t>
      </w:r>
      <w:r w:rsidR="00D852A7" w:rsidRPr="005E4E6A">
        <w:rPr>
          <w:lang w:val="fr-FR"/>
        </w:rPr>
        <w:t>ont</w:t>
      </w:r>
      <w:r w:rsidRPr="005E4E6A">
        <w:rPr>
          <w:lang w:val="fr-FR"/>
        </w:rPr>
        <w:t xml:space="preserve"> demandé instamment aux </w:t>
      </w:r>
      <w:r w:rsidR="007D6EED" w:rsidRPr="005E4E6A">
        <w:rPr>
          <w:lang w:val="fr-FR"/>
        </w:rPr>
        <w:t>É</w:t>
      </w:r>
      <w:r w:rsidRPr="005E4E6A">
        <w:rPr>
          <w:lang w:val="fr-FR"/>
        </w:rPr>
        <w:t>tats Membres de la région de soumettre d'autres propositions à la CMDT</w:t>
      </w:r>
      <w:r w:rsidRPr="005E4E6A">
        <w:rPr>
          <w:lang w:val="fr-FR"/>
        </w:rPr>
        <w:noBreakHyphen/>
        <w:t xml:space="preserve">21, ainsi que des projets concrets qui seront mis en </w:t>
      </w:r>
      <w:r w:rsidR="00407AEC" w:rsidRPr="005E4E6A">
        <w:rPr>
          <w:lang w:val="fr-FR"/>
        </w:rPr>
        <w:t>œuvre</w:t>
      </w:r>
      <w:r w:rsidRPr="005E4E6A">
        <w:rPr>
          <w:lang w:val="fr-FR"/>
        </w:rPr>
        <w:t xml:space="preserve"> dans le cadre des initiatives régionales. Les participants ont également convenu que de nouvelles propositions pourraient être ajoutées au texte des projets d'initiative régionale sans revenir sur les résultats attendus qui ont été convenus.</w:t>
      </w:r>
    </w:p>
    <w:p w14:paraId="175EDB51" w14:textId="7B5007FA" w:rsidR="00C65376" w:rsidRPr="005E4E6A" w:rsidRDefault="00D17E2D" w:rsidP="00334DBD">
      <w:pPr>
        <w:rPr>
          <w:rFonts w:asciiTheme="minorHAnsi" w:hAnsiTheme="minorHAnsi"/>
          <w:lang w:val="fr-FR"/>
        </w:rPr>
      </w:pPr>
      <w:r w:rsidRPr="005E4E6A">
        <w:rPr>
          <w:lang w:val="fr-FR"/>
        </w:rPr>
        <w:t>L'</w:t>
      </w:r>
      <w:r w:rsidR="00C65376" w:rsidRPr="005E4E6A">
        <w:rPr>
          <w:lang w:val="fr-FR"/>
        </w:rPr>
        <w:t xml:space="preserve">Administration </w:t>
      </w:r>
      <w:r w:rsidRPr="005E4E6A">
        <w:rPr>
          <w:lang w:val="fr-FR"/>
        </w:rPr>
        <w:t xml:space="preserve">de la République kirghize a </w:t>
      </w:r>
      <w:r w:rsidR="00620E4A" w:rsidRPr="005E4E6A">
        <w:rPr>
          <w:lang w:val="fr-FR"/>
        </w:rPr>
        <w:t>fait les observations suivantes</w:t>
      </w:r>
      <w:r w:rsidRPr="005E4E6A">
        <w:rPr>
          <w:lang w:val="fr-FR"/>
        </w:rPr>
        <w:t>:</w:t>
      </w:r>
    </w:p>
    <w:p w14:paraId="6733E41D" w14:textId="31771FF7" w:rsidR="00D17E2D" w:rsidRPr="005E4E6A" w:rsidRDefault="00C65376" w:rsidP="00334DBD">
      <w:pPr>
        <w:pStyle w:val="enumlev1"/>
        <w:rPr>
          <w:lang w:val="fr-FR"/>
        </w:rPr>
      </w:pPr>
      <w:r w:rsidRPr="005E4E6A">
        <w:rPr>
          <w:lang w:val="fr-FR"/>
        </w:rPr>
        <w:t>1)</w:t>
      </w:r>
      <w:r w:rsidRPr="005E4E6A">
        <w:rPr>
          <w:lang w:val="fr-FR"/>
        </w:rPr>
        <w:tab/>
      </w:r>
      <w:r w:rsidR="00D17E2D" w:rsidRPr="005E4E6A">
        <w:rPr>
          <w:lang w:val="fr-FR"/>
        </w:rPr>
        <w:t>Ces initiatives régionales sont des priorités communes</w:t>
      </w:r>
      <w:r w:rsidR="0094598F" w:rsidRPr="005E4E6A">
        <w:rPr>
          <w:lang w:val="fr-FR"/>
        </w:rPr>
        <w:t xml:space="preserve"> et sont par conséquent ouverte</w:t>
      </w:r>
      <w:r w:rsidR="00620E4A" w:rsidRPr="005E4E6A">
        <w:rPr>
          <w:lang w:val="fr-FR"/>
        </w:rPr>
        <w:t>s</w:t>
      </w:r>
      <w:r w:rsidR="0094598F" w:rsidRPr="005E4E6A">
        <w:rPr>
          <w:lang w:val="fr-FR"/>
        </w:rPr>
        <w:t xml:space="preserve"> à tous les pays de la région. Tous les pays de la région peuvent y prendre part, quels que soient les pays à l'origine des propositions d'initiative régionale présentées à la RPM</w:t>
      </w:r>
      <w:r w:rsidR="007D6EED" w:rsidRPr="005E4E6A">
        <w:rPr>
          <w:lang w:val="fr-FR"/>
        </w:rPr>
        <w:t>-</w:t>
      </w:r>
      <w:r w:rsidR="0094598F" w:rsidRPr="005E4E6A">
        <w:rPr>
          <w:lang w:val="fr-FR"/>
        </w:rPr>
        <w:t>CEI les 21 et 22 avril 2021. L'UIT devrait chercher à financer la mise en œuvre des initiatives régionales sur une base équitable</w:t>
      </w:r>
      <w:r w:rsidR="007D6EED" w:rsidRPr="005E4E6A">
        <w:rPr>
          <w:lang w:val="fr-FR"/>
        </w:rPr>
        <w:t>.</w:t>
      </w:r>
    </w:p>
    <w:p w14:paraId="2C174B42" w14:textId="4D69C7D9" w:rsidR="0094598F" w:rsidRPr="005E4E6A" w:rsidRDefault="00C65376" w:rsidP="00334DBD">
      <w:pPr>
        <w:pStyle w:val="enumlev1"/>
        <w:rPr>
          <w:lang w:val="fr-FR"/>
        </w:rPr>
      </w:pPr>
      <w:r w:rsidRPr="005E4E6A">
        <w:rPr>
          <w:lang w:val="fr-FR"/>
        </w:rPr>
        <w:t>2)</w:t>
      </w:r>
      <w:r w:rsidRPr="005E4E6A">
        <w:rPr>
          <w:lang w:val="fr-FR"/>
        </w:rPr>
        <w:tab/>
      </w:r>
      <w:r w:rsidR="0094598F" w:rsidRPr="005E4E6A">
        <w:rPr>
          <w:lang w:val="fr-FR"/>
        </w:rPr>
        <w:t xml:space="preserve">Étant donné que la </w:t>
      </w:r>
      <w:r w:rsidR="009A4E18" w:rsidRPr="005E4E6A">
        <w:rPr>
          <w:lang w:val="fr-FR"/>
        </w:rPr>
        <w:t>CMDT-21</w:t>
      </w:r>
      <w:r w:rsidR="0094598F" w:rsidRPr="005E4E6A">
        <w:rPr>
          <w:lang w:val="fr-FR"/>
        </w:rPr>
        <w:t xml:space="preserve"> est reportée à 2022 et que les priorités des pays auront peut-être changé d'ici là, les pays de la CEI se réservent le droit d'améliorer</w:t>
      </w:r>
      <w:r w:rsidR="00620E4A" w:rsidRPr="005E4E6A">
        <w:rPr>
          <w:lang w:val="fr-FR"/>
        </w:rPr>
        <w:t xml:space="preserve"> ou</w:t>
      </w:r>
      <w:r w:rsidR="0094598F" w:rsidRPr="005E4E6A">
        <w:rPr>
          <w:lang w:val="fr-FR"/>
        </w:rPr>
        <w:t>, si nécessaire, de modifier les initiatives régionales adoptées à la RPM</w:t>
      </w:r>
      <w:r w:rsidR="007D6EED" w:rsidRPr="005E4E6A">
        <w:rPr>
          <w:lang w:val="fr-FR"/>
        </w:rPr>
        <w:t>-</w:t>
      </w:r>
      <w:r w:rsidR="0094598F" w:rsidRPr="005E4E6A">
        <w:rPr>
          <w:lang w:val="fr-FR"/>
        </w:rPr>
        <w:t>CEI.</w:t>
      </w:r>
    </w:p>
    <w:p w14:paraId="782D4473" w14:textId="7B117E05" w:rsidR="00C65376" w:rsidRPr="005E4E6A" w:rsidRDefault="00C65376" w:rsidP="00334DBD">
      <w:pPr>
        <w:rPr>
          <w:lang w:val="fr-FR"/>
        </w:rPr>
      </w:pPr>
      <w:r w:rsidRPr="005E4E6A">
        <w:rPr>
          <w:lang w:val="fr-FR"/>
        </w:rPr>
        <w:t>L</w:t>
      </w:r>
      <w:r w:rsidR="0094598F" w:rsidRPr="005E4E6A">
        <w:rPr>
          <w:lang w:val="fr-FR"/>
        </w:rPr>
        <w:t>es participants à l</w:t>
      </w:r>
      <w:r w:rsidRPr="005E4E6A">
        <w:rPr>
          <w:lang w:val="fr-FR"/>
        </w:rPr>
        <w:t xml:space="preserve">a RPM-CEI </w:t>
      </w:r>
      <w:r w:rsidR="0094598F" w:rsidRPr="005E4E6A">
        <w:rPr>
          <w:lang w:val="fr-FR"/>
        </w:rPr>
        <w:t>ont</w:t>
      </w:r>
      <w:r w:rsidRPr="005E4E6A">
        <w:rPr>
          <w:lang w:val="fr-FR"/>
        </w:rPr>
        <w:t xml:space="preserve"> proposé aux </w:t>
      </w:r>
      <w:r w:rsidR="0094598F" w:rsidRPr="005E4E6A">
        <w:rPr>
          <w:lang w:val="fr-FR"/>
        </w:rPr>
        <w:t>a</w:t>
      </w:r>
      <w:r w:rsidRPr="005E4E6A">
        <w:rPr>
          <w:lang w:val="fr-FR"/>
        </w:rPr>
        <w:t xml:space="preserve">dministrations des pays de la CEI d'engager, sans </w:t>
      </w:r>
      <w:r w:rsidR="00620E4A" w:rsidRPr="005E4E6A">
        <w:rPr>
          <w:lang w:val="fr-FR"/>
        </w:rPr>
        <w:t>attendre</w:t>
      </w:r>
      <w:r w:rsidRPr="005E4E6A">
        <w:rPr>
          <w:lang w:val="fr-FR"/>
        </w:rPr>
        <w:t xml:space="preserve">, des consultations avec le BDT sur la mise en </w:t>
      </w:r>
      <w:r w:rsidR="00407AEC" w:rsidRPr="005E4E6A">
        <w:rPr>
          <w:lang w:val="fr-FR"/>
        </w:rPr>
        <w:t>œuvre</w:t>
      </w:r>
      <w:r w:rsidRPr="005E4E6A">
        <w:rPr>
          <w:lang w:val="fr-FR"/>
        </w:rPr>
        <w:t xml:space="preserve"> des initiatives régionales proposées.</w:t>
      </w:r>
    </w:p>
    <w:p w14:paraId="6D8924DB" w14:textId="4ED9484F" w:rsidR="000209BE" w:rsidRPr="005E4E6A" w:rsidRDefault="005D0790" w:rsidP="00334DBD">
      <w:pPr>
        <w:rPr>
          <w:lang w:val="fr-FR"/>
        </w:rPr>
      </w:pPr>
      <w:r w:rsidRPr="005E4E6A">
        <w:rPr>
          <w:lang w:val="fr-FR"/>
        </w:rPr>
        <w:lastRenderedPageBreak/>
        <w:t xml:space="preserve">Le </w:t>
      </w:r>
      <w:hyperlink r:id="rId30" w:history="1">
        <w:r w:rsidR="00C65376" w:rsidRPr="005E4E6A">
          <w:rPr>
            <w:rStyle w:val="Hyperlink"/>
            <w:b/>
            <w:bCs/>
            <w:lang w:val="fr-FR"/>
          </w:rPr>
          <w:t>Document 32</w:t>
        </w:r>
      </w:hyperlink>
      <w:r w:rsidR="00C65376" w:rsidRPr="005E4E6A">
        <w:rPr>
          <w:lang w:val="fr-FR"/>
        </w:rPr>
        <w:t xml:space="preserve"> </w:t>
      </w:r>
      <w:r w:rsidRPr="005E4E6A">
        <w:rPr>
          <w:lang w:val="fr-FR"/>
        </w:rPr>
        <w:t xml:space="preserve">intitulé </w:t>
      </w:r>
      <w:r w:rsidR="00334DBD" w:rsidRPr="005E4E6A">
        <w:rPr>
          <w:lang w:val="fr-FR"/>
        </w:rPr>
        <w:t>"</w:t>
      </w:r>
      <w:r w:rsidR="000209BE" w:rsidRPr="005E4E6A">
        <w:rPr>
          <w:lang w:val="fr-FR"/>
        </w:rPr>
        <w:t xml:space="preserve">Propositions du Groupe pour la jeunesse de la CEI (Generation Connect – CEI) pour les travaux de la </w:t>
      </w:r>
      <w:r w:rsidR="007D6EED" w:rsidRPr="005E4E6A">
        <w:rPr>
          <w:lang w:val="fr-FR"/>
        </w:rPr>
        <w:t>RPM-CEI</w:t>
      </w:r>
      <w:r w:rsidR="009A4E18" w:rsidRPr="005E4E6A">
        <w:rPr>
          <w:lang w:val="fr-FR"/>
        </w:rPr>
        <w:t>"</w:t>
      </w:r>
      <w:r w:rsidR="000209BE" w:rsidRPr="005E4E6A">
        <w:rPr>
          <w:lang w:val="fr-FR"/>
        </w:rPr>
        <w:t xml:space="preserve"> a été présenté par Mme Daria Perepeliatnikova, Bureau régional de l'UIT pour les pays de la CEI. L'objectif du Groupe pour la jeunesse de la CEI (GC-CEI), créé dans le cadre de l'initiative mondiale Generation Connect, e</w:t>
      </w:r>
      <w:r w:rsidR="00346264" w:rsidRPr="005E4E6A">
        <w:rPr>
          <w:lang w:val="fr-FR"/>
        </w:rPr>
        <w:t>s</w:t>
      </w:r>
      <w:r w:rsidR="000209BE" w:rsidRPr="005E4E6A">
        <w:rPr>
          <w:lang w:val="fr-FR"/>
        </w:rPr>
        <w:t xml:space="preserve">t de donner aux jeunes des pays de la région de la CEI l'occasion de se pencher sur les perspectives et les </w:t>
      </w:r>
      <w:r w:rsidR="00346264" w:rsidRPr="005E4E6A">
        <w:rPr>
          <w:lang w:val="fr-FR"/>
        </w:rPr>
        <w:t>défis</w:t>
      </w:r>
      <w:r w:rsidR="000209BE" w:rsidRPr="005E4E6A">
        <w:rPr>
          <w:lang w:val="fr-FR"/>
        </w:rPr>
        <w:t xml:space="preserve"> associés au développement des TIC.</w:t>
      </w:r>
    </w:p>
    <w:p w14:paraId="7A800AD0" w14:textId="193E0A9D" w:rsidR="000209BE" w:rsidRPr="005E4E6A" w:rsidRDefault="000209BE" w:rsidP="00334DBD">
      <w:pPr>
        <w:rPr>
          <w:lang w:val="fr-FR"/>
        </w:rPr>
      </w:pPr>
      <w:r w:rsidRPr="005E4E6A">
        <w:rPr>
          <w:lang w:val="fr-FR"/>
        </w:rPr>
        <w:t>Constitué à l'issue d'une procédure de</w:t>
      </w:r>
      <w:r w:rsidR="00346264" w:rsidRPr="005E4E6A">
        <w:rPr>
          <w:lang w:val="fr-FR"/>
        </w:rPr>
        <w:t xml:space="preserve"> désignation et de</w:t>
      </w:r>
      <w:r w:rsidRPr="005E4E6A">
        <w:rPr>
          <w:lang w:val="fr-FR"/>
        </w:rPr>
        <w:t xml:space="preserve"> sélection des candidats, le Groupe GC-CEI comprend des </w:t>
      </w:r>
      <w:r w:rsidR="00346264" w:rsidRPr="005E4E6A">
        <w:rPr>
          <w:lang w:val="fr-FR"/>
        </w:rPr>
        <w:t>membres</w:t>
      </w:r>
      <w:r w:rsidRPr="005E4E6A">
        <w:rPr>
          <w:lang w:val="fr-FR"/>
        </w:rPr>
        <w:t xml:space="preserve"> de la République d'Azerbaïdjan, de la République du Bélarus, de la République du Kazakhstan, de la Fédération de Russie, de la République kirghize, de la République du Tadjikistan, de la République d'Ouzbékistan et de l'Ukraine.</w:t>
      </w:r>
    </w:p>
    <w:p w14:paraId="0D457461" w14:textId="0DA11DB6" w:rsidR="000209BE" w:rsidRPr="005E4E6A" w:rsidRDefault="000209BE" w:rsidP="00334DBD">
      <w:pPr>
        <w:rPr>
          <w:lang w:val="fr-FR"/>
        </w:rPr>
      </w:pPr>
      <w:r w:rsidRPr="005E4E6A">
        <w:rPr>
          <w:lang w:val="fr-FR"/>
        </w:rPr>
        <w:t>Dans un premier temps, les membres du Groupe GC-CEI ont identifié ce qu'ils considèrent être les trois activités de l'UIT les plus pertinentes: 1) réseaux et infrastructure numérique; 2) service</w:t>
      </w:r>
      <w:r w:rsidR="00346264" w:rsidRPr="005E4E6A">
        <w:rPr>
          <w:lang w:val="fr-FR"/>
        </w:rPr>
        <w:t>s et</w:t>
      </w:r>
      <w:r w:rsidRPr="005E4E6A">
        <w:rPr>
          <w:lang w:val="fr-FR"/>
        </w:rPr>
        <w:t xml:space="preserve"> applications numérique</w:t>
      </w:r>
      <w:r w:rsidR="00346264" w:rsidRPr="005E4E6A">
        <w:rPr>
          <w:lang w:val="fr-FR"/>
        </w:rPr>
        <w:t>s</w:t>
      </w:r>
      <w:r w:rsidRPr="005E4E6A">
        <w:rPr>
          <w:lang w:val="fr-FR"/>
        </w:rPr>
        <w:t xml:space="preserve"> et innovation; 3) cybersécurité et protection en ligne des enfants, qui ont fait l'objet de </w:t>
      </w:r>
      <w:r w:rsidR="00346264" w:rsidRPr="005E4E6A">
        <w:rPr>
          <w:lang w:val="fr-FR"/>
        </w:rPr>
        <w:t>séances</w:t>
      </w:r>
      <w:r w:rsidRPr="005E4E6A">
        <w:rPr>
          <w:lang w:val="fr-FR"/>
        </w:rPr>
        <w:t xml:space="preserve"> dédiée</w:t>
      </w:r>
      <w:r w:rsidR="00346264" w:rsidRPr="005E4E6A">
        <w:rPr>
          <w:lang w:val="fr-FR"/>
        </w:rPr>
        <w:t>s</w:t>
      </w:r>
      <w:r w:rsidRPr="005E4E6A">
        <w:rPr>
          <w:lang w:val="fr-FR"/>
        </w:rPr>
        <w:t xml:space="preserve">. En outre, les membres du Groupe GC-CEI ont fait part de leur intérêt pour l'étude de thèmes tels que le renforcement des capacités humaines, la protection de l'environnement, la </w:t>
      </w:r>
      <w:r w:rsidR="00346264" w:rsidRPr="005E4E6A">
        <w:rPr>
          <w:lang w:val="fr-FR"/>
        </w:rPr>
        <w:t>définition</w:t>
      </w:r>
      <w:r w:rsidRPr="005E4E6A">
        <w:rPr>
          <w:lang w:val="fr-FR"/>
        </w:rPr>
        <w:t xml:space="preserve"> d'obligations juridiques internationales pour les États dans le domaine des droits de l'homme à l'ère numérique, les technologies des registres distribués, les systèmes utilisant l'intelligence artificielle et les technologies modernes de demain, le </w:t>
      </w:r>
      <w:r w:rsidR="00346264" w:rsidRPr="005E4E6A">
        <w:rPr>
          <w:lang w:val="fr-FR"/>
        </w:rPr>
        <w:t>renforcement</w:t>
      </w:r>
      <w:r w:rsidRPr="005E4E6A">
        <w:rPr>
          <w:lang w:val="fr-FR"/>
        </w:rPr>
        <w:t xml:space="preserve"> de la maîtrise de l'informatique et la sécurité en ligne.</w:t>
      </w:r>
    </w:p>
    <w:p w14:paraId="7D72C4B1" w14:textId="791B591B" w:rsidR="000209BE" w:rsidRPr="005E4E6A" w:rsidRDefault="000209BE" w:rsidP="00334DBD">
      <w:pPr>
        <w:rPr>
          <w:lang w:val="fr-FR"/>
        </w:rPr>
      </w:pPr>
      <w:r w:rsidRPr="005E4E6A">
        <w:rPr>
          <w:lang w:val="fr-FR"/>
        </w:rPr>
        <w:t>Le document présente les positions et propositions définies sur la base des séances de travail thématique</w:t>
      </w:r>
      <w:r w:rsidR="00346264" w:rsidRPr="005E4E6A">
        <w:rPr>
          <w:lang w:val="fr-FR"/>
        </w:rPr>
        <w:t>s</w:t>
      </w:r>
      <w:r w:rsidRPr="005E4E6A">
        <w:rPr>
          <w:lang w:val="fr-FR"/>
        </w:rPr>
        <w:t xml:space="preserve"> organisées par le Groupe GC-CEI</w:t>
      </w:r>
      <w:r w:rsidR="00346264" w:rsidRPr="005E4E6A">
        <w:rPr>
          <w:lang w:val="fr-FR"/>
        </w:rPr>
        <w:t>,</w:t>
      </w:r>
      <w:r w:rsidRPr="005E4E6A">
        <w:rPr>
          <w:lang w:val="fr-FR"/>
        </w:rPr>
        <w:t xml:space="preserve"> </w:t>
      </w:r>
      <w:r w:rsidR="00346264" w:rsidRPr="005E4E6A">
        <w:rPr>
          <w:lang w:val="fr-FR"/>
        </w:rPr>
        <w:t>en</w:t>
      </w:r>
      <w:r w:rsidR="00407AEC" w:rsidRPr="005E4E6A">
        <w:rPr>
          <w:lang w:val="fr-FR"/>
        </w:rPr>
        <w:t xml:space="preserve"> </w:t>
      </w:r>
      <w:r w:rsidR="00346264" w:rsidRPr="005E4E6A">
        <w:rPr>
          <w:lang w:val="fr-FR"/>
        </w:rPr>
        <w:t>vue de leur présentation</w:t>
      </w:r>
      <w:r w:rsidRPr="005E4E6A">
        <w:rPr>
          <w:lang w:val="fr-FR"/>
        </w:rPr>
        <w:t xml:space="preserve"> à la </w:t>
      </w:r>
      <w:r w:rsidR="007D6EED" w:rsidRPr="005E4E6A">
        <w:rPr>
          <w:lang w:val="fr-FR"/>
        </w:rPr>
        <w:t>RPM-CEI</w:t>
      </w:r>
      <w:r w:rsidRPr="005E4E6A">
        <w:rPr>
          <w:lang w:val="fr-FR"/>
        </w:rPr>
        <w:t xml:space="preserve"> et </w:t>
      </w:r>
      <w:r w:rsidR="00346264" w:rsidRPr="005E4E6A">
        <w:rPr>
          <w:lang w:val="fr-FR"/>
        </w:rPr>
        <w:t>de leur possible examen</w:t>
      </w:r>
      <w:r w:rsidRPr="005E4E6A">
        <w:rPr>
          <w:lang w:val="fr-FR"/>
        </w:rPr>
        <w:t xml:space="preserve"> dans le cadre des discussions sur les domaines prioritaires pour la région de la</w:t>
      </w:r>
      <w:r w:rsidR="00FF3188" w:rsidRPr="005E4E6A">
        <w:rPr>
          <w:lang w:val="fr-FR"/>
        </w:rPr>
        <w:t> </w:t>
      </w:r>
      <w:r w:rsidRPr="005E4E6A">
        <w:rPr>
          <w:lang w:val="fr-FR"/>
        </w:rPr>
        <w:t>CEI.</w:t>
      </w:r>
    </w:p>
    <w:p w14:paraId="6521BA4D" w14:textId="4E340F66" w:rsidR="00C65376" w:rsidRPr="005E4E6A" w:rsidRDefault="00182E99" w:rsidP="00334DBD">
      <w:pPr>
        <w:rPr>
          <w:lang w:val="fr-FR"/>
        </w:rPr>
      </w:pPr>
      <w:r w:rsidRPr="005E4E6A">
        <w:rPr>
          <w:lang w:val="fr-FR"/>
        </w:rPr>
        <w:t xml:space="preserve">Les participants à la </w:t>
      </w:r>
      <w:r w:rsidR="007D6EED" w:rsidRPr="005E4E6A">
        <w:rPr>
          <w:lang w:val="fr-FR"/>
        </w:rPr>
        <w:t>RPM-CEI</w:t>
      </w:r>
      <w:r w:rsidRPr="005E4E6A">
        <w:rPr>
          <w:lang w:val="fr-FR"/>
        </w:rPr>
        <w:t xml:space="preserve"> ont décidé</w:t>
      </w:r>
      <w:r w:rsidR="00C65376" w:rsidRPr="005E4E6A">
        <w:rPr>
          <w:lang w:val="fr-FR"/>
        </w:rPr>
        <w:t>:</w:t>
      </w:r>
    </w:p>
    <w:p w14:paraId="59F4F669" w14:textId="29365A7E" w:rsidR="00C65376" w:rsidRPr="005E4E6A" w:rsidRDefault="00C65376" w:rsidP="00334DBD">
      <w:pPr>
        <w:pStyle w:val="enumlev1"/>
        <w:rPr>
          <w:lang w:val="fr-FR"/>
        </w:rPr>
      </w:pPr>
      <w:r w:rsidRPr="005E4E6A">
        <w:rPr>
          <w:lang w:val="fr-FR"/>
        </w:rPr>
        <w:t>1)</w:t>
      </w:r>
      <w:r w:rsidRPr="005E4E6A">
        <w:rPr>
          <w:lang w:val="fr-FR"/>
        </w:rPr>
        <w:tab/>
      </w:r>
      <w:r w:rsidR="00182E99" w:rsidRPr="005E4E6A">
        <w:rPr>
          <w:lang w:val="fr-FR"/>
        </w:rPr>
        <w:t>de continuer à encourager la participation active des jeunes aux activités de l'UIT</w:t>
      </w:r>
      <w:r w:rsidRPr="005E4E6A">
        <w:rPr>
          <w:lang w:val="fr-FR"/>
        </w:rPr>
        <w:t>;</w:t>
      </w:r>
    </w:p>
    <w:p w14:paraId="55A90536" w14:textId="541C9D02" w:rsidR="00182E99" w:rsidRPr="005E4E6A" w:rsidRDefault="00C65376" w:rsidP="00334DBD">
      <w:pPr>
        <w:pStyle w:val="enumlev1"/>
        <w:rPr>
          <w:lang w:val="fr-FR"/>
        </w:rPr>
      </w:pPr>
      <w:r w:rsidRPr="005E4E6A">
        <w:rPr>
          <w:lang w:val="fr-FR"/>
        </w:rPr>
        <w:t>2)</w:t>
      </w:r>
      <w:r w:rsidRPr="005E4E6A">
        <w:rPr>
          <w:lang w:val="fr-FR"/>
        </w:rPr>
        <w:tab/>
      </w:r>
      <w:r w:rsidR="00182E99" w:rsidRPr="005E4E6A">
        <w:rPr>
          <w:lang w:val="fr-FR"/>
        </w:rPr>
        <w:t xml:space="preserve">de </w:t>
      </w:r>
      <w:r w:rsidR="00346264" w:rsidRPr="005E4E6A">
        <w:rPr>
          <w:lang w:val="fr-FR"/>
        </w:rPr>
        <w:t>poursuivre</w:t>
      </w:r>
      <w:r w:rsidR="00182E99" w:rsidRPr="005E4E6A">
        <w:rPr>
          <w:lang w:val="fr-FR"/>
        </w:rPr>
        <w:t xml:space="preserve"> l'expérience très réussie consistant à organiser des séances au</w:t>
      </w:r>
      <w:r w:rsidR="00346264" w:rsidRPr="005E4E6A">
        <w:rPr>
          <w:lang w:val="fr-FR"/>
        </w:rPr>
        <w:t>x</w:t>
      </w:r>
      <w:r w:rsidR="00182E99" w:rsidRPr="005E4E6A">
        <w:rPr>
          <w:lang w:val="fr-FR"/>
        </w:rPr>
        <w:t>quel</w:t>
      </w:r>
      <w:r w:rsidR="00346264" w:rsidRPr="005E4E6A">
        <w:rPr>
          <w:lang w:val="fr-FR"/>
        </w:rPr>
        <w:t>les</w:t>
      </w:r>
      <w:r w:rsidR="00182E99" w:rsidRPr="005E4E6A">
        <w:rPr>
          <w:lang w:val="fr-FR"/>
        </w:rPr>
        <w:t xml:space="preserve"> prennent part des </w:t>
      </w:r>
      <w:r w:rsidR="00346264" w:rsidRPr="005E4E6A">
        <w:rPr>
          <w:lang w:val="fr-FR"/>
        </w:rPr>
        <w:t>experts chevronnés</w:t>
      </w:r>
      <w:r w:rsidR="00182E99" w:rsidRPr="005E4E6A">
        <w:rPr>
          <w:lang w:val="fr-FR"/>
        </w:rPr>
        <w:t xml:space="preserve"> de l'UIT et du secteur;</w:t>
      </w:r>
    </w:p>
    <w:p w14:paraId="436C183E" w14:textId="253A6D04" w:rsidR="00182E99" w:rsidRPr="005E4E6A" w:rsidRDefault="00C65376" w:rsidP="00334DBD">
      <w:pPr>
        <w:pStyle w:val="enumlev1"/>
        <w:rPr>
          <w:lang w:val="fr-FR"/>
        </w:rPr>
      </w:pPr>
      <w:r w:rsidRPr="005E4E6A">
        <w:rPr>
          <w:lang w:val="fr-FR"/>
        </w:rPr>
        <w:t>3)</w:t>
      </w:r>
      <w:r w:rsidRPr="005E4E6A">
        <w:rPr>
          <w:lang w:val="fr-FR"/>
        </w:rPr>
        <w:tab/>
      </w:r>
      <w:r w:rsidR="00182E99" w:rsidRPr="005E4E6A">
        <w:rPr>
          <w:lang w:val="fr-FR"/>
        </w:rPr>
        <w:t>d'apporter un appui constant en vue d'instaurer des contacts et un dialogue actif entre le Groupe GC-CEI et le Conseil des visionnaires de l'initiative Generation Connect</w:t>
      </w:r>
      <w:r w:rsidR="00FF3188" w:rsidRPr="005E4E6A">
        <w:rPr>
          <w:lang w:val="fr-FR"/>
        </w:rPr>
        <w:t>.</w:t>
      </w:r>
    </w:p>
    <w:p w14:paraId="685EA5EF" w14:textId="3DB64FA7" w:rsidR="00182E99" w:rsidRPr="005E4E6A" w:rsidRDefault="005D0790" w:rsidP="00334DBD">
      <w:pPr>
        <w:rPr>
          <w:lang w:val="fr-FR"/>
        </w:rPr>
      </w:pPr>
      <w:r w:rsidRPr="005E4E6A">
        <w:rPr>
          <w:lang w:val="fr-FR"/>
        </w:rPr>
        <w:t xml:space="preserve">Les </w:t>
      </w:r>
      <w:r w:rsidR="00C65376" w:rsidRPr="005E4E6A">
        <w:rPr>
          <w:b/>
          <w:bCs/>
          <w:lang w:val="fr-FR"/>
        </w:rPr>
        <w:t xml:space="preserve">Documents </w:t>
      </w:r>
      <w:hyperlink r:id="rId31" w:history="1">
        <w:r w:rsidR="00C65376" w:rsidRPr="005E4E6A">
          <w:rPr>
            <w:rStyle w:val="Hyperlink"/>
            <w:b/>
            <w:bCs/>
            <w:lang w:val="fr-FR"/>
          </w:rPr>
          <w:t>12</w:t>
        </w:r>
      </w:hyperlink>
      <w:r w:rsidR="00C65376" w:rsidRPr="005E4E6A">
        <w:rPr>
          <w:b/>
          <w:bCs/>
          <w:lang w:val="fr-FR"/>
        </w:rPr>
        <w:t xml:space="preserve">, </w:t>
      </w:r>
      <w:hyperlink r:id="rId32" w:history="1">
        <w:r w:rsidR="00C65376" w:rsidRPr="005E4E6A">
          <w:rPr>
            <w:rStyle w:val="Hyperlink"/>
            <w:b/>
            <w:bCs/>
            <w:lang w:val="fr-FR"/>
          </w:rPr>
          <w:t>13</w:t>
        </w:r>
      </w:hyperlink>
      <w:r w:rsidR="00C65376" w:rsidRPr="005E4E6A">
        <w:rPr>
          <w:b/>
          <w:bCs/>
          <w:lang w:val="fr-FR"/>
        </w:rPr>
        <w:t xml:space="preserve">, </w:t>
      </w:r>
      <w:hyperlink r:id="rId33" w:history="1">
        <w:r w:rsidR="00C65376" w:rsidRPr="005E4E6A">
          <w:rPr>
            <w:rStyle w:val="Hyperlink"/>
            <w:b/>
            <w:bCs/>
            <w:lang w:val="fr-FR"/>
          </w:rPr>
          <w:t>14</w:t>
        </w:r>
      </w:hyperlink>
      <w:r w:rsidR="00C65376" w:rsidRPr="005E4E6A">
        <w:rPr>
          <w:b/>
          <w:bCs/>
          <w:lang w:val="fr-FR"/>
        </w:rPr>
        <w:t xml:space="preserve">, </w:t>
      </w:r>
      <w:hyperlink r:id="rId34" w:history="1">
        <w:r w:rsidR="00C65376" w:rsidRPr="005E4E6A">
          <w:rPr>
            <w:rStyle w:val="Hyperlink"/>
            <w:b/>
            <w:bCs/>
            <w:lang w:val="fr-FR"/>
          </w:rPr>
          <w:t>15</w:t>
        </w:r>
      </w:hyperlink>
      <w:r w:rsidR="00C65376" w:rsidRPr="005E4E6A">
        <w:rPr>
          <w:b/>
          <w:bCs/>
          <w:lang w:val="fr-FR"/>
        </w:rPr>
        <w:t xml:space="preserve">, </w:t>
      </w:r>
      <w:hyperlink r:id="rId35" w:history="1">
        <w:r w:rsidR="00C65376" w:rsidRPr="005E4E6A">
          <w:rPr>
            <w:rStyle w:val="Hyperlink"/>
            <w:b/>
            <w:bCs/>
            <w:lang w:val="fr-FR"/>
          </w:rPr>
          <w:t>16</w:t>
        </w:r>
      </w:hyperlink>
      <w:r w:rsidR="00C65376" w:rsidRPr="005E4E6A">
        <w:rPr>
          <w:b/>
          <w:bCs/>
          <w:lang w:val="fr-FR"/>
        </w:rPr>
        <w:t xml:space="preserve">, </w:t>
      </w:r>
      <w:hyperlink r:id="rId36" w:history="1">
        <w:r w:rsidR="00C65376" w:rsidRPr="005E4E6A">
          <w:rPr>
            <w:rStyle w:val="Hyperlink"/>
            <w:b/>
            <w:bCs/>
            <w:lang w:val="fr-FR"/>
          </w:rPr>
          <w:t>17</w:t>
        </w:r>
      </w:hyperlink>
      <w:r w:rsidR="00C65376" w:rsidRPr="005E4E6A">
        <w:rPr>
          <w:b/>
          <w:bCs/>
          <w:lang w:val="fr-FR"/>
        </w:rPr>
        <w:t xml:space="preserve">, </w:t>
      </w:r>
      <w:hyperlink r:id="rId37" w:history="1">
        <w:r w:rsidR="00C65376" w:rsidRPr="005E4E6A">
          <w:rPr>
            <w:rStyle w:val="Hyperlink"/>
            <w:b/>
            <w:bCs/>
            <w:lang w:val="fr-FR"/>
          </w:rPr>
          <w:t>18</w:t>
        </w:r>
      </w:hyperlink>
      <w:r w:rsidR="00C65376" w:rsidRPr="005E4E6A">
        <w:rPr>
          <w:b/>
          <w:bCs/>
          <w:lang w:val="fr-FR"/>
        </w:rPr>
        <w:t xml:space="preserve">, </w:t>
      </w:r>
      <w:hyperlink r:id="rId38" w:history="1">
        <w:r w:rsidR="00C65376" w:rsidRPr="005E4E6A">
          <w:rPr>
            <w:rStyle w:val="Hyperlink"/>
            <w:b/>
            <w:bCs/>
            <w:lang w:val="fr-FR"/>
          </w:rPr>
          <w:t>19</w:t>
        </w:r>
      </w:hyperlink>
      <w:r w:rsidR="00C65376" w:rsidRPr="005E4E6A">
        <w:rPr>
          <w:b/>
          <w:bCs/>
          <w:lang w:val="fr-FR"/>
        </w:rPr>
        <w:t xml:space="preserve">, </w:t>
      </w:r>
      <w:hyperlink r:id="rId39" w:history="1">
        <w:r w:rsidR="00C65376" w:rsidRPr="005E4E6A">
          <w:rPr>
            <w:rStyle w:val="Hyperlink"/>
            <w:b/>
            <w:bCs/>
            <w:lang w:val="fr-FR"/>
          </w:rPr>
          <w:t>21</w:t>
        </w:r>
      </w:hyperlink>
      <w:r w:rsidR="00C65376" w:rsidRPr="005E4E6A">
        <w:rPr>
          <w:b/>
          <w:bCs/>
          <w:lang w:val="fr-FR"/>
        </w:rPr>
        <w:t xml:space="preserve">, </w:t>
      </w:r>
      <w:hyperlink r:id="rId40" w:history="1">
        <w:r w:rsidR="00C65376" w:rsidRPr="005E4E6A">
          <w:rPr>
            <w:rStyle w:val="Hyperlink"/>
            <w:b/>
            <w:bCs/>
            <w:lang w:val="fr-FR"/>
          </w:rPr>
          <w:t>22</w:t>
        </w:r>
      </w:hyperlink>
      <w:r w:rsidR="00C65376" w:rsidRPr="005E4E6A">
        <w:rPr>
          <w:b/>
          <w:bCs/>
          <w:lang w:val="fr-FR"/>
        </w:rPr>
        <w:t xml:space="preserve">, </w:t>
      </w:r>
      <w:hyperlink r:id="rId41" w:history="1">
        <w:r w:rsidR="00C65376" w:rsidRPr="005E4E6A">
          <w:rPr>
            <w:rStyle w:val="Hyperlink"/>
            <w:b/>
            <w:bCs/>
            <w:lang w:val="fr-FR"/>
          </w:rPr>
          <w:t>23</w:t>
        </w:r>
      </w:hyperlink>
      <w:r w:rsidR="00C65376" w:rsidRPr="005E4E6A">
        <w:rPr>
          <w:b/>
          <w:bCs/>
          <w:lang w:val="fr-FR"/>
        </w:rPr>
        <w:t xml:space="preserve">, </w:t>
      </w:r>
      <w:hyperlink r:id="rId42" w:history="1">
        <w:r w:rsidR="00C65376" w:rsidRPr="005E4E6A">
          <w:rPr>
            <w:rStyle w:val="Hyperlink"/>
            <w:b/>
            <w:bCs/>
            <w:lang w:val="fr-FR"/>
          </w:rPr>
          <w:t>24</w:t>
        </w:r>
      </w:hyperlink>
      <w:r w:rsidR="00C65376" w:rsidRPr="005E4E6A">
        <w:rPr>
          <w:b/>
          <w:bCs/>
          <w:lang w:val="fr-FR"/>
        </w:rPr>
        <w:t xml:space="preserve">, </w:t>
      </w:r>
      <w:hyperlink r:id="rId43" w:history="1">
        <w:r w:rsidR="00C65376" w:rsidRPr="005E4E6A">
          <w:rPr>
            <w:rStyle w:val="Hyperlink"/>
            <w:b/>
            <w:bCs/>
            <w:lang w:val="fr-FR"/>
          </w:rPr>
          <w:t>25</w:t>
        </w:r>
      </w:hyperlink>
      <w:r w:rsidR="00C65376" w:rsidRPr="005E4E6A">
        <w:rPr>
          <w:b/>
          <w:bCs/>
          <w:lang w:val="fr-FR"/>
        </w:rPr>
        <w:t xml:space="preserve">, </w:t>
      </w:r>
      <w:hyperlink r:id="rId44" w:history="1">
        <w:r w:rsidR="00C65376" w:rsidRPr="005E4E6A">
          <w:rPr>
            <w:rStyle w:val="Hyperlink"/>
            <w:b/>
            <w:bCs/>
            <w:lang w:val="fr-FR"/>
          </w:rPr>
          <w:t>26</w:t>
        </w:r>
      </w:hyperlink>
      <w:r w:rsidR="00C65376" w:rsidRPr="005E4E6A">
        <w:rPr>
          <w:b/>
          <w:bCs/>
          <w:lang w:val="fr-FR"/>
        </w:rPr>
        <w:t xml:space="preserve">, </w:t>
      </w:r>
      <w:hyperlink r:id="rId45" w:history="1">
        <w:r w:rsidR="00C65376" w:rsidRPr="005E4E6A">
          <w:rPr>
            <w:rStyle w:val="Hyperlink"/>
            <w:b/>
            <w:bCs/>
            <w:lang w:val="fr-FR"/>
          </w:rPr>
          <w:t>27</w:t>
        </w:r>
      </w:hyperlink>
      <w:r w:rsidR="00C65376" w:rsidRPr="005E4E6A">
        <w:rPr>
          <w:b/>
          <w:bCs/>
          <w:lang w:val="fr-FR"/>
        </w:rPr>
        <w:t xml:space="preserve">, </w:t>
      </w:r>
      <w:hyperlink r:id="rId46" w:history="1">
        <w:r w:rsidR="00C65376" w:rsidRPr="005E4E6A">
          <w:rPr>
            <w:rStyle w:val="Hyperlink"/>
            <w:b/>
            <w:bCs/>
            <w:lang w:val="fr-FR"/>
          </w:rPr>
          <w:t>28</w:t>
        </w:r>
      </w:hyperlink>
      <w:r w:rsidR="00C65376" w:rsidRPr="005E4E6A">
        <w:rPr>
          <w:b/>
          <w:bCs/>
          <w:lang w:val="fr-FR"/>
        </w:rPr>
        <w:t xml:space="preserve">, </w:t>
      </w:r>
      <w:hyperlink r:id="rId47" w:history="1">
        <w:r w:rsidR="00C65376" w:rsidRPr="005E4E6A">
          <w:rPr>
            <w:rStyle w:val="Hyperlink"/>
            <w:b/>
            <w:bCs/>
            <w:lang w:val="fr-FR"/>
          </w:rPr>
          <w:t>29</w:t>
        </w:r>
      </w:hyperlink>
      <w:r w:rsidR="00C65376" w:rsidRPr="005E4E6A">
        <w:rPr>
          <w:b/>
          <w:bCs/>
          <w:lang w:val="fr-FR"/>
        </w:rPr>
        <w:t xml:space="preserve">, </w:t>
      </w:r>
      <w:hyperlink r:id="rId48" w:history="1">
        <w:r w:rsidR="00C65376" w:rsidRPr="005E4E6A">
          <w:rPr>
            <w:rStyle w:val="Hyperlink"/>
            <w:b/>
            <w:bCs/>
            <w:lang w:val="fr-FR"/>
          </w:rPr>
          <w:t>30</w:t>
        </w:r>
      </w:hyperlink>
      <w:r w:rsidR="00C65376" w:rsidRPr="005E4E6A">
        <w:rPr>
          <w:b/>
          <w:bCs/>
          <w:lang w:val="fr-FR"/>
        </w:rPr>
        <w:t xml:space="preserve">, </w:t>
      </w:r>
      <w:hyperlink r:id="rId49" w:history="1">
        <w:r w:rsidR="00C65376" w:rsidRPr="005E4E6A">
          <w:rPr>
            <w:rStyle w:val="Hyperlink"/>
            <w:b/>
            <w:bCs/>
            <w:lang w:val="fr-FR"/>
          </w:rPr>
          <w:t>33</w:t>
        </w:r>
      </w:hyperlink>
      <w:r w:rsidR="00C65376" w:rsidRPr="005E4E6A">
        <w:rPr>
          <w:b/>
          <w:bCs/>
          <w:lang w:val="fr-FR"/>
        </w:rPr>
        <w:t xml:space="preserve"> </w:t>
      </w:r>
      <w:r w:rsidR="00182E99" w:rsidRPr="005E4E6A">
        <w:rPr>
          <w:lang w:val="fr-FR"/>
        </w:rPr>
        <w:t>et</w:t>
      </w:r>
      <w:r w:rsidR="00C65376" w:rsidRPr="005E4E6A">
        <w:rPr>
          <w:b/>
          <w:bCs/>
          <w:lang w:val="fr-FR"/>
        </w:rPr>
        <w:t xml:space="preserve"> </w:t>
      </w:r>
      <w:hyperlink r:id="rId50" w:history="1">
        <w:r w:rsidR="00C65376" w:rsidRPr="005E4E6A">
          <w:rPr>
            <w:rStyle w:val="Hyperlink"/>
            <w:b/>
            <w:bCs/>
            <w:lang w:val="fr-FR"/>
          </w:rPr>
          <w:t>34</w:t>
        </w:r>
      </w:hyperlink>
      <w:r w:rsidR="00C65376" w:rsidRPr="005E4E6A">
        <w:rPr>
          <w:lang w:val="fr-FR"/>
        </w:rPr>
        <w:t xml:space="preserve"> </w:t>
      </w:r>
      <w:r w:rsidR="00182E99" w:rsidRPr="005E4E6A">
        <w:rPr>
          <w:lang w:val="fr-FR"/>
        </w:rPr>
        <w:t xml:space="preserve">ont été </w:t>
      </w:r>
      <w:r w:rsidR="00182E99" w:rsidRPr="005E4E6A">
        <w:rPr>
          <w:lang w:val="fr-FR"/>
        </w:rPr>
        <w:lastRenderedPageBreak/>
        <w:t>présentés par M.</w:t>
      </w:r>
      <w:r w:rsidR="00C0729A" w:rsidRPr="005E4E6A">
        <w:rPr>
          <w:lang w:val="fr-FR"/>
        </w:rPr>
        <w:t xml:space="preserve"> </w:t>
      </w:r>
      <w:r w:rsidR="00C65376" w:rsidRPr="005E4E6A">
        <w:rPr>
          <w:lang w:val="fr-FR"/>
        </w:rPr>
        <w:t xml:space="preserve">Alexey Borodin, </w:t>
      </w:r>
      <w:r w:rsidR="00182E99" w:rsidRPr="005E4E6A">
        <w:rPr>
          <w:lang w:val="fr-FR"/>
        </w:rPr>
        <w:t>Président du Groupe de travail de la RCC sur la collaboration avec l'UIT de la Commission de la coordination de la coopération internationale de la RCC. Ces documents contiennent des propositions concernant la révision et la suppression de Résolution</w:t>
      </w:r>
      <w:r w:rsidR="00255DD0" w:rsidRPr="005E4E6A">
        <w:rPr>
          <w:lang w:val="fr-FR"/>
        </w:rPr>
        <w:t>s</w:t>
      </w:r>
      <w:r w:rsidR="00182E99" w:rsidRPr="005E4E6A">
        <w:rPr>
          <w:lang w:val="fr-FR"/>
        </w:rPr>
        <w:t xml:space="preserve"> de la CMDT.</w:t>
      </w:r>
    </w:p>
    <w:p w14:paraId="0D365AED" w14:textId="2BE9FB63" w:rsidR="00182E99" w:rsidRPr="005E4E6A" w:rsidRDefault="00182E99" w:rsidP="00334DBD">
      <w:pPr>
        <w:rPr>
          <w:lang w:val="fr-FR"/>
        </w:rPr>
      </w:pPr>
      <w:r w:rsidRPr="005E4E6A">
        <w:rPr>
          <w:lang w:val="fr-FR"/>
        </w:rPr>
        <w:t xml:space="preserve">Les participants à la </w:t>
      </w:r>
      <w:r w:rsidR="007D6EED" w:rsidRPr="005E4E6A">
        <w:rPr>
          <w:lang w:val="fr-FR"/>
        </w:rPr>
        <w:t>RPM-CEI</w:t>
      </w:r>
      <w:r w:rsidRPr="005E4E6A">
        <w:rPr>
          <w:lang w:val="fr-FR"/>
        </w:rPr>
        <w:t xml:space="preserve"> ont appuyé </w:t>
      </w:r>
      <w:r w:rsidR="00255DD0" w:rsidRPr="005E4E6A">
        <w:rPr>
          <w:lang w:val="fr-FR"/>
        </w:rPr>
        <w:t>c</w:t>
      </w:r>
      <w:r w:rsidRPr="005E4E6A">
        <w:rPr>
          <w:lang w:val="fr-FR"/>
        </w:rPr>
        <w:t>es contributions et décid</w:t>
      </w:r>
      <w:r w:rsidR="00255DD0" w:rsidRPr="005E4E6A">
        <w:rPr>
          <w:lang w:val="fr-FR"/>
        </w:rPr>
        <w:t>é</w:t>
      </w:r>
      <w:r w:rsidRPr="005E4E6A">
        <w:rPr>
          <w:lang w:val="fr-FR"/>
        </w:rPr>
        <w:t xml:space="preserve"> de les utiliser comme base pour élaborer les propositions communes de la RCC à la </w:t>
      </w:r>
      <w:r w:rsidR="009A4E18" w:rsidRPr="005E4E6A">
        <w:rPr>
          <w:lang w:val="fr-FR"/>
        </w:rPr>
        <w:t>CMDT-21</w:t>
      </w:r>
      <w:r w:rsidRPr="005E4E6A">
        <w:rPr>
          <w:lang w:val="fr-FR"/>
        </w:rPr>
        <w:t>.</w:t>
      </w:r>
    </w:p>
    <w:p w14:paraId="5F9DFAA1" w14:textId="44146D4D" w:rsidR="00C65376" w:rsidRPr="005E4E6A" w:rsidRDefault="00C65376" w:rsidP="00334DBD">
      <w:pPr>
        <w:pStyle w:val="Heading1"/>
        <w:rPr>
          <w:lang w:val="fr-FR"/>
        </w:rPr>
      </w:pPr>
      <w:r w:rsidRPr="005E4E6A">
        <w:rPr>
          <w:lang w:val="fr-FR"/>
        </w:rPr>
        <w:t>9</w:t>
      </w:r>
      <w:r w:rsidRPr="005E4E6A">
        <w:rPr>
          <w:lang w:val="fr-FR"/>
        </w:rPr>
        <w:tab/>
        <w:t>Divers</w:t>
      </w:r>
    </w:p>
    <w:p w14:paraId="4F386044" w14:textId="264F3821" w:rsidR="00255DD0" w:rsidRPr="005E4E6A" w:rsidRDefault="00C65376" w:rsidP="00334DBD">
      <w:pPr>
        <w:rPr>
          <w:lang w:val="fr-FR"/>
        </w:rPr>
      </w:pPr>
      <w:r w:rsidRPr="005E4E6A">
        <w:rPr>
          <w:lang w:val="fr-FR"/>
        </w:rPr>
        <w:t>M</w:t>
      </w:r>
      <w:r w:rsidR="00255DD0" w:rsidRPr="005E4E6A">
        <w:rPr>
          <w:lang w:val="fr-FR"/>
        </w:rPr>
        <w:t>.</w:t>
      </w:r>
      <w:r w:rsidRPr="005E4E6A">
        <w:rPr>
          <w:lang w:val="fr-FR"/>
        </w:rPr>
        <w:t xml:space="preserve"> Alex Wong, </w:t>
      </w:r>
      <w:r w:rsidR="00255DD0" w:rsidRPr="005E4E6A">
        <w:rPr>
          <w:lang w:val="fr-FR"/>
        </w:rPr>
        <w:t xml:space="preserve">Conseiller principal en stratégie au BDT, a présenté des informations sur la mise en œuvre de l'initiative </w:t>
      </w:r>
      <w:r w:rsidR="000D4053" w:rsidRPr="005E4E6A">
        <w:rPr>
          <w:lang w:val="fr-FR"/>
        </w:rPr>
        <w:t xml:space="preserve">relative au </w:t>
      </w:r>
      <w:r w:rsidR="00255DD0" w:rsidRPr="005E4E6A">
        <w:rPr>
          <w:lang w:val="fr-FR"/>
        </w:rPr>
        <w:t>Centre international d'innovation numérique (I-CoDI) de l'UIT.</w:t>
      </w:r>
    </w:p>
    <w:p w14:paraId="08F09B7E" w14:textId="6E90A450" w:rsidR="00255DD0" w:rsidRPr="005E4E6A" w:rsidRDefault="00255DD0" w:rsidP="00334DBD">
      <w:pPr>
        <w:rPr>
          <w:lang w:val="fr-FR"/>
        </w:rPr>
      </w:pPr>
      <w:r w:rsidRPr="005E4E6A">
        <w:rPr>
          <w:lang w:val="fr-FR"/>
        </w:rPr>
        <w:t xml:space="preserve">Les participants à la </w:t>
      </w:r>
      <w:r w:rsidR="007D6EED" w:rsidRPr="005E4E6A">
        <w:rPr>
          <w:lang w:val="fr-FR"/>
        </w:rPr>
        <w:t>RPM-CEI</w:t>
      </w:r>
      <w:r w:rsidRPr="005E4E6A">
        <w:rPr>
          <w:lang w:val="fr-FR"/>
        </w:rPr>
        <w:t xml:space="preserve"> ont pris note de ces informations.</w:t>
      </w:r>
    </w:p>
    <w:p w14:paraId="3ED306EE" w14:textId="55FE666B" w:rsidR="00C65376" w:rsidRPr="005E4E6A" w:rsidRDefault="00C65376" w:rsidP="00334DBD">
      <w:pPr>
        <w:pStyle w:val="Heading1"/>
        <w:rPr>
          <w:rFonts w:asciiTheme="minorHAnsi" w:hAnsiTheme="minorHAnsi"/>
          <w:lang w:val="fr-FR"/>
        </w:rPr>
      </w:pPr>
      <w:r w:rsidRPr="005E4E6A">
        <w:rPr>
          <w:lang w:val="fr-FR"/>
        </w:rPr>
        <w:t>10</w:t>
      </w:r>
      <w:r w:rsidRPr="005E4E6A">
        <w:rPr>
          <w:lang w:val="fr-FR"/>
        </w:rPr>
        <w:tab/>
        <w:t>Principaux résultats</w:t>
      </w:r>
    </w:p>
    <w:p w14:paraId="40BD9FB8" w14:textId="77777777" w:rsidR="00C65376" w:rsidRPr="005E4E6A" w:rsidRDefault="00C65376" w:rsidP="00334DBD">
      <w:pPr>
        <w:rPr>
          <w:lang w:val="fr-FR"/>
        </w:rPr>
      </w:pPr>
      <w:r w:rsidRPr="005E4E6A">
        <w:rPr>
          <w:lang w:val="fr-FR"/>
        </w:rPr>
        <w:t>Après avoir examiné toutes les contributions, les participants à la RPM</w:t>
      </w:r>
      <w:r w:rsidRPr="005E4E6A">
        <w:rPr>
          <w:lang w:val="fr-FR"/>
        </w:rPr>
        <w:noBreakHyphen/>
        <w:t>CEI sont arrivés aux conclusions suivantes:</w:t>
      </w:r>
    </w:p>
    <w:p w14:paraId="45A525B8" w14:textId="5776A41A" w:rsidR="00C65376" w:rsidRPr="005E4E6A" w:rsidRDefault="00C65376" w:rsidP="00334DBD">
      <w:pPr>
        <w:rPr>
          <w:lang w:val="fr-FR"/>
        </w:rPr>
      </w:pPr>
      <w:r w:rsidRPr="005E4E6A">
        <w:rPr>
          <w:lang w:val="fr-FR"/>
        </w:rPr>
        <w:t>La RPM</w:t>
      </w:r>
      <w:r w:rsidRPr="005E4E6A">
        <w:rPr>
          <w:lang w:val="fr-FR"/>
        </w:rPr>
        <w:noBreakHyphen/>
        <w:t>CEI a reconnu que les initiatives régionales de l'UIT</w:t>
      </w:r>
      <w:r w:rsidRPr="005E4E6A">
        <w:rPr>
          <w:lang w:val="fr-FR"/>
        </w:rPr>
        <w:noBreakHyphen/>
        <w:t xml:space="preserve">D contribuent efficacement à la mise en </w:t>
      </w:r>
      <w:r w:rsidR="00407AEC" w:rsidRPr="005E4E6A">
        <w:rPr>
          <w:lang w:val="fr-FR"/>
        </w:rPr>
        <w:t>œuvre</w:t>
      </w:r>
      <w:r w:rsidRPr="005E4E6A">
        <w:rPr>
          <w:lang w:val="fr-FR"/>
        </w:rPr>
        <w:t xml:space="preserve"> des résultats du SMSI et du Programme de développement durable à l'horizon 2030, ainsi que des Objectifs de développement durable.</w:t>
      </w:r>
    </w:p>
    <w:p w14:paraId="35D6AB31" w14:textId="55CFC0E3" w:rsidR="00C65376" w:rsidRPr="005E4E6A" w:rsidRDefault="00C65376" w:rsidP="00334DBD">
      <w:pPr>
        <w:rPr>
          <w:lang w:val="fr-FR"/>
        </w:rPr>
      </w:pPr>
      <w:r w:rsidRPr="005E4E6A">
        <w:rPr>
          <w:lang w:val="fr-FR"/>
        </w:rPr>
        <w:t>La RPM</w:t>
      </w:r>
      <w:r w:rsidRPr="005E4E6A">
        <w:rPr>
          <w:lang w:val="fr-FR"/>
        </w:rPr>
        <w:noBreakHyphen/>
        <w:t>CEI a entériné les cinq projets d'initiative régionale pour la CEI</w:t>
      </w:r>
      <w:r w:rsidR="008C7272" w:rsidRPr="005E4E6A">
        <w:rPr>
          <w:lang w:val="fr-FR"/>
        </w:rPr>
        <w:t xml:space="preserve"> suivants</w:t>
      </w:r>
      <w:r w:rsidRPr="005E4E6A">
        <w:rPr>
          <w:lang w:val="fr-FR"/>
        </w:rPr>
        <w:t>:</w:t>
      </w:r>
    </w:p>
    <w:p w14:paraId="49F84B19" w14:textId="70E23FC6" w:rsidR="00EE7DEB" w:rsidRPr="005E4E6A" w:rsidRDefault="00F87918" w:rsidP="00334DBD">
      <w:pPr>
        <w:pStyle w:val="enumlev1"/>
        <w:rPr>
          <w:lang w:val="fr-FR"/>
        </w:rPr>
      </w:pPr>
      <w:r w:rsidRPr="005E4E6A">
        <w:rPr>
          <w:lang w:val="fr-FR"/>
        </w:rPr>
        <w:t>•</w:t>
      </w:r>
      <w:r w:rsidRPr="005E4E6A">
        <w:rPr>
          <w:lang w:val="fr-FR"/>
        </w:rPr>
        <w:tab/>
      </w:r>
      <w:r w:rsidR="002C2930" w:rsidRPr="005E4E6A">
        <w:rPr>
          <w:lang w:val="fr-FR"/>
        </w:rPr>
        <w:t xml:space="preserve">Initiative régionale </w:t>
      </w:r>
      <w:r w:rsidRPr="005E4E6A">
        <w:rPr>
          <w:lang w:val="fr-FR"/>
        </w:rPr>
        <w:t xml:space="preserve">1: </w:t>
      </w:r>
      <w:r w:rsidR="002C2930" w:rsidRPr="005E4E6A">
        <w:rPr>
          <w:lang w:val="fr-FR"/>
        </w:rPr>
        <w:t>Développement de l'infrastructure pour promouvoir l'innovation et les partenariats concernant l</w:t>
      </w:r>
      <w:r w:rsidR="008C7272" w:rsidRPr="005E4E6A">
        <w:rPr>
          <w:lang w:val="fr-FR"/>
        </w:rPr>
        <w:t xml:space="preserve">a mise en </w:t>
      </w:r>
      <w:r w:rsidR="00407AEC" w:rsidRPr="005E4E6A">
        <w:rPr>
          <w:lang w:val="fr-FR"/>
        </w:rPr>
        <w:t>œuvre</w:t>
      </w:r>
      <w:r w:rsidR="008C7272" w:rsidRPr="005E4E6A">
        <w:rPr>
          <w:lang w:val="fr-FR"/>
        </w:rPr>
        <w:t xml:space="preserve"> d</w:t>
      </w:r>
      <w:r w:rsidR="002C2930" w:rsidRPr="005E4E6A">
        <w:rPr>
          <w:lang w:val="fr-FR"/>
        </w:rPr>
        <w:t>es nouvelles technologies – Internet des objets, y compris l'Internet industriel</w:t>
      </w:r>
      <w:r w:rsidR="0087178D" w:rsidRPr="005E4E6A">
        <w:rPr>
          <w:lang w:val="fr-FR"/>
        </w:rPr>
        <w:t xml:space="preserve"> des objets</w:t>
      </w:r>
      <w:r w:rsidR="002C2930" w:rsidRPr="005E4E6A">
        <w:rPr>
          <w:lang w:val="fr-FR"/>
        </w:rPr>
        <w:t xml:space="preserve">, réseaux de prochaine génération </w:t>
      </w:r>
      <w:r w:rsidR="00EE7DEB" w:rsidRPr="005E4E6A">
        <w:rPr>
          <w:lang w:val="fr-FR"/>
        </w:rPr>
        <w:br w:type="page"/>
      </w:r>
    </w:p>
    <w:p w14:paraId="37736797" w14:textId="5565DE37" w:rsidR="00F87918" w:rsidRPr="005E4E6A" w:rsidRDefault="00EE7DEB" w:rsidP="00334DBD">
      <w:pPr>
        <w:pStyle w:val="enumlev1"/>
        <w:rPr>
          <w:rFonts w:asciiTheme="minorHAnsi" w:hAnsiTheme="minorHAnsi"/>
          <w:highlight w:val="lightGray"/>
          <w:lang w:val="fr-FR"/>
        </w:rPr>
      </w:pPr>
      <w:r w:rsidRPr="005E4E6A">
        <w:rPr>
          <w:lang w:val="fr-FR"/>
        </w:rPr>
        <w:lastRenderedPageBreak/>
        <w:tab/>
      </w:r>
      <w:r w:rsidR="002C2930" w:rsidRPr="005E4E6A">
        <w:rPr>
          <w:lang w:val="fr-FR"/>
        </w:rPr>
        <w:t>5G/IMT-2020 et NET-2030, technologies quantiques, intelligence artificielle, santé numérique, éducation numérique, protection de l'environnement, villes intelligentes, compétences numériques, etc</w:t>
      </w:r>
      <w:r w:rsidR="00F87918" w:rsidRPr="005E4E6A">
        <w:rPr>
          <w:lang w:val="fr-FR"/>
        </w:rPr>
        <w:t>.</w:t>
      </w:r>
    </w:p>
    <w:p w14:paraId="6159EBD6" w14:textId="4CB7CBED" w:rsidR="00F87918" w:rsidRPr="005E4E6A" w:rsidRDefault="00F87918" w:rsidP="00334DBD">
      <w:pPr>
        <w:pStyle w:val="enumlev1"/>
        <w:rPr>
          <w:lang w:val="fr-FR"/>
        </w:rPr>
      </w:pPr>
      <w:r w:rsidRPr="005E4E6A">
        <w:rPr>
          <w:lang w:val="fr-FR"/>
        </w:rPr>
        <w:t>•</w:t>
      </w:r>
      <w:r w:rsidRPr="005E4E6A">
        <w:rPr>
          <w:lang w:val="fr-FR"/>
        </w:rPr>
        <w:tab/>
      </w:r>
      <w:r w:rsidR="002C2930" w:rsidRPr="005E4E6A">
        <w:rPr>
          <w:lang w:val="fr-FR"/>
        </w:rPr>
        <w:t>Initiative régionale 2: Cybersécurité et protection des données personnelles</w:t>
      </w:r>
      <w:r w:rsidRPr="005E4E6A">
        <w:rPr>
          <w:lang w:val="fr-FR"/>
        </w:rPr>
        <w:t>.</w:t>
      </w:r>
    </w:p>
    <w:p w14:paraId="51B964BB" w14:textId="784A44B4" w:rsidR="00F87918" w:rsidRPr="005E4E6A" w:rsidRDefault="00F87918" w:rsidP="00334DBD">
      <w:pPr>
        <w:pStyle w:val="enumlev1"/>
        <w:rPr>
          <w:lang w:val="fr-FR"/>
        </w:rPr>
      </w:pPr>
      <w:r w:rsidRPr="005E4E6A">
        <w:rPr>
          <w:lang w:val="fr-FR"/>
        </w:rPr>
        <w:t>•</w:t>
      </w:r>
      <w:r w:rsidRPr="005E4E6A">
        <w:rPr>
          <w:lang w:val="fr-FR"/>
        </w:rPr>
        <w:tab/>
      </w:r>
      <w:r w:rsidR="002C2930" w:rsidRPr="005E4E6A">
        <w:rPr>
          <w:lang w:val="fr-FR"/>
        </w:rPr>
        <w:t>Initiative régionale 3: Créer un environnement juridique et réglementaire favorable pour accélérer la transformation numérique</w:t>
      </w:r>
      <w:r w:rsidRPr="005E4E6A">
        <w:rPr>
          <w:lang w:val="fr-FR"/>
        </w:rPr>
        <w:t>.</w:t>
      </w:r>
    </w:p>
    <w:p w14:paraId="505A3AAA" w14:textId="54E0558D" w:rsidR="00F87918" w:rsidRPr="005E4E6A" w:rsidRDefault="00F87918" w:rsidP="00334DBD">
      <w:pPr>
        <w:pStyle w:val="enumlev1"/>
        <w:rPr>
          <w:lang w:val="fr-FR"/>
        </w:rPr>
      </w:pPr>
      <w:r w:rsidRPr="005E4E6A">
        <w:rPr>
          <w:lang w:val="fr-FR"/>
        </w:rPr>
        <w:t>•</w:t>
      </w:r>
      <w:r w:rsidRPr="005E4E6A">
        <w:rPr>
          <w:lang w:val="fr-FR"/>
        </w:rPr>
        <w:tab/>
      </w:r>
      <w:r w:rsidR="002C2930" w:rsidRPr="005E4E6A">
        <w:rPr>
          <w:lang w:val="fr-FR"/>
        </w:rPr>
        <w:t>Initiative régionale 4: Compétences numériques et accessibilité des TIC pour la population, en particulier pour les personnes handicapées</w:t>
      </w:r>
      <w:r w:rsidRPr="005E4E6A">
        <w:rPr>
          <w:lang w:val="fr-FR"/>
        </w:rPr>
        <w:t>.</w:t>
      </w:r>
    </w:p>
    <w:p w14:paraId="308978B4" w14:textId="61ED5195" w:rsidR="00F87918" w:rsidRPr="005E4E6A" w:rsidRDefault="00F87918" w:rsidP="00334DBD">
      <w:pPr>
        <w:pStyle w:val="enumlev1"/>
        <w:rPr>
          <w:lang w:val="fr-FR"/>
        </w:rPr>
      </w:pPr>
      <w:r w:rsidRPr="005E4E6A">
        <w:rPr>
          <w:lang w:val="fr-FR"/>
        </w:rPr>
        <w:t>•</w:t>
      </w:r>
      <w:r w:rsidRPr="005E4E6A">
        <w:rPr>
          <w:lang w:val="fr-FR"/>
        </w:rPr>
        <w:tab/>
      </w:r>
      <w:r w:rsidR="002C2930" w:rsidRPr="005E4E6A">
        <w:rPr>
          <w:lang w:val="fr-FR"/>
        </w:rPr>
        <w:t>Initiative régionale 5: Développement des villes et communautés intelligentes</w:t>
      </w:r>
      <w:r w:rsidRPr="005E4E6A">
        <w:rPr>
          <w:lang w:val="fr-FR"/>
        </w:rPr>
        <w:t>.</w:t>
      </w:r>
    </w:p>
    <w:p w14:paraId="19A18376" w14:textId="2BDB31BF" w:rsidR="00320F30" w:rsidRPr="005E4E6A" w:rsidRDefault="00320F30" w:rsidP="00334DBD">
      <w:pPr>
        <w:rPr>
          <w:lang w:val="fr-FR"/>
        </w:rPr>
      </w:pPr>
      <w:r w:rsidRPr="005E4E6A">
        <w:rPr>
          <w:lang w:val="fr-FR"/>
        </w:rPr>
        <w:t>Les cinq projets d'initiative régionale pour la CEI sont reproduits en annexe.</w:t>
      </w:r>
    </w:p>
    <w:p w14:paraId="7CDD390C" w14:textId="439C95B3" w:rsidR="00320F30" w:rsidRPr="005E4E6A" w:rsidRDefault="00F87918" w:rsidP="00334DBD">
      <w:pPr>
        <w:rPr>
          <w:lang w:val="fr-FR"/>
        </w:rPr>
      </w:pPr>
      <w:r w:rsidRPr="005E4E6A">
        <w:rPr>
          <w:lang w:val="fr-FR"/>
        </w:rPr>
        <w:t xml:space="preserve">Les participants à la RPM-CEI ont également appuyé les travaux du GCDT et de </w:t>
      </w:r>
      <w:r w:rsidR="00320F30" w:rsidRPr="005E4E6A">
        <w:rPr>
          <w:lang w:val="fr-FR"/>
        </w:rPr>
        <w:t>tous ses</w:t>
      </w:r>
      <w:r w:rsidRPr="005E4E6A">
        <w:rPr>
          <w:lang w:val="fr-FR"/>
        </w:rPr>
        <w:t xml:space="preserve"> groupes de travail par correspondance. </w:t>
      </w:r>
      <w:r w:rsidR="00320F30" w:rsidRPr="005E4E6A">
        <w:rPr>
          <w:lang w:val="fr-FR"/>
        </w:rPr>
        <w:t>En outre, ils ont examiné et appuyé les propositions de révision et de suppression de certaines Résolutions de la CMDT.</w:t>
      </w:r>
    </w:p>
    <w:p w14:paraId="266AD799" w14:textId="3BFBB3BA" w:rsidR="00F87918" w:rsidRPr="005E4E6A" w:rsidRDefault="00320F30" w:rsidP="00334DBD">
      <w:pPr>
        <w:rPr>
          <w:lang w:val="fr-FR"/>
        </w:rPr>
      </w:pPr>
      <w:r w:rsidRPr="005E4E6A">
        <w:rPr>
          <w:lang w:val="fr-FR"/>
        </w:rPr>
        <w:t xml:space="preserve">Les deux manifestations parallèles ci-après ont été organisées dans le cadre de la </w:t>
      </w:r>
      <w:r w:rsidR="007D6EED" w:rsidRPr="005E4E6A">
        <w:rPr>
          <w:lang w:val="fr-FR"/>
        </w:rPr>
        <w:t>RPM-CEI</w:t>
      </w:r>
      <w:r w:rsidR="00F87918" w:rsidRPr="005E4E6A">
        <w:rPr>
          <w:lang w:val="fr-FR"/>
        </w:rPr>
        <w:t>:</w:t>
      </w:r>
    </w:p>
    <w:p w14:paraId="6BDDE065" w14:textId="12A0355E" w:rsidR="00F87918" w:rsidRPr="005E4E6A" w:rsidRDefault="00F87918" w:rsidP="00334DBD">
      <w:pPr>
        <w:pStyle w:val="enumlev1"/>
        <w:rPr>
          <w:lang w:val="fr-FR"/>
        </w:rPr>
      </w:pPr>
      <w:r w:rsidRPr="005E4E6A">
        <w:rPr>
          <w:lang w:val="fr-FR"/>
        </w:rPr>
        <w:t>•</w:t>
      </w:r>
      <w:r w:rsidRPr="005E4E6A">
        <w:rPr>
          <w:lang w:val="fr-FR"/>
        </w:rPr>
        <w:tab/>
      </w:r>
      <w:hyperlink r:id="rId51" w:history="1">
        <w:r w:rsidR="00320F30" w:rsidRPr="005E4E6A">
          <w:rPr>
            <w:rStyle w:val="Hyperlink"/>
            <w:lang w:val="fr-FR"/>
          </w:rPr>
          <w:t>Outils de l'UIT pour la planification de l'infrastructure</w:t>
        </w:r>
        <w:r w:rsidRPr="005E4E6A">
          <w:rPr>
            <w:rStyle w:val="Hyperlink"/>
            <w:lang w:val="fr-FR"/>
          </w:rPr>
          <w:t xml:space="preserve">: </w:t>
        </w:r>
        <w:r w:rsidR="00320F30" w:rsidRPr="005E4E6A">
          <w:rPr>
            <w:rStyle w:val="Hyperlink"/>
            <w:lang w:val="fr-FR"/>
          </w:rPr>
          <w:t>Cartes interactives des réseaux de transmission de l'UIT</w:t>
        </w:r>
        <w:r w:rsidRPr="005E4E6A">
          <w:rPr>
            <w:rStyle w:val="Hyperlink"/>
            <w:lang w:val="fr-FR"/>
          </w:rPr>
          <w:t xml:space="preserve">, </w:t>
        </w:r>
        <w:r w:rsidR="00320F30" w:rsidRPr="005E4E6A">
          <w:rPr>
            <w:rStyle w:val="Hyperlink"/>
            <w:lang w:val="fr-FR"/>
          </w:rPr>
          <w:t>Outil de calcul</w:t>
        </w:r>
        <w:r w:rsidR="00667D1B" w:rsidRPr="005E4E6A">
          <w:rPr>
            <w:rStyle w:val="Hyperlink"/>
            <w:lang w:val="fr-FR"/>
          </w:rPr>
          <w:t xml:space="preserve"> des capacités</w:t>
        </w:r>
        <w:r w:rsidR="00320F30" w:rsidRPr="005E4E6A">
          <w:rPr>
            <w:rStyle w:val="Hyperlink"/>
            <w:lang w:val="fr-FR"/>
          </w:rPr>
          <w:t xml:space="preserve"> large bande de l'initiative </w:t>
        </w:r>
        <w:r w:rsidRPr="005E4E6A">
          <w:rPr>
            <w:rStyle w:val="Hyperlink"/>
            <w:lang w:val="fr-FR"/>
          </w:rPr>
          <w:t xml:space="preserve">Giga, </w:t>
        </w:r>
        <w:r w:rsidR="00320F30" w:rsidRPr="005E4E6A">
          <w:rPr>
            <w:rStyle w:val="Hyperlink"/>
            <w:lang w:val="fr-FR"/>
          </w:rPr>
          <w:t>Kit pratique pour la planification des activités dans le domaine des infrastructures TIC</w:t>
        </w:r>
      </w:hyperlink>
      <w:r w:rsidRPr="005E4E6A">
        <w:rPr>
          <w:lang w:val="fr-FR"/>
        </w:rPr>
        <w:t xml:space="preserve"> (21</w:t>
      </w:r>
      <w:r w:rsidR="00EE7DEB" w:rsidRPr="005E4E6A">
        <w:rPr>
          <w:lang w:val="fr-FR"/>
        </w:rPr>
        <w:t> </w:t>
      </w:r>
      <w:r w:rsidR="00320F30" w:rsidRPr="005E4E6A">
        <w:rPr>
          <w:lang w:val="fr-FR"/>
        </w:rPr>
        <w:t>avril</w:t>
      </w:r>
      <w:r w:rsidR="00EE7DEB" w:rsidRPr="005E4E6A">
        <w:rPr>
          <w:lang w:val="fr-FR"/>
        </w:rPr>
        <w:t> </w:t>
      </w:r>
      <w:r w:rsidRPr="005E4E6A">
        <w:rPr>
          <w:lang w:val="fr-FR"/>
        </w:rPr>
        <w:t xml:space="preserve">2021). </w:t>
      </w:r>
      <w:r w:rsidR="00320F30" w:rsidRPr="005E4E6A">
        <w:rPr>
          <w:lang w:val="fr-FR"/>
        </w:rPr>
        <w:t xml:space="preserve">Il a été proposé de tenir cette </w:t>
      </w:r>
      <w:r w:rsidR="0087178D" w:rsidRPr="005E4E6A">
        <w:rPr>
          <w:lang w:val="fr-FR"/>
        </w:rPr>
        <w:t>session</w:t>
      </w:r>
      <w:r w:rsidR="00320F30" w:rsidRPr="005E4E6A">
        <w:rPr>
          <w:lang w:val="fr-FR"/>
        </w:rPr>
        <w:t xml:space="preserve"> dans le cadre des organes de travail de la RCC concernés.</w:t>
      </w:r>
    </w:p>
    <w:p w14:paraId="081BCB74" w14:textId="7E4C5088" w:rsidR="00F87918" w:rsidRPr="005E4E6A" w:rsidRDefault="00F87918" w:rsidP="00334DBD">
      <w:pPr>
        <w:pStyle w:val="enumlev1"/>
        <w:rPr>
          <w:lang w:val="fr-FR"/>
        </w:rPr>
      </w:pPr>
      <w:r w:rsidRPr="005E4E6A">
        <w:rPr>
          <w:lang w:val="fr-FR"/>
        </w:rPr>
        <w:t>•</w:t>
      </w:r>
      <w:r w:rsidRPr="005E4E6A">
        <w:rPr>
          <w:lang w:val="fr-FR"/>
        </w:rPr>
        <w:tab/>
      </w:r>
      <w:hyperlink r:id="rId52" w:history="1">
        <w:r w:rsidR="00320F30" w:rsidRPr="005E4E6A">
          <w:rPr>
            <w:rStyle w:val="Hyperlink"/>
            <w:rFonts w:cstheme="minorHAnsi"/>
            <w:szCs w:val="24"/>
            <w:lang w:val="fr-FR"/>
          </w:rPr>
          <w:t>S</w:t>
        </w:r>
        <w:r w:rsidRPr="005E4E6A">
          <w:rPr>
            <w:rStyle w:val="Hyperlink"/>
            <w:rFonts w:cstheme="minorHAnsi"/>
            <w:szCs w:val="24"/>
            <w:lang w:val="fr-FR"/>
          </w:rPr>
          <w:t>ession</w:t>
        </w:r>
        <w:r w:rsidR="00320F30" w:rsidRPr="005E4E6A">
          <w:rPr>
            <w:rStyle w:val="Hyperlink"/>
            <w:rFonts w:cstheme="minorHAnsi"/>
            <w:szCs w:val="24"/>
            <w:lang w:val="fr-FR"/>
          </w:rPr>
          <w:t xml:space="preserve"> spéciale</w:t>
        </w:r>
        <w:r w:rsidRPr="005E4E6A">
          <w:rPr>
            <w:rStyle w:val="Hyperlink"/>
            <w:rFonts w:cstheme="minorHAnsi"/>
            <w:szCs w:val="24"/>
            <w:lang w:val="fr-FR"/>
          </w:rPr>
          <w:t>:</w:t>
        </w:r>
        <w:r w:rsidR="00320F30" w:rsidRPr="005E4E6A">
          <w:rPr>
            <w:rStyle w:val="Hyperlink"/>
            <w:rFonts w:cstheme="minorHAnsi"/>
            <w:szCs w:val="24"/>
            <w:lang w:val="fr-FR"/>
          </w:rPr>
          <w:t xml:space="preserve"> Journée internationale des filles dans le secteur des TIC et Réseau de femmes </w:t>
        </w:r>
        <w:r w:rsidRPr="005E4E6A">
          <w:rPr>
            <w:rStyle w:val="Hyperlink"/>
            <w:rFonts w:cstheme="minorHAnsi"/>
            <w:szCs w:val="24"/>
            <w:lang w:val="fr-FR"/>
          </w:rPr>
          <w:t>(NoW4WTDC21)</w:t>
        </w:r>
      </w:hyperlink>
      <w:r w:rsidRPr="005E4E6A">
        <w:rPr>
          <w:lang w:val="fr-FR"/>
        </w:rPr>
        <w:t xml:space="preserve"> (22 </w:t>
      </w:r>
      <w:r w:rsidR="00320F30" w:rsidRPr="005E4E6A">
        <w:rPr>
          <w:lang w:val="fr-FR"/>
        </w:rPr>
        <w:t>avril</w:t>
      </w:r>
      <w:r w:rsidRPr="005E4E6A">
        <w:rPr>
          <w:lang w:val="fr-FR"/>
        </w:rPr>
        <w:t xml:space="preserve"> 2021).</w:t>
      </w:r>
    </w:p>
    <w:p w14:paraId="2835CA2E" w14:textId="2FEE2A52" w:rsidR="00F87918" w:rsidRPr="005E4E6A" w:rsidRDefault="00F87918" w:rsidP="00334DBD">
      <w:pPr>
        <w:pStyle w:val="Heading1"/>
        <w:rPr>
          <w:rFonts w:asciiTheme="minorHAnsi" w:hAnsiTheme="minorHAnsi"/>
          <w:lang w:val="fr-FR"/>
        </w:rPr>
      </w:pPr>
      <w:r w:rsidRPr="005E4E6A">
        <w:rPr>
          <w:lang w:val="fr-FR"/>
        </w:rPr>
        <w:t>11</w:t>
      </w:r>
      <w:r w:rsidRPr="005E4E6A">
        <w:rPr>
          <w:lang w:val="fr-FR"/>
        </w:rPr>
        <w:tab/>
        <w:t>Cérémonie de clôture</w:t>
      </w:r>
    </w:p>
    <w:p w14:paraId="4C2AC1D7" w14:textId="76ADEF0A" w:rsidR="00F87918" w:rsidRPr="005E4E6A" w:rsidRDefault="00C365BE" w:rsidP="00334DBD">
      <w:pPr>
        <w:rPr>
          <w:lang w:val="fr-FR"/>
        </w:rPr>
      </w:pPr>
      <w:r w:rsidRPr="005E4E6A">
        <w:rPr>
          <w:lang w:val="fr-FR"/>
        </w:rPr>
        <w:t>Pour clore</w:t>
      </w:r>
      <w:r w:rsidR="00F87918" w:rsidRPr="005E4E6A">
        <w:rPr>
          <w:lang w:val="fr-FR"/>
        </w:rPr>
        <w:t xml:space="preserve"> la réunion, le Président a remercié tous les membres de l'UIT ayant participé aux travaux de la RPM</w:t>
      </w:r>
      <w:r w:rsidR="00F87918" w:rsidRPr="005E4E6A">
        <w:rPr>
          <w:lang w:val="fr-FR"/>
        </w:rPr>
        <w:noBreakHyphen/>
        <w:t>CEI, en particulier ceux qui avaient contribué à ces travaux. Enfin et surtout, il a remercié le personnel de l'UIT pour l'assistance qu'il a fournie en ce qui concerne l'organisation et le déroulement de la réunion.</w:t>
      </w:r>
    </w:p>
    <w:p w14:paraId="4D725966" w14:textId="151A5EBF" w:rsidR="000F1891" w:rsidRPr="005E4E6A" w:rsidRDefault="000F1891" w:rsidP="00334DBD">
      <w:pPr>
        <w:rPr>
          <w:lang w:val="fr-FR"/>
        </w:rPr>
      </w:pPr>
      <w:r w:rsidRPr="005E4E6A">
        <w:rPr>
          <w:lang w:val="fr-FR"/>
        </w:rPr>
        <w:t>La Directrice du BDT, Mme Bogdan-Martin, a remercié le Président et le Vice</w:t>
      </w:r>
      <w:r w:rsidR="00EE7DEB" w:rsidRPr="005E4E6A">
        <w:rPr>
          <w:lang w:val="fr-FR"/>
        </w:rPr>
        <w:t>-</w:t>
      </w:r>
      <w:r w:rsidRPr="005E4E6A">
        <w:rPr>
          <w:lang w:val="fr-FR"/>
        </w:rPr>
        <w:t xml:space="preserve">Président de la </w:t>
      </w:r>
      <w:r w:rsidR="007D6EED" w:rsidRPr="005E4E6A">
        <w:rPr>
          <w:lang w:val="fr-FR"/>
        </w:rPr>
        <w:t>RPM</w:t>
      </w:r>
      <w:r w:rsidR="00EE7DEB" w:rsidRPr="005E4E6A">
        <w:rPr>
          <w:lang w:val="fr-FR"/>
        </w:rPr>
        <w:noBreakHyphen/>
      </w:r>
      <w:r w:rsidR="007D6EED" w:rsidRPr="005E4E6A">
        <w:rPr>
          <w:lang w:val="fr-FR"/>
        </w:rPr>
        <w:t>CEI</w:t>
      </w:r>
      <w:r w:rsidR="0087178D" w:rsidRPr="005E4E6A">
        <w:rPr>
          <w:lang w:val="fr-FR"/>
        </w:rPr>
        <w:t xml:space="preserve"> et</w:t>
      </w:r>
      <w:r w:rsidRPr="005E4E6A">
        <w:rPr>
          <w:lang w:val="fr-FR"/>
        </w:rPr>
        <w:t xml:space="preserve"> tous les participants, ainsi que le secrétariat du BDT pour son travail et son appui particulièrement efficaces.</w:t>
      </w:r>
    </w:p>
    <w:p w14:paraId="6030CB37" w14:textId="4759A93E" w:rsidR="00F87918" w:rsidRPr="005E4E6A" w:rsidRDefault="000F1891" w:rsidP="00334DBD">
      <w:pPr>
        <w:rPr>
          <w:lang w:val="fr-FR"/>
        </w:rPr>
      </w:pPr>
      <w:r w:rsidRPr="005E4E6A">
        <w:rPr>
          <w:lang w:val="fr-FR"/>
        </w:rPr>
        <w:t xml:space="preserve">Les participants à la </w:t>
      </w:r>
      <w:r w:rsidR="007D6EED" w:rsidRPr="005E4E6A">
        <w:rPr>
          <w:lang w:val="fr-FR"/>
        </w:rPr>
        <w:t>RPM-CEI</w:t>
      </w:r>
      <w:r w:rsidRPr="005E4E6A">
        <w:rPr>
          <w:lang w:val="fr-FR"/>
        </w:rPr>
        <w:t xml:space="preserve"> ont remercié le Président et le Vice</w:t>
      </w:r>
      <w:r w:rsidR="00EE7DEB" w:rsidRPr="005E4E6A">
        <w:rPr>
          <w:lang w:val="fr-FR"/>
        </w:rPr>
        <w:t>-</w:t>
      </w:r>
      <w:r w:rsidRPr="005E4E6A">
        <w:rPr>
          <w:lang w:val="fr-FR"/>
        </w:rPr>
        <w:t>Président pour leur grande efficacité et le secrétariat du BDT pour l'excellente organisation de la réunion et l'appui technique remarquable.</w:t>
      </w:r>
    </w:p>
    <w:p w14:paraId="7C8B129D" w14:textId="483636A7" w:rsidR="00F87918" w:rsidRPr="005E4E6A" w:rsidRDefault="00F87918" w:rsidP="00334DBD">
      <w:pPr>
        <w:spacing w:before="840"/>
        <w:rPr>
          <w:lang w:val="fr-FR"/>
        </w:rPr>
      </w:pPr>
      <w:r w:rsidRPr="005E4E6A">
        <w:rPr>
          <w:lang w:val="fr-FR"/>
        </w:rPr>
        <w:t xml:space="preserve">M. Rashid Ismailov </w:t>
      </w:r>
      <w:r w:rsidRPr="005E4E6A">
        <w:rPr>
          <w:lang w:val="fr-FR"/>
        </w:rPr>
        <w:br/>
        <w:t>Président</w:t>
      </w:r>
      <w:r w:rsidRPr="005E4E6A">
        <w:rPr>
          <w:lang w:val="fr-FR"/>
        </w:rPr>
        <w:br/>
        <w:t>22 avril 2021</w:t>
      </w:r>
    </w:p>
    <w:p w14:paraId="62DB7E21" w14:textId="462EC97E" w:rsidR="00F87918" w:rsidRPr="005E4E6A" w:rsidRDefault="00F87918" w:rsidP="00334DBD">
      <w:pPr>
        <w:rPr>
          <w:lang w:val="fr-FR"/>
        </w:rPr>
      </w:pPr>
      <w:r w:rsidRPr="005E4E6A">
        <w:rPr>
          <w:lang w:val="fr-FR"/>
        </w:rPr>
        <w:br w:type="page"/>
      </w:r>
    </w:p>
    <w:p w14:paraId="1F5760E0" w14:textId="59BDB27C" w:rsidR="00541732" w:rsidRPr="005E4E6A" w:rsidRDefault="00541732" w:rsidP="00334DBD">
      <w:pPr>
        <w:pStyle w:val="Annextitle"/>
        <w:rPr>
          <w:rFonts w:asciiTheme="minorHAnsi" w:hAnsiTheme="minorHAnsi"/>
          <w:b w:val="0"/>
          <w:bCs/>
          <w:lang w:val="fr-FR"/>
        </w:rPr>
      </w:pPr>
      <w:r w:rsidRPr="005E4E6A">
        <w:rPr>
          <w:lang w:val="fr-FR"/>
        </w:rPr>
        <w:lastRenderedPageBreak/>
        <w:t>Annexe</w:t>
      </w:r>
      <w:r w:rsidRPr="005E4E6A">
        <w:rPr>
          <w:lang w:val="fr-FR"/>
        </w:rPr>
        <w:br/>
      </w:r>
      <w:r w:rsidRPr="005E4E6A">
        <w:rPr>
          <w:lang w:val="fr-FR"/>
        </w:rPr>
        <w:br/>
      </w:r>
      <w:r w:rsidR="00104FD4" w:rsidRPr="005E4E6A">
        <w:rPr>
          <w:bCs/>
          <w:lang w:val="fr-FR"/>
        </w:rPr>
        <w:t>PROJETS D'INITIATIVE</w:t>
      </w:r>
      <w:r w:rsidR="0087178D" w:rsidRPr="005E4E6A">
        <w:rPr>
          <w:bCs/>
          <w:lang w:val="fr-FR"/>
        </w:rPr>
        <w:t>S</w:t>
      </w:r>
      <w:r w:rsidR="00104FD4" w:rsidRPr="005E4E6A">
        <w:rPr>
          <w:bCs/>
          <w:lang w:val="fr-FR"/>
        </w:rPr>
        <w:t xml:space="preserve"> RÉGIONALES POUR LA CEI</w:t>
      </w:r>
      <w:r w:rsidRPr="005E4E6A">
        <w:rPr>
          <w:bCs/>
          <w:lang w:val="fr-FR"/>
        </w:rPr>
        <w:t xml:space="preserve"> (2022-2025)</w:t>
      </w:r>
    </w:p>
    <w:tbl>
      <w:tblPr>
        <w:tblStyle w:val="TableGrid"/>
        <w:tblW w:w="9639" w:type="dxa"/>
        <w:jc w:val="center"/>
        <w:tblLook w:val="04A0" w:firstRow="1" w:lastRow="0" w:firstColumn="1" w:lastColumn="0" w:noHBand="0" w:noVBand="1"/>
      </w:tblPr>
      <w:tblGrid>
        <w:gridCol w:w="9639"/>
      </w:tblGrid>
      <w:tr w:rsidR="00494741" w:rsidRPr="005E4E6A" w14:paraId="19884E99" w14:textId="77777777" w:rsidTr="00F70C3B">
        <w:trPr>
          <w:tblHeader/>
          <w:jc w:val="center"/>
        </w:trPr>
        <w:tc>
          <w:tcPr>
            <w:tcW w:w="9412" w:type="dxa"/>
            <w:tcBorders>
              <w:top w:val="single" w:sz="4" w:space="0" w:color="auto"/>
              <w:left w:val="single" w:sz="4" w:space="0" w:color="auto"/>
              <w:bottom w:val="single" w:sz="4" w:space="0" w:color="auto"/>
              <w:right w:val="single" w:sz="4" w:space="0" w:color="auto"/>
            </w:tcBorders>
            <w:hideMark/>
          </w:tcPr>
          <w:p w14:paraId="762C38B4" w14:textId="2152D287" w:rsidR="00494741" w:rsidRPr="005E4E6A" w:rsidRDefault="00494741" w:rsidP="00334DBD">
            <w:pPr>
              <w:pStyle w:val="Headingb"/>
              <w:rPr>
                <w:lang w:val="fr-FR"/>
              </w:rPr>
            </w:pPr>
            <w:bookmarkStart w:id="12" w:name="_Hlk67559803"/>
            <w:r w:rsidRPr="005E4E6A">
              <w:rPr>
                <w:lang w:val="fr-FR"/>
              </w:rPr>
              <w:t>(Projets d') Initiatives régionales pour la CEI (2022-2025)</w:t>
            </w:r>
          </w:p>
        </w:tc>
      </w:tr>
      <w:tr w:rsidR="00494741" w:rsidRPr="005E4E6A" w14:paraId="1FB03E8D" w14:textId="77777777" w:rsidTr="00F70C3B">
        <w:trPr>
          <w:trHeight w:val="6498"/>
          <w:jc w:val="center"/>
        </w:trPr>
        <w:tc>
          <w:tcPr>
            <w:tcW w:w="9412" w:type="dxa"/>
            <w:tcBorders>
              <w:top w:val="single" w:sz="4" w:space="0" w:color="auto"/>
              <w:left w:val="single" w:sz="4" w:space="0" w:color="auto"/>
              <w:bottom w:val="single" w:sz="4" w:space="0" w:color="auto"/>
              <w:right w:val="single" w:sz="4" w:space="0" w:color="auto"/>
            </w:tcBorders>
            <w:hideMark/>
          </w:tcPr>
          <w:p w14:paraId="1D3C0B24" w14:textId="79E20170" w:rsidR="00494741" w:rsidRPr="005E4E6A" w:rsidRDefault="00494741" w:rsidP="00334DBD">
            <w:pPr>
              <w:rPr>
                <w:bCs/>
                <w:szCs w:val="24"/>
                <w:lang w:val="fr-FR"/>
              </w:rPr>
            </w:pPr>
            <w:bookmarkStart w:id="13" w:name="_Hlk70328981"/>
            <w:r w:rsidRPr="005E4E6A">
              <w:rPr>
                <w:b/>
                <w:bCs/>
                <w:szCs w:val="24"/>
                <w:lang w:val="fr-FR"/>
              </w:rPr>
              <w:t>CEI1</w:t>
            </w:r>
            <w:r w:rsidRPr="005E4E6A">
              <w:rPr>
                <w:bCs/>
                <w:szCs w:val="24"/>
                <w:lang w:val="fr-FR"/>
              </w:rPr>
              <w:t xml:space="preserve">: </w:t>
            </w:r>
            <w:r w:rsidRPr="005E4E6A">
              <w:rPr>
                <w:lang w:val="fr-FR"/>
              </w:rPr>
              <w:t>Développement de l'infrastructure pour promouvoir l'innovation et les partenariats concernant la mise en œuvre des nouvelles technologies – Internet des objets, y compris l'Internet industriel des objets, réseaux de prochaine génération 5G/IMT-2020 et NET-2030, technologies quantiques, intelligence artificielle, santé numérique, éducation numérique, protection de l'environnement, villes intelligentes, compétences numériques, etc.</w:t>
            </w:r>
          </w:p>
          <w:p w14:paraId="23842977" w14:textId="270AFE81" w:rsidR="00494741" w:rsidRPr="005E4E6A" w:rsidRDefault="00494741" w:rsidP="00334DBD">
            <w:pPr>
              <w:rPr>
                <w:bCs/>
                <w:szCs w:val="24"/>
                <w:lang w:val="fr-FR"/>
              </w:rPr>
            </w:pPr>
            <w:r w:rsidRPr="005E4E6A">
              <w:rPr>
                <w:b/>
                <w:bCs/>
                <w:szCs w:val="24"/>
                <w:lang w:val="fr-FR"/>
              </w:rPr>
              <w:t>Objectif</w:t>
            </w:r>
            <w:r w:rsidRPr="005E4E6A">
              <w:rPr>
                <w:szCs w:val="24"/>
                <w:lang w:val="fr-FR"/>
              </w:rPr>
              <w:t xml:space="preserve">: </w:t>
            </w:r>
            <w:r w:rsidRPr="005E4E6A">
              <w:rPr>
                <w:bCs/>
                <w:szCs w:val="24"/>
                <w:lang w:val="fr-FR"/>
              </w:rPr>
              <w:t>Fournir aux États Membres de l'UIT de la région une assistance concernant l'adoption par les opérateurs de télécommunication de technologies innovantes (mise en place en tant que nouveaux services), tout en garantissant la stabilité et l'efficacité accrue des réseaux de télécommunication, y compris des réseaux de prochaine génération 5G/IMT-2020 et NET-2030, dans le contexte de la mise en œuvre ubiquitaire du concept et des technologies de l'Internet des objets, de l'Internet industriel des objets, des technologies quantiques, de l'intelligence artificielle, de la santé numérique, de l'éducation numérique, de la protection de l'environnement, des villes intelligentes, des compétences numériques, etc.</w:t>
            </w:r>
            <w:r w:rsidRPr="005E4E6A">
              <w:rPr>
                <w:bCs/>
                <w:iCs/>
                <w:szCs w:val="24"/>
                <w:lang w:val="fr-FR"/>
              </w:rPr>
              <w:t xml:space="preserve"> </w:t>
            </w:r>
          </w:p>
          <w:p w14:paraId="2037755A" w14:textId="4D088D37" w:rsidR="00494741" w:rsidRPr="005E4E6A" w:rsidRDefault="00494741" w:rsidP="00334DBD">
            <w:pPr>
              <w:pStyle w:val="Headingb"/>
              <w:rPr>
                <w:lang w:val="fr-FR"/>
              </w:rPr>
            </w:pPr>
            <w:r w:rsidRPr="005E4E6A">
              <w:rPr>
                <w:lang w:val="fr-FR"/>
              </w:rPr>
              <w:t>Résultats attendus</w:t>
            </w:r>
            <w:r w:rsidRPr="005E4E6A">
              <w:rPr>
                <w:b w:val="0"/>
                <w:bCs/>
                <w:lang w:val="fr-FR"/>
              </w:rPr>
              <w:t>:</w:t>
            </w:r>
          </w:p>
          <w:p w14:paraId="0A9DBD3D" w14:textId="7E5B5BA8" w:rsidR="00494741" w:rsidRPr="005E4E6A" w:rsidRDefault="00494741" w:rsidP="00334DBD">
            <w:pPr>
              <w:pStyle w:val="enumlev1"/>
              <w:rPr>
                <w:lang w:val="fr-FR"/>
              </w:rPr>
            </w:pPr>
            <w:r w:rsidRPr="005E4E6A">
              <w:rPr>
                <w:lang w:val="fr-FR"/>
              </w:rPr>
              <w:t>1)</w:t>
            </w:r>
            <w:r w:rsidRPr="005E4E6A">
              <w:rPr>
                <w:lang w:val="fr-FR"/>
              </w:rPr>
              <w:tab/>
              <w:t>Élaboration de recommandations sur les nouvelles technologies.</w:t>
            </w:r>
          </w:p>
          <w:p w14:paraId="61CF05FC" w14:textId="2F749C94" w:rsidR="00494741" w:rsidRPr="005E4E6A" w:rsidRDefault="00494741" w:rsidP="00334DBD">
            <w:pPr>
              <w:pStyle w:val="enumlev1"/>
              <w:rPr>
                <w:lang w:val="fr-FR"/>
              </w:rPr>
            </w:pPr>
            <w:r w:rsidRPr="005E4E6A">
              <w:rPr>
                <w:lang w:val="fr-FR"/>
              </w:rPr>
              <w:t>2)</w:t>
            </w:r>
            <w:r w:rsidRPr="005E4E6A">
              <w:rPr>
                <w:lang w:val="fr-FR"/>
              </w:rPr>
              <w:tab/>
              <w:t>Mise en place d'une infrastructure de télécommunication/TIC pour promouvoir l'innovation et les partenariats concernant la mise en œuvre de nouvelles technologies.</w:t>
            </w:r>
          </w:p>
          <w:p w14:paraId="7D8EBCD0" w14:textId="67CD310A" w:rsidR="00494741" w:rsidRPr="005E4E6A" w:rsidRDefault="00494741" w:rsidP="00334DBD">
            <w:pPr>
              <w:pStyle w:val="enumlev1"/>
              <w:rPr>
                <w:lang w:val="fr-FR"/>
              </w:rPr>
            </w:pPr>
            <w:r w:rsidRPr="005E4E6A">
              <w:rPr>
                <w:lang w:val="fr-FR"/>
              </w:rPr>
              <w:t>3)</w:t>
            </w:r>
            <w:r w:rsidRPr="005E4E6A">
              <w:rPr>
                <w:lang w:val="fr-FR"/>
              </w:rPr>
              <w:tab/>
              <w:t>Augmentation du niveau technologique des organisations mettant au point des solutions et le niveau global de bien-être de la population dans la région.</w:t>
            </w:r>
          </w:p>
          <w:p w14:paraId="67EE821A" w14:textId="25CDEBC7" w:rsidR="00494741" w:rsidRPr="005E4E6A" w:rsidRDefault="00494741" w:rsidP="00334DBD">
            <w:pPr>
              <w:pStyle w:val="enumlev1"/>
              <w:rPr>
                <w:lang w:val="fr-FR"/>
              </w:rPr>
            </w:pPr>
            <w:r w:rsidRPr="005E4E6A">
              <w:rPr>
                <w:lang w:val="fr-FR"/>
              </w:rPr>
              <w:t>4)</w:t>
            </w:r>
            <w:r w:rsidRPr="005E4E6A">
              <w:rPr>
                <w:lang w:val="fr-FR"/>
              </w:rPr>
              <w:tab/>
              <w:t>Élaboration de recommandations concernant la mesure des paramètres des transmissions de données numériques via des canaux de télécommunication, l'Internet et la téléphonie dans les systèmes de communication modernes et futurs, en veillant à ce que les résultats des activités de surveillance soient reproductibles et traçables.</w:t>
            </w:r>
          </w:p>
          <w:p w14:paraId="44021A1A" w14:textId="7514C733" w:rsidR="00494741" w:rsidRPr="005E4E6A" w:rsidRDefault="00494741" w:rsidP="00334DBD">
            <w:pPr>
              <w:pStyle w:val="enumlev1"/>
              <w:rPr>
                <w:lang w:val="fr-FR"/>
              </w:rPr>
            </w:pPr>
            <w:r w:rsidRPr="005E4E6A">
              <w:rPr>
                <w:lang w:val="fr-FR"/>
              </w:rPr>
              <w:t>5)</w:t>
            </w:r>
            <w:r w:rsidRPr="005E4E6A">
              <w:rPr>
                <w:lang w:val="fr-FR"/>
              </w:rPr>
              <w:tab/>
              <w:t>Réduction de la fracture numérique dans les pays de la région de la CEI.</w:t>
            </w:r>
          </w:p>
        </w:tc>
      </w:tr>
      <w:tr w:rsidR="00494741" w:rsidRPr="005E4E6A" w14:paraId="570B3D8D" w14:textId="77777777" w:rsidTr="00F70C3B">
        <w:trPr>
          <w:trHeight w:val="586"/>
          <w:jc w:val="center"/>
        </w:trPr>
        <w:tc>
          <w:tcPr>
            <w:tcW w:w="9412" w:type="dxa"/>
            <w:vMerge w:val="restart"/>
            <w:tcBorders>
              <w:top w:val="single" w:sz="4" w:space="0" w:color="auto"/>
              <w:left w:val="single" w:sz="4" w:space="0" w:color="auto"/>
              <w:bottom w:val="single" w:sz="4" w:space="0" w:color="auto"/>
              <w:right w:val="single" w:sz="4" w:space="0" w:color="auto"/>
            </w:tcBorders>
            <w:hideMark/>
          </w:tcPr>
          <w:p w14:paraId="475C584D" w14:textId="36EBD9D9" w:rsidR="00494741" w:rsidRPr="005E4E6A" w:rsidRDefault="00494741" w:rsidP="00334DBD">
            <w:pPr>
              <w:rPr>
                <w:szCs w:val="24"/>
                <w:lang w:val="fr-FR"/>
              </w:rPr>
            </w:pPr>
            <w:r w:rsidRPr="005E4E6A">
              <w:rPr>
                <w:b/>
                <w:bCs/>
                <w:szCs w:val="24"/>
                <w:lang w:val="fr-FR"/>
              </w:rPr>
              <w:t>CEI2</w:t>
            </w:r>
            <w:r w:rsidRPr="005E4E6A">
              <w:rPr>
                <w:szCs w:val="24"/>
                <w:lang w:val="fr-FR"/>
              </w:rPr>
              <w:t xml:space="preserve">: </w:t>
            </w:r>
            <w:r w:rsidRPr="005E4E6A">
              <w:rPr>
                <w:lang w:val="fr-FR"/>
              </w:rPr>
              <w:t>Cybersécurité et protection des données personnelles.</w:t>
            </w:r>
          </w:p>
          <w:p w14:paraId="3CB45AD7" w14:textId="74FAE9A1" w:rsidR="00494741" w:rsidRPr="005E4E6A" w:rsidRDefault="00494741" w:rsidP="00334DBD">
            <w:pPr>
              <w:rPr>
                <w:szCs w:val="24"/>
                <w:lang w:val="fr-FR"/>
              </w:rPr>
            </w:pPr>
            <w:r w:rsidRPr="005E4E6A">
              <w:rPr>
                <w:b/>
                <w:bCs/>
                <w:szCs w:val="24"/>
                <w:lang w:val="fr-FR"/>
              </w:rPr>
              <w:t>Objectif</w:t>
            </w:r>
            <w:r w:rsidRPr="005E4E6A">
              <w:rPr>
                <w:szCs w:val="24"/>
                <w:lang w:val="fr-FR"/>
              </w:rPr>
              <w:t>: Fournir aux États Membres de l'UIT de la région une assistance concernant le développement et la maintenance de réseaux et de services numériques sécurisés, fiables et stables et la résolution des problèmes liés à la protection des données personnelles.</w:t>
            </w:r>
          </w:p>
          <w:p w14:paraId="6E0DADEA" w14:textId="4528F587" w:rsidR="00494741" w:rsidRPr="005E4E6A" w:rsidRDefault="00494741" w:rsidP="00334DBD">
            <w:pPr>
              <w:pStyle w:val="Headingb"/>
              <w:rPr>
                <w:lang w:val="fr-FR"/>
              </w:rPr>
            </w:pPr>
            <w:r w:rsidRPr="005E4E6A">
              <w:rPr>
                <w:lang w:val="fr-FR"/>
              </w:rPr>
              <w:t>Résultats attendus</w:t>
            </w:r>
            <w:r w:rsidRPr="005E4E6A">
              <w:rPr>
                <w:b w:val="0"/>
                <w:bCs/>
                <w:lang w:val="fr-FR"/>
              </w:rPr>
              <w:t>:</w:t>
            </w:r>
          </w:p>
          <w:p w14:paraId="1DD5D29C" w14:textId="55C86F2A" w:rsidR="00494741" w:rsidRPr="005E4E6A" w:rsidRDefault="00494741" w:rsidP="00334DBD">
            <w:pPr>
              <w:pStyle w:val="enumlev1"/>
              <w:rPr>
                <w:lang w:val="fr-FR"/>
              </w:rPr>
            </w:pPr>
            <w:r w:rsidRPr="005E4E6A">
              <w:rPr>
                <w:lang w:val="fr-FR"/>
              </w:rPr>
              <w:t>1)</w:t>
            </w:r>
            <w:r w:rsidRPr="005E4E6A">
              <w:rPr>
                <w:lang w:val="fr-FR"/>
              </w:rPr>
              <w:tab/>
              <w:t>Création d'équipes nationales d'intervention en cas d'incident de cybersécurité (CIRT) et renforcement de ces équipes.</w:t>
            </w:r>
          </w:p>
          <w:p w14:paraId="2EFD7407" w14:textId="358E3C32" w:rsidR="00494741" w:rsidRPr="005E4E6A" w:rsidRDefault="00494741" w:rsidP="00EE7DEB">
            <w:pPr>
              <w:pStyle w:val="enumlev1"/>
              <w:keepNext/>
              <w:keepLines/>
              <w:rPr>
                <w:lang w:val="fr-FR"/>
              </w:rPr>
            </w:pPr>
            <w:r w:rsidRPr="005E4E6A">
              <w:rPr>
                <w:lang w:val="fr-FR"/>
              </w:rPr>
              <w:lastRenderedPageBreak/>
              <w:t>2)</w:t>
            </w:r>
            <w:r w:rsidRPr="005E4E6A">
              <w:rPr>
                <w:lang w:val="fr-FR"/>
              </w:rPr>
              <w:tab/>
              <w:t>Renforcement des capacités, amélioration des moyens de communication et d'intervention en cas d'incident et mise en place d'un travail collectif constant associant les équipes nationales d'intervention en cas d'incident informatique (CIRT) de la région pour lutter contre les cybermenaces sous la forme d'exercices de cybersécurité mondiaux, interrégionaux, régionaux et nationaux.</w:t>
            </w:r>
          </w:p>
          <w:p w14:paraId="4C5903B7" w14:textId="49113AEC" w:rsidR="00494741" w:rsidRPr="005E4E6A" w:rsidRDefault="00494741" w:rsidP="00334DBD">
            <w:pPr>
              <w:pStyle w:val="enumlev1"/>
              <w:rPr>
                <w:lang w:val="fr-FR"/>
              </w:rPr>
            </w:pPr>
            <w:r w:rsidRPr="005E4E6A">
              <w:rPr>
                <w:lang w:val="fr-FR"/>
              </w:rPr>
              <w:t>3)</w:t>
            </w:r>
            <w:r w:rsidRPr="005E4E6A">
              <w:rPr>
                <w:lang w:val="fr-FR"/>
              </w:rPr>
              <w:tab/>
              <w:t>Formation et perfectionnement de spécialistes ayant des profils techniques ou de responsable dans le cadre de programmes de formation régionaux et nationaux ciblés.</w:t>
            </w:r>
          </w:p>
          <w:p w14:paraId="0DF04EC9" w14:textId="745DA13E" w:rsidR="00494741" w:rsidRPr="005E4E6A" w:rsidRDefault="00494741" w:rsidP="00334DBD">
            <w:pPr>
              <w:pStyle w:val="enumlev1"/>
              <w:rPr>
                <w:lang w:val="fr-FR"/>
              </w:rPr>
            </w:pPr>
            <w:r w:rsidRPr="005E4E6A">
              <w:rPr>
                <w:lang w:val="fr-FR"/>
              </w:rPr>
              <w:t>4)</w:t>
            </w:r>
            <w:r w:rsidRPr="005E4E6A">
              <w:rPr>
                <w:lang w:val="fr-FR"/>
              </w:rPr>
              <w:tab/>
              <w:t>Coordination des activités de collecte et de partage des bonnes pratiques relatives à l'élaboration de stratégies nationales en matière de cybersécurité et de mesure de l'importance donnée par les pays à la cybersécurité.</w:t>
            </w:r>
          </w:p>
        </w:tc>
      </w:tr>
      <w:tr w:rsidR="00494741" w:rsidRPr="005E4E6A" w14:paraId="3479470F" w14:textId="77777777" w:rsidTr="00F70C3B">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51D77" w14:textId="77777777" w:rsidR="00494741" w:rsidRPr="005E4E6A" w:rsidRDefault="00494741" w:rsidP="00334DBD">
            <w:pPr>
              <w:overflowPunct/>
              <w:autoSpaceDE/>
              <w:autoSpaceDN/>
              <w:adjustRightInd/>
              <w:spacing w:before="0"/>
              <w:rPr>
                <w:rFonts w:asciiTheme="minorHAnsi" w:hAnsiTheme="minorHAnsi"/>
                <w:szCs w:val="24"/>
                <w:lang w:val="fr-FR"/>
              </w:rPr>
            </w:pPr>
          </w:p>
        </w:tc>
      </w:tr>
      <w:tr w:rsidR="00494741" w:rsidRPr="005E4E6A" w14:paraId="0F0F715A" w14:textId="77777777" w:rsidTr="00F70C3B">
        <w:trPr>
          <w:jc w:val="center"/>
        </w:trPr>
        <w:tc>
          <w:tcPr>
            <w:tcW w:w="9412" w:type="dxa"/>
            <w:tcBorders>
              <w:top w:val="single" w:sz="4" w:space="0" w:color="auto"/>
              <w:left w:val="single" w:sz="4" w:space="0" w:color="auto"/>
              <w:bottom w:val="single" w:sz="4" w:space="0" w:color="auto"/>
              <w:right w:val="single" w:sz="4" w:space="0" w:color="auto"/>
            </w:tcBorders>
            <w:hideMark/>
          </w:tcPr>
          <w:p w14:paraId="2BA7DE12" w14:textId="3D223FC4" w:rsidR="00494741" w:rsidRPr="005E4E6A" w:rsidRDefault="00494741" w:rsidP="00334DBD">
            <w:pPr>
              <w:rPr>
                <w:rFonts w:asciiTheme="minorHAnsi" w:hAnsiTheme="minorHAnsi"/>
                <w:bCs/>
                <w:szCs w:val="24"/>
                <w:lang w:val="fr-FR"/>
              </w:rPr>
            </w:pPr>
            <w:r w:rsidRPr="005E4E6A">
              <w:rPr>
                <w:b/>
                <w:bCs/>
                <w:szCs w:val="24"/>
                <w:lang w:val="fr-FR"/>
              </w:rPr>
              <w:t>CEI3</w:t>
            </w:r>
            <w:r w:rsidRPr="005E4E6A">
              <w:rPr>
                <w:bCs/>
                <w:szCs w:val="24"/>
                <w:lang w:val="fr-FR"/>
              </w:rPr>
              <w:t xml:space="preserve">: </w:t>
            </w:r>
            <w:r w:rsidRPr="005E4E6A">
              <w:rPr>
                <w:lang w:val="fr-FR"/>
              </w:rPr>
              <w:t>Créer un environnement juridique et réglementaire favorable pour accélérer la transformation numérique.</w:t>
            </w:r>
          </w:p>
          <w:p w14:paraId="61FF2749" w14:textId="07DA8E42" w:rsidR="00494741" w:rsidRPr="005E4E6A" w:rsidRDefault="00494741" w:rsidP="00334DBD">
            <w:pPr>
              <w:rPr>
                <w:bCs/>
                <w:szCs w:val="24"/>
                <w:lang w:val="fr-FR"/>
              </w:rPr>
            </w:pPr>
            <w:r w:rsidRPr="005E4E6A">
              <w:rPr>
                <w:b/>
                <w:bCs/>
                <w:szCs w:val="24"/>
                <w:lang w:val="fr-FR"/>
              </w:rPr>
              <w:t>Objectif</w:t>
            </w:r>
            <w:r w:rsidRPr="005E4E6A">
              <w:rPr>
                <w:bCs/>
                <w:szCs w:val="24"/>
                <w:lang w:val="fr-FR"/>
              </w:rPr>
              <w:t xml:space="preserve">: </w:t>
            </w:r>
            <w:r w:rsidRPr="005E4E6A">
              <w:rPr>
                <w:szCs w:val="24"/>
                <w:lang w:val="fr-FR"/>
              </w:rPr>
              <w:t>Fournir aux États Membres de l'UIT de la région une assistance concernant l'élaboration des textes juridiques et réglementaires associés et le développement des services numériques dans différents secteurs économiques, en encourageant l'innovation, en intensifiant le partage d'information et en renforçant la coopération dans le domaine de la réglementation, pour contribuer ainsi à l'instauration d'un environnement réglementaire favorable pour toutes les parties prenantes.</w:t>
            </w:r>
          </w:p>
          <w:p w14:paraId="1493180E" w14:textId="2A4577C5" w:rsidR="00494741" w:rsidRPr="005E4E6A" w:rsidRDefault="00494741" w:rsidP="00334DBD">
            <w:pPr>
              <w:pStyle w:val="Headingb"/>
              <w:rPr>
                <w:lang w:val="fr-FR"/>
              </w:rPr>
            </w:pPr>
            <w:r w:rsidRPr="005E4E6A">
              <w:rPr>
                <w:lang w:val="fr-FR"/>
              </w:rPr>
              <w:t>Résultats attendus</w:t>
            </w:r>
            <w:r w:rsidRPr="005E4E6A">
              <w:rPr>
                <w:b w:val="0"/>
                <w:bCs/>
                <w:lang w:val="fr-FR"/>
              </w:rPr>
              <w:t>:</w:t>
            </w:r>
          </w:p>
          <w:p w14:paraId="6A0E8037" w14:textId="0096992A" w:rsidR="00494741" w:rsidRPr="005E4E6A" w:rsidRDefault="00494741" w:rsidP="00334DBD">
            <w:pPr>
              <w:pStyle w:val="enumlev1"/>
              <w:rPr>
                <w:lang w:val="fr-FR"/>
              </w:rPr>
            </w:pPr>
            <w:r w:rsidRPr="005E4E6A">
              <w:rPr>
                <w:lang w:val="fr-FR"/>
              </w:rPr>
              <w:t>1)</w:t>
            </w:r>
            <w:r w:rsidRPr="005E4E6A">
              <w:rPr>
                <w:lang w:val="fr-FR"/>
              </w:rPr>
              <w:tab/>
              <w:t>Création d'un écosystème de l'innovation interconnecté permettant le développement des start-up et la transformation numérique dans les pays de la région.</w:t>
            </w:r>
          </w:p>
          <w:p w14:paraId="4959A17C" w14:textId="4FE7C59A" w:rsidR="00494741" w:rsidRPr="005E4E6A" w:rsidRDefault="00494741" w:rsidP="00334DBD">
            <w:pPr>
              <w:pStyle w:val="enumlev1"/>
              <w:rPr>
                <w:lang w:val="fr-FR"/>
              </w:rPr>
            </w:pPr>
            <w:r w:rsidRPr="005E4E6A">
              <w:rPr>
                <w:lang w:val="fr-FR"/>
              </w:rPr>
              <w:t>2)</w:t>
            </w:r>
            <w:r w:rsidRPr="005E4E6A">
              <w:rPr>
                <w:lang w:val="fr-FR"/>
              </w:rPr>
              <w:tab/>
              <w:t>Assistance spécialisée concernant la création de services publics numériques fondés sur l'innovation ouverte.</w:t>
            </w:r>
          </w:p>
          <w:p w14:paraId="0E94F448" w14:textId="3E9B11CE" w:rsidR="00494741" w:rsidRPr="005E4E6A" w:rsidRDefault="00494741" w:rsidP="00334DBD">
            <w:pPr>
              <w:pStyle w:val="enumlev1"/>
              <w:rPr>
                <w:lang w:val="fr-FR"/>
              </w:rPr>
            </w:pPr>
            <w:r w:rsidRPr="005E4E6A">
              <w:rPr>
                <w:lang w:val="fr-FR"/>
              </w:rPr>
              <w:t>3)</w:t>
            </w:r>
            <w:r w:rsidRPr="005E4E6A">
              <w:rPr>
                <w:lang w:val="fr-FR"/>
              </w:rPr>
              <w:tab/>
              <w:t>Assistance spécialisée concernant l'élaboration de cadres réglementaires et juridiques et de mécanismes de coordination permettant la promotion de l'innovation dans les secteurs des services financiers et de l'éducation (Fintech et Edtech).</w:t>
            </w:r>
          </w:p>
          <w:p w14:paraId="036C26A8" w14:textId="468113BB" w:rsidR="00494741" w:rsidRPr="005E4E6A" w:rsidRDefault="00494741" w:rsidP="00334DBD">
            <w:pPr>
              <w:pStyle w:val="enumlev1"/>
              <w:rPr>
                <w:lang w:val="fr-FR"/>
              </w:rPr>
            </w:pPr>
            <w:r w:rsidRPr="005E4E6A">
              <w:rPr>
                <w:lang w:val="fr-FR"/>
              </w:rPr>
              <w:t>4)</w:t>
            </w:r>
            <w:r w:rsidRPr="005E4E6A">
              <w:rPr>
                <w:lang w:val="fr-FR"/>
              </w:rPr>
              <w:tab/>
              <w:t>Partage d'informations concernant l'évolution du cadre juridique et réglementaire et du marché dans le secteur des TIC et l'économie numérique.</w:t>
            </w:r>
          </w:p>
          <w:p w14:paraId="6713ACDB" w14:textId="06091B59" w:rsidR="00494741" w:rsidRPr="005E4E6A" w:rsidRDefault="00494741" w:rsidP="00334DBD">
            <w:pPr>
              <w:pStyle w:val="enumlev1"/>
              <w:rPr>
                <w:lang w:val="fr-FR"/>
              </w:rPr>
            </w:pPr>
            <w:r w:rsidRPr="005E4E6A">
              <w:rPr>
                <w:lang w:val="fr-FR"/>
              </w:rPr>
              <w:t>5)</w:t>
            </w:r>
            <w:r w:rsidRPr="005E4E6A">
              <w:rPr>
                <w:lang w:val="fr-FR"/>
              </w:rPr>
              <w:tab/>
              <w:t>Création des capacités institutionnelles, humaines et techniques concernant les points pertinents de la législation du secteur, les questions réglementaires, les questions économiques et financières et l'évolution du marché dans le secteur.</w:t>
            </w:r>
          </w:p>
        </w:tc>
      </w:tr>
      <w:tr w:rsidR="00494741" w:rsidRPr="005E4E6A" w14:paraId="2F06B47E" w14:textId="77777777" w:rsidTr="00F70C3B">
        <w:trPr>
          <w:jc w:val="center"/>
        </w:trPr>
        <w:tc>
          <w:tcPr>
            <w:tcW w:w="9412" w:type="dxa"/>
            <w:tcBorders>
              <w:top w:val="single" w:sz="4" w:space="0" w:color="auto"/>
              <w:left w:val="single" w:sz="4" w:space="0" w:color="auto"/>
              <w:bottom w:val="single" w:sz="4" w:space="0" w:color="auto"/>
              <w:right w:val="single" w:sz="4" w:space="0" w:color="auto"/>
            </w:tcBorders>
            <w:hideMark/>
          </w:tcPr>
          <w:p w14:paraId="5E7C4FC0" w14:textId="61B2DADE" w:rsidR="00494741" w:rsidRPr="005E4E6A" w:rsidRDefault="00494741" w:rsidP="00334DBD">
            <w:pPr>
              <w:rPr>
                <w:bCs/>
                <w:szCs w:val="24"/>
                <w:lang w:val="fr-FR"/>
              </w:rPr>
            </w:pPr>
            <w:r w:rsidRPr="005E4E6A">
              <w:rPr>
                <w:b/>
                <w:bCs/>
                <w:szCs w:val="24"/>
                <w:lang w:val="fr-FR"/>
              </w:rPr>
              <w:t>CEI4</w:t>
            </w:r>
            <w:r w:rsidRPr="005E4E6A">
              <w:rPr>
                <w:bCs/>
                <w:szCs w:val="24"/>
                <w:lang w:val="fr-FR"/>
              </w:rPr>
              <w:t xml:space="preserve">: </w:t>
            </w:r>
            <w:r w:rsidRPr="005E4E6A">
              <w:rPr>
                <w:lang w:val="fr-FR"/>
              </w:rPr>
              <w:t>Compétences numériques et accessibilité des TIC pour la population, en particulier pour les personnes handicapées.</w:t>
            </w:r>
          </w:p>
          <w:p w14:paraId="620C7295" w14:textId="794596B8" w:rsidR="00494741" w:rsidRPr="005E4E6A" w:rsidRDefault="00494741" w:rsidP="00334DBD">
            <w:pPr>
              <w:rPr>
                <w:bCs/>
                <w:szCs w:val="24"/>
                <w:lang w:val="fr-FR"/>
              </w:rPr>
            </w:pPr>
            <w:r w:rsidRPr="005E4E6A">
              <w:rPr>
                <w:b/>
                <w:bCs/>
                <w:szCs w:val="24"/>
                <w:lang w:val="fr-FR"/>
              </w:rPr>
              <w:t>Objectif</w:t>
            </w:r>
            <w:r w:rsidRPr="005E4E6A">
              <w:rPr>
                <w:bCs/>
                <w:szCs w:val="24"/>
                <w:lang w:val="fr-FR"/>
              </w:rPr>
              <w:t xml:space="preserve">: </w:t>
            </w:r>
            <w:r w:rsidRPr="005E4E6A">
              <w:rPr>
                <w:szCs w:val="24"/>
                <w:lang w:val="fr-FR"/>
              </w:rPr>
              <w:t>Fournir aux États Membres de l'UIT de la région une assistance concernant la formulation de recommandations relatives au développement des compétences numériques de la population, en particulier des personnes handicapées.</w:t>
            </w:r>
          </w:p>
          <w:p w14:paraId="1294A54F" w14:textId="76AFD6CA" w:rsidR="00494741" w:rsidRPr="005E4E6A" w:rsidRDefault="00494741" w:rsidP="00334DBD">
            <w:pPr>
              <w:pStyle w:val="Headingb"/>
              <w:rPr>
                <w:lang w:val="fr-FR"/>
              </w:rPr>
            </w:pPr>
            <w:r w:rsidRPr="005E4E6A">
              <w:rPr>
                <w:lang w:val="fr-FR"/>
              </w:rPr>
              <w:t>Résultats attendus</w:t>
            </w:r>
            <w:r w:rsidRPr="005E4E6A">
              <w:rPr>
                <w:b w:val="0"/>
                <w:bCs/>
                <w:lang w:val="fr-FR"/>
              </w:rPr>
              <w:t>:</w:t>
            </w:r>
          </w:p>
          <w:p w14:paraId="6B967FBE" w14:textId="5DDE2734" w:rsidR="00494741" w:rsidRPr="005E4E6A" w:rsidRDefault="00494741" w:rsidP="00334DBD">
            <w:pPr>
              <w:pStyle w:val="enumlev1"/>
              <w:rPr>
                <w:lang w:val="fr-FR"/>
              </w:rPr>
            </w:pPr>
            <w:r w:rsidRPr="005E4E6A">
              <w:rPr>
                <w:lang w:val="fr-FR"/>
              </w:rPr>
              <w:t>1)</w:t>
            </w:r>
            <w:r w:rsidRPr="005E4E6A">
              <w:rPr>
                <w:lang w:val="fr-FR"/>
              </w:rPr>
              <w:tab/>
              <w:t>Étude détaillée portant sur les besoins des personnes handicapées en termes de méthodes de formation pour l'acquisition de compétences numériques.</w:t>
            </w:r>
          </w:p>
          <w:p w14:paraId="0BC5B9BC" w14:textId="21FED937" w:rsidR="00494741" w:rsidRPr="005E4E6A" w:rsidRDefault="00494741" w:rsidP="00334DBD">
            <w:pPr>
              <w:pStyle w:val="enumlev1"/>
              <w:rPr>
                <w:lang w:val="fr-FR"/>
              </w:rPr>
            </w:pPr>
            <w:r w:rsidRPr="005E4E6A">
              <w:rPr>
                <w:lang w:val="fr-FR"/>
              </w:rPr>
              <w:lastRenderedPageBreak/>
              <w:t>2)</w:t>
            </w:r>
            <w:r w:rsidRPr="005E4E6A">
              <w:rPr>
                <w:lang w:val="fr-FR"/>
              </w:rPr>
              <w:tab/>
              <w:t>Recommandations relatives au développement et au renforcement de la maîtrise des outils numériques pour les personnes handicapées.</w:t>
            </w:r>
          </w:p>
          <w:p w14:paraId="7645B79C" w14:textId="5D738DB6" w:rsidR="00494741" w:rsidRPr="005E4E6A" w:rsidRDefault="00494741" w:rsidP="00334DBD">
            <w:pPr>
              <w:pStyle w:val="enumlev1"/>
              <w:rPr>
                <w:lang w:val="fr-FR"/>
              </w:rPr>
            </w:pPr>
            <w:r w:rsidRPr="005E4E6A">
              <w:rPr>
                <w:lang w:val="fr-FR"/>
              </w:rPr>
              <w:t>3)</w:t>
            </w:r>
            <w:r w:rsidRPr="005E4E6A">
              <w:rPr>
                <w:lang w:val="fr-FR"/>
              </w:rPr>
              <w:tab/>
              <w:t>Création d'un réseau de centres de formation pour les personnes handicapées, y compris dans les zones isolées des pays.</w:t>
            </w:r>
          </w:p>
          <w:p w14:paraId="6BA1C7B7" w14:textId="510BCB56" w:rsidR="00494741" w:rsidRPr="005E4E6A" w:rsidRDefault="00494741" w:rsidP="00334DBD">
            <w:pPr>
              <w:pStyle w:val="enumlev1"/>
              <w:rPr>
                <w:lang w:val="fr-FR"/>
              </w:rPr>
            </w:pPr>
            <w:r w:rsidRPr="005E4E6A">
              <w:rPr>
                <w:lang w:val="fr-FR"/>
              </w:rPr>
              <w:t>4)</w:t>
            </w:r>
            <w:r w:rsidRPr="005E4E6A">
              <w:rPr>
                <w:lang w:val="fr-FR"/>
              </w:rPr>
              <w:tab/>
              <w:t>Instructions pédagogiques et formation à l'intention des enseignants des centres de formation pour les personnes handicapées.</w:t>
            </w:r>
          </w:p>
          <w:p w14:paraId="3877B4FC" w14:textId="131D11D8" w:rsidR="00494741" w:rsidRPr="005E4E6A" w:rsidRDefault="00494741" w:rsidP="00334DBD">
            <w:pPr>
              <w:pStyle w:val="enumlev1"/>
              <w:rPr>
                <w:lang w:val="fr-FR"/>
              </w:rPr>
            </w:pPr>
            <w:r w:rsidRPr="005E4E6A">
              <w:rPr>
                <w:lang w:val="fr-FR"/>
              </w:rPr>
              <w:t>5)</w:t>
            </w:r>
            <w:r w:rsidRPr="005E4E6A">
              <w:rPr>
                <w:lang w:val="fr-FR"/>
              </w:rPr>
              <w:tab/>
              <w:t>Recommandations relatives au développement des compétences numériques de la population pour accéder à l'art et à la culture et à la suppression des obstacles empêchant le public d'accéder aux collections des musées.</w:t>
            </w:r>
          </w:p>
          <w:p w14:paraId="4FF4077D" w14:textId="54415B62" w:rsidR="00494741" w:rsidRPr="005E4E6A" w:rsidRDefault="00494741" w:rsidP="00334DBD">
            <w:pPr>
              <w:pStyle w:val="enumlev1"/>
              <w:rPr>
                <w:lang w:val="fr-FR"/>
              </w:rPr>
            </w:pPr>
            <w:r w:rsidRPr="005E4E6A">
              <w:rPr>
                <w:lang w:val="fr-FR"/>
              </w:rPr>
              <w:t>6)</w:t>
            </w:r>
            <w:r w:rsidRPr="005E4E6A">
              <w:rPr>
                <w:lang w:val="fr-FR"/>
              </w:rPr>
              <w:tab/>
              <w:t>Coopération avec les musées afin d'élaborer des programmes spéciaux permettant au public d'accéder à leurs expositions.</w:t>
            </w:r>
          </w:p>
          <w:p w14:paraId="031CF416" w14:textId="082E808A" w:rsidR="00494741" w:rsidRPr="005E4E6A" w:rsidRDefault="00494741" w:rsidP="00334DBD">
            <w:pPr>
              <w:pStyle w:val="enumlev1"/>
              <w:rPr>
                <w:lang w:val="fr-FR"/>
              </w:rPr>
            </w:pPr>
            <w:r w:rsidRPr="005E4E6A">
              <w:rPr>
                <w:lang w:val="fr-FR"/>
              </w:rPr>
              <w:t>7)</w:t>
            </w:r>
            <w:r w:rsidRPr="005E4E6A">
              <w:rPr>
                <w:lang w:val="fr-FR"/>
              </w:rPr>
              <w:tab/>
              <w:t>Cours de perfectionnement, forums, formations et séminaires à l'intention des professionnels sur des questions relatives au développement des compétences numériques du public pour accéder à l'art et à la culture.</w:t>
            </w:r>
          </w:p>
        </w:tc>
      </w:tr>
      <w:tr w:rsidR="00494741" w:rsidRPr="005E4E6A" w14:paraId="52B0D598" w14:textId="77777777" w:rsidTr="00F70C3B">
        <w:trPr>
          <w:trHeight w:val="750"/>
          <w:jc w:val="center"/>
        </w:trPr>
        <w:tc>
          <w:tcPr>
            <w:tcW w:w="9412" w:type="dxa"/>
            <w:tcBorders>
              <w:top w:val="single" w:sz="4" w:space="0" w:color="auto"/>
              <w:left w:val="single" w:sz="4" w:space="0" w:color="auto"/>
              <w:bottom w:val="single" w:sz="4" w:space="0" w:color="auto"/>
              <w:right w:val="single" w:sz="4" w:space="0" w:color="auto"/>
            </w:tcBorders>
            <w:hideMark/>
          </w:tcPr>
          <w:p w14:paraId="2F470BC0" w14:textId="451DA012" w:rsidR="00494741" w:rsidRPr="005E4E6A" w:rsidRDefault="00494741" w:rsidP="00334DBD">
            <w:pPr>
              <w:rPr>
                <w:bCs/>
                <w:szCs w:val="24"/>
                <w:lang w:val="fr-FR"/>
              </w:rPr>
            </w:pPr>
            <w:r w:rsidRPr="005E4E6A">
              <w:rPr>
                <w:b/>
                <w:bCs/>
                <w:szCs w:val="24"/>
                <w:lang w:val="fr-FR"/>
              </w:rPr>
              <w:lastRenderedPageBreak/>
              <w:t>CEI5</w:t>
            </w:r>
            <w:r w:rsidRPr="005E4E6A">
              <w:rPr>
                <w:bCs/>
                <w:szCs w:val="24"/>
                <w:lang w:val="fr-FR"/>
              </w:rPr>
              <w:t xml:space="preserve">: </w:t>
            </w:r>
            <w:r w:rsidRPr="005E4E6A">
              <w:rPr>
                <w:lang w:val="fr-FR"/>
              </w:rPr>
              <w:t>Développement des villes et communautés intelligentes.</w:t>
            </w:r>
          </w:p>
          <w:p w14:paraId="539A8201" w14:textId="6A5BA1A8" w:rsidR="00494741" w:rsidRPr="005E4E6A" w:rsidRDefault="00494741" w:rsidP="00334DBD">
            <w:pPr>
              <w:rPr>
                <w:b/>
                <w:bCs/>
                <w:szCs w:val="24"/>
                <w:lang w:val="fr-FR"/>
              </w:rPr>
            </w:pPr>
            <w:r w:rsidRPr="005E4E6A">
              <w:rPr>
                <w:b/>
                <w:bCs/>
                <w:szCs w:val="24"/>
                <w:lang w:val="fr-FR"/>
              </w:rPr>
              <w:t>Objectif</w:t>
            </w:r>
            <w:r w:rsidRPr="005E4E6A">
              <w:rPr>
                <w:bCs/>
                <w:szCs w:val="24"/>
                <w:lang w:val="fr-FR"/>
              </w:rPr>
              <w:t xml:space="preserve">: </w:t>
            </w:r>
            <w:r w:rsidRPr="005E4E6A">
              <w:rPr>
                <w:szCs w:val="24"/>
                <w:lang w:val="fr-FR"/>
              </w:rPr>
              <w:t>Fournir aux États Membres de l'UIT de la région une assistance concernant l'élaboration de cadres juridiques et réglementaires, la création de l'infrastructure nécessaire, la mise en place de services et applications modernes pour différents aspects des villes et communautés intelligentes (éducation, soins de santé, tourisme, transports, énergie, sécurité, environnement, etc.) et l'amélioration de la maîtrise des outils numériques pour les habitants, les entreprises et les autorités.</w:t>
            </w:r>
          </w:p>
          <w:p w14:paraId="697A39DD" w14:textId="60D59AD5" w:rsidR="00494741" w:rsidRPr="005E4E6A" w:rsidRDefault="00494741" w:rsidP="00334DBD">
            <w:pPr>
              <w:pStyle w:val="Headingb"/>
              <w:rPr>
                <w:lang w:val="fr-FR"/>
              </w:rPr>
            </w:pPr>
            <w:r w:rsidRPr="005E4E6A">
              <w:rPr>
                <w:lang w:val="fr-FR"/>
              </w:rPr>
              <w:t>Résultats attendus</w:t>
            </w:r>
            <w:r w:rsidRPr="005E4E6A">
              <w:rPr>
                <w:b w:val="0"/>
                <w:bCs/>
                <w:lang w:val="fr-FR"/>
              </w:rPr>
              <w:t>:</w:t>
            </w:r>
          </w:p>
          <w:p w14:paraId="110ABF2F" w14:textId="646E8B25" w:rsidR="00494741" w:rsidRPr="005E4E6A" w:rsidRDefault="00494741" w:rsidP="00334DBD">
            <w:pPr>
              <w:pStyle w:val="enumlev1"/>
              <w:rPr>
                <w:bCs/>
                <w:lang w:val="fr-FR"/>
              </w:rPr>
            </w:pPr>
            <w:r w:rsidRPr="005E4E6A">
              <w:rPr>
                <w:lang w:val="fr-FR"/>
              </w:rPr>
              <w:t>1)</w:t>
            </w:r>
            <w:r w:rsidRPr="005E4E6A">
              <w:rPr>
                <w:lang w:val="fr-FR"/>
              </w:rPr>
              <w:tab/>
              <w:t>Recommandations relatives à l'élaboration d'un cadre juridique et réglementaire pour le développement des villes et communautés intelligentes à tous les niveaux d'architecture, ainsi qu'à l'aspect organisationnel du développement des villes et communautés intelligentes.</w:t>
            </w:r>
          </w:p>
          <w:p w14:paraId="64553721" w14:textId="675C7D9B" w:rsidR="00494741" w:rsidRPr="005E4E6A" w:rsidRDefault="00494741" w:rsidP="00334DBD">
            <w:pPr>
              <w:pStyle w:val="enumlev1"/>
              <w:rPr>
                <w:bCs/>
                <w:lang w:val="fr-FR"/>
              </w:rPr>
            </w:pPr>
            <w:r w:rsidRPr="005E4E6A">
              <w:rPr>
                <w:lang w:val="fr-FR"/>
              </w:rPr>
              <w:t>2)</w:t>
            </w:r>
            <w:r w:rsidRPr="005E4E6A">
              <w:rPr>
                <w:lang w:val="fr-FR"/>
              </w:rPr>
              <w:tab/>
              <w:t>Recommandations sur le développement de l'infrastructure nécessaire, y compris sur l'utilisation des télécommunications et d'autres supports de connectivité afin d'appuyer et de faciliter le développement durable des villes et communautés intelligentes et durables dans les pays en développement.</w:t>
            </w:r>
          </w:p>
          <w:p w14:paraId="3430CAA6" w14:textId="5D58B456" w:rsidR="00494741" w:rsidRPr="005E4E6A" w:rsidRDefault="00494741" w:rsidP="00334DBD">
            <w:pPr>
              <w:pStyle w:val="enumlev1"/>
              <w:rPr>
                <w:bCs/>
                <w:lang w:val="fr-FR"/>
              </w:rPr>
            </w:pPr>
            <w:r w:rsidRPr="005E4E6A">
              <w:rPr>
                <w:lang w:val="fr-FR"/>
              </w:rPr>
              <w:t>3)</w:t>
            </w:r>
            <w:r w:rsidRPr="005E4E6A">
              <w:rPr>
                <w:lang w:val="fr-FR"/>
              </w:rPr>
              <w:tab/>
              <w:t>Exécution de projets pilotes concernant différents aspects du développement des villes et communautés intelligentes (éducation, soins de santé, tourisme, transports, énergie, sécurité, environnement, etc.).</w:t>
            </w:r>
          </w:p>
          <w:p w14:paraId="4EDB1E17" w14:textId="5C53CE05" w:rsidR="00494741" w:rsidRPr="005E4E6A" w:rsidRDefault="00494741" w:rsidP="00334DBD">
            <w:pPr>
              <w:pStyle w:val="enumlev1"/>
              <w:rPr>
                <w:bCs/>
                <w:lang w:val="fr-FR"/>
              </w:rPr>
            </w:pPr>
            <w:r w:rsidRPr="005E4E6A">
              <w:rPr>
                <w:lang w:val="fr-FR"/>
              </w:rPr>
              <w:t>4)</w:t>
            </w:r>
            <w:r w:rsidRPr="005E4E6A">
              <w:rPr>
                <w:lang w:val="fr-FR"/>
              </w:rPr>
              <w:tab/>
              <w:t>Système de notation et d'indicateurs fondamentaux de performance pour les villes et communautés intelligentes.</w:t>
            </w:r>
          </w:p>
          <w:p w14:paraId="471E45C0" w14:textId="2198FE03" w:rsidR="00494741" w:rsidRPr="005E4E6A" w:rsidRDefault="00494741" w:rsidP="00EE7DEB">
            <w:pPr>
              <w:pStyle w:val="enumlev1"/>
              <w:keepNext/>
              <w:keepLines/>
              <w:rPr>
                <w:bCs/>
                <w:lang w:val="fr-FR"/>
              </w:rPr>
            </w:pPr>
            <w:r w:rsidRPr="005E4E6A">
              <w:rPr>
                <w:lang w:val="fr-FR"/>
              </w:rPr>
              <w:t>5)</w:t>
            </w:r>
            <w:r w:rsidRPr="005E4E6A">
              <w:rPr>
                <w:lang w:val="fr-FR"/>
              </w:rPr>
              <w:tab/>
              <w:t>Poursuite de l'organisation de cours, de séances de formation et de séminaires sur des questions relatives au développement des villes et communautés intelligentes et amélioration de la maîtrise des outils numériques pour les habitants, les entreprises et les autorités.</w:t>
            </w:r>
          </w:p>
        </w:tc>
        <w:bookmarkEnd w:id="12"/>
        <w:bookmarkEnd w:id="13"/>
      </w:tr>
    </w:tbl>
    <w:p w14:paraId="7F37F8C7" w14:textId="59C203F8" w:rsidR="00541732" w:rsidRPr="005E4E6A" w:rsidRDefault="00541732" w:rsidP="00334DBD">
      <w:pPr>
        <w:spacing w:before="360"/>
        <w:jc w:val="center"/>
        <w:rPr>
          <w:lang w:val="fr-FR"/>
        </w:rPr>
      </w:pPr>
      <w:r w:rsidRPr="005E4E6A">
        <w:rPr>
          <w:lang w:val="fr-FR"/>
        </w:rPr>
        <w:t>______________</w:t>
      </w:r>
    </w:p>
    <w:sectPr w:rsidR="00541732" w:rsidRPr="005E4E6A" w:rsidSect="00504609">
      <w:headerReference w:type="default" r:id="rId53"/>
      <w:footerReference w:type="default" r:id="rId54"/>
      <w:footerReference w:type="first" r:id="rId55"/>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DDBB6" w14:textId="77777777" w:rsidR="00AD387D" w:rsidRDefault="00AD387D">
      <w:r>
        <w:separator/>
      </w:r>
    </w:p>
  </w:endnote>
  <w:endnote w:type="continuationSeparator" w:id="0">
    <w:p w14:paraId="7887858B" w14:textId="77777777" w:rsidR="00AD387D" w:rsidRDefault="00AD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F584" w14:textId="285A768F" w:rsidR="00734D43" w:rsidRDefault="005E4E6A" w:rsidP="00A35B07">
    <w:pPr>
      <w:pStyle w:val="Footer"/>
    </w:pPr>
    <w:fldSimple w:instr=" FILENAME \p  \* MERGEFORMAT ">
      <w:r w:rsidR="00494741">
        <w:t>P:\FRA\ITU-D\CONF-D\RPMS\CIS\000\037F.docx</w:t>
      </w:r>
    </w:fldSimple>
    <w:r w:rsidR="00734D43">
      <w:t xml:space="preserve"> (487399)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Pr>
    <w:tblGrid>
      <w:gridCol w:w="1431"/>
      <w:gridCol w:w="2251"/>
      <w:gridCol w:w="5959"/>
    </w:tblGrid>
    <w:tr w:rsidR="00734D43" w:rsidRPr="00DD506E" w14:paraId="38041CC2" w14:textId="77777777" w:rsidTr="00BC6803">
      <w:tc>
        <w:tcPr>
          <w:tcW w:w="1431" w:type="dxa"/>
          <w:tcBorders>
            <w:top w:val="single" w:sz="4" w:space="0" w:color="000000"/>
          </w:tcBorders>
          <w:shd w:val="clear" w:color="auto" w:fill="auto"/>
        </w:tcPr>
        <w:p w14:paraId="2D3EB904" w14:textId="77777777" w:rsidR="00734D43" w:rsidRPr="004D495C" w:rsidRDefault="00734D43" w:rsidP="00BE2C7A">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734D43" w:rsidRPr="004D495C" w:rsidRDefault="00734D43" w:rsidP="00BE2C7A">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left w:val="nil"/>
            <w:bottom w:val="nil"/>
            <w:right w:val="nil"/>
          </w:tcBorders>
        </w:tcPr>
        <w:p w14:paraId="48712779" w14:textId="5A328868" w:rsidR="00734D43" w:rsidRPr="00BE2C7A" w:rsidRDefault="00734D43" w:rsidP="00814B62">
          <w:pPr>
            <w:pStyle w:val="FirstFooter"/>
            <w:rPr>
              <w:sz w:val="18"/>
              <w:szCs w:val="18"/>
              <w:highlight w:val="yellow"/>
            </w:rPr>
          </w:pPr>
          <w:r w:rsidRPr="00BE2C7A">
            <w:rPr>
              <w:sz w:val="18"/>
              <w:szCs w:val="18"/>
            </w:rPr>
            <w:t xml:space="preserve">M. Rashid Ismailov, </w:t>
          </w:r>
          <w:r>
            <w:rPr>
              <w:sz w:val="18"/>
              <w:szCs w:val="18"/>
            </w:rPr>
            <w:t>Président de la RPM-CEI</w:t>
          </w:r>
          <w:r w:rsidRPr="00BE2C7A">
            <w:rPr>
              <w:sz w:val="18"/>
              <w:szCs w:val="18"/>
            </w:rPr>
            <w:t>, Ministère du développement numérique, des communications et des médias (Fédération de Russie)</w:t>
          </w:r>
        </w:p>
      </w:tc>
    </w:tr>
    <w:tr w:rsidR="00734D43" w:rsidRPr="004D495C" w14:paraId="6EA353CC" w14:textId="77777777" w:rsidTr="00BC6803">
      <w:tc>
        <w:tcPr>
          <w:tcW w:w="1431" w:type="dxa"/>
          <w:shd w:val="clear" w:color="auto" w:fill="auto"/>
        </w:tcPr>
        <w:p w14:paraId="10D0031D" w14:textId="77777777" w:rsidR="00734D43" w:rsidRPr="00BE2C7A" w:rsidRDefault="00734D43" w:rsidP="00BE2C7A">
          <w:pPr>
            <w:pStyle w:val="FirstFooter"/>
            <w:tabs>
              <w:tab w:val="left" w:pos="1559"/>
              <w:tab w:val="left" w:pos="3828"/>
            </w:tabs>
            <w:rPr>
              <w:sz w:val="20"/>
            </w:rPr>
          </w:pPr>
        </w:p>
      </w:tc>
      <w:tc>
        <w:tcPr>
          <w:tcW w:w="2251" w:type="dxa"/>
        </w:tcPr>
        <w:p w14:paraId="171431B3" w14:textId="77777777" w:rsidR="00734D43" w:rsidRPr="004D495C" w:rsidRDefault="00734D43" w:rsidP="00BE2C7A">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9" w:type="dxa"/>
        </w:tcPr>
        <w:p w14:paraId="7CC36269" w14:textId="42730352" w:rsidR="00734D43" w:rsidRPr="00BE2C7A" w:rsidRDefault="00734D43" w:rsidP="00BE2C7A">
          <w:pPr>
            <w:pStyle w:val="FirstFooter"/>
            <w:tabs>
              <w:tab w:val="left" w:pos="2302"/>
            </w:tabs>
            <w:rPr>
              <w:sz w:val="18"/>
              <w:szCs w:val="18"/>
              <w:highlight w:val="yellow"/>
              <w:lang w:val="en-US"/>
            </w:rPr>
          </w:pPr>
          <w:bookmarkStart w:id="16" w:name="PhoneNo"/>
          <w:bookmarkEnd w:id="16"/>
          <w:r w:rsidRPr="00BE2C7A">
            <w:rPr>
              <w:sz w:val="18"/>
              <w:szCs w:val="18"/>
            </w:rPr>
            <w:t>n/a</w:t>
          </w:r>
        </w:p>
      </w:tc>
    </w:tr>
    <w:tr w:rsidR="00734D43" w:rsidRPr="004D495C" w14:paraId="0B41BBE9" w14:textId="77777777" w:rsidTr="00BC6803">
      <w:tc>
        <w:tcPr>
          <w:tcW w:w="1431" w:type="dxa"/>
          <w:shd w:val="clear" w:color="auto" w:fill="auto"/>
        </w:tcPr>
        <w:p w14:paraId="0AD2AA7B" w14:textId="77777777" w:rsidR="00734D43" w:rsidRPr="004D495C" w:rsidRDefault="00734D43" w:rsidP="00BE2C7A">
          <w:pPr>
            <w:pStyle w:val="FirstFooter"/>
            <w:tabs>
              <w:tab w:val="left" w:pos="1559"/>
              <w:tab w:val="left" w:pos="3828"/>
            </w:tabs>
            <w:rPr>
              <w:sz w:val="20"/>
              <w:lang w:val="en-US"/>
            </w:rPr>
          </w:pPr>
        </w:p>
      </w:tc>
      <w:tc>
        <w:tcPr>
          <w:tcW w:w="2251" w:type="dxa"/>
        </w:tcPr>
        <w:p w14:paraId="4EE2DD6A" w14:textId="77777777" w:rsidR="00734D43" w:rsidRPr="004D495C" w:rsidRDefault="00734D43" w:rsidP="00BE2C7A">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bookmarkStart w:id="17" w:name="Email"/>
      <w:bookmarkEnd w:id="17"/>
      <w:tc>
        <w:tcPr>
          <w:tcW w:w="5959" w:type="dxa"/>
        </w:tcPr>
        <w:p w14:paraId="70551634" w14:textId="515334EF" w:rsidR="00734D43" w:rsidRPr="00BE2C7A" w:rsidRDefault="00734D43" w:rsidP="00BE2C7A">
          <w:pPr>
            <w:pStyle w:val="FirstFooter"/>
            <w:tabs>
              <w:tab w:val="left" w:pos="2302"/>
            </w:tabs>
            <w:rPr>
              <w:sz w:val="18"/>
              <w:szCs w:val="18"/>
              <w:highlight w:val="yellow"/>
              <w:lang w:val="en-US"/>
            </w:rPr>
          </w:pPr>
          <w:r w:rsidRPr="00BE2C7A">
            <w:rPr>
              <w:sz w:val="18"/>
              <w:szCs w:val="18"/>
            </w:rPr>
            <w:fldChar w:fldCharType="begin"/>
          </w:r>
          <w:r w:rsidRPr="00BE2C7A">
            <w:rPr>
              <w:sz w:val="18"/>
              <w:szCs w:val="18"/>
            </w:rPr>
            <w:instrText xml:space="preserve"> HYPERLINK "mailto:rrismailov@beeline.ru" </w:instrText>
          </w:r>
          <w:r w:rsidRPr="00BE2C7A">
            <w:rPr>
              <w:sz w:val="18"/>
              <w:szCs w:val="18"/>
            </w:rPr>
            <w:fldChar w:fldCharType="separate"/>
          </w:r>
          <w:r w:rsidRPr="00BE2C7A">
            <w:rPr>
              <w:rStyle w:val="Hyperlink"/>
              <w:sz w:val="18"/>
              <w:szCs w:val="18"/>
            </w:rPr>
            <w:t>rrismailov@beeline.ru</w:t>
          </w:r>
          <w:r w:rsidRPr="00BE2C7A">
            <w:rPr>
              <w:sz w:val="18"/>
              <w:szCs w:val="18"/>
            </w:rPr>
            <w:fldChar w:fldCharType="end"/>
          </w:r>
        </w:p>
      </w:tc>
    </w:tr>
  </w:tbl>
  <w:p w14:paraId="73D28639" w14:textId="4E4ED5C7" w:rsidR="00734D43" w:rsidRPr="00523157" w:rsidRDefault="009E6BFC" w:rsidP="00523157">
    <w:pPr>
      <w:jc w:val="center"/>
      <w:rPr>
        <w:sz w:val="20"/>
        <w:szCs w:val="16"/>
      </w:rPr>
    </w:pPr>
    <w:hyperlink r:id="rId1" w:history="1">
      <w:r w:rsidR="00734D43">
        <w:rPr>
          <w:rStyle w:val="Hyperlink"/>
          <w:sz w:val="20"/>
          <w:szCs w:val="16"/>
        </w:rPr>
        <w:t>RPM-CIS21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1682" w14:textId="77777777" w:rsidR="00AD387D" w:rsidRDefault="00AD387D">
      <w:r>
        <w:separator/>
      </w:r>
    </w:p>
  </w:footnote>
  <w:footnote w:type="continuationSeparator" w:id="0">
    <w:p w14:paraId="1F6B60A4" w14:textId="77777777" w:rsidR="00AD387D" w:rsidRDefault="00AD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869D" w14:textId="64A40D3F" w:rsidR="00734D43" w:rsidRPr="00FF089C" w:rsidRDefault="00734D43"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4" w:name="DocRef2"/>
    <w:bookmarkEnd w:id="14"/>
    <w:r w:rsidRPr="00FF089C">
      <w:rPr>
        <w:sz w:val="22"/>
        <w:szCs w:val="22"/>
        <w:lang w:val="es-ES_tradnl"/>
      </w:rPr>
      <w:t>RPM-</w:t>
    </w:r>
    <w:r>
      <w:rPr>
        <w:sz w:val="22"/>
        <w:szCs w:val="22"/>
        <w:lang w:val="es-ES_tradnl"/>
      </w:rPr>
      <w:t>CIS21</w:t>
    </w:r>
    <w:r w:rsidRPr="00FF089C">
      <w:rPr>
        <w:sz w:val="22"/>
        <w:szCs w:val="22"/>
        <w:lang w:val="es-ES_tradnl"/>
      </w:rPr>
      <w:t>/</w:t>
    </w:r>
    <w:bookmarkStart w:id="15" w:name="DocNo2"/>
    <w:bookmarkEnd w:id="15"/>
    <w:r>
      <w:rPr>
        <w:sz w:val="22"/>
        <w:szCs w:val="22"/>
        <w:lang w:val="es-ES_tradnl"/>
      </w:rPr>
      <w:t>37</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3C35313"/>
    <w:multiLevelType w:val="hybridMultilevel"/>
    <w:tmpl w:val="77FC9D50"/>
    <w:lvl w:ilvl="0" w:tplc="0C090011">
      <w:start w:val="1"/>
      <w:numFmt w:val="decimal"/>
      <w:lvlText w:val="%1)"/>
      <w:lvlJc w:val="left"/>
      <w:pPr>
        <w:ind w:left="422" w:hanging="420"/>
      </w:pPr>
    </w:lvl>
    <w:lvl w:ilvl="1" w:tplc="04090017">
      <w:start w:val="1"/>
      <w:numFmt w:val="aiueoFullWidth"/>
      <w:lvlText w:val="(%2)"/>
      <w:lvlJc w:val="left"/>
      <w:pPr>
        <w:ind w:left="842" w:hanging="420"/>
      </w:p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04090017">
      <w:start w:val="1"/>
      <w:numFmt w:val="aiueoFullWidth"/>
      <w:lvlText w:val="(%5)"/>
      <w:lvlJc w:val="left"/>
      <w:pPr>
        <w:ind w:left="2102" w:hanging="420"/>
      </w:pPr>
    </w:lvl>
    <w:lvl w:ilvl="5" w:tplc="04090011">
      <w:start w:val="1"/>
      <w:numFmt w:val="decimalEnclosedCircle"/>
      <w:lvlText w:val="%6"/>
      <w:lvlJc w:val="left"/>
      <w:pPr>
        <w:ind w:left="2522" w:hanging="420"/>
      </w:pPr>
    </w:lvl>
    <w:lvl w:ilvl="6" w:tplc="0409000F">
      <w:start w:val="1"/>
      <w:numFmt w:val="decimal"/>
      <w:lvlText w:val="%7."/>
      <w:lvlJc w:val="left"/>
      <w:pPr>
        <w:ind w:left="2942" w:hanging="420"/>
      </w:pPr>
    </w:lvl>
    <w:lvl w:ilvl="7" w:tplc="04090017">
      <w:start w:val="1"/>
      <w:numFmt w:val="aiueoFullWidth"/>
      <w:lvlText w:val="(%8)"/>
      <w:lvlJc w:val="left"/>
      <w:pPr>
        <w:ind w:left="3362" w:hanging="420"/>
      </w:pPr>
    </w:lvl>
    <w:lvl w:ilvl="8" w:tplc="04090011">
      <w:start w:val="1"/>
      <w:numFmt w:val="decimalEnclosedCircle"/>
      <w:lvlText w:val="%9"/>
      <w:lvlJc w:val="left"/>
      <w:pPr>
        <w:ind w:left="3782" w:hanging="420"/>
      </w:pPr>
    </w:lvl>
  </w:abstractNum>
  <w:abstractNum w:abstractNumId="15" w15:restartNumberingAfterBreak="0">
    <w:nsid w:val="22BD5780"/>
    <w:multiLevelType w:val="hybridMultilevel"/>
    <w:tmpl w:val="77FC9D50"/>
    <w:lvl w:ilvl="0" w:tplc="0C090011">
      <w:start w:val="1"/>
      <w:numFmt w:val="decimal"/>
      <w:lvlText w:val="%1)"/>
      <w:lvlJc w:val="left"/>
      <w:pPr>
        <w:ind w:left="422" w:hanging="420"/>
      </w:pPr>
    </w:lvl>
    <w:lvl w:ilvl="1" w:tplc="04090017">
      <w:start w:val="1"/>
      <w:numFmt w:val="aiueoFullWidth"/>
      <w:lvlText w:val="(%2)"/>
      <w:lvlJc w:val="left"/>
      <w:pPr>
        <w:ind w:left="842" w:hanging="420"/>
      </w:p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04090017">
      <w:start w:val="1"/>
      <w:numFmt w:val="aiueoFullWidth"/>
      <w:lvlText w:val="(%5)"/>
      <w:lvlJc w:val="left"/>
      <w:pPr>
        <w:ind w:left="2102" w:hanging="420"/>
      </w:pPr>
    </w:lvl>
    <w:lvl w:ilvl="5" w:tplc="04090011">
      <w:start w:val="1"/>
      <w:numFmt w:val="decimalEnclosedCircle"/>
      <w:lvlText w:val="%6"/>
      <w:lvlJc w:val="left"/>
      <w:pPr>
        <w:ind w:left="2522" w:hanging="420"/>
      </w:pPr>
    </w:lvl>
    <w:lvl w:ilvl="6" w:tplc="0409000F">
      <w:start w:val="1"/>
      <w:numFmt w:val="decimal"/>
      <w:lvlText w:val="%7."/>
      <w:lvlJc w:val="left"/>
      <w:pPr>
        <w:ind w:left="2942" w:hanging="420"/>
      </w:pPr>
    </w:lvl>
    <w:lvl w:ilvl="7" w:tplc="04090017">
      <w:start w:val="1"/>
      <w:numFmt w:val="aiueoFullWidth"/>
      <w:lvlText w:val="(%8)"/>
      <w:lvlJc w:val="left"/>
      <w:pPr>
        <w:ind w:left="3362" w:hanging="420"/>
      </w:pPr>
    </w:lvl>
    <w:lvl w:ilvl="8" w:tplc="04090011">
      <w:start w:val="1"/>
      <w:numFmt w:val="decimalEnclosedCircle"/>
      <w:lvlText w:val="%9"/>
      <w:lvlJc w:val="left"/>
      <w:pPr>
        <w:ind w:left="3782" w:hanging="420"/>
      </w:pPr>
    </w:lvl>
  </w:abstractNum>
  <w:abstractNum w:abstractNumId="16"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E9C4D96"/>
    <w:multiLevelType w:val="hybridMultilevel"/>
    <w:tmpl w:val="E876AE20"/>
    <w:lvl w:ilvl="0" w:tplc="0C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A986312"/>
    <w:multiLevelType w:val="hybridMultilevel"/>
    <w:tmpl w:val="E876AE20"/>
    <w:lvl w:ilvl="0" w:tplc="0C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B00630"/>
    <w:multiLevelType w:val="hybridMultilevel"/>
    <w:tmpl w:val="E876AE20"/>
    <w:lvl w:ilvl="0" w:tplc="0C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1"/>
  </w:num>
  <w:num w:numId="14">
    <w:abstractNumId w:val="12"/>
  </w:num>
  <w:num w:numId="15">
    <w:abstractNumId w:val="18"/>
  </w:num>
  <w:num w:numId="16">
    <w:abstractNumId w:val="35"/>
  </w:num>
  <w:num w:numId="17">
    <w:abstractNumId w:val="29"/>
  </w:num>
  <w:num w:numId="18">
    <w:abstractNumId w:val="13"/>
  </w:num>
  <w:num w:numId="19">
    <w:abstractNumId w:val="19"/>
  </w:num>
  <w:num w:numId="20">
    <w:abstractNumId w:val="25"/>
  </w:num>
  <w:num w:numId="21">
    <w:abstractNumId w:val="30"/>
  </w:num>
  <w:num w:numId="22">
    <w:abstractNumId w:val="17"/>
  </w:num>
  <w:num w:numId="23">
    <w:abstractNumId w:val="21"/>
  </w:num>
  <w:num w:numId="24">
    <w:abstractNumId w:val="28"/>
  </w:num>
  <w:num w:numId="25">
    <w:abstractNumId w:val="28"/>
  </w:num>
  <w:num w:numId="26">
    <w:abstractNumId w:val="22"/>
  </w:num>
  <w:num w:numId="27">
    <w:abstractNumId w:val="16"/>
  </w:num>
  <w:num w:numId="28">
    <w:abstractNumId w:val="32"/>
  </w:num>
  <w:num w:numId="29">
    <w:abstractNumId w:val="11"/>
  </w:num>
  <w:num w:numId="30">
    <w:abstractNumId w:val="24"/>
  </w:num>
  <w:num w:numId="31">
    <w:abstractNumId w:val="33"/>
  </w:num>
  <w:num w:numId="32">
    <w:abstractNumId w:val="2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228AFF-F881-44BB-9B6A-286F3FF46481}"/>
    <w:docVar w:name="dgnword-eventsink" w:val="2225080412992"/>
  </w:docVars>
  <w:rsids>
    <w:rsidRoot w:val="0070796E"/>
    <w:rsid w:val="00003125"/>
    <w:rsid w:val="00005245"/>
    <w:rsid w:val="00006684"/>
    <w:rsid w:val="00015685"/>
    <w:rsid w:val="00015CED"/>
    <w:rsid w:val="00017BEC"/>
    <w:rsid w:val="00017E7D"/>
    <w:rsid w:val="00017E82"/>
    <w:rsid w:val="000209BE"/>
    <w:rsid w:val="00021A72"/>
    <w:rsid w:val="000221F5"/>
    <w:rsid w:val="00022BFD"/>
    <w:rsid w:val="00032DD2"/>
    <w:rsid w:val="000370A8"/>
    <w:rsid w:val="00051049"/>
    <w:rsid w:val="0006050B"/>
    <w:rsid w:val="00064145"/>
    <w:rsid w:val="00080665"/>
    <w:rsid w:val="00085784"/>
    <w:rsid w:val="0009676A"/>
    <w:rsid w:val="000A0187"/>
    <w:rsid w:val="000A3328"/>
    <w:rsid w:val="000D0403"/>
    <w:rsid w:val="000D4053"/>
    <w:rsid w:val="000D61A2"/>
    <w:rsid w:val="000D7961"/>
    <w:rsid w:val="000E397B"/>
    <w:rsid w:val="000F1580"/>
    <w:rsid w:val="000F1891"/>
    <w:rsid w:val="00104FD4"/>
    <w:rsid w:val="00113115"/>
    <w:rsid w:val="001229F6"/>
    <w:rsid w:val="00126A4C"/>
    <w:rsid w:val="00151478"/>
    <w:rsid w:val="0015200D"/>
    <w:rsid w:val="0015553B"/>
    <w:rsid w:val="00161A5A"/>
    <w:rsid w:val="00170AB9"/>
    <w:rsid w:val="00181928"/>
    <w:rsid w:val="00182E99"/>
    <w:rsid w:val="001856D7"/>
    <w:rsid w:val="00187E51"/>
    <w:rsid w:val="0019068E"/>
    <w:rsid w:val="00192DBD"/>
    <w:rsid w:val="0019399A"/>
    <w:rsid w:val="001A52E9"/>
    <w:rsid w:val="001B4B9B"/>
    <w:rsid w:val="001D3694"/>
    <w:rsid w:val="001E33AB"/>
    <w:rsid w:val="001E3BCF"/>
    <w:rsid w:val="001F4DA9"/>
    <w:rsid w:val="00205C4B"/>
    <w:rsid w:val="002066B3"/>
    <w:rsid w:val="002113C8"/>
    <w:rsid w:val="0021427F"/>
    <w:rsid w:val="00235915"/>
    <w:rsid w:val="00252877"/>
    <w:rsid w:val="00255DD0"/>
    <w:rsid w:val="00262B06"/>
    <w:rsid w:val="00266FDF"/>
    <w:rsid w:val="00270C45"/>
    <w:rsid w:val="002748B0"/>
    <w:rsid w:val="00275198"/>
    <w:rsid w:val="00275C95"/>
    <w:rsid w:val="0028054C"/>
    <w:rsid w:val="002869AF"/>
    <w:rsid w:val="00286A28"/>
    <w:rsid w:val="002900F9"/>
    <w:rsid w:val="00295878"/>
    <w:rsid w:val="002A3A4E"/>
    <w:rsid w:val="002B02FE"/>
    <w:rsid w:val="002B1A8F"/>
    <w:rsid w:val="002B2265"/>
    <w:rsid w:val="002C2930"/>
    <w:rsid w:val="002C67D8"/>
    <w:rsid w:val="002D0049"/>
    <w:rsid w:val="002E22E1"/>
    <w:rsid w:val="002F4E5B"/>
    <w:rsid w:val="003058DA"/>
    <w:rsid w:val="0030762F"/>
    <w:rsid w:val="00311BD3"/>
    <w:rsid w:val="00312685"/>
    <w:rsid w:val="00320F30"/>
    <w:rsid w:val="00334C18"/>
    <w:rsid w:val="00334DBD"/>
    <w:rsid w:val="00337D6E"/>
    <w:rsid w:val="00346264"/>
    <w:rsid w:val="003513DB"/>
    <w:rsid w:val="0036243F"/>
    <w:rsid w:val="00371BA4"/>
    <w:rsid w:val="0037652A"/>
    <w:rsid w:val="003805F7"/>
    <w:rsid w:val="00385ABF"/>
    <w:rsid w:val="00392AF3"/>
    <w:rsid w:val="003A0EE9"/>
    <w:rsid w:val="003A6A11"/>
    <w:rsid w:val="003B75F4"/>
    <w:rsid w:val="003C78E4"/>
    <w:rsid w:val="003D49E3"/>
    <w:rsid w:val="003E1FBB"/>
    <w:rsid w:val="003E20FF"/>
    <w:rsid w:val="003E43E4"/>
    <w:rsid w:val="00406F1F"/>
    <w:rsid w:val="004077C9"/>
    <w:rsid w:val="00407AEC"/>
    <w:rsid w:val="00414E6F"/>
    <w:rsid w:val="00415F06"/>
    <w:rsid w:val="00416D38"/>
    <w:rsid w:val="00417084"/>
    <w:rsid w:val="004211D8"/>
    <w:rsid w:val="00421F93"/>
    <w:rsid w:val="004220F8"/>
    <w:rsid w:val="004276FB"/>
    <w:rsid w:val="004331DF"/>
    <w:rsid w:val="0043566B"/>
    <w:rsid w:val="004430CE"/>
    <w:rsid w:val="00457453"/>
    <w:rsid w:val="0046327F"/>
    <w:rsid w:val="004705DE"/>
    <w:rsid w:val="00472A03"/>
    <w:rsid w:val="00475A24"/>
    <w:rsid w:val="00483313"/>
    <w:rsid w:val="00487A55"/>
    <w:rsid w:val="00492832"/>
    <w:rsid w:val="004935FE"/>
    <w:rsid w:val="00494741"/>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157"/>
    <w:rsid w:val="00523237"/>
    <w:rsid w:val="00523E05"/>
    <w:rsid w:val="005302F6"/>
    <w:rsid w:val="00541732"/>
    <w:rsid w:val="00542D84"/>
    <w:rsid w:val="00546F06"/>
    <w:rsid w:val="005543B5"/>
    <w:rsid w:val="00573DCE"/>
    <w:rsid w:val="0058604B"/>
    <w:rsid w:val="005B37AF"/>
    <w:rsid w:val="005B45E9"/>
    <w:rsid w:val="005B5914"/>
    <w:rsid w:val="005C0E75"/>
    <w:rsid w:val="005C33BC"/>
    <w:rsid w:val="005D0790"/>
    <w:rsid w:val="005D12FD"/>
    <w:rsid w:val="005E07F1"/>
    <w:rsid w:val="005E4E6A"/>
    <w:rsid w:val="00620E4A"/>
    <w:rsid w:val="00622A8F"/>
    <w:rsid w:val="006354E9"/>
    <w:rsid w:val="0064011F"/>
    <w:rsid w:val="00641CA0"/>
    <w:rsid w:val="006444D5"/>
    <w:rsid w:val="0065094C"/>
    <w:rsid w:val="0065224A"/>
    <w:rsid w:val="006527BD"/>
    <w:rsid w:val="00661E72"/>
    <w:rsid w:val="00663234"/>
    <w:rsid w:val="00667D1B"/>
    <w:rsid w:val="00667E12"/>
    <w:rsid w:val="00676C62"/>
    <w:rsid w:val="00677A58"/>
    <w:rsid w:val="00683C22"/>
    <w:rsid w:val="00685848"/>
    <w:rsid w:val="006A6F8F"/>
    <w:rsid w:val="006C0E12"/>
    <w:rsid w:val="006C7A7B"/>
    <w:rsid w:val="006D0B95"/>
    <w:rsid w:val="006D1217"/>
    <w:rsid w:val="006F1CE9"/>
    <w:rsid w:val="0070090A"/>
    <w:rsid w:val="0070796E"/>
    <w:rsid w:val="007274B6"/>
    <w:rsid w:val="00734D43"/>
    <w:rsid w:val="00735AC3"/>
    <w:rsid w:val="00735B54"/>
    <w:rsid w:val="00755605"/>
    <w:rsid w:val="00762A1E"/>
    <w:rsid w:val="007679D2"/>
    <w:rsid w:val="00770299"/>
    <w:rsid w:val="0077712F"/>
    <w:rsid w:val="00781933"/>
    <w:rsid w:val="00785979"/>
    <w:rsid w:val="00791D56"/>
    <w:rsid w:val="00794FF3"/>
    <w:rsid w:val="00795647"/>
    <w:rsid w:val="00797056"/>
    <w:rsid w:val="007B145B"/>
    <w:rsid w:val="007B5E61"/>
    <w:rsid w:val="007B7C19"/>
    <w:rsid w:val="007D6EED"/>
    <w:rsid w:val="007D7DB0"/>
    <w:rsid w:val="00800D40"/>
    <w:rsid w:val="00810A21"/>
    <w:rsid w:val="00811068"/>
    <w:rsid w:val="00813980"/>
    <w:rsid w:val="00814B62"/>
    <w:rsid w:val="00817846"/>
    <w:rsid w:val="00831C97"/>
    <w:rsid w:val="00833A72"/>
    <w:rsid w:val="00833F2B"/>
    <w:rsid w:val="008340D6"/>
    <w:rsid w:val="0083540C"/>
    <w:rsid w:val="00835BBF"/>
    <w:rsid w:val="00844CF8"/>
    <w:rsid w:val="0084734D"/>
    <w:rsid w:val="008527CD"/>
    <w:rsid w:val="00852CC6"/>
    <w:rsid w:val="00866663"/>
    <w:rsid w:val="00870D98"/>
    <w:rsid w:val="0087178D"/>
    <w:rsid w:val="008740CF"/>
    <w:rsid w:val="00881059"/>
    <w:rsid w:val="00882AA1"/>
    <w:rsid w:val="00883EFF"/>
    <w:rsid w:val="00885734"/>
    <w:rsid w:val="00891809"/>
    <w:rsid w:val="008A357D"/>
    <w:rsid w:val="008C7272"/>
    <w:rsid w:val="008D3620"/>
    <w:rsid w:val="008F2196"/>
    <w:rsid w:val="008F71DA"/>
    <w:rsid w:val="009043C2"/>
    <w:rsid w:val="009074FD"/>
    <w:rsid w:val="00912887"/>
    <w:rsid w:val="00915921"/>
    <w:rsid w:val="0092342C"/>
    <w:rsid w:val="00923456"/>
    <w:rsid w:val="0093043A"/>
    <w:rsid w:val="00930F7E"/>
    <w:rsid w:val="0093616B"/>
    <w:rsid w:val="00941145"/>
    <w:rsid w:val="0094145C"/>
    <w:rsid w:val="00942ED4"/>
    <w:rsid w:val="0094598F"/>
    <w:rsid w:val="00947092"/>
    <w:rsid w:val="00951378"/>
    <w:rsid w:val="00953C7D"/>
    <w:rsid w:val="0096235E"/>
    <w:rsid w:val="00967FBC"/>
    <w:rsid w:val="0097038C"/>
    <w:rsid w:val="009722DA"/>
    <w:rsid w:val="009A4E18"/>
    <w:rsid w:val="009A6FD6"/>
    <w:rsid w:val="009A7184"/>
    <w:rsid w:val="009B17EA"/>
    <w:rsid w:val="009B6F98"/>
    <w:rsid w:val="009C2BDB"/>
    <w:rsid w:val="009D7B40"/>
    <w:rsid w:val="009E3FEB"/>
    <w:rsid w:val="009E50D3"/>
    <w:rsid w:val="009E6BFC"/>
    <w:rsid w:val="009F680F"/>
    <w:rsid w:val="00A1087F"/>
    <w:rsid w:val="00A13179"/>
    <w:rsid w:val="00A140EB"/>
    <w:rsid w:val="00A16064"/>
    <w:rsid w:val="00A35B07"/>
    <w:rsid w:val="00A54CA6"/>
    <w:rsid w:val="00A63B8A"/>
    <w:rsid w:val="00A65745"/>
    <w:rsid w:val="00A824E0"/>
    <w:rsid w:val="00A840C6"/>
    <w:rsid w:val="00A85C06"/>
    <w:rsid w:val="00AB4706"/>
    <w:rsid w:val="00AC3A1D"/>
    <w:rsid w:val="00AC5D98"/>
    <w:rsid w:val="00AC7AC6"/>
    <w:rsid w:val="00AD2FB3"/>
    <w:rsid w:val="00AD387D"/>
    <w:rsid w:val="00AD799C"/>
    <w:rsid w:val="00AE1C97"/>
    <w:rsid w:val="00AE2BCA"/>
    <w:rsid w:val="00AE3B98"/>
    <w:rsid w:val="00AF0A2E"/>
    <w:rsid w:val="00AF4619"/>
    <w:rsid w:val="00B055E8"/>
    <w:rsid w:val="00B13550"/>
    <w:rsid w:val="00B154AD"/>
    <w:rsid w:val="00B2033A"/>
    <w:rsid w:val="00B20B08"/>
    <w:rsid w:val="00B24401"/>
    <w:rsid w:val="00B30508"/>
    <w:rsid w:val="00B34B6C"/>
    <w:rsid w:val="00B402E3"/>
    <w:rsid w:val="00B4143C"/>
    <w:rsid w:val="00B41935"/>
    <w:rsid w:val="00B4328A"/>
    <w:rsid w:val="00B46EC5"/>
    <w:rsid w:val="00B50E11"/>
    <w:rsid w:val="00B528E2"/>
    <w:rsid w:val="00B532C0"/>
    <w:rsid w:val="00B53C8D"/>
    <w:rsid w:val="00B60B80"/>
    <w:rsid w:val="00B737F7"/>
    <w:rsid w:val="00B830A9"/>
    <w:rsid w:val="00B8577A"/>
    <w:rsid w:val="00B8609C"/>
    <w:rsid w:val="00B95F83"/>
    <w:rsid w:val="00BA2A7B"/>
    <w:rsid w:val="00BB67AF"/>
    <w:rsid w:val="00BC1350"/>
    <w:rsid w:val="00BC3A1E"/>
    <w:rsid w:val="00BC60E4"/>
    <w:rsid w:val="00BC6803"/>
    <w:rsid w:val="00BC6A2F"/>
    <w:rsid w:val="00BE2C7A"/>
    <w:rsid w:val="00BE515F"/>
    <w:rsid w:val="00BE77DE"/>
    <w:rsid w:val="00BF1682"/>
    <w:rsid w:val="00C06674"/>
    <w:rsid w:val="00C0729A"/>
    <w:rsid w:val="00C26729"/>
    <w:rsid w:val="00C365BE"/>
    <w:rsid w:val="00C37B27"/>
    <w:rsid w:val="00C53CE6"/>
    <w:rsid w:val="00C551FC"/>
    <w:rsid w:val="00C62651"/>
    <w:rsid w:val="00C648E4"/>
    <w:rsid w:val="00C65376"/>
    <w:rsid w:val="00C7575C"/>
    <w:rsid w:val="00C75DBB"/>
    <w:rsid w:val="00C837F9"/>
    <w:rsid w:val="00C84158"/>
    <w:rsid w:val="00C84E60"/>
    <w:rsid w:val="00C87522"/>
    <w:rsid w:val="00CA2385"/>
    <w:rsid w:val="00CE4F06"/>
    <w:rsid w:val="00CF63E1"/>
    <w:rsid w:val="00D00614"/>
    <w:rsid w:val="00D17DC5"/>
    <w:rsid w:val="00D17E2D"/>
    <w:rsid w:val="00D27001"/>
    <w:rsid w:val="00D35307"/>
    <w:rsid w:val="00D4563B"/>
    <w:rsid w:val="00D80072"/>
    <w:rsid w:val="00D839D8"/>
    <w:rsid w:val="00D852A7"/>
    <w:rsid w:val="00D92439"/>
    <w:rsid w:val="00DA1664"/>
    <w:rsid w:val="00DA2F6F"/>
    <w:rsid w:val="00DA3130"/>
    <w:rsid w:val="00DB5B1B"/>
    <w:rsid w:val="00DB6C98"/>
    <w:rsid w:val="00DD0380"/>
    <w:rsid w:val="00DD05EF"/>
    <w:rsid w:val="00DD2525"/>
    <w:rsid w:val="00DD506E"/>
    <w:rsid w:val="00DD5A07"/>
    <w:rsid w:val="00DE3F2D"/>
    <w:rsid w:val="00DE460C"/>
    <w:rsid w:val="00E16774"/>
    <w:rsid w:val="00E207C7"/>
    <w:rsid w:val="00E2379D"/>
    <w:rsid w:val="00E244D1"/>
    <w:rsid w:val="00E24B40"/>
    <w:rsid w:val="00E36132"/>
    <w:rsid w:val="00E45EB4"/>
    <w:rsid w:val="00E7476B"/>
    <w:rsid w:val="00E74841"/>
    <w:rsid w:val="00E84413"/>
    <w:rsid w:val="00E97390"/>
    <w:rsid w:val="00E97800"/>
    <w:rsid w:val="00EA3797"/>
    <w:rsid w:val="00EA467D"/>
    <w:rsid w:val="00EA6520"/>
    <w:rsid w:val="00EA72D0"/>
    <w:rsid w:val="00EC55BB"/>
    <w:rsid w:val="00EE7DEB"/>
    <w:rsid w:val="00EF62C8"/>
    <w:rsid w:val="00F2422E"/>
    <w:rsid w:val="00F262A7"/>
    <w:rsid w:val="00F35A0C"/>
    <w:rsid w:val="00F40E2E"/>
    <w:rsid w:val="00F529F1"/>
    <w:rsid w:val="00F620CA"/>
    <w:rsid w:val="00F70C3B"/>
    <w:rsid w:val="00F74154"/>
    <w:rsid w:val="00F842D3"/>
    <w:rsid w:val="00F87092"/>
    <w:rsid w:val="00F87918"/>
    <w:rsid w:val="00FA1D20"/>
    <w:rsid w:val="00FB7AEF"/>
    <w:rsid w:val="00FC045D"/>
    <w:rsid w:val="00FC4974"/>
    <w:rsid w:val="00FC6E58"/>
    <w:rsid w:val="00FC721F"/>
    <w:rsid w:val="00FD281F"/>
    <w:rsid w:val="00FE64B2"/>
    <w:rsid w:val="00FE7F01"/>
    <w:rsid w:val="00FF089C"/>
    <w:rsid w:val="00FF125F"/>
    <w:rsid w:val="00FF2B4D"/>
    <w:rsid w:val="00FF3188"/>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qFormat/>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4173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23782">
      <w:bodyDiv w:val="1"/>
      <w:marLeft w:val="0"/>
      <w:marRight w:val="0"/>
      <w:marTop w:val="0"/>
      <w:marBottom w:val="0"/>
      <w:divBdr>
        <w:top w:val="none" w:sz="0" w:space="0" w:color="auto"/>
        <w:left w:val="none" w:sz="0" w:space="0" w:color="auto"/>
        <w:bottom w:val="none" w:sz="0" w:space="0" w:color="auto"/>
        <w:right w:val="none" w:sz="0" w:space="0" w:color="auto"/>
      </w:divBdr>
    </w:div>
    <w:div w:id="226889327">
      <w:bodyDiv w:val="1"/>
      <w:marLeft w:val="0"/>
      <w:marRight w:val="0"/>
      <w:marTop w:val="0"/>
      <w:marBottom w:val="0"/>
      <w:divBdr>
        <w:top w:val="none" w:sz="0" w:space="0" w:color="auto"/>
        <w:left w:val="none" w:sz="0" w:space="0" w:color="auto"/>
        <w:bottom w:val="none" w:sz="0" w:space="0" w:color="auto"/>
        <w:right w:val="none" w:sz="0" w:space="0" w:color="auto"/>
      </w:divBdr>
    </w:div>
    <w:div w:id="232013989">
      <w:bodyDiv w:val="1"/>
      <w:marLeft w:val="0"/>
      <w:marRight w:val="0"/>
      <w:marTop w:val="0"/>
      <w:marBottom w:val="0"/>
      <w:divBdr>
        <w:top w:val="none" w:sz="0" w:space="0" w:color="auto"/>
        <w:left w:val="none" w:sz="0" w:space="0" w:color="auto"/>
        <w:bottom w:val="none" w:sz="0" w:space="0" w:color="auto"/>
        <w:right w:val="none" w:sz="0" w:space="0" w:color="auto"/>
      </w:divBdr>
    </w:div>
    <w:div w:id="362244896">
      <w:bodyDiv w:val="1"/>
      <w:marLeft w:val="0"/>
      <w:marRight w:val="0"/>
      <w:marTop w:val="0"/>
      <w:marBottom w:val="0"/>
      <w:divBdr>
        <w:top w:val="none" w:sz="0" w:space="0" w:color="auto"/>
        <w:left w:val="none" w:sz="0" w:space="0" w:color="auto"/>
        <w:bottom w:val="none" w:sz="0" w:space="0" w:color="auto"/>
        <w:right w:val="none" w:sz="0" w:space="0" w:color="auto"/>
      </w:divBdr>
    </w:div>
    <w:div w:id="446195934">
      <w:bodyDiv w:val="1"/>
      <w:marLeft w:val="0"/>
      <w:marRight w:val="0"/>
      <w:marTop w:val="0"/>
      <w:marBottom w:val="0"/>
      <w:divBdr>
        <w:top w:val="none" w:sz="0" w:space="0" w:color="auto"/>
        <w:left w:val="none" w:sz="0" w:space="0" w:color="auto"/>
        <w:bottom w:val="none" w:sz="0" w:space="0" w:color="auto"/>
        <w:right w:val="none" w:sz="0" w:space="0" w:color="auto"/>
      </w:divBdr>
    </w:div>
    <w:div w:id="664169795">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53864938">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176769236">
      <w:bodyDiv w:val="1"/>
      <w:marLeft w:val="0"/>
      <w:marRight w:val="0"/>
      <w:marTop w:val="0"/>
      <w:marBottom w:val="0"/>
      <w:divBdr>
        <w:top w:val="none" w:sz="0" w:space="0" w:color="auto"/>
        <w:left w:val="none" w:sz="0" w:space="0" w:color="auto"/>
        <w:bottom w:val="none" w:sz="0" w:space="0" w:color="auto"/>
        <w:right w:val="none" w:sz="0" w:space="0" w:color="auto"/>
      </w:divBdr>
    </w:div>
    <w:div w:id="1278565571">
      <w:bodyDiv w:val="1"/>
      <w:marLeft w:val="0"/>
      <w:marRight w:val="0"/>
      <w:marTop w:val="0"/>
      <w:marBottom w:val="0"/>
      <w:divBdr>
        <w:top w:val="none" w:sz="0" w:space="0" w:color="auto"/>
        <w:left w:val="none" w:sz="0" w:space="0" w:color="auto"/>
        <w:bottom w:val="none" w:sz="0" w:space="0" w:color="auto"/>
        <w:right w:val="none" w:sz="0" w:space="0" w:color="auto"/>
      </w:divBdr>
    </w:div>
    <w:div w:id="1370838664">
      <w:bodyDiv w:val="1"/>
      <w:marLeft w:val="0"/>
      <w:marRight w:val="0"/>
      <w:marTop w:val="0"/>
      <w:marBottom w:val="0"/>
      <w:divBdr>
        <w:top w:val="none" w:sz="0" w:space="0" w:color="auto"/>
        <w:left w:val="none" w:sz="0" w:space="0" w:color="auto"/>
        <w:bottom w:val="none" w:sz="0" w:space="0" w:color="auto"/>
        <w:right w:val="none" w:sz="0" w:space="0" w:color="auto"/>
      </w:divBdr>
    </w:div>
    <w:div w:id="1380932310">
      <w:bodyDiv w:val="1"/>
      <w:marLeft w:val="0"/>
      <w:marRight w:val="0"/>
      <w:marTop w:val="0"/>
      <w:marBottom w:val="0"/>
      <w:divBdr>
        <w:top w:val="none" w:sz="0" w:space="0" w:color="auto"/>
        <w:left w:val="none" w:sz="0" w:space="0" w:color="auto"/>
        <w:bottom w:val="none" w:sz="0" w:space="0" w:color="auto"/>
        <w:right w:val="none" w:sz="0" w:space="0" w:color="auto"/>
      </w:divBdr>
    </w:div>
    <w:div w:id="1536386243">
      <w:bodyDiv w:val="1"/>
      <w:marLeft w:val="0"/>
      <w:marRight w:val="0"/>
      <w:marTop w:val="0"/>
      <w:marBottom w:val="0"/>
      <w:divBdr>
        <w:top w:val="none" w:sz="0" w:space="0" w:color="auto"/>
        <w:left w:val="none" w:sz="0" w:space="0" w:color="auto"/>
        <w:bottom w:val="none" w:sz="0" w:space="0" w:color="auto"/>
        <w:right w:val="none" w:sz="0" w:space="0" w:color="auto"/>
      </w:divBdr>
    </w:div>
    <w:div w:id="1614634609">
      <w:bodyDiv w:val="1"/>
      <w:marLeft w:val="0"/>
      <w:marRight w:val="0"/>
      <w:marTop w:val="0"/>
      <w:marBottom w:val="0"/>
      <w:divBdr>
        <w:top w:val="none" w:sz="0" w:space="0" w:color="auto"/>
        <w:left w:val="none" w:sz="0" w:space="0" w:color="auto"/>
        <w:bottom w:val="none" w:sz="0" w:space="0" w:color="auto"/>
        <w:right w:val="none" w:sz="0" w:space="0" w:color="auto"/>
      </w:divBdr>
    </w:div>
    <w:div w:id="1789545656">
      <w:bodyDiv w:val="1"/>
      <w:marLeft w:val="0"/>
      <w:marRight w:val="0"/>
      <w:marTop w:val="0"/>
      <w:marBottom w:val="0"/>
      <w:divBdr>
        <w:top w:val="none" w:sz="0" w:space="0" w:color="auto"/>
        <w:left w:val="none" w:sz="0" w:space="0" w:color="auto"/>
        <w:bottom w:val="none" w:sz="0" w:space="0" w:color="auto"/>
        <w:right w:val="none" w:sz="0" w:space="0" w:color="auto"/>
      </w:divBdr>
    </w:div>
    <w:div w:id="1853951175">
      <w:bodyDiv w:val="1"/>
      <w:marLeft w:val="0"/>
      <w:marRight w:val="0"/>
      <w:marTop w:val="0"/>
      <w:marBottom w:val="0"/>
      <w:divBdr>
        <w:top w:val="none" w:sz="0" w:space="0" w:color="auto"/>
        <w:left w:val="none" w:sz="0" w:space="0" w:color="auto"/>
        <w:bottom w:val="none" w:sz="0" w:space="0" w:color="auto"/>
        <w:right w:val="none" w:sz="0" w:space="0" w:color="auto"/>
      </w:divBdr>
    </w:div>
    <w:div w:id="1984235907">
      <w:bodyDiv w:val="1"/>
      <w:marLeft w:val="0"/>
      <w:marRight w:val="0"/>
      <w:marTop w:val="0"/>
      <w:marBottom w:val="0"/>
      <w:divBdr>
        <w:top w:val="none" w:sz="0" w:space="0" w:color="auto"/>
        <w:left w:val="none" w:sz="0" w:space="0" w:color="auto"/>
        <w:bottom w:val="none" w:sz="0" w:space="0" w:color="auto"/>
        <w:right w:val="none" w:sz="0" w:space="0" w:color="auto"/>
      </w:divBdr>
    </w:div>
    <w:div w:id="2090081013">
      <w:bodyDiv w:val="1"/>
      <w:marLeft w:val="0"/>
      <w:marRight w:val="0"/>
      <w:marTop w:val="0"/>
      <w:marBottom w:val="0"/>
      <w:divBdr>
        <w:top w:val="none" w:sz="0" w:space="0" w:color="auto"/>
        <w:left w:val="none" w:sz="0" w:space="0" w:color="auto"/>
        <w:bottom w:val="none" w:sz="0" w:space="0" w:color="auto"/>
        <w:right w:val="none" w:sz="0" w:space="0" w:color="auto"/>
      </w:divBdr>
    </w:div>
    <w:div w:id="21436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CIS-C-0003/en" TargetMode="External"/><Relationship Id="rId18" Type="http://schemas.openxmlformats.org/officeDocument/2006/relationships/hyperlink" Target="https://www.itu.int/md/D18-RPMCIS-C-0006/en" TargetMode="External"/><Relationship Id="rId26" Type="http://schemas.openxmlformats.org/officeDocument/2006/relationships/hyperlink" Target="https://www.itu.int/md/D18-RPMCIS-C-0020/en" TargetMode="External"/><Relationship Id="rId39" Type="http://schemas.openxmlformats.org/officeDocument/2006/relationships/hyperlink" Target="https://www.itu.int/md/D18-RPMCIS-C-0021/en" TargetMode="External"/><Relationship Id="rId21" Type="http://schemas.openxmlformats.org/officeDocument/2006/relationships/hyperlink" Target="https://www.itu.int/md/meetingdoc.asp?lang=en&amp;parent=D18-RPMEUR-C-0008" TargetMode="External"/><Relationship Id="rId34" Type="http://schemas.openxmlformats.org/officeDocument/2006/relationships/hyperlink" Target="https://www.itu.int/md/D18-RPMCIS-C-0015/en" TargetMode="External"/><Relationship Id="rId42" Type="http://schemas.openxmlformats.org/officeDocument/2006/relationships/hyperlink" Target="https://www.itu.int/md/D18-RPMCIS-C-0024/en" TargetMode="External"/><Relationship Id="rId47" Type="http://schemas.openxmlformats.org/officeDocument/2006/relationships/hyperlink" Target="https://www.itu.int/md/D18-RPMCIS-C-0029/en" TargetMode="External"/><Relationship Id="rId50" Type="http://schemas.openxmlformats.org/officeDocument/2006/relationships/hyperlink" Target="https://www.itu.int/md/D18-RPMCIS-C-0034/en" TargetMode="External"/><Relationship Id="rId55"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s://www.itu.int/md/D18-RPMCIS-C-0002/en" TargetMode="External"/><Relationship Id="rId17" Type="http://schemas.openxmlformats.org/officeDocument/2006/relationships/hyperlink" Target="https://www.itu.int/md/meetingdoc.asp?lang=en&amp;parent=D18-RPMEUR-C-0006" TargetMode="External"/><Relationship Id="rId25" Type="http://schemas.openxmlformats.org/officeDocument/2006/relationships/hyperlink" Target="https://www.itu.int/md/D18-RPMCIS-C-0011/en" TargetMode="External"/><Relationship Id="rId33" Type="http://schemas.openxmlformats.org/officeDocument/2006/relationships/hyperlink" Target="https://www.itu.int/md/D18-RPMCIS-C-0014/en" TargetMode="External"/><Relationship Id="rId38" Type="http://schemas.openxmlformats.org/officeDocument/2006/relationships/hyperlink" Target="https://www.itu.int/md/D18-RPMCIS-C-0019/en" TargetMode="External"/><Relationship Id="rId46" Type="http://schemas.openxmlformats.org/officeDocument/2006/relationships/hyperlink" Target="https://www.itu.int/md/D18-RPMCIS-C-0028/en" TargetMode="External"/><Relationship Id="rId2" Type="http://schemas.openxmlformats.org/officeDocument/2006/relationships/styles" Target="styles.xml"/><Relationship Id="rId16" Type="http://schemas.openxmlformats.org/officeDocument/2006/relationships/hyperlink" Target="https://www.itu.int/md/D18-RPMCIS-C-0005/en" TargetMode="External"/><Relationship Id="rId20" Type="http://schemas.openxmlformats.org/officeDocument/2006/relationships/hyperlink" Target="https://www.itu.int/md/D18-RPMCIS-C-0007/en" TargetMode="External"/><Relationship Id="rId29" Type="http://schemas.openxmlformats.org/officeDocument/2006/relationships/hyperlink" Target="https://www.itu.int/md/D18-RPMCIS-C-0036/en" TargetMode="External"/><Relationship Id="rId41" Type="http://schemas.openxmlformats.org/officeDocument/2006/relationships/hyperlink" Target="https://www.itu.int/md/D18-RPMCIS-C-0023/e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RPMCIS-210421-TD-0001/en" TargetMode="External"/><Relationship Id="rId24" Type="http://schemas.openxmlformats.org/officeDocument/2006/relationships/hyperlink" Target="https://www.itu.int/md/D18-RPMCIS-C-0010/en" TargetMode="External"/><Relationship Id="rId32" Type="http://schemas.openxmlformats.org/officeDocument/2006/relationships/hyperlink" Target="https://www.itu.int/md/D18-RPMCIS-C-0013/en" TargetMode="External"/><Relationship Id="rId37" Type="http://schemas.openxmlformats.org/officeDocument/2006/relationships/hyperlink" Target="https://www.itu.int/md/D18-RPMCIS-C-0018/en" TargetMode="External"/><Relationship Id="rId40" Type="http://schemas.openxmlformats.org/officeDocument/2006/relationships/hyperlink" Target="https://www.itu.int/md/D18-RPMCIS-C-0022/en" TargetMode="External"/><Relationship Id="rId45" Type="http://schemas.openxmlformats.org/officeDocument/2006/relationships/hyperlink" Target="https://www.itu.int/md/D18-RPMCIS-C-0027/en"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en/ITU-D/Conferences/WTDC/WTDC17/Documents/WTDC17_final_report_en.pdf" TargetMode="External"/><Relationship Id="rId23" Type="http://schemas.openxmlformats.org/officeDocument/2006/relationships/hyperlink" Target="https://www.itu.int/md/D18-RPMCIS-C-0009/en" TargetMode="External"/><Relationship Id="rId28" Type="http://schemas.openxmlformats.org/officeDocument/2006/relationships/hyperlink" Target="https://www.itu.int/md/D18-RPMCIS-C-0035/en" TargetMode="External"/><Relationship Id="rId36" Type="http://schemas.openxmlformats.org/officeDocument/2006/relationships/hyperlink" Target="https://www.itu.int/md/D18-RPMCIS-C-0017/en" TargetMode="External"/><Relationship Id="rId49" Type="http://schemas.openxmlformats.org/officeDocument/2006/relationships/hyperlink" Target="https://www.itu.int/md/D18-RPMCIS-C-0033/en" TargetMode="External"/><Relationship Id="rId57" Type="http://schemas.openxmlformats.org/officeDocument/2006/relationships/theme" Target="theme/theme1.xml"/><Relationship Id="rId10" Type="http://schemas.openxmlformats.org/officeDocument/2006/relationships/hyperlink" Target="https://www.itu.int/md/D18-RPMCIS-C-0001" TargetMode="External"/><Relationship Id="rId19" Type="http://schemas.openxmlformats.org/officeDocument/2006/relationships/hyperlink" Target="https://www.itu.int/md/meetingdoc.asp?lang=en&amp;parent=D18-RPMEUR-C-0007" TargetMode="External"/><Relationship Id="rId31" Type="http://schemas.openxmlformats.org/officeDocument/2006/relationships/hyperlink" Target="https://www.itu.int/md/D18-RPMCIS-C-0012/en" TargetMode="External"/><Relationship Id="rId44" Type="http://schemas.openxmlformats.org/officeDocument/2006/relationships/hyperlink" Target="https://www.itu.int/md/D18-RPMCIS-C-0026/en" TargetMode="External"/><Relationship Id="rId52" Type="http://schemas.openxmlformats.org/officeDocument/2006/relationships/hyperlink" Target="https://www.itu.int/en/ITU-D/Conferences/WTDC/WTDC21/NoW/Pages/Events/Regional/CIS/2021_04.aspx" TargetMode="External"/><Relationship Id="rId4" Type="http://schemas.openxmlformats.org/officeDocument/2006/relationships/webSettings" Target="webSettings.xml"/><Relationship Id="rId9" Type="http://schemas.openxmlformats.org/officeDocument/2006/relationships/hyperlink" Target="https://www.itu.int/online/mm/scripts/s/gensel23?_lang=&amp;_event=C-00009412&amp;_event_type=ZSED" TargetMode="External"/><Relationship Id="rId14" Type="http://schemas.openxmlformats.org/officeDocument/2006/relationships/hyperlink" Target="https://www.itu.int/md/D18-RPMCIS-C-0004/en" TargetMode="External"/><Relationship Id="rId22" Type="http://schemas.openxmlformats.org/officeDocument/2006/relationships/hyperlink" Target="https://www.itu.int/md/D18-RPMCIS-C-0008/en" TargetMode="External"/><Relationship Id="rId27" Type="http://schemas.openxmlformats.org/officeDocument/2006/relationships/hyperlink" Target="https://www.itu.int/md/D18-RPMCIS-C-0031/en" TargetMode="External"/><Relationship Id="rId30" Type="http://schemas.openxmlformats.org/officeDocument/2006/relationships/hyperlink" Target="https://www.itu.int/md/D18-RPMCIS-C-0032/en" TargetMode="External"/><Relationship Id="rId35" Type="http://schemas.openxmlformats.org/officeDocument/2006/relationships/hyperlink" Target="https://www.itu.int/md/D18-RPMCIS-C-0016/en" TargetMode="External"/><Relationship Id="rId43" Type="http://schemas.openxmlformats.org/officeDocument/2006/relationships/hyperlink" Target="https://www.itu.int/md/D18-RPMCIS-C-0025/en" TargetMode="External"/><Relationship Id="rId48" Type="http://schemas.openxmlformats.org/officeDocument/2006/relationships/hyperlink" Target="https://www.itu.int/md/D18-RPMCIS-C-0030/en" TargetMode="External"/><Relationship Id="rId56"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s://www.itu.int/en/ITU-D/Conferences/WTDC/WTDC21/Pages/RPM/CIS/Side-Event/ITU-IPT.aspx"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CI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DT-RPM-EURContribution_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PF_BDT-RPM-EURContribution_F.docx</Template>
  <TotalTime>75</TotalTime>
  <Pages>13</Pages>
  <Words>5349</Words>
  <Characters>33826</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Saez Grau, Ricardo</cp:lastModifiedBy>
  <cp:revision>15</cp:revision>
  <cp:lastPrinted>2016-05-13T07:33:00Z</cp:lastPrinted>
  <dcterms:created xsi:type="dcterms:W3CDTF">2021-05-05T08:41:00Z</dcterms:created>
  <dcterms:modified xsi:type="dcterms:W3CDTF">2021-05-05T12:07:00Z</dcterms:modified>
</cp:coreProperties>
</file>