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2B05DA" w:rsidRPr="006E009B" w14:paraId="4CF37CD2" w14:textId="77777777" w:rsidTr="002B05DA">
        <w:trPr>
          <w:cantSplit/>
          <w:trHeight w:val="1362"/>
        </w:trPr>
        <w:tc>
          <w:tcPr>
            <w:tcW w:w="2127" w:type="dxa"/>
          </w:tcPr>
          <w:p w14:paraId="0C2BF242" w14:textId="77777777" w:rsidR="002B05DA" w:rsidRPr="006E009B" w:rsidRDefault="002B05DA" w:rsidP="000D238F">
            <w:pPr>
              <w:spacing w:after="120"/>
              <w:rPr>
                <w:rFonts w:cstheme="minorHAnsi"/>
                <w:b/>
                <w:bCs/>
                <w:sz w:val="32"/>
                <w:szCs w:val="32"/>
              </w:rPr>
            </w:pPr>
            <w:r w:rsidRPr="006E009B">
              <w:rPr>
                <w:rFonts w:cstheme="minorHAnsi"/>
                <w:noProof/>
              </w:rPr>
              <w:drawing>
                <wp:inline distT="0" distB="0" distL="0" distR="0" wp14:anchorId="4605199E" wp14:editId="4CB49F2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0CF98B0C" w14:textId="77777777" w:rsidR="002B05DA" w:rsidRPr="006E009B" w:rsidRDefault="002B05DA" w:rsidP="002B05DA">
            <w:pPr>
              <w:spacing w:after="120" w:line="240" w:lineRule="atLeast"/>
              <w:rPr>
                <w:rFonts w:cstheme="minorHAnsi"/>
                <w:b/>
                <w:bCs/>
                <w:sz w:val="32"/>
                <w:szCs w:val="32"/>
              </w:rPr>
            </w:pPr>
            <w:r w:rsidRPr="006E009B">
              <w:rPr>
                <w:rFonts w:cstheme="minorHAnsi"/>
                <w:b/>
                <w:bCs/>
                <w:sz w:val="32"/>
                <w:szCs w:val="32"/>
              </w:rPr>
              <w:t xml:space="preserve">Regional Preparatory Meeting </w:t>
            </w:r>
            <w:r w:rsidRPr="006E009B">
              <w:rPr>
                <w:rFonts w:cstheme="minorHAnsi"/>
                <w:b/>
                <w:bCs/>
                <w:sz w:val="32"/>
                <w:szCs w:val="32"/>
              </w:rPr>
              <w:br/>
              <w:t xml:space="preserve">for WTDC-21 for CIS </w:t>
            </w:r>
            <w:r w:rsidRPr="006E009B">
              <w:rPr>
                <w:rFonts w:cstheme="minorHAnsi"/>
                <w:b/>
                <w:bCs/>
                <w:sz w:val="32"/>
                <w:szCs w:val="32"/>
              </w:rPr>
              <w:br/>
              <w:t>(RPM-CIS)</w:t>
            </w:r>
          </w:p>
          <w:p w14:paraId="5C580042" w14:textId="77777777" w:rsidR="002B05DA" w:rsidRPr="006E009B" w:rsidRDefault="002B05DA" w:rsidP="00D866D6">
            <w:pPr>
              <w:spacing w:before="0" w:after="48" w:line="240" w:lineRule="atLeast"/>
              <w:rPr>
                <w:rFonts w:cstheme="minorHAnsi"/>
                <w:b/>
                <w:bCs/>
                <w:sz w:val="32"/>
                <w:szCs w:val="32"/>
              </w:rPr>
            </w:pPr>
            <w:r w:rsidRPr="006E009B">
              <w:rPr>
                <w:rFonts w:cstheme="minorHAnsi"/>
                <w:b/>
                <w:bCs/>
                <w:szCs w:val="24"/>
              </w:rPr>
              <w:t>Virtual, 21-22 April 2021</w:t>
            </w:r>
          </w:p>
        </w:tc>
        <w:tc>
          <w:tcPr>
            <w:tcW w:w="1559" w:type="dxa"/>
          </w:tcPr>
          <w:p w14:paraId="370EC6F5" w14:textId="77777777" w:rsidR="002B05DA" w:rsidRPr="006E009B" w:rsidRDefault="002B05DA" w:rsidP="002B05DA">
            <w:pPr>
              <w:spacing w:before="240" w:line="240" w:lineRule="atLeast"/>
              <w:jc w:val="right"/>
              <w:rPr>
                <w:rFonts w:cstheme="minorHAnsi"/>
              </w:rPr>
            </w:pPr>
            <w:bookmarkStart w:id="0" w:name="ditulogo"/>
            <w:bookmarkEnd w:id="0"/>
            <w:r w:rsidRPr="006E009B">
              <w:rPr>
                <w:noProof/>
              </w:rPr>
              <w:drawing>
                <wp:inline distT="0" distB="0" distL="0" distR="0" wp14:anchorId="484ABCCA" wp14:editId="7639638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E009B" w14:paraId="65030058" w14:textId="77777777" w:rsidTr="00060860">
        <w:trPr>
          <w:cantSplit/>
        </w:trPr>
        <w:tc>
          <w:tcPr>
            <w:tcW w:w="6379" w:type="dxa"/>
            <w:gridSpan w:val="2"/>
            <w:tcBorders>
              <w:top w:val="single" w:sz="12" w:space="0" w:color="auto"/>
            </w:tcBorders>
          </w:tcPr>
          <w:p w14:paraId="340859A2" w14:textId="77777777" w:rsidR="00C64B30" w:rsidRPr="006E009B"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3F63716C" w14:textId="77777777" w:rsidR="00C64B30" w:rsidRPr="006E009B" w:rsidRDefault="00C64B30" w:rsidP="00C64B30">
            <w:pPr>
              <w:spacing w:before="0" w:line="240" w:lineRule="atLeast"/>
              <w:rPr>
                <w:rFonts w:cstheme="minorHAnsi"/>
                <w:sz w:val="20"/>
              </w:rPr>
            </w:pPr>
          </w:p>
        </w:tc>
      </w:tr>
      <w:tr w:rsidR="00C64B30" w:rsidRPr="006E009B" w14:paraId="11B1A72C" w14:textId="77777777" w:rsidTr="00060860">
        <w:trPr>
          <w:cantSplit/>
          <w:trHeight w:val="23"/>
        </w:trPr>
        <w:tc>
          <w:tcPr>
            <w:tcW w:w="6379" w:type="dxa"/>
            <w:gridSpan w:val="2"/>
            <w:shd w:val="clear" w:color="auto" w:fill="auto"/>
          </w:tcPr>
          <w:p w14:paraId="3F310E14" w14:textId="77777777" w:rsidR="00C64B30" w:rsidRPr="006E009B"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57F5F480" w14:textId="32F9D6C0" w:rsidR="00C64B30" w:rsidRPr="006E009B" w:rsidRDefault="00C64B30" w:rsidP="00C64B30">
            <w:pPr>
              <w:tabs>
                <w:tab w:val="left" w:pos="851"/>
              </w:tabs>
              <w:spacing w:before="0" w:line="240" w:lineRule="atLeast"/>
              <w:rPr>
                <w:rFonts w:cstheme="minorHAnsi"/>
                <w:szCs w:val="24"/>
              </w:rPr>
            </w:pPr>
            <w:r w:rsidRPr="006E009B">
              <w:rPr>
                <w:rFonts w:cstheme="minorHAnsi"/>
                <w:b/>
                <w:bCs/>
                <w:szCs w:val="24"/>
              </w:rPr>
              <w:t xml:space="preserve">Document </w:t>
            </w:r>
            <w:bookmarkStart w:id="4" w:name="DocRef1"/>
            <w:bookmarkEnd w:id="4"/>
            <w:r w:rsidRPr="006E009B">
              <w:rPr>
                <w:rFonts w:cstheme="minorHAnsi"/>
                <w:b/>
                <w:bCs/>
                <w:szCs w:val="24"/>
              </w:rPr>
              <w:t>RPM-</w:t>
            </w:r>
            <w:r w:rsidR="000D238F" w:rsidRPr="006E009B">
              <w:rPr>
                <w:rFonts w:cstheme="minorHAnsi"/>
                <w:b/>
                <w:bCs/>
                <w:szCs w:val="24"/>
              </w:rPr>
              <w:t>CIS</w:t>
            </w:r>
            <w:r w:rsidR="0055118B" w:rsidRPr="006E009B">
              <w:rPr>
                <w:rFonts w:cstheme="minorHAnsi"/>
                <w:b/>
                <w:bCs/>
                <w:szCs w:val="24"/>
              </w:rPr>
              <w:t>2</w:t>
            </w:r>
            <w:r w:rsidRPr="006E009B">
              <w:rPr>
                <w:rFonts w:cstheme="minorHAnsi"/>
                <w:b/>
                <w:bCs/>
                <w:szCs w:val="24"/>
              </w:rPr>
              <w:t>1/</w:t>
            </w:r>
            <w:r w:rsidR="00627654" w:rsidRPr="006E009B">
              <w:rPr>
                <w:rFonts w:cstheme="minorHAnsi"/>
                <w:b/>
                <w:bCs/>
                <w:szCs w:val="24"/>
              </w:rPr>
              <w:t>37</w:t>
            </w:r>
            <w:r w:rsidRPr="006E009B">
              <w:rPr>
                <w:rFonts w:cstheme="minorHAnsi"/>
                <w:b/>
                <w:bCs/>
                <w:szCs w:val="24"/>
              </w:rPr>
              <w:t>-E</w:t>
            </w:r>
          </w:p>
        </w:tc>
      </w:tr>
      <w:tr w:rsidR="00C64B30" w:rsidRPr="006E009B" w14:paraId="396CF34F" w14:textId="77777777" w:rsidTr="00060860">
        <w:trPr>
          <w:cantSplit/>
          <w:trHeight w:val="23"/>
        </w:trPr>
        <w:tc>
          <w:tcPr>
            <w:tcW w:w="6379" w:type="dxa"/>
            <w:gridSpan w:val="2"/>
            <w:shd w:val="clear" w:color="auto" w:fill="auto"/>
          </w:tcPr>
          <w:p w14:paraId="67670033" w14:textId="77777777" w:rsidR="00C64B30" w:rsidRPr="006E009B" w:rsidRDefault="00C64B30" w:rsidP="00C64B30">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60" w:type="dxa"/>
            <w:gridSpan w:val="2"/>
          </w:tcPr>
          <w:p w14:paraId="757F8DB9" w14:textId="490D996D" w:rsidR="00C64B30" w:rsidRPr="006E009B" w:rsidRDefault="00627654" w:rsidP="00C64B30">
            <w:pPr>
              <w:spacing w:before="0" w:line="240" w:lineRule="atLeast"/>
              <w:rPr>
                <w:rFonts w:cstheme="minorHAnsi"/>
                <w:szCs w:val="24"/>
              </w:rPr>
            </w:pPr>
            <w:r w:rsidRPr="006E009B">
              <w:rPr>
                <w:rFonts w:cstheme="minorHAnsi"/>
                <w:b/>
                <w:bCs/>
                <w:szCs w:val="24"/>
              </w:rPr>
              <w:t>22 April 2021</w:t>
            </w:r>
          </w:p>
        </w:tc>
      </w:tr>
      <w:tr w:rsidR="00C64B30" w:rsidRPr="006E009B" w14:paraId="61152BF9" w14:textId="77777777" w:rsidTr="00060860">
        <w:trPr>
          <w:cantSplit/>
          <w:trHeight w:val="23"/>
        </w:trPr>
        <w:tc>
          <w:tcPr>
            <w:tcW w:w="6379" w:type="dxa"/>
            <w:gridSpan w:val="2"/>
            <w:shd w:val="clear" w:color="auto" w:fill="auto"/>
          </w:tcPr>
          <w:p w14:paraId="23BEF657" w14:textId="77777777" w:rsidR="00C64B30" w:rsidRPr="006E009B"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6FFD3CDF" w14:textId="3FA4A492" w:rsidR="00C64B30" w:rsidRPr="006E009B" w:rsidRDefault="00C64B30" w:rsidP="00C64B30">
            <w:pPr>
              <w:tabs>
                <w:tab w:val="left" w:pos="993"/>
              </w:tabs>
              <w:spacing w:before="0"/>
              <w:rPr>
                <w:rFonts w:cstheme="minorHAnsi"/>
                <w:b/>
                <w:szCs w:val="24"/>
              </w:rPr>
            </w:pPr>
            <w:r w:rsidRPr="006E009B">
              <w:rPr>
                <w:rFonts w:cstheme="minorHAnsi"/>
                <w:b/>
                <w:bCs/>
                <w:szCs w:val="24"/>
              </w:rPr>
              <w:t xml:space="preserve">Original: </w:t>
            </w:r>
            <w:r w:rsidR="00627654" w:rsidRPr="006E009B">
              <w:rPr>
                <w:rFonts w:cstheme="minorHAnsi"/>
                <w:b/>
                <w:bCs/>
                <w:szCs w:val="24"/>
              </w:rPr>
              <w:t>Russian</w:t>
            </w:r>
          </w:p>
        </w:tc>
      </w:tr>
      <w:tr w:rsidR="00C64B30" w:rsidRPr="006E009B" w14:paraId="610A5654" w14:textId="77777777" w:rsidTr="00A96DFE">
        <w:trPr>
          <w:cantSplit/>
          <w:trHeight w:val="23"/>
        </w:trPr>
        <w:tc>
          <w:tcPr>
            <w:tcW w:w="9639" w:type="dxa"/>
            <w:gridSpan w:val="4"/>
            <w:shd w:val="clear" w:color="auto" w:fill="auto"/>
          </w:tcPr>
          <w:p w14:paraId="0444DE21" w14:textId="56895FA6" w:rsidR="00C64B30" w:rsidRPr="006E009B" w:rsidRDefault="00980A76" w:rsidP="00C64B30">
            <w:pPr>
              <w:pStyle w:val="Source"/>
              <w:spacing w:before="240" w:after="240"/>
              <w:rPr>
                <w:rFonts w:cstheme="minorHAnsi"/>
              </w:rPr>
            </w:pPr>
            <w:r w:rsidRPr="006E009B">
              <w:rPr>
                <w:rFonts w:cstheme="minorHAnsi"/>
              </w:rPr>
              <w:t>Chairman, Regional Preparatory Meeting for WTDC-21 for CIS (RPM-CIS)</w:t>
            </w:r>
          </w:p>
        </w:tc>
      </w:tr>
      <w:tr w:rsidR="00C64B30" w:rsidRPr="006E009B" w14:paraId="374BA274" w14:textId="77777777" w:rsidTr="00A96DFE">
        <w:trPr>
          <w:cantSplit/>
          <w:trHeight w:val="23"/>
        </w:trPr>
        <w:tc>
          <w:tcPr>
            <w:tcW w:w="9639" w:type="dxa"/>
            <w:gridSpan w:val="4"/>
            <w:shd w:val="clear" w:color="auto" w:fill="auto"/>
          </w:tcPr>
          <w:p w14:paraId="649EB326" w14:textId="0B869285" w:rsidR="00C64B30" w:rsidRPr="006E009B" w:rsidRDefault="00980A76" w:rsidP="00C64B30">
            <w:pPr>
              <w:pStyle w:val="Title1"/>
              <w:spacing w:before="120" w:after="120"/>
              <w:rPr>
                <w:rFonts w:cstheme="minorHAnsi"/>
                <w:caps w:val="0"/>
              </w:rPr>
            </w:pPr>
            <w:r w:rsidRPr="006E009B">
              <w:rPr>
                <w:rFonts w:cstheme="minorHAnsi"/>
                <w:caps w:val="0"/>
              </w:rPr>
              <w:t>Report by the Chairman of RPM-CIS</w:t>
            </w:r>
          </w:p>
        </w:tc>
      </w:tr>
    </w:tbl>
    <w:bookmarkEnd w:id="7"/>
    <w:bookmarkEnd w:id="8"/>
    <w:p w14:paraId="529F5653" w14:textId="54B5AD51" w:rsidR="00D83BF5" w:rsidRPr="006E009B" w:rsidRDefault="00627654" w:rsidP="00712E2F">
      <w:pPr>
        <w:pStyle w:val="Headingb"/>
        <w:rPr>
          <w:lang w:val="en-GB"/>
        </w:rPr>
      </w:pPr>
      <w:r w:rsidRPr="006E009B">
        <w:rPr>
          <w:lang w:val="en-GB"/>
        </w:rPr>
        <w:t>Introduction</w:t>
      </w:r>
    </w:p>
    <w:p w14:paraId="45BF9ED8" w14:textId="689D9BED" w:rsidR="00D83BF5" w:rsidRPr="006E009B" w:rsidRDefault="00F44606" w:rsidP="00712E2F">
      <w:pPr>
        <w:spacing w:after="120"/>
      </w:pPr>
      <w:r w:rsidRPr="006E009B">
        <w:t>The International Telecommunication Union (ITU) Regional Preparatory Meeting for CIS (RPM-CIS) was hosted by the ITU Telecommunication Development Bureau (BDT) in a virtual format from 21</w:t>
      </w:r>
      <w:r w:rsidR="00735BE2">
        <w:t> </w:t>
      </w:r>
      <w:r w:rsidRPr="006E009B">
        <w:t>to 22 April 2021.</w:t>
      </w:r>
    </w:p>
    <w:p w14:paraId="2337F787" w14:textId="6721C46D" w:rsidR="00627654" w:rsidRPr="006E009B" w:rsidRDefault="00627654" w:rsidP="00712E2F">
      <w:pPr>
        <w:spacing w:after="120"/>
      </w:pPr>
      <w:r w:rsidRPr="006E009B">
        <w:t>The objective of RPM-CIS was to identify priorities, at the regional level, for the development of telecommunications and information and communication technologies (ICTs), taking into account contributions submitted by Member States and ITU</w:t>
      </w:r>
      <w:r w:rsidRPr="006E009B">
        <w:noBreakHyphen/>
        <w:t xml:space="preserve">D Sector </w:t>
      </w:r>
      <w:r w:rsidR="00C80D27" w:rsidRPr="006E009B">
        <w:t>m</w:t>
      </w:r>
      <w:r w:rsidRPr="006E009B">
        <w:t>embers from the region. The meeting arrived at a set of proposals on the priority issues for the region that will serve as a basis for the formulation of contributions to the World Telecommunication Development Conference (WTDC</w:t>
      </w:r>
      <w:r w:rsidRPr="006E009B">
        <w:noBreakHyphen/>
        <w:t>21), which will consider the ITU</w:t>
      </w:r>
      <w:r w:rsidRPr="006E009B">
        <w:noBreakHyphen/>
        <w:t>D activities to be carried out over the next four-year period (2022-2025).</w:t>
      </w:r>
    </w:p>
    <w:p w14:paraId="351FBD4D" w14:textId="618A8374" w:rsidR="00627654" w:rsidRPr="006E009B" w:rsidRDefault="00627654" w:rsidP="00712E2F">
      <w:pPr>
        <w:spacing w:after="120"/>
      </w:pPr>
      <w:r w:rsidRPr="006E009B">
        <w:t>This report gives an account of the work and results of the meeting.</w:t>
      </w:r>
    </w:p>
    <w:p w14:paraId="63434E40" w14:textId="250EB1F8" w:rsidR="00627654" w:rsidRPr="006E009B" w:rsidRDefault="00627654" w:rsidP="00712E2F">
      <w:pPr>
        <w:pStyle w:val="Headingb"/>
        <w:rPr>
          <w:lang w:val="en-GB"/>
        </w:rPr>
      </w:pPr>
      <w:r w:rsidRPr="006E009B">
        <w:rPr>
          <w:lang w:val="en-GB"/>
        </w:rPr>
        <w:t>Participation</w:t>
      </w:r>
    </w:p>
    <w:p w14:paraId="3FCE45FE" w14:textId="67E038C0" w:rsidR="00627654" w:rsidRPr="006E009B" w:rsidRDefault="00627654" w:rsidP="00712E2F">
      <w:r w:rsidRPr="006E009B">
        <w:t xml:space="preserve">The meeting was attended by 87 delegates representing 7 Member States from the CIS region and 15 Member States from other regions. The list of participants can be found </w:t>
      </w:r>
      <w:hyperlink r:id="rId14" w:history="1">
        <w:r w:rsidRPr="006E009B">
          <w:rPr>
            <w:rStyle w:val="Hyperlink"/>
          </w:rPr>
          <w:t>here</w:t>
        </w:r>
      </w:hyperlink>
      <w:r w:rsidRPr="006E009B">
        <w:t>.</w:t>
      </w:r>
    </w:p>
    <w:p w14:paraId="633DA580" w14:textId="77777777" w:rsidR="00075C63" w:rsidRPr="006E009B" w:rsidRDefault="00075C63" w:rsidP="00712E2F">
      <w:pPr>
        <w:tabs>
          <w:tab w:val="clear" w:pos="1134"/>
          <w:tab w:val="clear" w:pos="1871"/>
          <w:tab w:val="clear" w:pos="2268"/>
        </w:tabs>
        <w:overflowPunct/>
        <w:autoSpaceDE/>
        <w:autoSpaceDN/>
        <w:adjustRightInd/>
        <w:spacing w:before="0"/>
        <w:textAlignment w:val="auto"/>
        <w:rPr>
          <w:szCs w:val="24"/>
        </w:rPr>
      </w:pPr>
      <w:r w:rsidRPr="006E009B">
        <w:rPr>
          <w:szCs w:val="24"/>
        </w:rPr>
        <w:br w:type="page"/>
      </w:r>
    </w:p>
    <w:p w14:paraId="4F0301F5" w14:textId="124833F8" w:rsidR="00075C63" w:rsidRPr="006E009B" w:rsidRDefault="00B441D6" w:rsidP="00712E2F">
      <w:pPr>
        <w:pStyle w:val="Heading1"/>
      </w:pPr>
      <w:r w:rsidRPr="006E009B">
        <w:lastRenderedPageBreak/>
        <w:t>1</w:t>
      </w:r>
      <w:r w:rsidRPr="006E009B">
        <w:tab/>
        <w:t>Opening Ceremony</w:t>
      </w:r>
    </w:p>
    <w:p w14:paraId="76FE6697" w14:textId="2F8BBF2C" w:rsidR="00B441D6" w:rsidRPr="006E009B" w:rsidRDefault="00C80D27" w:rsidP="00712E2F">
      <w:r w:rsidRPr="006E009B">
        <w:rPr>
          <w:rFonts w:cstheme="minorHAnsi"/>
          <w:color w:val="000000"/>
        </w:rPr>
        <w:t>At the opening ceremony, greetings from the following high-level participants were presented</w:t>
      </w:r>
      <w:r w:rsidR="00B441D6" w:rsidRPr="006E009B">
        <w:t>:</w:t>
      </w:r>
    </w:p>
    <w:p w14:paraId="779CCFB1" w14:textId="4FF51682" w:rsidR="00B441D6" w:rsidRPr="006E009B" w:rsidRDefault="00450870" w:rsidP="00712E2F">
      <w:r w:rsidRPr="006E009B">
        <w:rPr>
          <w:b/>
          <w:bCs/>
        </w:rPr>
        <w:t>Ms Doreen Bogdan-Martin</w:t>
      </w:r>
      <w:r w:rsidRPr="006E009B">
        <w:t>, Director, Telecommunication Development Bureau, ITU;</w:t>
      </w:r>
    </w:p>
    <w:p w14:paraId="416EE168" w14:textId="270FF280" w:rsidR="00075C63" w:rsidRPr="006E009B" w:rsidRDefault="00450870" w:rsidP="00712E2F">
      <w:r w:rsidRPr="00686D75">
        <w:rPr>
          <w:b/>
          <w:bCs/>
        </w:rPr>
        <w:t>Mr Nurudin Mukhitdinov</w:t>
      </w:r>
      <w:r w:rsidRPr="00686D75">
        <w:t>, Director General, Executive Committee, Regional Commonwealth in the Field of Communications (RCC);</w:t>
      </w:r>
    </w:p>
    <w:p w14:paraId="29D6D019" w14:textId="429E8EB6" w:rsidR="00450870" w:rsidRPr="006E009B" w:rsidRDefault="00C80D27" w:rsidP="00712E2F">
      <w:pPr>
        <w:rPr>
          <w:szCs w:val="24"/>
        </w:rPr>
      </w:pPr>
      <w:r w:rsidRPr="00686D75">
        <w:rPr>
          <w:b/>
          <w:bCs/>
          <w:szCs w:val="24"/>
        </w:rPr>
        <w:t>Mr Elmir Velizade</w:t>
      </w:r>
      <w:r w:rsidRPr="006E009B">
        <w:t>, Deputy Minister of Transport, Communications and High Technologies of the Republic of Azerbaijan</w:t>
      </w:r>
      <w:r w:rsidR="00450870" w:rsidRPr="006E009B">
        <w:rPr>
          <w:szCs w:val="24"/>
        </w:rPr>
        <w:t>.</w:t>
      </w:r>
    </w:p>
    <w:p w14:paraId="5D205D8F" w14:textId="6335B7D8" w:rsidR="00450870" w:rsidRPr="006E009B" w:rsidRDefault="00450870" w:rsidP="00712E2F">
      <w:pPr>
        <w:pStyle w:val="Heading1"/>
      </w:pPr>
      <w:r w:rsidRPr="006E009B">
        <w:t>2</w:t>
      </w:r>
      <w:r w:rsidRPr="006E009B">
        <w:tab/>
        <w:t>Election of the Chair</w:t>
      </w:r>
      <w:r w:rsidR="00D02600" w:rsidRPr="006E009B">
        <w:t>man</w:t>
      </w:r>
      <w:r w:rsidRPr="006E009B">
        <w:t xml:space="preserve"> and Vice-Chair</w:t>
      </w:r>
      <w:r w:rsidR="00D02600" w:rsidRPr="006E009B">
        <w:t>man</w:t>
      </w:r>
    </w:p>
    <w:p w14:paraId="428FE908" w14:textId="311BD849" w:rsidR="00450870" w:rsidRPr="006E009B" w:rsidRDefault="00686D75" w:rsidP="00712E2F">
      <w:r>
        <w:t>In line with</w:t>
      </w:r>
      <w:r w:rsidR="00C80D27" w:rsidRPr="006E009B">
        <w:t xml:space="preserve"> the proposal </w:t>
      </w:r>
      <w:r w:rsidR="00D02600" w:rsidRPr="006E009B">
        <w:t>made by</w:t>
      </w:r>
      <w:r w:rsidR="00C80D27" w:rsidRPr="006E009B">
        <w:t xml:space="preserve"> the Administration of the Russian Federation and informal consultations with ITU Member States from the CIS region, </w:t>
      </w:r>
      <w:r w:rsidR="00C80D27" w:rsidRPr="00686D75">
        <w:t>Mr Rashid Ismailov</w:t>
      </w:r>
      <w:r w:rsidR="00C80D27" w:rsidRPr="006E009B">
        <w:t xml:space="preserve">, President of PJSC VimpelCom, Russian Federation, was unanimously elected </w:t>
      </w:r>
      <w:r>
        <w:t>as</w:t>
      </w:r>
      <w:r w:rsidR="00C80D27" w:rsidRPr="006E009B">
        <w:t xml:space="preserve"> RPM-CIS Chairman. The meeting also supported the recommendation of the heads of delegations regarding the election </w:t>
      </w:r>
      <w:r w:rsidR="00C80D27" w:rsidRPr="00686D75">
        <w:t>of Mr Alexey Borodin</w:t>
      </w:r>
      <w:r w:rsidR="00C80D27" w:rsidRPr="006E009B">
        <w:t xml:space="preserve">, </w:t>
      </w:r>
      <w:r w:rsidRPr="006E009B">
        <w:t xml:space="preserve">PJSC Rostelecom </w:t>
      </w:r>
      <w:r w:rsidR="00C80D27" w:rsidRPr="006E009B">
        <w:t>Representative in Geneva, Russian Federation</w:t>
      </w:r>
      <w:r w:rsidR="00D02600" w:rsidRPr="006E009B">
        <w:t>,</w:t>
      </w:r>
      <w:r w:rsidR="00C80D27" w:rsidRPr="006E009B">
        <w:t xml:space="preserve"> as Vice-Chairman.</w:t>
      </w:r>
    </w:p>
    <w:p w14:paraId="545FF7BD" w14:textId="61FA0178" w:rsidR="00450870" w:rsidRPr="006E009B" w:rsidRDefault="00C80D27" w:rsidP="00712E2F">
      <w:r w:rsidRPr="006E009B">
        <w:t>Ms Natalia Mochu, Regional Director</w:t>
      </w:r>
      <w:r w:rsidR="00D02600" w:rsidRPr="006E009B">
        <w:t>,</w:t>
      </w:r>
      <w:r w:rsidRPr="006E009B">
        <w:t xml:space="preserve"> ITU Regional Office for CIS, was introduced by the Chair</w:t>
      </w:r>
      <w:r w:rsidR="00D02600" w:rsidRPr="006E009B">
        <w:t>man</w:t>
      </w:r>
      <w:r w:rsidRPr="006E009B">
        <w:t xml:space="preserve"> as Secretary of RPM-CIS.</w:t>
      </w:r>
    </w:p>
    <w:p w14:paraId="72675F38" w14:textId="342D3535" w:rsidR="00450870" w:rsidRPr="006E009B" w:rsidRDefault="00450870" w:rsidP="00712E2F">
      <w:pPr>
        <w:pStyle w:val="Heading1"/>
      </w:pPr>
      <w:r w:rsidRPr="006E009B">
        <w:t>3</w:t>
      </w:r>
      <w:r w:rsidRPr="006E009B">
        <w:tab/>
      </w:r>
      <w:r w:rsidR="00C80D27" w:rsidRPr="006E009B">
        <w:t>Adoption of the agenda and time management plan</w:t>
      </w:r>
    </w:p>
    <w:p w14:paraId="56B5FCEF" w14:textId="665322F1" w:rsidR="00450870" w:rsidRPr="006E009B" w:rsidRDefault="00450870" w:rsidP="00712E2F">
      <w:r w:rsidRPr="006E009B">
        <w:t xml:space="preserve">The meeting approved the agenda as presented in </w:t>
      </w:r>
      <w:hyperlink r:id="rId15" w:history="1">
        <w:r w:rsidRPr="006E009B">
          <w:rPr>
            <w:rStyle w:val="Hyperlink"/>
            <w:b/>
            <w:bCs/>
          </w:rPr>
          <w:t>Document 1</w:t>
        </w:r>
      </w:hyperlink>
      <w:r w:rsidRPr="006E009B">
        <w:t>.</w:t>
      </w:r>
    </w:p>
    <w:p w14:paraId="1E70744F" w14:textId="16AD7236" w:rsidR="00450870" w:rsidRPr="006E009B" w:rsidRDefault="00450870" w:rsidP="00712E2F">
      <w:r w:rsidRPr="006E009B">
        <w:t>The BDT secretariat noted that RPM-CIS had received 36 contributions. Having examined all the inputs in relation to ITU</w:t>
      </w:r>
      <w:r w:rsidRPr="006E009B">
        <w:noBreakHyphen/>
        <w:t xml:space="preserve">D action areas, the meeting adopted the proposed time management plan in </w:t>
      </w:r>
      <w:hyperlink r:id="rId16" w:history="1">
        <w:r w:rsidRPr="006E009B">
          <w:rPr>
            <w:rStyle w:val="Hyperlink"/>
            <w:rFonts w:ascii="Calibri" w:hAnsi="Calibri"/>
            <w:b/>
            <w:bCs/>
          </w:rPr>
          <w:t>Document DT/1</w:t>
        </w:r>
      </w:hyperlink>
      <w:r w:rsidRPr="006E009B">
        <w:t>. All the meeting documents are available on the RPM-CIS website.</w:t>
      </w:r>
    </w:p>
    <w:p w14:paraId="17034EA5" w14:textId="31337D78" w:rsidR="00450870" w:rsidRPr="006E009B" w:rsidRDefault="00450870" w:rsidP="00712E2F">
      <w:pPr>
        <w:pStyle w:val="Heading1"/>
      </w:pPr>
      <w:r w:rsidRPr="006E009B">
        <w:t>4</w:t>
      </w:r>
      <w:r w:rsidRPr="006E009B">
        <w:tab/>
        <w:t>Digital trends in the CIS region</w:t>
      </w:r>
    </w:p>
    <w:p w14:paraId="4AAD7EFC" w14:textId="7B24BF11" w:rsidR="002F4305" w:rsidRPr="006E009B" w:rsidRDefault="00200BDA" w:rsidP="00712E2F">
      <w:hyperlink r:id="rId17" w:history="1">
        <w:r w:rsidR="00450870" w:rsidRPr="006E009B">
          <w:rPr>
            <w:rStyle w:val="Hyperlink"/>
            <w:b/>
            <w:bCs/>
          </w:rPr>
          <w:t>Document 2</w:t>
        </w:r>
      </w:hyperlink>
      <w:r w:rsidR="002F4305" w:rsidRPr="006E009B">
        <w:t xml:space="preserve"> entitled </w:t>
      </w:r>
      <w:r w:rsidR="004528F0" w:rsidRPr="006E009B">
        <w:t>“</w:t>
      </w:r>
      <w:r w:rsidR="002F4305" w:rsidRPr="006E009B">
        <w:t xml:space="preserve">Digital trends in the </w:t>
      </w:r>
      <w:r w:rsidR="00686D75" w:rsidRPr="006E009B">
        <w:t xml:space="preserve">CIS </w:t>
      </w:r>
      <w:r w:rsidR="002F4305" w:rsidRPr="006E009B">
        <w:t>region in 2021</w:t>
      </w:r>
      <w:r w:rsidR="004528F0" w:rsidRPr="006E009B">
        <w:t>”</w:t>
      </w:r>
      <w:r w:rsidR="002F4305" w:rsidRPr="006E009B">
        <w:t xml:space="preserve"> </w:t>
      </w:r>
      <w:r w:rsidR="002F4305" w:rsidRPr="00686D75">
        <w:t xml:space="preserve">was presented by Ms Natalia </w:t>
      </w:r>
      <w:r w:rsidR="00D02600" w:rsidRPr="00686D75">
        <w:t>Mochu</w:t>
      </w:r>
      <w:r w:rsidR="002F4305" w:rsidRPr="00686D75">
        <w:t>, Regional Director</w:t>
      </w:r>
      <w:r w:rsidR="00D02600" w:rsidRPr="006E009B">
        <w:t>,</w:t>
      </w:r>
      <w:r w:rsidR="002F4305" w:rsidRPr="006E009B">
        <w:t xml:space="preserve"> </w:t>
      </w:r>
      <w:r w:rsidR="00D02600" w:rsidRPr="006E009B">
        <w:t>ITU</w:t>
      </w:r>
      <w:r w:rsidR="002F4305" w:rsidRPr="006E009B">
        <w:t xml:space="preserve"> Regional Office </w:t>
      </w:r>
      <w:r w:rsidR="00D02600" w:rsidRPr="006E009B">
        <w:t>for</w:t>
      </w:r>
      <w:r w:rsidR="002F4305" w:rsidRPr="006E009B">
        <w:t xml:space="preserve"> CIS. This document provides an overview of trends and developments in ICT infrastructure, access and use in the CIS region. The document illustrates progress in ICT development since the last World Telecommunication Development Conference in 2017 (WTDC-17), which was held from 9 to 20 October 2017 in Buenos Aires, Argentina. It also track</w:t>
      </w:r>
      <w:r w:rsidR="004528F0" w:rsidRPr="006E009B">
        <w:t>s</w:t>
      </w:r>
      <w:r w:rsidR="002F4305" w:rsidRPr="006E009B">
        <w:t xml:space="preserve"> the </w:t>
      </w:r>
      <w:r w:rsidR="004528F0" w:rsidRPr="006E009B">
        <w:t>e</w:t>
      </w:r>
      <w:r w:rsidR="002F4305" w:rsidRPr="006E009B">
        <w:t xml:space="preserve">volution </w:t>
      </w:r>
      <w:r w:rsidR="004528F0" w:rsidRPr="006E009B">
        <w:t>of</w:t>
      </w:r>
      <w:r w:rsidR="002F4305" w:rsidRPr="006E009B">
        <w:t xml:space="preserve"> sector policies and regulations, digital services and applications, cybersecurity and digital skills and </w:t>
      </w:r>
      <w:r w:rsidR="004528F0" w:rsidRPr="006E009B">
        <w:t xml:space="preserve">looks at the </w:t>
      </w:r>
      <w:r w:rsidR="002F4305" w:rsidRPr="006E009B">
        <w:t>implementation</w:t>
      </w:r>
      <w:r w:rsidR="004528F0" w:rsidRPr="006E009B">
        <w:t xml:space="preserve"> of</w:t>
      </w:r>
      <w:r w:rsidR="002F4305" w:rsidRPr="006E009B">
        <w:t xml:space="preserve"> ITU regional initiatives for the </w:t>
      </w:r>
      <w:r w:rsidR="004528F0" w:rsidRPr="006E009B">
        <w:t xml:space="preserve">CIS </w:t>
      </w:r>
      <w:r w:rsidR="002F4305" w:rsidRPr="006E009B">
        <w:t xml:space="preserve">region. This document can be used by </w:t>
      </w:r>
      <w:r w:rsidR="004528F0" w:rsidRPr="006E009B">
        <w:t xml:space="preserve">ITU </w:t>
      </w:r>
      <w:r w:rsidR="002F4305" w:rsidRPr="006E009B">
        <w:t>member</w:t>
      </w:r>
      <w:r w:rsidR="004528F0" w:rsidRPr="006E009B">
        <w:t>s</w:t>
      </w:r>
      <w:r w:rsidR="002F4305" w:rsidRPr="006E009B">
        <w:t xml:space="preserve"> </w:t>
      </w:r>
      <w:r w:rsidR="004528F0" w:rsidRPr="006E009B">
        <w:t>as reference material when analysing progress and identifying priorities in ICT development in the CIS region</w:t>
      </w:r>
      <w:r w:rsidR="002F4305" w:rsidRPr="006E009B">
        <w:t>.</w:t>
      </w:r>
    </w:p>
    <w:p w14:paraId="5315E635" w14:textId="7CED6688" w:rsidR="00450870" w:rsidRPr="006E009B" w:rsidRDefault="002F4305" w:rsidP="00712E2F">
      <w:r w:rsidRPr="006E009B">
        <w:t>RPM-CIS took note of the document</w:t>
      </w:r>
      <w:r w:rsidR="00450870" w:rsidRPr="006E009B">
        <w:t>.</w:t>
      </w:r>
    </w:p>
    <w:p w14:paraId="7450535D" w14:textId="3002CB88" w:rsidR="00450870" w:rsidRPr="006E009B" w:rsidRDefault="00450870" w:rsidP="00712E2F">
      <w:pPr>
        <w:pStyle w:val="Heading1"/>
      </w:pPr>
      <w:r w:rsidRPr="006E009B">
        <w:t>5</w:t>
      </w:r>
      <w:r w:rsidRPr="006E009B">
        <w:tab/>
      </w:r>
      <w:r w:rsidR="00470658" w:rsidRPr="006E009B">
        <w:t xml:space="preserve">Reporting on the implementation of the WTDC-17 Buenos Aires Action Plan (including the </w:t>
      </w:r>
      <w:r w:rsidR="004528F0" w:rsidRPr="006E009B">
        <w:t>r</w:t>
      </w:r>
      <w:r w:rsidR="00470658" w:rsidRPr="006E009B">
        <w:t xml:space="preserve">egional </w:t>
      </w:r>
      <w:r w:rsidR="004528F0" w:rsidRPr="006E009B">
        <w:t>i</w:t>
      </w:r>
      <w:r w:rsidR="00470658" w:rsidRPr="006E009B">
        <w:t>nitiatives), and contribution to the implementation of the WSIS Plan of Action and the Sustainable Development Goals (SDGs)</w:t>
      </w:r>
    </w:p>
    <w:bookmarkStart w:id="9" w:name="_Hlk70340029"/>
    <w:p w14:paraId="663F98B8" w14:textId="68424EBA" w:rsidR="00470658" w:rsidRPr="006E009B" w:rsidRDefault="00470658" w:rsidP="00712E2F">
      <w:pPr>
        <w:rPr>
          <w:rFonts w:cstheme="minorHAnsi"/>
        </w:rPr>
      </w:pPr>
      <w:r w:rsidRPr="00A305E6">
        <w:rPr>
          <w:b/>
          <w:bCs/>
        </w:rPr>
        <w:fldChar w:fldCharType="begin"/>
      </w:r>
      <w:r w:rsidRPr="00A305E6">
        <w:rPr>
          <w:b/>
          <w:bCs/>
        </w:rPr>
        <w:instrText>HYPERLINK "https://www.itu.int/md/D18-RPMCIS-C-0003/en"</w:instrText>
      </w:r>
      <w:r w:rsidRPr="00A305E6">
        <w:rPr>
          <w:b/>
          <w:bCs/>
        </w:rPr>
        <w:fldChar w:fldCharType="separate"/>
      </w:r>
      <w:r w:rsidRPr="00A305E6">
        <w:rPr>
          <w:rStyle w:val="Hyperlink"/>
          <w:b/>
          <w:bCs/>
        </w:rPr>
        <w:t>Document 3</w:t>
      </w:r>
      <w:r w:rsidRPr="00A305E6">
        <w:rPr>
          <w:b/>
          <w:bCs/>
        </w:rPr>
        <w:fldChar w:fldCharType="end"/>
      </w:r>
      <w:r w:rsidRPr="00A305E6">
        <w:t xml:space="preserve"> </w:t>
      </w:r>
      <w:bookmarkEnd w:id="9"/>
      <w:r w:rsidRPr="00A305E6">
        <w:t xml:space="preserve">entitled </w:t>
      </w:r>
      <w:r w:rsidR="004528F0" w:rsidRPr="00A305E6">
        <w:t>“</w:t>
      </w:r>
      <w:r w:rsidRPr="00A305E6">
        <w:t>Result Based Management (RBM) implementation in BDT</w:t>
      </w:r>
      <w:r w:rsidR="004528F0" w:rsidRPr="00A305E6">
        <w:t>”</w:t>
      </w:r>
      <w:r w:rsidRPr="00A305E6">
        <w:t xml:space="preserve"> was presented by Mr Stephen Bereaux, Deputy</w:t>
      </w:r>
      <w:r w:rsidRPr="006E009B">
        <w:t xml:space="preserve"> </w:t>
      </w:r>
      <w:r w:rsidR="00686D75">
        <w:t xml:space="preserve">to the </w:t>
      </w:r>
      <w:r w:rsidRPr="006E009B">
        <w:t>Director</w:t>
      </w:r>
      <w:r w:rsidR="00A305E6">
        <w:t xml:space="preserve"> of</w:t>
      </w:r>
      <w:r w:rsidRPr="006E009B">
        <w:t xml:space="preserve"> BDT. </w:t>
      </w:r>
      <w:r w:rsidR="00F65180" w:rsidRPr="006E009B">
        <w:rPr>
          <w:rFonts w:cstheme="minorHAnsi"/>
        </w:rPr>
        <w:t xml:space="preserve">In 2019, BDT embarked on a comprehensive overhaul of its use of RBM to equip </w:t>
      </w:r>
      <w:r w:rsidR="002F4305" w:rsidRPr="006E009B">
        <w:rPr>
          <w:rFonts w:cstheme="minorHAnsi"/>
        </w:rPr>
        <w:t>itself</w:t>
      </w:r>
      <w:r w:rsidR="00F65180" w:rsidRPr="006E009B">
        <w:rPr>
          <w:rFonts w:cstheme="minorHAnsi"/>
        </w:rPr>
        <w:t xml:space="preserve"> for the challenges of a rapidly changing </w:t>
      </w:r>
      <w:r w:rsidR="00F65180" w:rsidRPr="006E009B">
        <w:rPr>
          <w:rFonts w:cstheme="minorHAnsi"/>
        </w:rPr>
        <w:lastRenderedPageBreak/>
        <w:t xml:space="preserve">development landscape and make it </w:t>
      </w:r>
      <w:r w:rsidR="004528F0" w:rsidRPr="006E009B">
        <w:rPr>
          <w:rFonts w:cstheme="minorHAnsi"/>
        </w:rPr>
        <w:t>“</w:t>
      </w:r>
      <w:r w:rsidR="00F65180" w:rsidRPr="006E009B">
        <w:rPr>
          <w:rFonts w:cstheme="minorHAnsi"/>
        </w:rPr>
        <w:t>Fit4Purpose.</w:t>
      </w:r>
      <w:r w:rsidR="004528F0" w:rsidRPr="006E009B">
        <w:rPr>
          <w:rFonts w:cstheme="minorHAnsi"/>
        </w:rPr>
        <w:t>”</w:t>
      </w:r>
      <w:r w:rsidR="00F65180" w:rsidRPr="006E009B">
        <w:rPr>
          <w:rFonts w:cstheme="minorHAnsi"/>
        </w:rPr>
        <w:t xml:space="preserve"> This reform will introduce RBM for the implementation of all work programmes, as a managerial decision and monitoring tool, and to provide the evidence to demonstrate BDT’s impact. RBM will also serve as the platform to engage with internal and external partners, and to replicate and scale up successful projects and work programme initiatives.</w:t>
      </w:r>
    </w:p>
    <w:p w14:paraId="6BEA92C2" w14:textId="77777777" w:rsidR="00F65180" w:rsidRPr="006E009B" w:rsidRDefault="00F65180" w:rsidP="00712E2F">
      <w:r w:rsidRPr="006E009B">
        <w:t>RPM-CIS took note of the document.</w:t>
      </w:r>
    </w:p>
    <w:p w14:paraId="3A18033E" w14:textId="4FADD795" w:rsidR="00F65180" w:rsidRPr="006E009B" w:rsidRDefault="00200BDA" w:rsidP="00712E2F">
      <w:hyperlink r:id="rId18" w:history="1">
        <w:r w:rsidR="00F65180" w:rsidRPr="006E009B">
          <w:rPr>
            <w:rStyle w:val="Hyperlink"/>
            <w:b/>
            <w:bCs/>
          </w:rPr>
          <w:t>Document 4</w:t>
        </w:r>
      </w:hyperlink>
      <w:r w:rsidR="00F65180" w:rsidRPr="006E009B">
        <w:t xml:space="preserve"> </w:t>
      </w:r>
      <w:r w:rsidR="002F4305" w:rsidRPr="006E009B">
        <w:t xml:space="preserve">entitled “Reporting on the </w:t>
      </w:r>
      <w:r w:rsidR="00A305E6">
        <w:t>i</w:t>
      </w:r>
      <w:r w:rsidR="002F4305" w:rsidRPr="006E009B">
        <w:t>mplementation of the Buenos Aires Action Plan to WTDC</w:t>
      </w:r>
      <w:r w:rsidR="009C7357">
        <w:noBreakHyphen/>
      </w:r>
      <w:r w:rsidR="002F4305" w:rsidRPr="006E009B">
        <w:t>17 (</w:t>
      </w:r>
      <w:r w:rsidR="004528F0" w:rsidRPr="006E009B">
        <w:t>i</w:t>
      </w:r>
      <w:r w:rsidR="002F4305" w:rsidRPr="006E009B">
        <w:t xml:space="preserve">ncluding </w:t>
      </w:r>
      <w:r w:rsidR="004528F0" w:rsidRPr="006E009B">
        <w:t>r</w:t>
      </w:r>
      <w:r w:rsidR="002F4305" w:rsidRPr="006E009B">
        <w:t xml:space="preserve">egional </w:t>
      </w:r>
      <w:r w:rsidR="004528F0" w:rsidRPr="006E009B">
        <w:t>i</w:t>
      </w:r>
      <w:r w:rsidR="002F4305" w:rsidRPr="006E009B">
        <w:t>nitiatives)</w:t>
      </w:r>
      <w:r w:rsidR="004528F0" w:rsidRPr="006E009B">
        <w:t>,</w:t>
      </w:r>
      <w:r w:rsidR="002F4305" w:rsidRPr="006E009B">
        <w:t xml:space="preserve"> and </w:t>
      </w:r>
      <w:r w:rsidR="004528F0" w:rsidRPr="006E009B">
        <w:t>c</w:t>
      </w:r>
      <w:r w:rsidR="002F4305" w:rsidRPr="006E009B">
        <w:t xml:space="preserve">ontribution to the </w:t>
      </w:r>
      <w:r w:rsidR="00BC427C" w:rsidRPr="006E009B">
        <w:t>i</w:t>
      </w:r>
      <w:r w:rsidR="002F4305" w:rsidRPr="006E009B">
        <w:t xml:space="preserve">mplementation of the WSIS </w:t>
      </w:r>
      <w:r w:rsidR="00BC427C" w:rsidRPr="006E009B">
        <w:t xml:space="preserve">Plan of </w:t>
      </w:r>
      <w:r w:rsidR="002F4305" w:rsidRPr="006E009B">
        <w:t xml:space="preserve">Action and the </w:t>
      </w:r>
      <w:r w:rsidR="00BC427C" w:rsidRPr="006E009B">
        <w:t>a</w:t>
      </w:r>
      <w:r w:rsidR="002F4305" w:rsidRPr="006E009B">
        <w:t xml:space="preserve">chievement of the Sustainable Development Goals (SDGs)” was presented by </w:t>
      </w:r>
      <w:r w:rsidR="00BC427C" w:rsidRPr="006E009B">
        <w:t>Mr Stephen Bereaux, Deputy</w:t>
      </w:r>
      <w:r w:rsidR="00A305E6">
        <w:t xml:space="preserve"> to the</w:t>
      </w:r>
      <w:r w:rsidR="00BC427C" w:rsidRPr="006E009B">
        <w:t xml:space="preserve"> Director of BDT</w:t>
      </w:r>
      <w:r w:rsidR="00A305E6">
        <w:t>,</w:t>
      </w:r>
      <w:r w:rsidR="002F4305" w:rsidRPr="006E009B">
        <w:t xml:space="preserve"> and Ms Natalia </w:t>
      </w:r>
      <w:r w:rsidR="00BC427C" w:rsidRPr="006E009B">
        <w:t>Mochu</w:t>
      </w:r>
      <w:r w:rsidR="002F4305" w:rsidRPr="006E009B">
        <w:t>, Regional Director</w:t>
      </w:r>
      <w:r w:rsidR="00BC427C" w:rsidRPr="006E009B">
        <w:t>,</w:t>
      </w:r>
      <w:r w:rsidR="002F4305" w:rsidRPr="006E009B">
        <w:t xml:space="preserve"> </w:t>
      </w:r>
      <w:r w:rsidR="00BC427C" w:rsidRPr="006E009B">
        <w:t xml:space="preserve">ITU </w:t>
      </w:r>
      <w:r w:rsidR="002F4305" w:rsidRPr="006E009B">
        <w:t xml:space="preserve">Regional Office </w:t>
      </w:r>
      <w:r w:rsidR="00BC427C" w:rsidRPr="006E009B">
        <w:t>for</w:t>
      </w:r>
      <w:r w:rsidR="002F4305" w:rsidRPr="006E009B">
        <w:t xml:space="preserve"> CIS</w:t>
      </w:r>
      <w:r w:rsidR="00F65180" w:rsidRPr="006E009B">
        <w:t>. WTDC-17</w:t>
      </w:r>
      <w:r w:rsidR="00BC427C" w:rsidRPr="006E009B">
        <w:t>,</w:t>
      </w:r>
      <w:r w:rsidR="00F65180" w:rsidRPr="006E009B">
        <w:t xml:space="preserve"> </w:t>
      </w:r>
      <w:r w:rsidR="00BC427C" w:rsidRPr="006E009B">
        <w:t>held</w:t>
      </w:r>
      <w:r w:rsidR="00F65180" w:rsidRPr="006E009B">
        <w:t xml:space="preserve"> in Buenos Aires, Argentina, from 9 to 20 October 2017</w:t>
      </w:r>
      <w:r w:rsidR="00BC427C" w:rsidRPr="006E009B">
        <w:t>,</w:t>
      </w:r>
      <w:r w:rsidR="00F65180" w:rsidRPr="006E009B">
        <w:t xml:space="preserve"> adopted the </w:t>
      </w:r>
      <w:hyperlink r:id="rId19">
        <w:r w:rsidR="00F65180" w:rsidRPr="006E009B">
          <w:rPr>
            <w:rStyle w:val="Hyperlink"/>
          </w:rPr>
          <w:t>Buenos Aires Action Plan</w:t>
        </w:r>
      </w:hyperlink>
      <w:r w:rsidR="00F65180" w:rsidRPr="006E009B">
        <w:t xml:space="preserve"> (</w:t>
      </w:r>
      <w:r w:rsidR="00F65180" w:rsidRPr="00D969C7">
        <w:t>B</w:t>
      </w:r>
      <w:r w:rsidR="00766532">
        <w:t>A</w:t>
      </w:r>
      <w:r w:rsidR="00F65180" w:rsidRPr="00D969C7">
        <w:t>AP</w:t>
      </w:r>
      <w:r w:rsidR="00F65180" w:rsidRPr="006E009B">
        <w:t xml:space="preserve">). The plan includes the ITU-D programmes, a set of regional initiatives and new and revised resolutions, recommendations and study group </w:t>
      </w:r>
      <w:r w:rsidR="00BC427C" w:rsidRPr="006E009B">
        <w:t>q</w:t>
      </w:r>
      <w:r w:rsidR="00F65180" w:rsidRPr="006E009B">
        <w:t>uestions</w:t>
      </w:r>
      <w:r w:rsidR="00BC427C" w:rsidRPr="006E009B">
        <w:t xml:space="preserve"> and</w:t>
      </w:r>
      <w:r w:rsidR="00F65180" w:rsidRPr="006E009B">
        <w:t xml:space="preserve"> defines the mandate, objectives and priorities of the ITU-D </w:t>
      </w:r>
      <w:r w:rsidR="00BC427C" w:rsidRPr="006E009B">
        <w:t xml:space="preserve">Sector </w:t>
      </w:r>
      <w:r w:rsidR="00F65180" w:rsidRPr="006E009B">
        <w:t xml:space="preserve">for the period 2018-2021. It also aligns </w:t>
      </w:r>
      <w:r w:rsidR="00BC427C" w:rsidRPr="006E009B">
        <w:t>ITU-D’s</w:t>
      </w:r>
      <w:r w:rsidR="00F65180" w:rsidRPr="006E009B">
        <w:t xml:space="preserve"> work with </w:t>
      </w:r>
      <w:r w:rsidR="00D11924">
        <w:t>ITU’s</w:t>
      </w:r>
      <w:r w:rsidR="00F65180" w:rsidRPr="006E009B">
        <w:t xml:space="preserve"> strategic objectives to allow countries to harness the full benefits of ICTs.</w:t>
      </w:r>
    </w:p>
    <w:p w14:paraId="7942ABD4" w14:textId="02BC8FA3" w:rsidR="00F65180" w:rsidRPr="006E009B" w:rsidRDefault="00F65180" w:rsidP="00712E2F">
      <w:r w:rsidRPr="006E009B">
        <w:t>This document reports on the implementation of the B</w:t>
      </w:r>
      <w:r w:rsidR="00766532">
        <w:t>A</w:t>
      </w:r>
      <w:r w:rsidRPr="006E009B">
        <w:t xml:space="preserve">AP and its contribution to the implementation of the WSIS Plan of Action and the SDGs. It also highlights </w:t>
      </w:r>
      <w:r w:rsidR="00BC427C" w:rsidRPr="006E009B">
        <w:t xml:space="preserve">the </w:t>
      </w:r>
      <w:r w:rsidRPr="006E009B">
        <w:t>change</w:t>
      </w:r>
      <w:r w:rsidR="00BC427C" w:rsidRPr="006E009B">
        <w:t>s</w:t>
      </w:r>
      <w:r w:rsidRPr="006E009B">
        <w:t xml:space="preserve"> </w:t>
      </w:r>
      <w:r w:rsidR="00BC427C" w:rsidRPr="006E009B">
        <w:t>that BDT</w:t>
      </w:r>
      <w:r w:rsidRPr="006E009B">
        <w:t xml:space="preserve">, the executing arm of ITU-D, has undergone to ensure that it is able to keep pace with the fast-changing environment in which it serves. The fundamental importance of ICTs and their role of promoting social and economic development and facilitating the path to economic recovery have again been highlighted by the COVID-19 pandemic, which </w:t>
      </w:r>
      <w:r w:rsidR="00A305E6">
        <w:t>has affected</w:t>
      </w:r>
      <w:r w:rsidRPr="006E009B">
        <w:t xml:space="preserve"> every country in the world. This has also underscored the need for a more agile and responsive BDT that can lead efforts to ensure that all people in all countries are connected.</w:t>
      </w:r>
    </w:p>
    <w:p w14:paraId="42734679" w14:textId="77777777" w:rsidR="00F65180" w:rsidRPr="006E009B" w:rsidRDefault="00F65180" w:rsidP="00712E2F">
      <w:r w:rsidRPr="006E009B">
        <w:t>RPM-CIS took note of the document.</w:t>
      </w:r>
    </w:p>
    <w:p w14:paraId="44337ED9" w14:textId="1551ADB1" w:rsidR="00F65180" w:rsidRPr="006E009B" w:rsidRDefault="00F65180" w:rsidP="00712E2F">
      <w:pPr>
        <w:pStyle w:val="Heading1"/>
      </w:pPr>
      <w:r w:rsidRPr="006E009B">
        <w:t>6</w:t>
      </w:r>
      <w:r w:rsidRPr="006E009B">
        <w:tab/>
      </w:r>
      <w:bookmarkStart w:id="10" w:name="_Hlk70340830"/>
      <w:r w:rsidR="00B328C4" w:rsidRPr="006E009B">
        <w:t>Report on the implementation of outcomes of other ITU Conferences, Assemblies and meetings related to ITU-D work: PP-18, WRC-19, RA-19, and WTSA-16</w:t>
      </w:r>
      <w:bookmarkEnd w:id="10"/>
    </w:p>
    <w:p w14:paraId="2DE2D542" w14:textId="776FB094" w:rsidR="00B328C4" w:rsidRPr="006E009B" w:rsidRDefault="00200BDA" w:rsidP="00712E2F">
      <w:pPr>
        <w:rPr>
          <w:szCs w:val="24"/>
        </w:rPr>
      </w:pPr>
      <w:hyperlink r:id="rId20" w:history="1">
        <w:r w:rsidR="00B328C4" w:rsidRPr="005B66F2">
          <w:rPr>
            <w:rStyle w:val="Hyperlink"/>
            <w:b/>
            <w:bCs/>
          </w:rPr>
          <w:t>Document 5</w:t>
        </w:r>
      </w:hyperlink>
      <w:r w:rsidR="00B328C4" w:rsidRPr="005B66F2">
        <w:t xml:space="preserve"> entitled </w:t>
      </w:r>
      <w:r w:rsidR="00BC427C" w:rsidRPr="005B66F2">
        <w:t>“</w:t>
      </w:r>
      <w:r w:rsidR="00B328C4" w:rsidRPr="005B66F2">
        <w:rPr>
          <w:szCs w:val="24"/>
        </w:rPr>
        <w:t>Report on the implementation of outcomes of other ITU Conferences, Assemblies and meetings related to ITU-D work: PP-18, WRC-19, RA-19, and WTSA-16</w:t>
      </w:r>
      <w:r w:rsidR="00BC427C" w:rsidRPr="005B66F2">
        <w:rPr>
          <w:szCs w:val="24"/>
        </w:rPr>
        <w:t>”</w:t>
      </w:r>
      <w:r w:rsidR="00B328C4" w:rsidRPr="005B66F2">
        <w:rPr>
          <w:szCs w:val="24"/>
        </w:rPr>
        <w:t xml:space="preserve"> </w:t>
      </w:r>
      <w:r w:rsidR="002F4305" w:rsidRPr="005B66F2">
        <w:rPr>
          <w:szCs w:val="24"/>
        </w:rPr>
        <w:t>was presented by Mr Marco Obi</w:t>
      </w:r>
      <w:r w:rsidR="001F7224" w:rsidRPr="005B66F2">
        <w:rPr>
          <w:szCs w:val="24"/>
        </w:rPr>
        <w:t>s</w:t>
      </w:r>
      <w:r w:rsidR="002F4305" w:rsidRPr="005B66F2">
        <w:rPr>
          <w:szCs w:val="24"/>
        </w:rPr>
        <w:t>o, Head</w:t>
      </w:r>
      <w:r w:rsidR="001F7224" w:rsidRPr="005B66F2">
        <w:rPr>
          <w:szCs w:val="24"/>
        </w:rPr>
        <w:t>,</w:t>
      </w:r>
      <w:r w:rsidR="002F4305" w:rsidRPr="005B66F2">
        <w:rPr>
          <w:szCs w:val="24"/>
        </w:rPr>
        <w:t xml:space="preserve"> Digital Networks and Society </w:t>
      </w:r>
      <w:r w:rsidR="001F7224" w:rsidRPr="005B66F2">
        <w:rPr>
          <w:szCs w:val="24"/>
        </w:rPr>
        <w:t xml:space="preserve">Department, </w:t>
      </w:r>
      <w:r w:rsidR="002F4305" w:rsidRPr="005B66F2">
        <w:rPr>
          <w:szCs w:val="24"/>
        </w:rPr>
        <w:t>BDT</w:t>
      </w:r>
      <w:r w:rsidR="00B328C4" w:rsidRPr="005B66F2">
        <w:rPr>
          <w:szCs w:val="24"/>
        </w:rPr>
        <w:t xml:space="preserve">. </w:t>
      </w:r>
      <w:r w:rsidR="00B328C4" w:rsidRPr="005B66F2">
        <w:rPr>
          <w:bCs/>
          <w:szCs w:val="24"/>
        </w:rPr>
        <w:t xml:space="preserve">The </w:t>
      </w:r>
      <w:r w:rsidR="001F7224" w:rsidRPr="005B66F2">
        <w:rPr>
          <w:bCs/>
          <w:szCs w:val="24"/>
        </w:rPr>
        <w:t>d</w:t>
      </w:r>
      <w:r w:rsidR="00B328C4" w:rsidRPr="005B66F2">
        <w:rPr>
          <w:bCs/>
          <w:szCs w:val="24"/>
        </w:rPr>
        <w:t>ocument summarizes the outcomes of the ITU Conferences, Assemblies and meetings related to ITU-D work</w:t>
      </w:r>
      <w:r w:rsidR="001F7224" w:rsidRPr="005B66F2">
        <w:rPr>
          <w:bCs/>
          <w:szCs w:val="24"/>
        </w:rPr>
        <w:t xml:space="preserve"> and provides a status update on their implementation</w:t>
      </w:r>
      <w:r w:rsidR="00B328C4" w:rsidRPr="005B66F2">
        <w:rPr>
          <w:bCs/>
          <w:szCs w:val="24"/>
        </w:rPr>
        <w:t>.</w:t>
      </w:r>
    </w:p>
    <w:p w14:paraId="30640B50" w14:textId="77777777" w:rsidR="00B328C4" w:rsidRPr="006E009B" w:rsidRDefault="00B328C4" w:rsidP="00712E2F">
      <w:r w:rsidRPr="006E009B">
        <w:t>RPM-CIS took note of the document.</w:t>
      </w:r>
    </w:p>
    <w:p w14:paraId="24CC73B5" w14:textId="0D845A18" w:rsidR="00B328C4" w:rsidRPr="006E009B" w:rsidRDefault="00B328C4" w:rsidP="00712E2F">
      <w:pPr>
        <w:pStyle w:val="Heading1"/>
      </w:pPr>
      <w:r w:rsidRPr="006E009B">
        <w:t>7</w:t>
      </w:r>
      <w:r w:rsidRPr="006E009B">
        <w:tab/>
        <w:t>Preparation for WTDC-21</w:t>
      </w:r>
    </w:p>
    <w:p w14:paraId="298112BA" w14:textId="64FE752A" w:rsidR="00B328C4" w:rsidRPr="006E009B" w:rsidRDefault="00B328C4" w:rsidP="00712E2F">
      <w:pPr>
        <w:pStyle w:val="Heading2"/>
      </w:pPr>
      <w:r w:rsidRPr="006E009B">
        <w:t>7.1</w:t>
      </w:r>
      <w:r w:rsidRPr="006E009B">
        <w:tab/>
        <w:t>Report of the TDAG Working Group on WTDC Preparations (TDAG-WG-Prep)</w:t>
      </w:r>
    </w:p>
    <w:p w14:paraId="10E1BB14" w14:textId="188B0DB8" w:rsidR="00B328C4" w:rsidRPr="006E009B" w:rsidRDefault="00200BDA" w:rsidP="00712E2F">
      <w:hyperlink r:id="rId21" w:history="1">
        <w:r w:rsidR="00B328C4" w:rsidRPr="006E009B">
          <w:rPr>
            <w:rStyle w:val="Hyperlink"/>
            <w:b/>
            <w:bCs/>
          </w:rPr>
          <w:t>Document 6</w:t>
        </w:r>
      </w:hyperlink>
      <w:r w:rsidR="002F4305" w:rsidRPr="006E009B">
        <w:t xml:space="preserve"> entitled </w:t>
      </w:r>
      <w:r w:rsidR="001F7224" w:rsidRPr="006E009B">
        <w:t>“Final report of the TDAG Working Group on WTDC Preparations (TDAG-WG-Prep)”</w:t>
      </w:r>
      <w:r w:rsidR="002F4305" w:rsidRPr="006E009B">
        <w:t xml:space="preserve"> was presented by </w:t>
      </w:r>
      <w:r w:rsidR="001F7224" w:rsidRPr="006E009B">
        <w:t>Mr Stephen Bereaux, Deputy</w:t>
      </w:r>
      <w:r w:rsidR="00415029">
        <w:t xml:space="preserve"> to the</w:t>
      </w:r>
      <w:r w:rsidR="001F7224" w:rsidRPr="006E009B">
        <w:t xml:space="preserve"> Director of BDT</w:t>
      </w:r>
      <w:r w:rsidR="00B0605A" w:rsidRPr="006E009B">
        <w:t xml:space="preserve">. This document contains </w:t>
      </w:r>
      <w:r w:rsidR="00B0605A" w:rsidRPr="006E009B">
        <w:rPr>
          <w:szCs w:val="28"/>
        </w:rPr>
        <w:t>a</w:t>
      </w:r>
      <w:r w:rsidR="00B0605A" w:rsidRPr="006E009B">
        <w:t xml:space="preserve"> final report </w:t>
      </w:r>
      <w:r w:rsidR="00B0605A" w:rsidRPr="006E009B">
        <w:rPr>
          <w:szCs w:val="28"/>
        </w:rPr>
        <w:t xml:space="preserve">on the work </w:t>
      </w:r>
      <w:r w:rsidR="00B0605A" w:rsidRPr="006E009B">
        <w:t>of TDAG-WG-Prep</w:t>
      </w:r>
      <w:r w:rsidR="00B0605A" w:rsidRPr="006E009B">
        <w:rPr>
          <w:szCs w:val="28"/>
        </w:rPr>
        <w:t xml:space="preserve">, including those items where the group had not reached a consensus and </w:t>
      </w:r>
      <w:r w:rsidR="00B0605A" w:rsidRPr="006E009B">
        <w:t>TDAG</w:t>
      </w:r>
      <w:r w:rsidR="00B0605A" w:rsidRPr="006E009B">
        <w:rPr>
          <w:szCs w:val="28"/>
        </w:rPr>
        <w:t xml:space="preserve">-20/3 took a decision. </w:t>
      </w:r>
    </w:p>
    <w:p w14:paraId="59BAE665" w14:textId="77777777" w:rsidR="00B0605A" w:rsidRPr="006E009B" w:rsidRDefault="00B0605A" w:rsidP="00712E2F">
      <w:r w:rsidRPr="006E009B">
        <w:t>RPM-CIS took note of the document.</w:t>
      </w:r>
    </w:p>
    <w:p w14:paraId="053570A2" w14:textId="22B5CF4E" w:rsidR="00B328C4" w:rsidRPr="006E009B" w:rsidRDefault="00B0605A" w:rsidP="00712E2F">
      <w:pPr>
        <w:pStyle w:val="Heading2"/>
      </w:pPr>
      <w:r w:rsidRPr="006E009B">
        <w:lastRenderedPageBreak/>
        <w:t>7.2</w:t>
      </w:r>
      <w:r w:rsidRPr="006E009B">
        <w:tab/>
        <w:t xml:space="preserve">Report </w:t>
      </w:r>
      <w:bookmarkStart w:id="11" w:name="_Hlk70341511"/>
      <w:r w:rsidRPr="006E009B">
        <w:t>of the TDAG Working Group on WTDC Resolutions, Declaration and Thematic Priorities (TDAG-WG-RDTP)</w:t>
      </w:r>
      <w:bookmarkEnd w:id="11"/>
    </w:p>
    <w:p w14:paraId="10EFB72E" w14:textId="322417B2" w:rsidR="00B328C4" w:rsidRPr="006E009B" w:rsidRDefault="00200BDA" w:rsidP="00712E2F">
      <w:pPr>
        <w:rPr>
          <w:szCs w:val="24"/>
        </w:rPr>
      </w:pPr>
      <w:hyperlink r:id="rId22" w:history="1">
        <w:r w:rsidR="00F15654" w:rsidRPr="006E009B">
          <w:rPr>
            <w:rStyle w:val="Hyperlink"/>
            <w:b/>
            <w:bCs/>
          </w:rPr>
          <w:t>Document 7</w:t>
        </w:r>
      </w:hyperlink>
      <w:r w:rsidR="00F15654" w:rsidRPr="006E009B">
        <w:t xml:space="preserve"> entitled </w:t>
      </w:r>
      <w:r w:rsidR="00842423" w:rsidRPr="006E009B">
        <w:t>“</w:t>
      </w:r>
      <w:r w:rsidR="00F15654" w:rsidRPr="006E009B">
        <w:rPr>
          <w:szCs w:val="24"/>
        </w:rPr>
        <w:t>Report of the TDAG Working Group on WTDC Resolutions, Declaration and Thematic Priorities (TDAG-WG-RDTP)</w:t>
      </w:r>
      <w:r w:rsidR="00842423" w:rsidRPr="006E009B">
        <w:rPr>
          <w:szCs w:val="24"/>
        </w:rPr>
        <w:t>”</w:t>
      </w:r>
      <w:r w:rsidR="00F15654" w:rsidRPr="006E009B">
        <w:rPr>
          <w:szCs w:val="24"/>
        </w:rPr>
        <w:t xml:space="preserve"> </w:t>
      </w:r>
      <w:r w:rsidR="002F4305" w:rsidRPr="006E009B">
        <w:rPr>
          <w:szCs w:val="24"/>
        </w:rPr>
        <w:t xml:space="preserve">was presented by </w:t>
      </w:r>
      <w:r w:rsidR="002F4305" w:rsidRPr="005B66F2">
        <w:rPr>
          <w:szCs w:val="24"/>
        </w:rPr>
        <w:t>Mr Ahmad Reza Sharafat</w:t>
      </w:r>
      <w:r w:rsidR="002F4305" w:rsidRPr="006E009B">
        <w:rPr>
          <w:szCs w:val="24"/>
        </w:rPr>
        <w:t>, Chair</w:t>
      </w:r>
      <w:r w:rsidR="00842423" w:rsidRPr="006E009B">
        <w:rPr>
          <w:szCs w:val="24"/>
        </w:rPr>
        <w:t>man</w:t>
      </w:r>
      <w:r w:rsidR="002F4305" w:rsidRPr="006E009B">
        <w:rPr>
          <w:szCs w:val="24"/>
        </w:rPr>
        <w:t xml:space="preserve"> of </w:t>
      </w:r>
      <w:r w:rsidR="00842423" w:rsidRPr="006E009B">
        <w:rPr>
          <w:szCs w:val="24"/>
        </w:rPr>
        <w:t>TDAG-</w:t>
      </w:r>
      <w:r w:rsidR="002F4305" w:rsidRPr="006E009B">
        <w:rPr>
          <w:szCs w:val="24"/>
        </w:rPr>
        <w:t>WG-RDTP</w:t>
      </w:r>
      <w:r w:rsidR="00F15654" w:rsidRPr="006E009B">
        <w:rPr>
          <w:szCs w:val="24"/>
        </w:rPr>
        <w:t xml:space="preserve">. This document contains the progress report of </w:t>
      </w:r>
      <w:r w:rsidR="00842423" w:rsidRPr="006E009B">
        <w:rPr>
          <w:szCs w:val="24"/>
        </w:rPr>
        <w:t>TDAG-WG-RDTP</w:t>
      </w:r>
      <w:r w:rsidR="00F15654" w:rsidRPr="006E009B">
        <w:rPr>
          <w:szCs w:val="24"/>
        </w:rPr>
        <w:t>. The group will continue its work and submit the next report to TDAG-21.</w:t>
      </w:r>
    </w:p>
    <w:p w14:paraId="386FCB4C" w14:textId="77777777" w:rsidR="00D82137" w:rsidRPr="006E009B" w:rsidRDefault="00D82137" w:rsidP="00712E2F">
      <w:r w:rsidRPr="006E009B">
        <w:t>RPM-CIS took note of the document.</w:t>
      </w:r>
    </w:p>
    <w:p w14:paraId="5F8928C6" w14:textId="09E1D668" w:rsidR="00D82137" w:rsidRPr="006E009B" w:rsidRDefault="00D82137" w:rsidP="00712E2F">
      <w:pPr>
        <w:pStyle w:val="Heading2"/>
      </w:pPr>
      <w:r w:rsidRPr="006E009B">
        <w:t>7.3</w:t>
      </w:r>
      <w:r w:rsidRPr="006E009B">
        <w:tab/>
        <w:t>TDAG Working Group on Strategic and Operational Plans (TDAG-WG-SOP)</w:t>
      </w:r>
    </w:p>
    <w:p w14:paraId="37EB0562" w14:textId="7516D53B" w:rsidR="00D82137" w:rsidRPr="006E009B" w:rsidRDefault="00200BDA" w:rsidP="00712E2F">
      <w:pPr>
        <w:rPr>
          <w:szCs w:val="28"/>
        </w:rPr>
      </w:pPr>
      <w:hyperlink r:id="rId23" w:history="1">
        <w:r w:rsidR="00D82137" w:rsidRPr="006E009B">
          <w:rPr>
            <w:rStyle w:val="Hyperlink"/>
            <w:b/>
            <w:bCs/>
          </w:rPr>
          <w:t>Document 8</w:t>
        </w:r>
      </w:hyperlink>
      <w:r w:rsidR="00D82137" w:rsidRPr="006E009B">
        <w:t xml:space="preserve"> entitled </w:t>
      </w:r>
      <w:r w:rsidR="00AC6D3A" w:rsidRPr="006E009B">
        <w:t>“</w:t>
      </w:r>
      <w:r w:rsidR="00D82137" w:rsidRPr="006E009B">
        <w:t>Report on the meeting of TDAG Working Group on Strategic and Operational Plans (TDAG-WG-SOP)</w:t>
      </w:r>
      <w:r w:rsidR="00AC6D3A" w:rsidRPr="006E009B">
        <w:t>”</w:t>
      </w:r>
      <w:r w:rsidR="00D82137" w:rsidRPr="006E009B">
        <w:t xml:space="preserve"> </w:t>
      </w:r>
      <w:r w:rsidR="00E06128" w:rsidRPr="006E009B">
        <w:t xml:space="preserve">was presented by </w:t>
      </w:r>
      <w:r w:rsidR="00E06128" w:rsidRPr="005B66F2">
        <w:t>Ms Blanca Gonzalez</w:t>
      </w:r>
      <w:r w:rsidR="00E06128" w:rsidRPr="006E009B">
        <w:t xml:space="preserve">, TDAG Vice-Chairperson. The document provides a report on the activities of </w:t>
      </w:r>
      <w:r w:rsidR="00AC6D3A" w:rsidRPr="006E009B">
        <w:t>TDAG-WG-SOP</w:t>
      </w:r>
      <w:r w:rsidR="00E06128" w:rsidRPr="006E009B">
        <w:t xml:space="preserve"> since its </w:t>
      </w:r>
      <w:r w:rsidR="00AC6D3A" w:rsidRPr="006E009B">
        <w:t>establishment</w:t>
      </w:r>
      <w:r w:rsidR="00D82137" w:rsidRPr="006E009B">
        <w:t xml:space="preserve">. </w:t>
      </w:r>
      <w:r w:rsidR="00D82137" w:rsidRPr="006E009B">
        <w:rPr>
          <w:szCs w:val="28"/>
        </w:rPr>
        <w:t xml:space="preserve">It also contains some recommendations </w:t>
      </w:r>
      <w:r w:rsidR="00AC6D3A" w:rsidRPr="006E009B">
        <w:rPr>
          <w:szCs w:val="28"/>
        </w:rPr>
        <w:t>approved by</w:t>
      </w:r>
      <w:r w:rsidR="00D82137" w:rsidRPr="006E009B">
        <w:rPr>
          <w:szCs w:val="28"/>
        </w:rPr>
        <w:t xml:space="preserve"> TDAG-20/3 </w:t>
      </w:r>
      <w:r w:rsidR="00AC6D3A" w:rsidRPr="006E009B">
        <w:rPr>
          <w:szCs w:val="28"/>
        </w:rPr>
        <w:t>on the way forward</w:t>
      </w:r>
      <w:r w:rsidR="00D82137" w:rsidRPr="006E009B">
        <w:rPr>
          <w:szCs w:val="28"/>
        </w:rPr>
        <w:t xml:space="preserve">. </w:t>
      </w:r>
    </w:p>
    <w:p w14:paraId="241F61EA" w14:textId="77777777" w:rsidR="00D82137" w:rsidRPr="006E009B" w:rsidRDefault="00D82137" w:rsidP="00712E2F">
      <w:r w:rsidRPr="006E009B">
        <w:t>RPM-CIS took note of the document.</w:t>
      </w:r>
    </w:p>
    <w:p w14:paraId="4B7A0BB1" w14:textId="4098FDD6" w:rsidR="00D82137" w:rsidRPr="006E009B" w:rsidRDefault="00D82137" w:rsidP="00712E2F">
      <w:pPr>
        <w:pStyle w:val="Heading1"/>
      </w:pPr>
      <w:r w:rsidRPr="006E009B">
        <w:t>8</w:t>
      </w:r>
      <w:r w:rsidRPr="006E009B">
        <w:tab/>
        <w:t>Identification of regional priority areas</w:t>
      </w:r>
    </w:p>
    <w:p w14:paraId="484ECB97" w14:textId="6F9D7BE3" w:rsidR="00D82137" w:rsidRPr="006E009B" w:rsidRDefault="00AC6D3A" w:rsidP="00712E2F">
      <w:r w:rsidRPr="006E009B">
        <w:t>The following contributions were considered during the</w:t>
      </w:r>
      <w:r w:rsidR="00E06128" w:rsidRPr="006E009B">
        <w:t xml:space="preserve"> discussion of agenda item 8</w:t>
      </w:r>
      <w:r w:rsidR="00D82137" w:rsidRPr="006E009B">
        <w:t>:</w:t>
      </w:r>
    </w:p>
    <w:p w14:paraId="0010B2F7" w14:textId="5B3459FA" w:rsidR="00D82137" w:rsidRPr="006E009B" w:rsidRDefault="00200BDA" w:rsidP="00712E2F">
      <w:pPr>
        <w:rPr>
          <w:szCs w:val="24"/>
        </w:rPr>
      </w:pPr>
      <w:hyperlink r:id="rId24" w:history="1">
        <w:r w:rsidR="00D82137" w:rsidRPr="006E009B">
          <w:rPr>
            <w:rStyle w:val="Hyperlink"/>
            <w:b/>
            <w:bCs/>
          </w:rPr>
          <w:t>Document 9</w:t>
        </w:r>
      </w:hyperlink>
      <w:r w:rsidR="00D82137" w:rsidRPr="006E009B">
        <w:t xml:space="preserve"> entitled </w:t>
      </w:r>
      <w:r w:rsidR="00AC6D3A" w:rsidRPr="006E009B">
        <w:t>“</w:t>
      </w:r>
      <w:r w:rsidR="00D82137" w:rsidRPr="006E009B">
        <w:t>The measurement system for time, frequency and data volume in the digital ICT networks</w:t>
      </w:r>
      <w:r w:rsidR="00AC6D3A" w:rsidRPr="006E009B">
        <w:t>”</w:t>
      </w:r>
      <w:r w:rsidR="00D82137" w:rsidRPr="006E009B">
        <w:t xml:space="preserve"> was presented by Mr Serge</w:t>
      </w:r>
      <w:r w:rsidR="00AC6D3A" w:rsidRPr="006E009B">
        <w:t>y</w:t>
      </w:r>
      <w:r w:rsidR="00D82137" w:rsidRPr="006E009B">
        <w:t xml:space="preserve"> Melnik, Moscow Technical University of Communications and Informatics (MTUCI). </w:t>
      </w:r>
      <w:r w:rsidR="00D82137" w:rsidRPr="006E009B">
        <w:rPr>
          <w:szCs w:val="24"/>
        </w:rPr>
        <w:t xml:space="preserve">The </w:t>
      </w:r>
      <w:r w:rsidR="005B66F2">
        <w:rPr>
          <w:szCs w:val="24"/>
        </w:rPr>
        <w:t>objective</w:t>
      </w:r>
      <w:r w:rsidR="00D82137" w:rsidRPr="006E009B">
        <w:rPr>
          <w:szCs w:val="24"/>
        </w:rPr>
        <w:t xml:space="preserve"> of th</w:t>
      </w:r>
      <w:r w:rsidR="005B66F2">
        <w:rPr>
          <w:szCs w:val="24"/>
        </w:rPr>
        <w:t>e</w:t>
      </w:r>
      <w:r w:rsidR="00D82137" w:rsidRPr="006E009B">
        <w:rPr>
          <w:szCs w:val="24"/>
        </w:rPr>
        <w:t xml:space="preserve"> contribution is to propose a new initiative that defines the rules and procedures for the </w:t>
      </w:r>
      <w:r w:rsidR="00AC6D3A" w:rsidRPr="006E009B">
        <w:rPr>
          <w:szCs w:val="24"/>
        </w:rPr>
        <w:t>measurement</w:t>
      </w:r>
      <w:r w:rsidR="00D82137" w:rsidRPr="006E009B">
        <w:rPr>
          <w:szCs w:val="24"/>
        </w:rPr>
        <w:t xml:space="preserve"> of </w:t>
      </w:r>
      <w:r w:rsidR="00AC6D3A" w:rsidRPr="006E009B">
        <w:rPr>
          <w:szCs w:val="24"/>
        </w:rPr>
        <w:t xml:space="preserve">parameters for </w:t>
      </w:r>
      <w:r w:rsidR="00D82137" w:rsidRPr="006E009B">
        <w:rPr>
          <w:szCs w:val="24"/>
        </w:rPr>
        <w:t xml:space="preserve">digital data transmission </w:t>
      </w:r>
      <w:r w:rsidR="00AC6D3A" w:rsidRPr="006E009B">
        <w:rPr>
          <w:szCs w:val="24"/>
        </w:rPr>
        <w:t>via</w:t>
      </w:r>
      <w:r w:rsidR="00D82137" w:rsidRPr="006E009B">
        <w:rPr>
          <w:szCs w:val="24"/>
        </w:rPr>
        <w:t xml:space="preserve"> communication channels, Internet and telephony in </w:t>
      </w:r>
      <w:r w:rsidR="002E4D51" w:rsidRPr="006E009B">
        <w:rPr>
          <w:szCs w:val="24"/>
        </w:rPr>
        <w:t>modern</w:t>
      </w:r>
      <w:r w:rsidR="00D82137" w:rsidRPr="006E009B">
        <w:rPr>
          <w:szCs w:val="24"/>
        </w:rPr>
        <w:t xml:space="preserve"> and future communication systems. This initiative will contribute </w:t>
      </w:r>
      <w:r w:rsidR="00640028" w:rsidRPr="006E009B">
        <w:rPr>
          <w:szCs w:val="24"/>
        </w:rPr>
        <w:t xml:space="preserve">to </w:t>
      </w:r>
      <w:r w:rsidR="00415029">
        <w:rPr>
          <w:szCs w:val="24"/>
        </w:rPr>
        <w:t>countries’</w:t>
      </w:r>
      <w:r w:rsidR="00D82137" w:rsidRPr="006E009B">
        <w:rPr>
          <w:szCs w:val="24"/>
        </w:rPr>
        <w:t xml:space="preserve"> economic and social development.</w:t>
      </w:r>
    </w:p>
    <w:p w14:paraId="47DAB438" w14:textId="52F66504" w:rsidR="00DD288F" w:rsidRPr="006E009B" w:rsidRDefault="00200BDA" w:rsidP="00712E2F">
      <w:hyperlink r:id="rId25" w:history="1">
        <w:r w:rsidR="00DD288F" w:rsidRPr="006E009B">
          <w:rPr>
            <w:rStyle w:val="Hyperlink"/>
            <w:b/>
            <w:bCs/>
          </w:rPr>
          <w:t>Document 10</w:t>
        </w:r>
      </w:hyperlink>
      <w:r w:rsidR="00DD288F" w:rsidRPr="006E009B">
        <w:t xml:space="preserve"> entitled </w:t>
      </w:r>
      <w:r w:rsidR="00640028" w:rsidRPr="006E009B">
        <w:t>“</w:t>
      </w:r>
      <w:r w:rsidR="00DD288F" w:rsidRPr="006E009B">
        <w:rPr>
          <w:rFonts w:cstheme="minorHAnsi"/>
          <w:szCs w:val="28"/>
        </w:rPr>
        <w:t xml:space="preserve">Proposed regional initiative for WTDC-21 </w:t>
      </w:r>
      <w:r w:rsidR="005B66F2">
        <w:rPr>
          <w:rFonts w:cstheme="minorHAnsi"/>
          <w:szCs w:val="28"/>
        </w:rPr>
        <w:t>‘</w:t>
      </w:r>
      <w:r w:rsidR="00DD288F" w:rsidRPr="006E009B">
        <w:rPr>
          <w:rFonts w:cstheme="minorHAnsi"/>
          <w:szCs w:val="28"/>
        </w:rPr>
        <w:t>Development of smart cities and communities (SC</w:t>
      </w:r>
      <w:r w:rsidR="00216FDE">
        <w:rPr>
          <w:rFonts w:cstheme="minorHAnsi"/>
          <w:szCs w:val="28"/>
        </w:rPr>
        <w:t>&amp;</w:t>
      </w:r>
      <w:r w:rsidR="00DD288F" w:rsidRPr="006E009B">
        <w:rPr>
          <w:rFonts w:cstheme="minorHAnsi"/>
          <w:szCs w:val="28"/>
        </w:rPr>
        <w:t>C), including smart regions, smart sustainable cities (SSC) and smart villages</w:t>
      </w:r>
      <w:r w:rsidR="005B66F2">
        <w:rPr>
          <w:rFonts w:cstheme="minorHAnsi"/>
          <w:szCs w:val="28"/>
        </w:rPr>
        <w:t>’</w:t>
      </w:r>
      <w:r w:rsidR="00640028" w:rsidRPr="006E009B">
        <w:rPr>
          <w:rFonts w:cstheme="minorHAnsi"/>
          <w:szCs w:val="28"/>
        </w:rPr>
        <w:t>”</w:t>
      </w:r>
      <w:r w:rsidR="00DD288F" w:rsidRPr="006E009B">
        <w:rPr>
          <w:rFonts w:cstheme="minorHAnsi"/>
          <w:szCs w:val="28"/>
        </w:rPr>
        <w:t xml:space="preserve"> was presented by </w:t>
      </w:r>
      <w:r w:rsidR="00DD288F" w:rsidRPr="005B66F2">
        <w:rPr>
          <w:rFonts w:cstheme="minorHAnsi"/>
          <w:szCs w:val="28"/>
        </w:rPr>
        <w:t>Mr Evgeny Solovyov</w:t>
      </w:r>
      <w:r w:rsidR="00DD288F" w:rsidRPr="006E009B">
        <w:rPr>
          <w:rFonts w:cstheme="minorHAnsi"/>
          <w:szCs w:val="28"/>
        </w:rPr>
        <w:t xml:space="preserve">, Ministry of Communications and Informatization, </w:t>
      </w:r>
      <w:r w:rsidR="009E4123">
        <w:rPr>
          <w:rFonts w:cstheme="minorHAnsi"/>
          <w:szCs w:val="28"/>
        </w:rPr>
        <w:t xml:space="preserve">Republic of </w:t>
      </w:r>
      <w:r w:rsidR="00DD288F" w:rsidRPr="006E009B">
        <w:rPr>
          <w:rFonts w:cstheme="minorHAnsi"/>
          <w:szCs w:val="28"/>
        </w:rPr>
        <w:t xml:space="preserve">Belarus. </w:t>
      </w:r>
      <w:r w:rsidR="00DD288F" w:rsidRPr="006E009B">
        <w:t>In the CIS region, SC</w:t>
      </w:r>
      <w:r w:rsidR="00216FDE">
        <w:t>&amp;</w:t>
      </w:r>
      <w:r w:rsidR="00DD288F" w:rsidRPr="006E009B">
        <w:t>C are currently gaining popularity as an approach to socio-economic development. The concept does not only cover the development of sustainable smart cities, but also smart villages and smart regions as a whole. This approach is a modern trend that must be analysed, developed and complemented. In this regard, ITU can actively assist ITU Member States of the region in developing legal and regulatory frameworks, creating necessary infrastructure, introducing modern services and applications in different aspects of SC</w:t>
      </w:r>
      <w:r w:rsidR="00216FDE">
        <w:t>&amp;</w:t>
      </w:r>
      <w:r w:rsidR="00DD288F" w:rsidRPr="006E009B">
        <w:t>C (education, healthcare, tourism, transport, energy, security, the environment, etc.) and raising the digital literacy of the population, business and authorities in terms of SC</w:t>
      </w:r>
      <w:r w:rsidR="00216FDE">
        <w:t>&amp;</w:t>
      </w:r>
      <w:r w:rsidR="00DD288F" w:rsidRPr="006E009B">
        <w:t>C.</w:t>
      </w:r>
    </w:p>
    <w:p w14:paraId="218C903B" w14:textId="4AFD70B7" w:rsidR="00DD288F" w:rsidRPr="006E009B" w:rsidRDefault="0061204E" w:rsidP="00712E2F">
      <w:bookmarkStart w:id="12" w:name="_Hlk70416458"/>
      <w:r w:rsidRPr="006E009B">
        <w:rPr>
          <w:b/>
          <w:bCs/>
        </w:rPr>
        <w:t>The Ministry of Transport, Communications and High Technologies of the Republic of Azerbaijan</w:t>
      </w:r>
      <w:r w:rsidR="00794391" w:rsidRPr="006E009B">
        <w:rPr>
          <w:b/>
          <w:bCs/>
        </w:rPr>
        <w:t xml:space="preserve"> </w:t>
      </w:r>
      <w:bookmarkEnd w:id="12"/>
      <w:r w:rsidRPr="006E009B">
        <w:t xml:space="preserve">proposed a new regional initiative for WTDC-21 entitled “Cybersecurity: building </w:t>
      </w:r>
      <w:r w:rsidR="00640028" w:rsidRPr="006E009B">
        <w:t>capacity</w:t>
      </w:r>
      <w:r w:rsidRPr="006E009B">
        <w:t xml:space="preserve"> and strengthening regional cooperation to ensure timely response to cyberthreats.” The main objectives of th</w:t>
      </w:r>
      <w:r w:rsidR="00640028" w:rsidRPr="006E009B">
        <w:t>e proposed</w:t>
      </w:r>
      <w:r w:rsidRPr="006E009B">
        <w:t xml:space="preserve"> </w:t>
      </w:r>
      <w:r w:rsidR="00640028" w:rsidRPr="006E009B">
        <w:t>r</w:t>
      </w:r>
      <w:r w:rsidRPr="006E009B">
        <w:t xml:space="preserve">egional </w:t>
      </w:r>
      <w:r w:rsidR="00640028" w:rsidRPr="006E009B">
        <w:t>i</w:t>
      </w:r>
      <w:r w:rsidRPr="006E009B">
        <w:t>nitiative are to</w:t>
      </w:r>
      <w:r w:rsidR="00794391" w:rsidRPr="006E009B">
        <w:t>:</w:t>
      </w:r>
    </w:p>
    <w:p w14:paraId="69A8A53E" w14:textId="12E731DD" w:rsidR="00794391" w:rsidRPr="006E009B" w:rsidRDefault="00794391" w:rsidP="00712E2F">
      <w:pPr>
        <w:pStyle w:val="enumlev1"/>
      </w:pPr>
      <w:r w:rsidRPr="006E009B">
        <w:t>1)</w:t>
      </w:r>
      <w:r w:rsidRPr="006E009B">
        <w:tab/>
      </w:r>
      <w:r w:rsidR="0061204E" w:rsidRPr="006E009B">
        <w:t xml:space="preserve">Conduct regional and national cybersecurity </w:t>
      </w:r>
      <w:r w:rsidR="00640028" w:rsidRPr="006E009B">
        <w:t>drills</w:t>
      </w:r>
      <w:r w:rsidRPr="006E009B">
        <w:t>;</w:t>
      </w:r>
    </w:p>
    <w:p w14:paraId="4B33A078" w14:textId="0E30EBEA" w:rsidR="00794391" w:rsidRPr="006E009B" w:rsidRDefault="00794391" w:rsidP="00712E2F">
      <w:pPr>
        <w:pStyle w:val="enumlev1"/>
      </w:pPr>
      <w:r w:rsidRPr="006E009B">
        <w:t>2)</w:t>
      </w:r>
      <w:r w:rsidRPr="006E009B">
        <w:tab/>
      </w:r>
      <w:r w:rsidR="0061204E" w:rsidRPr="006E009B">
        <w:t>Establish and enhance governmental and national c</w:t>
      </w:r>
      <w:r w:rsidR="00804DA7" w:rsidRPr="006E009B">
        <w:t>yberincident response centres</w:t>
      </w:r>
      <w:r w:rsidRPr="006E009B">
        <w:t>;</w:t>
      </w:r>
    </w:p>
    <w:p w14:paraId="1A72CBEB" w14:textId="315AD8CB" w:rsidR="00794391" w:rsidRPr="006E009B" w:rsidRDefault="00794391" w:rsidP="00712E2F">
      <w:pPr>
        <w:pStyle w:val="enumlev1"/>
      </w:pPr>
      <w:r w:rsidRPr="006E009B">
        <w:t>3)</w:t>
      </w:r>
      <w:r w:rsidRPr="006E009B">
        <w:tab/>
      </w:r>
      <w:r w:rsidR="00804DA7" w:rsidRPr="006E009B">
        <w:t>Facilitate the development of national cybersecurity strategies</w:t>
      </w:r>
      <w:r w:rsidRPr="006E009B">
        <w:t>;</w:t>
      </w:r>
    </w:p>
    <w:p w14:paraId="231EA7AD" w14:textId="16292395" w:rsidR="00794391" w:rsidRPr="006E009B" w:rsidRDefault="00794391" w:rsidP="00712E2F">
      <w:pPr>
        <w:pStyle w:val="enumlev1"/>
      </w:pPr>
      <w:r w:rsidRPr="006E009B">
        <w:lastRenderedPageBreak/>
        <w:t>4)</w:t>
      </w:r>
      <w:r w:rsidRPr="006E009B">
        <w:tab/>
      </w:r>
      <w:r w:rsidR="00804DA7" w:rsidRPr="006E009B">
        <w:t>Conduct specialized training and seminars</w:t>
      </w:r>
      <w:r w:rsidRPr="006E009B">
        <w:t>.</w:t>
      </w:r>
    </w:p>
    <w:p w14:paraId="46EF6052" w14:textId="1BAD3F2C" w:rsidR="00794391" w:rsidRPr="006E009B" w:rsidRDefault="00804DA7" w:rsidP="00712E2F">
      <w:r w:rsidRPr="006E009B">
        <w:t xml:space="preserve">The Ministry of Transport, Communications and High Technologies of the Republic of Azerbaijan also proposed </w:t>
      </w:r>
      <w:r w:rsidR="005B66F2" w:rsidRPr="006E009B">
        <w:t xml:space="preserve">annually </w:t>
      </w:r>
      <w:r w:rsidRPr="006E009B">
        <w:t>holding ITU regional cybersecurity drill</w:t>
      </w:r>
      <w:r w:rsidR="00640028" w:rsidRPr="006E009B">
        <w:t xml:space="preserve">s </w:t>
      </w:r>
      <w:r w:rsidRPr="006E009B">
        <w:t>in Baku</w:t>
      </w:r>
      <w:r w:rsidR="00794391" w:rsidRPr="006E009B">
        <w:t>.</w:t>
      </w:r>
    </w:p>
    <w:p w14:paraId="43EC9FB9" w14:textId="6C7EAB85" w:rsidR="00794391" w:rsidRPr="006E009B" w:rsidRDefault="00200BDA" w:rsidP="00712E2F">
      <w:pPr>
        <w:rPr>
          <w:rFonts w:cstheme="minorHAnsi"/>
        </w:rPr>
      </w:pPr>
      <w:hyperlink r:id="rId26" w:history="1">
        <w:r w:rsidR="00794391" w:rsidRPr="006E009B">
          <w:rPr>
            <w:rStyle w:val="Hyperlink"/>
            <w:b/>
            <w:bCs/>
          </w:rPr>
          <w:t>Document 11</w:t>
        </w:r>
      </w:hyperlink>
      <w:r w:rsidR="00794391" w:rsidRPr="006E009B">
        <w:t xml:space="preserve"> entitled </w:t>
      </w:r>
      <w:r w:rsidR="00640028" w:rsidRPr="006E009B">
        <w:t>“</w:t>
      </w:r>
      <w:r w:rsidR="00794391" w:rsidRPr="006E009B">
        <w:rPr>
          <w:rFonts w:cstheme="minorHAnsi"/>
        </w:rPr>
        <w:t xml:space="preserve">Proposal of the Kyrgyz Republic </w:t>
      </w:r>
      <w:r w:rsidR="00640028" w:rsidRPr="006E009B">
        <w:rPr>
          <w:rFonts w:cstheme="minorHAnsi"/>
        </w:rPr>
        <w:t xml:space="preserve">to </w:t>
      </w:r>
      <w:r w:rsidR="00A63D2F" w:rsidRPr="006E009B">
        <w:rPr>
          <w:rFonts w:cstheme="minorHAnsi"/>
        </w:rPr>
        <w:t>broaden</w:t>
      </w:r>
      <w:r w:rsidR="00640028" w:rsidRPr="006E009B">
        <w:rPr>
          <w:rFonts w:cstheme="minorHAnsi"/>
        </w:rPr>
        <w:t xml:space="preserve"> the priority area of c</w:t>
      </w:r>
      <w:r w:rsidR="00794391" w:rsidRPr="006E009B">
        <w:rPr>
          <w:rFonts w:cstheme="minorHAnsi"/>
        </w:rPr>
        <w:t>ybersecurity</w:t>
      </w:r>
      <w:r w:rsidR="00640028" w:rsidRPr="006E009B">
        <w:rPr>
          <w:rFonts w:cstheme="minorHAnsi"/>
        </w:rPr>
        <w:t>”</w:t>
      </w:r>
      <w:r w:rsidR="00794391" w:rsidRPr="006E009B">
        <w:rPr>
          <w:rFonts w:cstheme="minorHAnsi"/>
        </w:rPr>
        <w:t xml:space="preserve"> </w:t>
      </w:r>
      <w:r w:rsidR="00804DA7" w:rsidRPr="006E009B">
        <w:rPr>
          <w:rFonts w:cstheme="minorHAnsi"/>
        </w:rPr>
        <w:t>was presented by Ms</w:t>
      </w:r>
      <w:r w:rsidR="00640028" w:rsidRPr="006E009B">
        <w:rPr>
          <w:rFonts w:cstheme="minorHAnsi"/>
        </w:rPr>
        <w:t xml:space="preserve"> </w:t>
      </w:r>
      <w:r w:rsidR="00804DA7" w:rsidRPr="006E009B">
        <w:rPr>
          <w:rFonts w:cstheme="minorHAnsi"/>
        </w:rPr>
        <w:t xml:space="preserve">Natalia </w:t>
      </w:r>
      <w:r w:rsidR="00640028" w:rsidRPr="006E009B">
        <w:rPr>
          <w:rFonts w:cstheme="minorHAnsi"/>
        </w:rPr>
        <w:t>Mochu</w:t>
      </w:r>
      <w:r w:rsidR="00804DA7" w:rsidRPr="006E009B">
        <w:rPr>
          <w:rFonts w:cstheme="minorHAnsi"/>
        </w:rPr>
        <w:t xml:space="preserve">, Regional </w:t>
      </w:r>
      <w:r w:rsidR="00640028" w:rsidRPr="006E009B">
        <w:rPr>
          <w:rFonts w:cstheme="minorHAnsi"/>
        </w:rPr>
        <w:t xml:space="preserve">Director, ITU Regional Office for </w:t>
      </w:r>
      <w:r w:rsidR="00804DA7" w:rsidRPr="006E009B">
        <w:rPr>
          <w:rFonts w:cstheme="minorHAnsi"/>
        </w:rPr>
        <w:t>CIS</w:t>
      </w:r>
      <w:r w:rsidR="00794391" w:rsidRPr="006E009B">
        <w:rPr>
          <w:rFonts w:cstheme="minorHAnsi"/>
        </w:rPr>
        <w:t>.</w:t>
      </w:r>
      <w:r w:rsidR="00804DA7" w:rsidRPr="006E009B">
        <w:rPr>
          <w:rFonts w:cstheme="minorHAnsi"/>
        </w:rPr>
        <w:t xml:space="preserve"> The document contains a proposal made by the Administration of </w:t>
      </w:r>
      <w:r w:rsidR="00794391" w:rsidRPr="006E009B">
        <w:rPr>
          <w:rFonts w:cstheme="minorHAnsi"/>
        </w:rPr>
        <w:t xml:space="preserve">the Kyrgyz Republic to </w:t>
      </w:r>
      <w:r w:rsidR="00804DA7" w:rsidRPr="006E009B">
        <w:rPr>
          <w:rFonts w:cstheme="minorHAnsi"/>
        </w:rPr>
        <w:t xml:space="preserve">identify </w:t>
      </w:r>
      <w:r w:rsidR="00794391" w:rsidRPr="006E009B">
        <w:rPr>
          <w:rFonts w:cstheme="minorHAnsi"/>
        </w:rPr>
        <w:t xml:space="preserve">cybersecurity </w:t>
      </w:r>
      <w:r w:rsidR="00804DA7" w:rsidRPr="006E009B">
        <w:rPr>
          <w:rFonts w:cstheme="minorHAnsi"/>
        </w:rPr>
        <w:t xml:space="preserve">as </w:t>
      </w:r>
      <w:r w:rsidR="00794391" w:rsidRPr="006E009B">
        <w:rPr>
          <w:rFonts w:cstheme="minorHAnsi"/>
        </w:rPr>
        <w:t>a</w:t>
      </w:r>
      <w:r w:rsidR="00804DA7" w:rsidRPr="006E009B">
        <w:rPr>
          <w:rFonts w:cstheme="minorHAnsi"/>
        </w:rPr>
        <w:t xml:space="preserve"> priority area</w:t>
      </w:r>
      <w:r w:rsidR="00794391" w:rsidRPr="006E009B">
        <w:rPr>
          <w:rFonts w:cstheme="minorHAnsi"/>
        </w:rPr>
        <w:t xml:space="preserve"> and </w:t>
      </w:r>
      <w:r w:rsidR="00A63D2F" w:rsidRPr="006E009B">
        <w:rPr>
          <w:rFonts w:cstheme="minorHAnsi"/>
        </w:rPr>
        <w:t>increase</w:t>
      </w:r>
      <w:r w:rsidR="00794391" w:rsidRPr="006E009B">
        <w:rPr>
          <w:rFonts w:cstheme="minorHAnsi"/>
        </w:rPr>
        <w:t xml:space="preserve"> assistance to countries </w:t>
      </w:r>
      <w:r w:rsidR="00804DA7" w:rsidRPr="006E009B">
        <w:rPr>
          <w:rFonts w:cstheme="minorHAnsi"/>
        </w:rPr>
        <w:t>in</w:t>
      </w:r>
      <w:r w:rsidR="00794391" w:rsidRPr="006E009B">
        <w:rPr>
          <w:rFonts w:cstheme="minorHAnsi"/>
        </w:rPr>
        <w:t xml:space="preserve"> strengthening cybersecurity. The Kyrgyz Republic </w:t>
      </w:r>
      <w:r w:rsidR="00804DA7" w:rsidRPr="006E009B">
        <w:rPr>
          <w:rFonts w:cstheme="minorHAnsi"/>
        </w:rPr>
        <w:t>makes the corresponding proposals to</w:t>
      </w:r>
      <w:r w:rsidR="00794391" w:rsidRPr="006E009B">
        <w:rPr>
          <w:rFonts w:cstheme="minorHAnsi"/>
        </w:rPr>
        <w:t xml:space="preserve"> </w:t>
      </w:r>
      <w:r w:rsidR="00A63D2F" w:rsidRPr="006E009B">
        <w:rPr>
          <w:rFonts w:cstheme="minorHAnsi"/>
        </w:rPr>
        <w:t>broaden</w:t>
      </w:r>
      <w:r w:rsidR="00794391" w:rsidRPr="006E009B">
        <w:rPr>
          <w:rFonts w:cstheme="minorHAnsi"/>
        </w:rPr>
        <w:t xml:space="preserve"> assistance and aid to developing countries in cybersecurity.</w:t>
      </w:r>
    </w:p>
    <w:p w14:paraId="08700207" w14:textId="0583E181" w:rsidR="00794391" w:rsidRPr="006E009B" w:rsidRDefault="00200BDA" w:rsidP="00712E2F">
      <w:hyperlink r:id="rId27" w:history="1">
        <w:r w:rsidR="00794391" w:rsidRPr="006E009B">
          <w:rPr>
            <w:rStyle w:val="Hyperlink"/>
            <w:b/>
            <w:bCs/>
          </w:rPr>
          <w:t>Document 20</w:t>
        </w:r>
      </w:hyperlink>
      <w:r w:rsidR="00794391" w:rsidRPr="006E009B">
        <w:t xml:space="preserve"> entitled </w:t>
      </w:r>
      <w:r w:rsidR="00A63D2F" w:rsidRPr="006E009B">
        <w:t xml:space="preserve">“Draft </w:t>
      </w:r>
      <w:r w:rsidR="00794391" w:rsidRPr="006E009B">
        <w:t xml:space="preserve">CIS </w:t>
      </w:r>
      <w:r w:rsidR="00A63D2F" w:rsidRPr="006E009B">
        <w:t>r</w:t>
      </w:r>
      <w:r w:rsidR="00794391" w:rsidRPr="006E009B">
        <w:t xml:space="preserve">egional </w:t>
      </w:r>
      <w:r w:rsidR="00A63D2F" w:rsidRPr="006E009B">
        <w:t>i</w:t>
      </w:r>
      <w:r w:rsidR="00794391" w:rsidRPr="006E009B">
        <w:t xml:space="preserve">nitiative </w:t>
      </w:r>
      <w:r w:rsidR="00A63D2F" w:rsidRPr="006E009B">
        <w:t>‘</w:t>
      </w:r>
      <w:r w:rsidR="00794391" w:rsidRPr="006E009B">
        <w:t xml:space="preserve">Development and </w:t>
      </w:r>
      <w:r w:rsidR="00A63D2F" w:rsidRPr="006E009B">
        <w:t>raising of</w:t>
      </w:r>
      <w:r w:rsidR="00794391" w:rsidRPr="006E009B">
        <w:t xml:space="preserve"> digital literacy for persons with disabilities</w:t>
      </w:r>
      <w:r w:rsidR="008753F0" w:rsidRPr="006E009B">
        <w:t xml:space="preserve"> and persons with specific </w:t>
      </w:r>
      <w:r w:rsidR="00794391" w:rsidRPr="006E009B">
        <w:t>needs</w:t>
      </w:r>
      <w:r w:rsidR="008753F0" w:rsidRPr="006E009B">
        <w:t>’</w:t>
      </w:r>
      <w:r w:rsidR="001906E7" w:rsidRPr="006E009B">
        <w:t xml:space="preserve">” was presented by </w:t>
      </w:r>
      <w:r w:rsidR="001906E7" w:rsidRPr="005B66F2">
        <w:t>Ms Ainura Sadyrbaeva</w:t>
      </w:r>
      <w:r w:rsidR="001906E7" w:rsidRPr="006E009B">
        <w:t>, Institute of Electro</w:t>
      </w:r>
      <w:r w:rsidR="008753F0" w:rsidRPr="006E009B">
        <w:t>n</w:t>
      </w:r>
      <w:r w:rsidR="001906E7" w:rsidRPr="006E009B">
        <w:t xml:space="preserve">ics and Telecommunications, </w:t>
      </w:r>
      <w:r w:rsidR="001160DA" w:rsidRPr="006E009B">
        <w:t>Kyrgyz Republic</w:t>
      </w:r>
      <w:r w:rsidR="001906E7" w:rsidRPr="006E009B">
        <w:t>. Currently, all countries are transitioning to a digital economy and the number of professions without digital skills is decreasing. The COVID-19 pandemic</w:t>
      </w:r>
      <w:r w:rsidR="008753F0" w:rsidRPr="006E009B">
        <w:t xml:space="preserve"> has </w:t>
      </w:r>
      <w:r w:rsidR="001906E7" w:rsidRPr="006E009B">
        <w:t>forc</w:t>
      </w:r>
      <w:r w:rsidR="008753F0" w:rsidRPr="006E009B">
        <w:t>ed</w:t>
      </w:r>
      <w:r w:rsidR="001906E7" w:rsidRPr="006E009B">
        <w:t xml:space="preserve"> everyone to reconsider </w:t>
      </w:r>
      <w:r w:rsidR="008753F0" w:rsidRPr="006E009B">
        <w:t>working</w:t>
      </w:r>
      <w:r w:rsidR="001906E7" w:rsidRPr="006E009B">
        <w:t xml:space="preserve"> methods and technologies </w:t>
      </w:r>
      <w:r w:rsidR="008753F0" w:rsidRPr="006E009B">
        <w:t>and</w:t>
      </w:r>
      <w:r w:rsidR="001906E7" w:rsidRPr="006E009B">
        <w:t xml:space="preserve"> </w:t>
      </w:r>
      <w:r w:rsidR="007B115F">
        <w:t xml:space="preserve">even </w:t>
      </w:r>
      <w:r w:rsidR="001906E7" w:rsidRPr="006E009B">
        <w:t xml:space="preserve">further accelerated the transition to digital technologies in all spheres of human activity. This situation has exacerbated the </w:t>
      </w:r>
      <w:r w:rsidR="005B66F2">
        <w:t>challenges faced by</w:t>
      </w:r>
      <w:r w:rsidR="001906E7" w:rsidRPr="006E009B">
        <w:t xml:space="preserve"> persons with disabilities, significantly reduc</w:t>
      </w:r>
      <w:r w:rsidR="008753F0" w:rsidRPr="006E009B">
        <w:t>ing</w:t>
      </w:r>
      <w:r w:rsidR="001906E7" w:rsidRPr="006E009B">
        <w:t xml:space="preserve"> the total number of jobs </w:t>
      </w:r>
      <w:r w:rsidR="008753F0" w:rsidRPr="006E009B">
        <w:t xml:space="preserve">available </w:t>
      </w:r>
      <w:r w:rsidR="001906E7" w:rsidRPr="006E009B">
        <w:t xml:space="preserve">and </w:t>
      </w:r>
      <w:r w:rsidR="007B115F">
        <w:t>making</w:t>
      </w:r>
      <w:r w:rsidR="001906E7" w:rsidRPr="006E009B">
        <w:t xml:space="preserve"> digital skills</w:t>
      </w:r>
      <w:r w:rsidR="008753F0" w:rsidRPr="006E009B">
        <w:t xml:space="preserve"> a key requirement for recruitment</w:t>
      </w:r>
      <w:r w:rsidR="001906E7" w:rsidRPr="006E009B">
        <w:t xml:space="preserve">. </w:t>
      </w:r>
      <w:r w:rsidR="008753F0" w:rsidRPr="006E009B">
        <w:t>Consequently</w:t>
      </w:r>
      <w:r w:rsidR="001906E7" w:rsidRPr="006E009B">
        <w:t xml:space="preserve">, </w:t>
      </w:r>
      <w:r w:rsidR="008753F0" w:rsidRPr="006E009B">
        <w:t>it is more important than ever before to develop and raise the level of digital literacy among persons with disabilities</w:t>
      </w:r>
      <w:r w:rsidR="001906E7" w:rsidRPr="006E009B">
        <w:t xml:space="preserve">. This </w:t>
      </w:r>
      <w:r w:rsidR="001160DA" w:rsidRPr="006E009B">
        <w:t xml:space="preserve">proposed </w:t>
      </w:r>
      <w:r w:rsidR="001906E7" w:rsidRPr="006E009B">
        <w:t xml:space="preserve">regional initiative is intended to determine conditions for the sustainable </w:t>
      </w:r>
      <w:r w:rsidR="008753F0" w:rsidRPr="006E009B">
        <w:t>operation</w:t>
      </w:r>
      <w:r w:rsidR="001906E7" w:rsidRPr="006E009B">
        <w:t xml:space="preserve"> of digital literacy development services for </w:t>
      </w:r>
      <w:r w:rsidR="008753F0" w:rsidRPr="006E009B">
        <w:t>persons with disabilities</w:t>
      </w:r>
      <w:r w:rsidR="001906E7" w:rsidRPr="006E009B">
        <w:t xml:space="preserve"> and to prepare appropriate recommendations.</w:t>
      </w:r>
    </w:p>
    <w:p w14:paraId="744977C1" w14:textId="302BC692" w:rsidR="001906E7" w:rsidRPr="006E009B" w:rsidRDefault="00200BDA" w:rsidP="00712E2F">
      <w:hyperlink r:id="rId28" w:history="1">
        <w:r w:rsidR="001906E7" w:rsidRPr="006E009B">
          <w:rPr>
            <w:rStyle w:val="Hyperlink"/>
            <w:b/>
            <w:bCs/>
          </w:rPr>
          <w:t>Document 31</w:t>
        </w:r>
      </w:hyperlink>
      <w:r w:rsidR="001906E7" w:rsidRPr="006E009B">
        <w:t xml:space="preserve"> </w:t>
      </w:r>
      <w:r w:rsidR="00C3563D" w:rsidRPr="006E009B">
        <w:t xml:space="preserve">entitled “New </w:t>
      </w:r>
      <w:r w:rsidR="0098604B" w:rsidRPr="006E009B">
        <w:t>WTDC-21 r</w:t>
      </w:r>
      <w:r w:rsidR="00C3563D" w:rsidRPr="006E009B">
        <w:t xml:space="preserve">egional </w:t>
      </w:r>
      <w:r w:rsidR="0098604B" w:rsidRPr="006E009B">
        <w:t>i</w:t>
      </w:r>
      <w:r w:rsidR="00C3563D" w:rsidRPr="006E009B">
        <w:t xml:space="preserve">nitiative </w:t>
      </w:r>
      <w:r w:rsidR="0098604B" w:rsidRPr="006E009B">
        <w:t>‘</w:t>
      </w:r>
      <w:r w:rsidR="00C3563D" w:rsidRPr="006E009B">
        <w:t xml:space="preserve">Information security (cybersecurity) and </w:t>
      </w:r>
      <w:r w:rsidR="0098604B" w:rsidRPr="006E009B">
        <w:t xml:space="preserve">personal data </w:t>
      </w:r>
      <w:r w:rsidR="00C3563D" w:rsidRPr="006E009B">
        <w:t>protection</w:t>
      </w:r>
      <w:r w:rsidR="0098604B" w:rsidRPr="006E009B">
        <w:t>’”</w:t>
      </w:r>
      <w:r w:rsidR="00C3563D" w:rsidRPr="006E009B">
        <w:t xml:space="preserve"> was presented by Ms Natalia </w:t>
      </w:r>
      <w:r w:rsidR="0098604B" w:rsidRPr="006E009B">
        <w:t>Mochu</w:t>
      </w:r>
      <w:r w:rsidR="00C3563D" w:rsidRPr="006E009B">
        <w:t>,</w:t>
      </w:r>
      <w:r w:rsidR="0098604B" w:rsidRPr="006E009B">
        <w:t xml:space="preserve"> Regional Director, ITU Regional Office for CIS</w:t>
      </w:r>
      <w:r w:rsidR="00C3563D" w:rsidRPr="006E009B">
        <w:t>. The Ministry of Digital Development, Innovation</w:t>
      </w:r>
      <w:r w:rsidR="003D0509" w:rsidRPr="006E009B">
        <w:t>s</w:t>
      </w:r>
      <w:r w:rsidR="00C3563D" w:rsidRPr="006E009B">
        <w:t xml:space="preserve"> and </w:t>
      </w:r>
      <w:r w:rsidR="003D0509" w:rsidRPr="006E009B">
        <w:t xml:space="preserve">the </w:t>
      </w:r>
      <w:r w:rsidR="00C3563D" w:rsidRPr="006E009B">
        <w:t xml:space="preserve">Aerospace Industry of the Republic of Kazakhstan notes </w:t>
      </w:r>
      <w:r w:rsidR="00C13326" w:rsidRPr="006E009B">
        <w:t>an</w:t>
      </w:r>
      <w:r w:rsidR="00C3563D" w:rsidRPr="006E009B">
        <w:t xml:space="preserve"> acceleration </w:t>
      </w:r>
      <w:r w:rsidR="00C13326" w:rsidRPr="006E009B">
        <w:t>in</w:t>
      </w:r>
      <w:r w:rsidR="00C3563D" w:rsidRPr="006E009B">
        <w:t xml:space="preserve"> informatization processes in all spheres of activity of the </w:t>
      </w:r>
      <w:r w:rsidR="00C13326" w:rsidRPr="006E009B">
        <w:t>S</w:t>
      </w:r>
      <w:r w:rsidR="00C3563D" w:rsidRPr="006E009B">
        <w:t>tate, organizations</w:t>
      </w:r>
      <w:r w:rsidR="00C13326" w:rsidRPr="006E009B">
        <w:t xml:space="preserve"> and</w:t>
      </w:r>
      <w:r w:rsidR="00C3563D" w:rsidRPr="006E009B">
        <w:t xml:space="preserve"> civil society. One of the most important issues of informatization is ensuring information security and personal data protection. In this regard, it is proposed to make information security (cybersecurity) one of </w:t>
      </w:r>
      <w:r w:rsidR="00216FDE">
        <w:t>ITU-D’s</w:t>
      </w:r>
      <w:r w:rsidR="00C3563D" w:rsidRPr="006E009B">
        <w:t xml:space="preserve"> regional priorities for the new cycle</w:t>
      </w:r>
      <w:r w:rsidR="001906E7" w:rsidRPr="006E009B">
        <w:t>.</w:t>
      </w:r>
    </w:p>
    <w:p w14:paraId="55F7CBFE" w14:textId="0F2F4D03" w:rsidR="00C3563D" w:rsidRPr="006E009B" w:rsidRDefault="00200BDA" w:rsidP="00712E2F">
      <w:hyperlink r:id="rId29" w:history="1">
        <w:r w:rsidR="001906E7" w:rsidRPr="006E009B">
          <w:rPr>
            <w:rStyle w:val="Hyperlink"/>
            <w:b/>
            <w:bCs/>
          </w:rPr>
          <w:t>Document 35</w:t>
        </w:r>
      </w:hyperlink>
      <w:r w:rsidR="001906E7" w:rsidRPr="006E009B">
        <w:t xml:space="preserve"> </w:t>
      </w:r>
      <w:r w:rsidR="00C3563D" w:rsidRPr="006E009B">
        <w:t xml:space="preserve">entitled </w:t>
      </w:r>
      <w:r w:rsidR="00311004" w:rsidRPr="006E009B">
        <w:t>“Draft</w:t>
      </w:r>
      <w:r w:rsidR="00C3563D" w:rsidRPr="006E009B">
        <w:t xml:space="preserve"> CIS </w:t>
      </w:r>
      <w:r w:rsidR="00311004" w:rsidRPr="006E009B">
        <w:t>r</w:t>
      </w:r>
      <w:r w:rsidR="00C3563D" w:rsidRPr="006E009B">
        <w:t xml:space="preserve">egional </w:t>
      </w:r>
      <w:r w:rsidR="00311004" w:rsidRPr="006E009B">
        <w:t>i</w:t>
      </w:r>
      <w:r w:rsidR="00C3563D" w:rsidRPr="006E009B">
        <w:t xml:space="preserve">nitiative </w:t>
      </w:r>
      <w:r w:rsidR="00311004" w:rsidRPr="006E009B">
        <w:t>‘</w:t>
      </w:r>
      <w:r w:rsidR="00C3563D" w:rsidRPr="006E009B">
        <w:t>Digital Skills</w:t>
      </w:r>
      <w:r w:rsidR="00311004" w:rsidRPr="006E009B">
        <w:t>’</w:t>
      </w:r>
      <w:r w:rsidR="00C3563D" w:rsidRPr="006E009B">
        <w:t>”</w:t>
      </w:r>
      <w:r w:rsidR="00311004" w:rsidRPr="006E009B">
        <w:t xml:space="preserve"> </w:t>
      </w:r>
      <w:r w:rsidR="00C3563D" w:rsidRPr="006E009B">
        <w:t xml:space="preserve">was presented by </w:t>
      </w:r>
      <w:r w:rsidR="00C3563D" w:rsidRPr="0011723C">
        <w:t>Ms Ekaterina Fomicheva</w:t>
      </w:r>
      <w:r w:rsidR="00C3563D" w:rsidRPr="006E009B">
        <w:t xml:space="preserve">, PJSC Rostelecom. In recent years, the world has seen rapid growth in the development of digital technologies. Most </w:t>
      </w:r>
      <w:r w:rsidR="00311004" w:rsidRPr="006E009B">
        <w:t>S</w:t>
      </w:r>
      <w:r w:rsidR="00C3563D" w:rsidRPr="006E009B">
        <w:t>tates are currently implementing national strategies/program</w:t>
      </w:r>
      <w:r w:rsidR="00311004" w:rsidRPr="006E009B">
        <w:t>me</w:t>
      </w:r>
      <w:r w:rsidR="00C3563D" w:rsidRPr="006E009B">
        <w:t>s for the development of digital economies,</w:t>
      </w:r>
      <w:r w:rsidR="00311004" w:rsidRPr="006E009B">
        <w:t xml:space="preserve"> and,</w:t>
      </w:r>
      <w:r w:rsidR="00C3563D" w:rsidRPr="006E009B">
        <w:t xml:space="preserve"> in this regard, new </w:t>
      </w:r>
      <w:r w:rsidR="00311004" w:rsidRPr="006E009B">
        <w:t>activities</w:t>
      </w:r>
      <w:r w:rsidR="00C3563D" w:rsidRPr="006E009B">
        <w:t xml:space="preserve"> and professions </w:t>
      </w:r>
      <w:r w:rsidR="00311004" w:rsidRPr="006E009B">
        <w:t>are emerging</w:t>
      </w:r>
      <w:r w:rsidR="00C3563D" w:rsidRPr="006E009B">
        <w:t xml:space="preserve"> where </w:t>
      </w:r>
      <w:r w:rsidR="003F68D5">
        <w:t xml:space="preserve">priority is given to </w:t>
      </w:r>
      <w:r w:rsidR="00C3563D" w:rsidRPr="006E009B">
        <w:t xml:space="preserve">specialists with </w:t>
      </w:r>
      <w:r w:rsidR="00311004" w:rsidRPr="006E009B">
        <w:t>specific</w:t>
      </w:r>
      <w:r w:rsidR="00C3563D" w:rsidRPr="006E009B">
        <w:t xml:space="preserve"> digital skills and knowledge.</w:t>
      </w:r>
    </w:p>
    <w:p w14:paraId="1E59C344" w14:textId="7300ECFC" w:rsidR="00C3563D" w:rsidRPr="006E009B" w:rsidRDefault="00C3563D" w:rsidP="00712E2F">
      <w:r w:rsidRPr="006E009B">
        <w:t xml:space="preserve">During the COVID-19 pandemic, many citizens </w:t>
      </w:r>
      <w:r w:rsidR="00311004" w:rsidRPr="006E009B">
        <w:t xml:space="preserve">have come to </w:t>
      </w:r>
      <w:r w:rsidR="007B115F">
        <w:t xml:space="preserve">appreciate just how </w:t>
      </w:r>
      <w:r w:rsidR="00311004" w:rsidRPr="006E009B">
        <w:t>important</w:t>
      </w:r>
      <w:r w:rsidRPr="006E009B">
        <w:t xml:space="preserve"> ICTs </w:t>
      </w:r>
      <w:r w:rsidR="007B115F">
        <w:t xml:space="preserve">are </w:t>
      </w:r>
      <w:r w:rsidRPr="006E009B">
        <w:t xml:space="preserve">in such difficult conditions, </w:t>
      </w:r>
      <w:r w:rsidR="00311004" w:rsidRPr="006E009B">
        <w:t xml:space="preserve">which can leave </w:t>
      </w:r>
      <w:r w:rsidRPr="006E009B">
        <w:t>a person</w:t>
      </w:r>
      <w:r w:rsidR="00311004" w:rsidRPr="006E009B">
        <w:t xml:space="preserve"> completely isolated</w:t>
      </w:r>
      <w:r w:rsidRPr="006E009B">
        <w:t xml:space="preserve">. Citizens </w:t>
      </w:r>
      <w:r w:rsidR="00311004" w:rsidRPr="006E009B">
        <w:t xml:space="preserve">have </w:t>
      </w:r>
      <w:r w:rsidRPr="006E009B">
        <w:t xml:space="preserve">had to adapt to new conditions, and the market </w:t>
      </w:r>
      <w:r w:rsidR="00DB598D" w:rsidRPr="006E009B">
        <w:t xml:space="preserve">has </w:t>
      </w:r>
      <w:r w:rsidRPr="006E009B">
        <w:t xml:space="preserve">had to </w:t>
      </w:r>
      <w:r w:rsidR="00DB598D" w:rsidRPr="006E009B">
        <w:t>quickly</w:t>
      </w:r>
      <w:r w:rsidRPr="006E009B">
        <w:t xml:space="preserve"> offer new digital solutions in various areas</w:t>
      </w:r>
      <w:r w:rsidR="00DB598D" w:rsidRPr="006E009B">
        <w:t xml:space="preserve">, such as </w:t>
      </w:r>
      <w:r w:rsidRPr="006E009B">
        <w:t>healthcare, education</w:t>
      </w:r>
      <w:r w:rsidR="00DB598D" w:rsidRPr="006E009B">
        <w:t xml:space="preserve"> and</w:t>
      </w:r>
      <w:r w:rsidRPr="006E009B">
        <w:t xml:space="preserve"> communications. In addition to </w:t>
      </w:r>
      <w:r w:rsidR="00DB598D" w:rsidRPr="006E009B">
        <w:t>essential</w:t>
      </w:r>
      <w:r w:rsidRPr="006E009B">
        <w:t xml:space="preserve"> services, </w:t>
      </w:r>
      <w:r w:rsidR="00DB598D" w:rsidRPr="006E009B">
        <w:t xml:space="preserve">it also proved important to offer </w:t>
      </w:r>
      <w:r w:rsidRPr="006E009B">
        <w:t xml:space="preserve">online services </w:t>
      </w:r>
      <w:r w:rsidR="00DB598D" w:rsidRPr="006E009B">
        <w:t>for</w:t>
      </w:r>
      <w:r w:rsidRPr="006E009B">
        <w:t xml:space="preserve"> access to </w:t>
      </w:r>
      <w:r w:rsidR="00DB598D" w:rsidRPr="006E009B">
        <w:t>art and culture</w:t>
      </w:r>
      <w:r w:rsidRPr="006E009B">
        <w:t>.</w:t>
      </w:r>
    </w:p>
    <w:p w14:paraId="2A6F33A3" w14:textId="6215C065" w:rsidR="001906E7" w:rsidRPr="006E009B" w:rsidRDefault="00DB598D" w:rsidP="00712E2F">
      <w:r w:rsidRPr="006E009B">
        <w:t>Currently</w:t>
      </w:r>
      <w:r w:rsidR="00C3563D" w:rsidRPr="006E009B">
        <w:t xml:space="preserve">, until </w:t>
      </w:r>
      <w:r w:rsidRPr="006E009B">
        <w:t xml:space="preserve">countries have lifted </w:t>
      </w:r>
      <w:r w:rsidR="00C3563D" w:rsidRPr="006E009B">
        <w:t xml:space="preserve">all </w:t>
      </w:r>
      <w:r w:rsidRPr="006E009B">
        <w:t xml:space="preserve">COVID-19-related </w:t>
      </w:r>
      <w:r w:rsidR="00C3563D" w:rsidRPr="006E009B">
        <w:t xml:space="preserve">restrictions, there </w:t>
      </w:r>
      <w:r w:rsidRPr="006E009B">
        <w:t>remains</w:t>
      </w:r>
      <w:r w:rsidR="00C3563D" w:rsidRPr="006E009B">
        <w:t xml:space="preserve"> a great demand for online services in </w:t>
      </w:r>
      <w:r w:rsidRPr="006E009B">
        <w:t>art and</w:t>
      </w:r>
      <w:r w:rsidR="00C3563D" w:rsidRPr="006E009B">
        <w:t xml:space="preserve"> culture</w:t>
      </w:r>
      <w:r w:rsidRPr="006E009B">
        <w:t>, such as</w:t>
      </w:r>
      <w:r w:rsidR="00C3563D" w:rsidRPr="006E009B">
        <w:t xml:space="preserve"> </w:t>
      </w:r>
      <w:r w:rsidRPr="006E009B">
        <w:t>virtual tours of</w:t>
      </w:r>
      <w:r w:rsidR="00C3563D" w:rsidRPr="006E009B">
        <w:t xml:space="preserve"> museum exhibitions and galleries. </w:t>
      </w:r>
      <w:r w:rsidRPr="006E009B">
        <w:t>Moreover, v</w:t>
      </w:r>
      <w:r w:rsidR="00C3563D" w:rsidRPr="006E009B">
        <w:t>irtual reality</w:t>
      </w:r>
      <w:r w:rsidRPr="006E009B">
        <w:t xml:space="preserve"> (VR)</w:t>
      </w:r>
      <w:r w:rsidR="00C3563D" w:rsidRPr="006E009B">
        <w:t xml:space="preserve"> is capable of teleporting people to places they may never be able to visit. In this regard, VR tours</w:t>
      </w:r>
      <w:r w:rsidRPr="006E009B">
        <w:t xml:space="preserve"> of museums have</w:t>
      </w:r>
      <w:r w:rsidR="00C3563D" w:rsidRPr="006E009B">
        <w:t xml:space="preserve"> </w:t>
      </w:r>
      <w:r w:rsidRPr="006E009B">
        <w:t>s</w:t>
      </w:r>
      <w:r w:rsidR="00C3563D" w:rsidRPr="006E009B">
        <w:t>teadily gain</w:t>
      </w:r>
      <w:r w:rsidRPr="006E009B">
        <w:t>ed in</w:t>
      </w:r>
      <w:r w:rsidR="00C3563D" w:rsidRPr="006E009B">
        <w:t xml:space="preserve"> popularity. Modern technology </w:t>
      </w:r>
      <w:r w:rsidR="00132F5A">
        <w:t>allows</w:t>
      </w:r>
      <w:r w:rsidRPr="006E009B">
        <w:t xml:space="preserve"> people </w:t>
      </w:r>
      <w:r w:rsidR="00C3563D" w:rsidRPr="006E009B">
        <w:t>to experience the greatest masterpieces and exceptional relics</w:t>
      </w:r>
      <w:r w:rsidR="00132F5A">
        <w:t>;</w:t>
      </w:r>
      <w:r w:rsidR="00C3563D" w:rsidRPr="006E009B">
        <w:t xml:space="preserve"> </w:t>
      </w:r>
      <w:r w:rsidR="00132F5A">
        <w:t>m</w:t>
      </w:r>
      <w:r w:rsidR="00C3563D" w:rsidRPr="006E009B">
        <w:t xml:space="preserve">any </w:t>
      </w:r>
      <w:r w:rsidR="00C3563D" w:rsidRPr="006E009B">
        <w:lastRenderedPageBreak/>
        <w:t>citizens,</w:t>
      </w:r>
      <w:r w:rsidRPr="006E009B">
        <w:t xml:space="preserve"> however, in particular</w:t>
      </w:r>
      <w:r w:rsidR="00C3563D" w:rsidRPr="006E009B">
        <w:t xml:space="preserve"> older people, do not have the </w:t>
      </w:r>
      <w:r w:rsidR="00132F5A">
        <w:t xml:space="preserve">requisite </w:t>
      </w:r>
      <w:r w:rsidR="00C3563D" w:rsidRPr="006E009B">
        <w:t xml:space="preserve">digital skills to </w:t>
      </w:r>
      <w:r w:rsidRPr="006E009B">
        <w:t>take advantage of the broad range of opportunities on offer</w:t>
      </w:r>
      <w:r w:rsidR="001906E7" w:rsidRPr="006E009B">
        <w:t>.</w:t>
      </w:r>
    </w:p>
    <w:p w14:paraId="00276A39" w14:textId="676DE541" w:rsidR="001906E7" w:rsidRPr="006E009B" w:rsidRDefault="00200BDA" w:rsidP="00712E2F">
      <w:hyperlink r:id="rId30" w:history="1">
        <w:r w:rsidR="001906E7" w:rsidRPr="006E009B">
          <w:rPr>
            <w:rStyle w:val="Hyperlink"/>
            <w:b/>
            <w:bCs/>
          </w:rPr>
          <w:t>Document 36</w:t>
        </w:r>
      </w:hyperlink>
      <w:r w:rsidR="001906E7" w:rsidRPr="006E009B">
        <w:t xml:space="preserve"> </w:t>
      </w:r>
      <w:r w:rsidR="00C3563D" w:rsidRPr="006E009B">
        <w:t xml:space="preserve">entitled </w:t>
      </w:r>
      <w:r w:rsidR="00F2764F" w:rsidRPr="006E009B">
        <w:t>“</w:t>
      </w:r>
      <w:r w:rsidR="00C3563D" w:rsidRPr="006E009B">
        <w:t xml:space="preserve">RI 5: Infrastructure </w:t>
      </w:r>
      <w:r w:rsidR="00132F5A">
        <w:t>d</w:t>
      </w:r>
      <w:r w:rsidR="00C3563D" w:rsidRPr="006E009B">
        <w:t xml:space="preserve">evelopment to </w:t>
      </w:r>
      <w:r w:rsidR="00132F5A">
        <w:t>foster i</w:t>
      </w:r>
      <w:r w:rsidR="00C3563D" w:rsidRPr="006E009B">
        <w:t xml:space="preserve">nnovation and </w:t>
      </w:r>
      <w:r w:rsidR="00132F5A">
        <w:t>p</w:t>
      </w:r>
      <w:r w:rsidR="00C3563D" w:rsidRPr="006E009B">
        <w:t xml:space="preserve">artnerships in </w:t>
      </w:r>
      <w:r w:rsidR="00132F5A">
        <w:t>n</w:t>
      </w:r>
      <w:r w:rsidR="00C3563D" w:rsidRPr="006E009B">
        <w:t xml:space="preserve">ew </w:t>
      </w:r>
      <w:r w:rsidR="00132F5A">
        <w:t>t</w:t>
      </w:r>
      <w:r w:rsidR="00C3563D" w:rsidRPr="006E009B">
        <w:t xml:space="preserve">echnologies </w:t>
      </w:r>
      <w:r w:rsidR="00132F5A">
        <w:t xml:space="preserve">– </w:t>
      </w:r>
      <w:r w:rsidR="00C3563D" w:rsidRPr="006E009B">
        <w:t xml:space="preserve">IoT, including the Industrial Internet, </w:t>
      </w:r>
      <w:r w:rsidR="00132F5A">
        <w:t>s</w:t>
      </w:r>
      <w:r w:rsidR="00C3563D" w:rsidRPr="006E009B">
        <w:t xml:space="preserve">mart </w:t>
      </w:r>
      <w:r w:rsidR="00132F5A">
        <w:t>c</w:t>
      </w:r>
      <w:r w:rsidR="00C3563D" w:rsidRPr="006E009B">
        <w:t xml:space="preserve">ities and </w:t>
      </w:r>
      <w:r w:rsidR="00132F5A">
        <w:t>c</w:t>
      </w:r>
      <w:r w:rsidR="00C3563D" w:rsidRPr="006E009B">
        <w:t xml:space="preserve">ommunities, 5G/IMT-2020 and </w:t>
      </w:r>
      <w:r w:rsidR="00132F5A">
        <w:t>NET-2030 n</w:t>
      </w:r>
      <w:r w:rsidR="00C3563D" w:rsidRPr="006E009B">
        <w:t>ext</w:t>
      </w:r>
      <w:r w:rsidR="00132F5A">
        <w:t>-g</w:t>
      </w:r>
      <w:r w:rsidR="00C3563D" w:rsidRPr="006E009B">
        <w:t xml:space="preserve">eneration </w:t>
      </w:r>
      <w:r w:rsidR="00132F5A">
        <w:t>n</w:t>
      </w:r>
      <w:r w:rsidR="00C3563D" w:rsidRPr="006E009B">
        <w:t xml:space="preserve">etworks, quantum technologies, artificial intelligence (AI), digital health, digital skills, environmental protection” was presented </w:t>
      </w:r>
      <w:r w:rsidR="00C3563D" w:rsidRPr="00216FDE">
        <w:t>by Ms</w:t>
      </w:r>
      <w:r w:rsidR="00F2764F" w:rsidRPr="00216FDE">
        <w:t> </w:t>
      </w:r>
      <w:r w:rsidR="00C3563D" w:rsidRPr="00216FDE">
        <w:t>Ekaterina Fomicheva</w:t>
      </w:r>
      <w:r w:rsidR="00C3563D" w:rsidRPr="006E009B">
        <w:t xml:space="preserve">, PJSC Rostelecom. The </w:t>
      </w:r>
      <w:r w:rsidR="00F2764F" w:rsidRPr="006E009B">
        <w:t>WTDC-17</w:t>
      </w:r>
      <w:r w:rsidR="00C3563D" w:rsidRPr="006E009B">
        <w:t xml:space="preserve"> adopted five regional initiatives for ITU Member States </w:t>
      </w:r>
      <w:r w:rsidR="00F2764F" w:rsidRPr="006E009B">
        <w:t>of</w:t>
      </w:r>
      <w:r w:rsidR="00C3563D" w:rsidRPr="006E009B">
        <w:t xml:space="preserve"> the CIS region. Regional initiatives target specific priority </w:t>
      </w:r>
      <w:r w:rsidR="00273025" w:rsidRPr="006E009B">
        <w:t xml:space="preserve">areas in </w:t>
      </w:r>
      <w:r w:rsidR="00C3563D" w:rsidRPr="006E009B">
        <w:t>telecommunication</w:t>
      </w:r>
      <w:r w:rsidR="00273025" w:rsidRPr="006E009B">
        <w:t>s</w:t>
      </w:r>
      <w:r w:rsidR="00C3563D" w:rsidRPr="006E009B">
        <w:t>/ICT</w:t>
      </w:r>
      <w:r w:rsidR="00273025" w:rsidRPr="006E009B">
        <w:t>s</w:t>
      </w:r>
      <w:r w:rsidR="00C3563D" w:rsidRPr="006E009B">
        <w:t xml:space="preserve"> through partnerships and resource mobilization for </w:t>
      </w:r>
      <w:r w:rsidR="00132F5A">
        <w:t xml:space="preserve">the implementation of </w:t>
      </w:r>
      <w:r w:rsidR="00C3563D" w:rsidRPr="006E009B">
        <w:t xml:space="preserve">specific projects. This regional initiative is aimed at developing telecommunication/ICT infrastructure and </w:t>
      </w:r>
      <w:r w:rsidR="00132F5A">
        <w:t>fostering</w:t>
      </w:r>
      <w:r w:rsidR="00C3563D" w:rsidRPr="006E009B">
        <w:t xml:space="preserve"> innovation and partnerships in the implementation of new technologies </w:t>
      </w:r>
      <w:r w:rsidR="00132F5A">
        <w:t>–</w:t>
      </w:r>
      <w:r w:rsidR="00C3563D" w:rsidRPr="006E009B">
        <w:t xml:space="preserve"> the</w:t>
      </w:r>
      <w:r w:rsidR="00132F5A">
        <w:t xml:space="preserve"> </w:t>
      </w:r>
      <w:r w:rsidR="00C3563D" w:rsidRPr="006E009B">
        <w:t xml:space="preserve">Internet of Things, including the Industrial Internet, Smart cities and communities, </w:t>
      </w:r>
      <w:r w:rsidR="008E5257" w:rsidRPr="006E009B">
        <w:t>5G/IMT-2020 and NET-2030 next-generation networks</w:t>
      </w:r>
      <w:r w:rsidR="00C3563D" w:rsidRPr="006E009B">
        <w:t>, quantum technologies, artificial intelligence (AI), digital health, digital skills</w:t>
      </w:r>
      <w:r w:rsidR="008E5257" w:rsidRPr="006E009B">
        <w:t xml:space="preserve"> and environmental</w:t>
      </w:r>
      <w:r w:rsidR="00C3563D" w:rsidRPr="006E009B">
        <w:t xml:space="preserve"> protection</w:t>
      </w:r>
      <w:r w:rsidR="001906E7" w:rsidRPr="006E009B">
        <w:t>.</w:t>
      </w:r>
    </w:p>
    <w:p w14:paraId="357D386D" w14:textId="2332BB83" w:rsidR="001906E7" w:rsidRPr="006E009B" w:rsidRDefault="0045767B" w:rsidP="00712E2F">
      <w:r w:rsidRPr="006E009B">
        <w:t xml:space="preserve">The meeting agreed to </w:t>
      </w:r>
      <w:r w:rsidR="001D5675" w:rsidRPr="006E009B">
        <w:t xml:space="preserve">create a drafting group </w:t>
      </w:r>
      <w:r w:rsidRPr="006E009B">
        <w:t xml:space="preserve">led by the Vice-Chairman of RPM-CIS, Mr </w:t>
      </w:r>
      <w:r w:rsidR="00C3563D" w:rsidRPr="006E009B">
        <w:t>Alexey Borodin</w:t>
      </w:r>
      <w:r w:rsidRPr="006E009B">
        <w:t xml:space="preserve">, to consider Documents 9, 10, 11, 20, 31, 35 and 36. The group held </w:t>
      </w:r>
      <w:r w:rsidR="001D5675" w:rsidRPr="006E009B">
        <w:t>a</w:t>
      </w:r>
      <w:r w:rsidRPr="006E009B">
        <w:t xml:space="preserve"> meeting on the second day of RPM-CIS on 22 April 2021 and, on the basis of consensus, drew up </w:t>
      </w:r>
      <w:r w:rsidR="001D5675" w:rsidRPr="006E009B">
        <w:t xml:space="preserve">five </w:t>
      </w:r>
      <w:r w:rsidRPr="006E009B">
        <w:t>draft regional initiatives:</w:t>
      </w:r>
    </w:p>
    <w:p w14:paraId="18CCB703" w14:textId="45DE02C2" w:rsidR="0045767B" w:rsidRPr="006E009B" w:rsidRDefault="0045767B" w:rsidP="00712E2F">
      <w:r w:rsidRPr="006E009B">
        <w:rPr>
          <w:b/>
          <w:bCs/>
        </w:rPr>
        <w:t xml:space="preserve">Regional Initiative 1: </w:t>
      </w:r>
      <w:r w:rsidR="00852CBA" w:rsidRPr="006E009B">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r w:rsidRPr="006E009B">
        <w:t>.</w:t>
      </w:r>
    </w:p>
    <w:p w14:paraId="6290324C" w14:textId="73B0828D" w:rsidR="0045767B" w:rsidRPr="006E009B" w:rsidRDefault="0045767B" w:rsidP="00712E2F">
      <w:r w:rsidRPr="006E009B">
        <w:rPr>
          <w:b/>
          <w:bCs/>
        </w:rPr>
        <w:t xml:space="preserve">Regional Initiative 2: </w:t>
      </w:r>
      <w:r w:rsidR="00852CBA" w:rsidRPr="006E009B">
        <w:t>Cybersecurity and personal data protection</w:t>
      </w:r>
      <w:r w:rsidRPr="006E009B">
        <w:t>.</w:t>
      </w:r>
    </w:p>
    <w:p w14:paraId="551BFC4B" w14:textId="116C4E32" w:rsidR="0045767B" w:rsidRPr="006E009B" w:rsidRDefault="0045767B" w:rsidP="00712E2F">
      <w:bookmarkStart w:id="13" w:name="_Hlk70427924"/>
      <w:r w:rsidRPr="006E009B">
        <w:rPr>
          <w:b/>
          <w:bCs/>
        </w:rPr>
        <w:t xml:space="preserve">Regional Initiative 3: </w:t>
      </w:r>
      <w:r w:rsidR="00852CBA" w:rsidRPr="006E009B">
        <w:t>Creating an enabling legal and regulatory environment to accelerate digital transformation</w:t>
      </w:r>
      <w:bookmarkEnd w:id="13"/>
      <w:r w:rsidRPr="006E009B">
        <w:t>.</w:t>
      </w:r>
    </w:p>
    <w:p w14:paraId="3CFE45B9" w14:textId="081346BE" w:rsidR="0045767B" w:rsidRPr="006E009B" w:rsidRDefault="0045767B" w:rsidP="00712E2F">
      <w:r w:rsidRPr="006E009B">
        <w:rPr>
          <w:b/>
          <w:bCs/>
        </w:rPr>
        <w:t xml:space="preserve">Regional Initiative 4: </w:t>
      </w:r>
      <w:r w:rsidR="00852CBA" w:rsidRPr="006E009B">
        <w:t xml:space="preserve">Digital skills and ICT accessibility for the population, </w:t>
      </w:r>
      <w:r w:rsidR="003F68D5">
        <w:t>in particular</w:t>
      </w:r>
      <w:r w:rsidR="00852CBA" w:rsidRPr="006E009B">
        <w:t xml:space="preserve"> for persons with disabilities</w:t>
      </w:r>
      <w:r w:rsidRPr="006E009B">
        <w:t>.</w:t>
      </w:r>
    </w:p>
    <w:p w14:paraId="5D1D0A22" w14:textId="017CE3B7" w:rsidR="0045767B" w:rsidRPr="006E009B" w:rsidRDefault="0045767B" w:rsidP="00712E2F">
      <w:r w:rsidRPr="006E009B">
        <w:rPr>
          <w:b/>
          <w:bCs/>
        </w:rPr>
        <w:t xml:space="preserve">Regional Initiative 5: </w:t>
      </w:r>
      <w:r w:rsidR="00852CBA" w:rsidRPr="006E009B">
        <w:t>Development of smart cities and communities</w:t>
      </w:r>
      <w:r w:rsidRPr="006E009B">
        <w:t>.</w:t>
      </w:r>
    </w:p>
    <w:p w14:paraId="37B4E0FE" w14:textId="774B7C96" w:rsidR="0045767B" w:rsidRPr="006E009B" w:rsidRDefault="0045767B" w:rsidP="00712E2F">
      <w:pPr>
        <w:rPr>
          <w:rFonts w:ascii="Calibri" w:hAnsi="Calibri"/>
          <w:bCs/>
        </w:rPr>
      </w:pPr>
      <w:r w:rsidRPr="006E009B">
        <w:rPr>
          <w:rFonts w:ascii="Calibri" w:hAnsi="Calibri"/>
          <w:bCs/>
        </w:rPr>
        <w:t>RPM-CIS agreed five draft CIS regional initiatives and urged the Member States of the region to submit additional proposals to WTDC-21, including specific projects for implementation within the framework of the regional initiatives. The meeting also agreed that new proposals could be added to the text of the draft regional initiatives without withdrawing the expected results agreed upon.</w:t>
      </w:r>
    </w:p>
    <w:p w14:paraId="1FD102E2" w14:textId="61F863AD" w:rsidR="0045767B" w:rsidRPr="006E009B" w:rsidRDefault="00167542" w:rsidP="00712E2F">
      <w:r w:rsidRPr="006E009B">
        <w:t>The Administration of the Kyrgyz Republic noted the following</w:t>
      </w:r>
      <w:r w:rsidR="0045767B" w:rsidRPr="006E009B">
        <w:t>:</w:t>
      </w:r>
    </w:p>
    <w:p w14:paraId="772B3B16" w14:textId="41380157" w:rsidR="0045767B" w:rsidRPr="006E009B" w:rsidRDefault="00D866D6" w:rsidP="00712E2F">
      <w:pPr>
        <w:pStyle w:val="enumlev1"/>
      </w:pPr>
      <w:r w:rsidRPr="006E009B">
        <w:t>1)</w:t>
      </w:r>
      <w:r w:rsidRPr="006E009B">
        <w:tab/>
      </w:r>
      <w:r w:rsidR="00167542" w:rsidRPr="006E009B">
        <w:t>These regional initiatives are common priorities</w:t>
      </w:r>
      <w:r w:rsidR="00C107AE" w:rsidRPr="006E009B">
        <w:t xml:space="preserve"> and therefore open to all countries of the region. Any country of the region may join, irrespective of which countries proposed the regional initiatives at RPM-CIS on 21-22 April 2021. ITU should seek to finance implementation of the regional initiatives on an equitable basis</w:t>
      </w:r>
      <w:r w:rsidRPr="006E009B">
        <w:t>;</w:t>
      </w:r>
    </w:p>
    <w:p w14:paraId="55887FF4" w14:textId="20705524" w:rsidR="00D866D6" w:rsidRPr="006E009B" w:rsidRDefault="00D866D6" w:rsidP="00712E2F">
      <w:pPr>
        <w:pStyle w:val="enumlev1"/>
      </w:pPr>
      <w:r w:rsidRPr="006E009B">
        <w:t>2)</w:t>
      </w:r>
      <w:r w:rsidRPr="006E009B">
        <w:tab/>
      </w:r>
      <w:r w:rsidR="003247E8" w:rsidRPr="006E009B">
        <w:t xml:space="preserve">Given that WTDC-21 is being postponed until 2022 and countries’ priorities may have changed by then, the CIS countries reserve the right to </w:t>
      </w:r>
      <w:r w:rsidR="00832B8B" w:rsidRPr="006E009B">
        <w:t>refine</w:t>
      </w:r>
      <w:r w:rsidR="003247E8" w:rsidRPr="006E009B">
        <w:t xml:space="preserve"> or, if necessary, change the regional initiatives adopted at RPM-CIS</w:t>
      </w:r>
      <w:r w:rsidRPr="006E009B">
        <w:t>.</w:t>
      </w:r>
    </w:p>
    <w:p w14:paraId="34D9C0C6" w14:textId="278C82D7" w:rsidR="00D866D6" w:rsidRPr="006E009B" w:rsidRDefault="00D866D6" w:rsidP="00712E2F">
      <w:pPr>
        <w:rPr>
          <w:rFonts w:ascii="Calibri" w:hAnsi="Calibri"/>
          <w:bCs/>
        </w:rPr>
      </w:pPr>
      <w:r w:rsidRPr="006E009B">
        <w:rPr>
          <w:rFonts w:ascii="Calibri" w:hAnsi="Calibri"/>
          <w:bCs/>
        </w:rPr>
        <w:t xml:space="preserve">RPM-CIS proposed to the Administrations of the CIS countries that they </w:t>
      </w:r>
      <w:r w:rsidR="00D815BC">
        <w:rPr>
          <w:rFonts w:ascii="Calibri" w:hAnsi="Calibri"/>
          <w:bCs/>
        </w:rPr>
        <w:t xml:space="preserve">immediately </w:t>
      </w:r>
      <w:r w:rsidRPr="006E009B">
        <w:rPr>
          <w:rFonts w:ascii="Calibri" w:hAnsi="Calibri"/>
          <w:bCs/>
        </w:rPr>
        <w:t>initiate consultations with BDT concerning implementation of the proposed regional initiatives.</w:t>
      </w:r>
    </w:p>
    <w:p w14:paraId="53935F21" w14:textId="2D2B975D" w:rsidR="003247E8" w:rsidRPr="006E009B" w:rsidRDefault="00200BDA" w:rsidP="00712E2F">
      <w:hyperlink r:id="rId31" w:history="1">
        <w:r w:rsidR="00D866D6" w:rsidRPr="006E009B">
          <w:rPr>
            <w:rStyle w:val="Hyperlink"/>
            <w:b/>
            <w:bCs/>
          </w:rPr>
          <w:t>Document 32</w:t>
        </w:r>
      </w:hyperlink>
      <w:r w:rsidR="00D866D6" w:rsidRPr="006E009B">
        <w:t xml:space="preserve"> </w:t>
      </w:r>
      <w:r w:rsidR="003247E8" w:rsidRPr="006E009B">
        <w:t xml:space="preserve">entitled “Proposals of the CIS Youth Group (Generation Connect </w:t>
      </w:r>
      <w:r w:rsidR="00CF7808">
        <w:t>–</w:t>
      </w:r>
      <w:r w:rsidR="003247E8" w:rsidRPr="006E009B">
        <w:t xml:space="preserve"> CIS) for the work of RPM-CIS” was presented by </w:t>
      </w:r>
      <w:r w:rsidR="003247E8" w:rsidRPr="00D815BC">
        <w:t xml:space="preserve">Ms </w:t>
      </w:r>
      <w:r w:rsidR="00B574FC" w:rsidRPr="00D815BC">
        <w:t>Daria Perepeliatnikova</w:t>
      </w:r>
      <w:r w:rsidR="003247E8" w:rsidRPr="006E009B">
        <w:t xml:space="preserve">, ITU Regional Office for CIS. The goal of the CIS Youth Group (GC-CIS), created </w:t>
      </w:r>
      <w:r w:rsidR="00B574FC" w:rsidRPr="006E009B">
        <w:t>as part of</w:t>
      </w:r>
      <w:r w:rsidR="003247E8" w:rsidRPr="006E009B">
        <w:t xml:space="preserve"> the Generation Connect </w:t>
      </w:r>
      <w:r w:rsidR="00B574FC" w:rsidRPr="006E009B">
        <w:t>global initiative</w:t>
      </w:r>
      <w:r w:rsidR="003247E8" w:rsidRPr="006E009B">
        <w:t xml:space="preserve">, is to provide young people from </w:t>
      </w:r>
      <w:r w:rsidR="00D815BC">
        <w:t xml:space="preserve">countries of </w:t>
      </w:r>
      <w:r w:rsidR="003247E8" w:rsidRPr="006E009B">
        <w:t xml:space="preserve">the CIS region with an opportunity to discuss the prospects and challenges associated with </w:t>
      </w:r>
      <w:r w:rsidR="00B574FC" w:rsidRPr="006E009B">
        <w:t>ICT</w:t>
      </w:r>
      <w:r w:rsidR="003247E8" w:rsidRPr="006E009B">
        <w:t xml:space="preserve"> development.</w:t>
      </w:r>
    </w:p>
    <w:p w14:paraId="57B56A06" w14:textId="380026D8" w:rsidR="003247E8" w:rsidRPr="006E009B" w:rsidRDefault="00B574FC" w:rsidP="00712E2F">
      <w:r w:rsidRPr="006E009B">
        <w:t>Following the</w:t>
      </w:r>
      <w:r w:rsidR="003247E8" w:rsidRPr="006E009B">
        <w:t xml:space="preserve"> nomination and selection of candidates, GC-CIS includes participants from the Republic of Azerbaijan, the Republic of Belarus, the Republic of Kazakhstan, the Russian Federation, the Kyrgyz Republic, the Republic of Tajikistan, the Republic of Uzbekistan and Ukraine.</w:t>
      </w:r>
    </w:p>
    <w:p w14:paraId="65B15DBD" w14:textId="3E7CE6D9" w:rsidR="003247E8" w:rsidRPr="006E009B" w:rsidRDefault="003247E8" w:rsidP="00712E2F">
      <w:r w:rsidRPr="006E009B">
        <w:t xml:space="preserve">At the initial stage, GC-CIS </w:t>
      </w:r>
      <w:r w:rsidR="00B574FC" w:rsidRPr="006E009B">
        <w:t>participants</w:t>
      </w:r>
      <w:r w:rsidRPr="006E009B">
        <w:t xml:space="preserve"> identified </w:t>
      </w:r>
      <w:r w:rsidR="002C1950" w:rsidRPr="006E009B">
        <w:t xml:space="preserve">what they consider </w:t>
      </w:r>
      <w:r w:rsidRPr="006E009B">
        <w:t>the three most relevant</w:t>
      </w:r>
      <w:r w:rsidR="002C1950" w:rsidRPr="006E009B">
        <w:t xml:space="preserve"> of</w:t>
      </w:r>
      <w:r w:rsidRPr="006E009B">
        <w:t xml:space="preserve"> ITU</w:t>
      </w:r>
      <w:r w:rsidR="002C1950" w:rsidRPr="006E009B">
        <w:t>’s</w:t>
      </w:r>
      <w:r w:rsidRPr="006E009B">
        <w:t xml:space="preserve"> activities</w:t>
      </w:r>
      <w:r w:rsidR="002C1950" w:rsidRPr="006E009B">
        <w:t>:</w:t>
      </w:r>
      <w:r w:rsidRPr="006E009B">
        <w:t xml:space="preserve"> 1) </w:t>
      </w:r>
      <w:r w:rsidR="002C1950" w:rsidRPr="006E009B">
        <w:t>n</w:t>
      </w:r>
      <w:r w:rsidRPr="006E009B">
        <w:t>etworks and digital infrastructure</w:t>
      </w:r>
      <w:r w:rsidR="002C1950" w:rsidRPr="006E009B">
        <w:t>;</w:t>
      </w:r>
      <w:r w:rsidRPr="006E009B">
        <w:t xml:space="preserve"> 2) </w:t>
      </w:r>
      <w:r w:rsidR="002C1950" w:rsidRPr="006E009B">
        <w:t>d</w:t>
      </w:r>
      <w:r w:rsidRPr="006E009B">
        <w:t>igital services and applications</w:t>
      </w:r>
      <w:r w:rsidR="002C1950" w:rsidRPr="006E009B">
        <w:t xml:space="preserve"> and</w:t>
      </w:r>
      <w:r w:rsidRPr="006E009B">
        <w:t xml:space="preserve"> </w:t>
      </w:r>
      <w:r w:rsidR="002C1950" w:rsidRPr="006E009B">
        <w:t>i</w:t>
      </w:r>
      <w:r w:rsidRPr="006E009B">
        <w:t>nnovation</w:t>
      </w:r>
      <w:r w:rsidR="002C1950" w:rsidRPr="006E009B">
        <w:t>;</w:t>
      </w:r>
      <w:r w:rsidRPr="006E009B">
        <w:t xml:space="preserve"> 3) Cybersecurity</w:t>
      </w:r>
      <w:r w:rsidR="002C1950" w:rsidRPr="006E009B">
        <w:t xml:space="preserve"> and</w:t>
      </w:r>
      <w:r w:rsidRPr="006E009B">
        <w:t xml:space="preserve"> </w:t>
      </w:r>
      <w:r w:rsidR="002C1950" w:rsidRPr="006E009B">
        <w:t>c</w:t>
      </w:r>
      <w:r w:rsidRPr="006E009B">
        <w:t xml:space="preserve">hild online protection, </w:t>
      </w:r>
      <w:r w:rsidR="002C1950" w:rsidRPr="006E009B">
        <w:t>which were the subject of topic-specific sessions</w:t>
      </w:r>
      <w:r w:rsidRPr="006E009B">
        <w:t xml:space="preserve">. In addition, GC-CIS participants expressed interest in the subsequent study of such topics as: </w:t>
      </w:r>
      <w:r w:rsidR="002C1950" w:rsidRPr="006E009B">
        <w:t>h</w:t>
      </w:r>
      <w:r w:rsidRPr="006E009B">
        <w:t>uman capacity building</w:t>
      </w:r>
      <w:r w:rsidR="002C1950" w:rsidRPr="006E009B">
        <w:t>;</w:t>
      </w:r>
      <w:r w:rsidRPr="006E009B">
        <w:t xml:space="preserve"> </w:t>
      </w:r>
      <w:r w:rsidR="002C1950" w:rsidRPr="006E009B">
        <w:t>e</w:t>
      </w:r>
      <w:r w:rsidRPr="006E009B">
        <w:t>nvironmental protection</w:t>
      </w:r>
      <w:r w:rsidR="002C1950" w:rsidRPr="006E009B">
        <w:t>;</w:t>
      </w:r>
      <w:r w:rsidRPr="006E009B">
        <w:t xml:space="preserve"> </w:t>
      </w:r>
      <w:r w:rsidR="002C1950" w:rsidRPr="006E009B">
        <w:t>d</w:t>
      </w:r>
      <w:r w:rsidRPr="006E009B">
        <w:t xml:space="preserve">evelopment of </w:t>
      </w:r>
      <w:r w:rsidR="002C1950" w:rsidRPr="006E009B">
        <w:t xml:space="preserve">States’ </w:t>
      </w:r>
      <w:r w:rsidRPr="006E009B">
        <w:t>international legal obligations in the field of human rights in the digital age</w:t>
      </w:r>
      <w:r w:rsidR="002C1950" w:rsidRPr="006E009B">
        <w:t>;</w:t>
      </w:r>
      <w:r w:rsidRPr="006E009B">
        <w:t xml:space="preserve"> </w:t>
      </w:r>
      <w:r w:rsidR="002C1950" w:rsidRPr="006E009B">
        <w:t>d</w:t>
      </w:r>
      <w:r w:rsidRPr="006E009B">
        <w:t>istributed ledger technologies</w:t>
      </w:r>
      <w:r w:rsidR="002C1950" w:rsidRPr="006E009B">
        <w:t>;</w:t>
      </w:r>
      <w:r w:rsidRPr="006E009B">
        <w:t xml:space="preserve"> artificial intelligence systems and modern technologies of the future</w:t>
      </w:r>
      <w:r w:rsidR="002C1950" w:rsidRPr="006E009B">
        <w:t>;</w:t>
      </w:r>
      <w:r w:rsidRPr="006E009B">
        <w:t xml:space="preserve"> </w:t>
      </w:r>
      <w:r w:rsidR="002C1950" w:rsidRPr="006E009B">
        <w:t>the d</w:t>
      </w:r>
      <w:r w:rsidRPr="006E009B">
        <w:t>evelopment of computer literacy</w:t>
      </w:r>
      <w:r w:rsidR="002C1950" w:rsidRPr="006E009B">
        <w:t>;</w:t>
      </w:r>
      <w:r w:rsidRPr="006E009B">
        <w:t xml:space="preserve"> and online security.</w:t>
      </w:r>
    </w:p>
    <w:p w14:paraId="60661BA3" w14:textId="384D1072" w:rsidR="003247E8" w:rsidRPr="006E009B" w:rsidRDefault="003247E8" w:rsidP="00712E2F">
      <w:r w:rsidRPr="006E009B">
        <w:t xml:space="preserve">The </w:t>
      </w:r>
      <w:r w:rsidR="002C1950" w:rsidRPr="006E009B">
        <w:t>d</w:t>
      </w:r>
      <w:r w:rsidRPr="006E009B">
        <w:t>ocument contains opinions and proposals prepared on the basis of the thematic working sessions held by GC-CIS for presentation at RPM-CIS and possible consideration when discussing priority areas for the CIS region.</w:t>
      </w:r>
    </w:p>
    <w:p w14:paraId="483F1F58" w14:textId="767FCC68" w:rsidR="003247E8" w:rsidRPr="006E009B" w:rsidRDefault="003247E8" w:rsidP="00712E2F">
      <w:r w:rsidRPr="006E009B">
        <w:t>RPS-CIS decided</w:t>
      </w:r>
      <w:r w:rsidR="002C1950" w:rsidRPr="006E009B">
        <w:t xml:space="preserve"> to</w:t>
      </w:r>
      <w:r w:rsidRPr="006E009B">
        <w:t>:</w:t>
      </w:r>
    </w:p>
    <w:p w14:paraId="38A258B9" w14:textId="74EFDEB2" w:rsidR="003247E8" w:rsidRPr="006E009B" w:rsidRDefault="003247E8" w:rsidP="00712E2F">
      <w:r w:rsidRPr="006E009B">
        <w:t xml:space="preserve">1) Continue active </w:t>
      </w:r>
      <w:r w:rsidR="002C1950" w:rsidRPr="006E009B">
        <w:t xml:space="preserve">youth </w:t>
      </w:r>
      <w:r w:rsidRPr="006E009B">
        <w:t xml:space="preserve">involvement in ITU activities; </w:t>
      </w:r>
    </w:p>
    <w:p w14:paraId="47327E4F" w14:textId="77777777" w:rsidR="003247E8" w:rsidRPr="006E009B" w:rsidRDefault="003247E8" w:rsidP="00712E2F">
      <w:r w:rsidRPr="006E009B">
        <w:t xml:space="preserve">2) Continue the successful experience of hosting sessions with the involvement of experienced ITU and industry experts; </w:t>
      </w:r>
    </w:p>
    <w:p w14:paraId="1780572C" w14:textId="583C8246" w:rsidR="00D866D6" w:rsidRPr="006E009B" w:rsidRDefault="003247E8" w:rsidP="00712E2F">
      <w:r w:rsidRPr="006E009B">
        <w:t xml:space="preserve">3) </w:t>
      </w:r>
      <w:r w:rsidR="00CF7808">
        <w:t>Provide continued support for</w:t>
      </w:r>
      <w:r w:rsidRPr="006E009B">
        <w:t xml:space="preserve"> the establishment of contact and active interaction between </w:t>
      </w:r>
      <w:r w:rsidR="00F173F2" w:rsidRPr="006E009B">
        <w:t xml:space="preserve">GC-CIS </w:t>
      </w:r>
      <w:r w:rsidRPr="006E009B">
        <w:t xml:space="preserve">and the </w:t>
      </w:r>
      <w:r w:rsidR="00F173F2" w:rsidRPr="006E009B">
        <w:t>Generation Connect Visionaries Board.</w:t>
      </w:r>
    </w:p>
    <w:p w14:paraId="20C802AE" w14:textId="61FD4A52" w:rsidR="003247E8" w:rsidRPr="006E009B" w:rsidRDefault="00D866D6" w:rsidP="00712E2F">
      <w:r w:rsidRPr="006E009B">
        <w:rPr>
          <w:b/>
          <w:bCs/>
        </w:rPr>
        <w:t xml:space="preserve">Documents </w:t>
      </w:r>
      <w:hyperlink r:id="rId32" w:history="1">
        <w:r w:rsidRPr="006E009B">
          <w:rPr>
            <w:rStyle w:val="Hyperlink"/>
            <w:b/>
            <w:bCs/>
          </w:rPr>
          <w:t>12</w:t>
        </w:r>
      </w:hyperlink>
      <w:r w:rsidRPr="006E009B">
        <w:rPr>
          <w:b/>
          <w:bCs/>
        </w:rPr>
        <w:t xml:space="preserve">, </w:t>
      </w:r>
      <w:hyperlink r:id="rId33" w:history="1">
        <w:r w:rsidRPr="006E009B">
          <w:rPr>
            <w:rStyle w:val="Hyperlink"/>
            <w:b/>
            <w:bCs/>
          </w:rPr>
          <w:t>13</w:t>
        </w:r>
      </w:hyperlink>
      <w:r w:rsidRPr="006E009B">
        <w:rPr>
          <w:b/>
          <w:bCs/>
        </w:rPr>
        <w:t xml:space="preserve">, </w:t>
      </w:r>
      <w:hyperlink r:id="rId34" w:history="1">
        <w:r w:rsidRPr="006E009B">
          <w:rPr>
            <w:rStyle w:val="Hyperlink"/>
            <w:b/>
            <w:bCs/>
          </w:rPr>
          <w:t>14</w:t>
        </w:r>
      </w:hyperlink>
      <w:r w:rsidRPr="006E009B">
        <w:rPr>
          <w:b/>
          <w:bCs/>
        </w:rPr>
        <w:t xml:space="preserve">, </w:t>
      </w:r>
      <w:hyperlink r:id="rId35" w:history="1">
        <w:r w:rsidRPr="006E009B">
          <w:rPr>
            <w:rStyle w:val="Hyperlink"/>
            <w:b/>
            <w:bCs/>
          </w:rPr>
          <w:t>15</w:t>
        </w:r>
      </w:hyperlink>
      <w:r w:rsidRPr="006E009B">
        <w:rPr>
          <w:b/>
          <w:bCs/>
        </w:rPr>
        <w:t xml:space="preserve">, </w:t>
      </w:r>
      <w:hyperlink r:id="rId36" w:history="1">
        <w:r w:rsidRPr="006E009B">
          <w:rPr>
            <w:rStyle w:val="Hyperlink"/>
            <w:b/>
            <w:bCs/>
          </w:rPr>
          <w:t>16</w:t>
        </w:r>
      </w:hyperlink>
      <w:r w:rsidRPr="006E009B">
        <w:rPr>
          <w:b/>
          <w:bCs/>
        </w:rPr>
        <w:t xml:space="preserve">, </w:t>
      </w:r>
      <w:hyperlink r:id="rId37" w:history="1">
        <w:r w:rsidRPr="006E009B">
          <w:rPr>
            <w:rStyle w:val="Hyperlink"/>
            <w:b/>
            <w:bCs/>
          </w:rPr>
          <w:t>17</w:t>
        </w:r>
      </w:hyperlink>
      <w:r w:rsidRPr="006E009B">
        <w:rPr>
          <w:b/>
          <w:bCs/>
        </w:rPr>
        <w:t xml:space="preserve">, </w:t>
      </w:r>
      <w:hyperlink r:id="rId38" w:history="1">
        <w:r w:rsidRPr="006E009B">
          <w:rPr>
            <w:rStyle w:val="Hyperlink"/>
            <w:b/>
            <w:bCs/>
          </w:rPr>
          <w:t>18</w:t>
        </w:r>
      </w:hyperlink>
      <w:r w:rsidRPr="006E009B">
        <w:rPr>
          <w:b/>
          <w:bCs/>
        </w:rPr>
        <w:t xml:space="preserve">, </w:t>
      </w:r>
      <w:hyperlink r:id="rId39" w:history="1">
        <w:r w:rsidRPr="006E009B">
          <w:rPr>
            <w:rStyle w:val="Hyperlink"/>
            <w:b/>
            <w:bCs/>
          </w:rPr>
          <w:t>19</w:t>
        </w:r>
      </w:hyperlink>
      <w:r w:rsidRPr="006E009B">
        <w:rPr>
          <w:b/>
          <w:bCs/>
        </w:rPr>
        <w:t xml:space="preserve">, </w:t>
      </w:r>
      <w:hyperlink r:id="rId40" w:history="1">
        <w:r w:rsidRPr="006E009B">
          <w:rPr>
            <w:rStyle w:val="Hyperlink"/>
            <w:b/>
            <w:bCs/>
          </w:rPr>
          <w:t>21</w:t>
        </w:r>
      </w:hyperlink>
      <w:r w:rsidRPr="006E009B">
        <w:rPr>
          <w:b/>
          <w:bCs/>
        </w:rPr>
        <w:t xml:space="preserve">, </w:t>
      </w:r>
      <w:hyperlink r:id="rId41" w:history="1">
        <w:r w:rsidRPr="006E009B">
          <w:rPr>
            <w:rStyle w:val="Hyperlink"/>
            <w:b/>
            <w:bCs/>
          </w:rPr>
          <w:t>22</w:t>
        </w:r>
      </w:hyperlink>
      <w:r w:rsidRPr="006E009B">
        <w:rPr>
          <w:b/>
          <w:bCs/>
        </w:rPr>
        <w:t xml:space="preserve">, </w:t>
      </w:r>
      <w:hyperlink r:id="rId42" w:history="1">
        <w:r w:rsidRPr="006E009B">
          <w:rPr>
            <w:rStyle w:val="Hyperlink"/>
            <w:b/>
            <w:bCs/>
          </w:rPr>
          <w:t>23</w:t>
        </w:r>
      </w:hyperlink>
      <w:r w:rsidRPr="006E009B">
        <w:rPr>
          <w:b/>
          <w:bCs/>
        </w:rPr>
        <w:t xml:space="preserve">, </w:t>
      </w:r>
      <w:hyperlink r:id="rId43" w:history="1">
        <w:r w:rsidRPr="006E009B">
          <w:rPr>
            <w:rStyle w:val="Hyperlink"/>
            <w:b/>
            <w:bCs/>
          </w:rPr>
          <w:t>24</w:t>
        </w:r>
      </w:hyperlink>
      <w:r w:rsidRPr="006E009B">
        <w:rPr>
          <w:b/>
          <w:bCs/>
        </w:rPr>
        <w:t xml:space="preserve">, </w:t>
      </w:r>
      <w:hyperlink r:id="rId44" w:history="1">
        <w:r w:rsidRPr="006E009B">
          <w:rPr>
            <w:rStyle w:val="Hyperlink"/>
            <w:b/>
            <w:bCs/>
          </w:rPr>
          <w:t>25</w:t>
        </w:r>
      </w:hyperlink>
      <w:r w:rsidRPr="006E009B">
        <w:rPr>
          <w:b/>
          <w:bCs/>
        </w:rPr>
        <w:t xml:space="preserve">, </w:t>
      </w:r>
      <w:hyperlink r:id="rId45" w:history="1">
        <w:r w:rsidRPr="006E009B">
          <w:rPr>
            <w:rStyle w:val="Hyperlink"/>
            <w:b/>
            <w:bCs/>
          </w:rPr>
          <w:t>26</w:t>
        </w:r>
      </w:hyperlink>
      <w:r w:rsidRPr="006E009B">
        <w:rPr>
          <w:b/>
          <w:bCs/>
        </w:rPr>
        <w:t xml:space="preserve">, </w:t>
      </w:r>
      <w:hyperlink r:id="rId46" w:history="1">
        <w:r w:rsidRPr="006E009B">
          <w:rPr>
            <w:rStyle w:val="Hyperlink"/>
            <w:b/>
            <w:bCs/>
          </w:rPr>
          <w:t>27</w:t>
        </w:r>
      </w:hyperlink>
      <w:r w:rsidRPr="006E009B">
        <w:rPr>
          <w:b/>
          <w:bCs/>
        </w:rPr>
        <w:t xml:space="preserve">, </w:t>
      </w:r>
      <w:hyperlink r:id="rId47" w:history="1">
        <w:r w:rsidRPr="006E009B">
          <w:rPr>
            <w:rStyle w:val="Hyperlink"/>
            <w:b/>
            <w:bCs/>
          </w:rPr>
          <w:t>28</w:t>
        </w:r>
      </w:hyperlink>
      <w:r w:rsidRPr="006E009B">
        <w:rPr>
          <w:b/>
          <w:bCs/>
        </w:rPr>
        <w:t xml:space="preserve">, </w:t>
      </w:r>
      <w:hyperlink r:id="rId48" w:history="1">
        <w:r w:rsidRPr="006E009B">
          <w:rPr>
            <w:rStyle w:val="Hyperlink"/>
            <w:b/>
            <w:bCs/>
          </w:rPr>
          <w:t>29</w:t>
        </w:r>
      </w:hyperlink>
      <w:r w:rsidRPr="006E009B">
        <w:rPr>
          <w:b/>
          <w:bCs/>
        </w:rPr>
        <w:t xml:space="preserve">, </w:t>
      </w:r>
      <w:hyperlink r:id="rId49" w:history="1">
        <w:r w:rsidRPr="006E009B">
          <w:rPr>
            <w:rStyle w:val="Hyperlink"/>
            <w:b/>
            <w:bCs/>
          </w:rPr>
          <w:t>30</w:t>
        </w:r>
      </w:hyperlink>
      <w:r w:rsidRPr="006E009B">
        <w:rPr>
          <w:b/>
          <w:bCs/>
        </w:rPr>
        <w:t xml:space="preserve">, </w:t>
      </w:r>
      <w:hyperlink r:id="rId50" w:history="1">
        <w:r w:rsidRPr="006E009B">
          <w:rPr>
            <w:rStyle w:val="Hyperlink"/>
            <w:b/>
            <w:bCs/>
          </w:rPr>
          <w:t>33</w:t>
        </w:r>
      </w:hyperlink>
      <w:r w:rsidRPr="006E009B">
        <w:rPr>
          <w:b/>
          <w:bCs/>
        </w:rPr>
        <w:t xml:space="preserve"> </w:t>
      </w:r>
      <w:r w:rsidRPr="005040F3">
        <w:t>and</w:t>
      </w:r>
      <w:r w:rsidRPr="006E009B">
        <w:rPr>
          <w:b/>
          <w:bCs/>
        </w:rPr>
        <w:t xml:space="preserve"> </w:t>
      </w:r>
      <w:hyperlink r:id="rId51" w:history="1">
        <w:r w:rsidRPr="006E009B">
          <w:rPr>
            <w:rStyle w:val="Hyperlink"/>
            <w:b/>
            <w:bCs/>
          </w:rPr>
          <w:t>34</w:t>
        </w:r>
      </w:hyperlink>
      <w:r w:rsidRPr="006E009B">
        <w:t xml:space="preserve"> </w:t>
      </w:r>
      <w:r w:rsidR="003247E8" w:rsidRPr="006E009B">
        <w:t>were presented by Mr Alexey Borodin, Chairman of the RCC Working Group on work with ITU under the RCC Commission for the Coordination of International Cooperation. The documents contain proposals for</w:t>
      </w:r>
      <w:r w:rsidR="00F173F2" w:rsidRPr="006E009B">
        <w:t xml:space="preserve"> the</w:t>
      </w:r>
      <w:r w:rsidR="003247E8" w:rsidRPr="006E009B">
        <w:t xml:space="preserve"> revisi</w:t>
      </w:r>
      <w:r w:rsidR="00F173F2" w:rsidRPr="006E009B">
        <w:t xml:space="preserve">on and </w:t>
      </w:r>
      <w:r w:rsidR="005040F3">
        <w:t>abrogation</w:t>
      </w:r>
      <w:r w:rsidR="003247E8" w:rsidRPr="006E009B">
        <w:t xml:space="preserve"> of WTDC </w:t>
      </w:r>
      <w:r w:rsidR="00F173F2" w:rsidRPr="006E009B">
        <w:t>r</w:t>
      </w:r>
      <w:r w:rsidR="003247E8" w:rsidRPr="006E009B">
        <w:t>esolutions.</w:t>
      </w:r>
    </w:p>
    <w:p w14:paraId="5B4B92B6" w14:textId="706BE477" w:rsidR="00D866D6" w:rsidRPr="006E009B" w:rsidRDefault="003247E8" w:rsidP="00712E2F">
      <w:r w:rsidRPr="006E009B">
        <w:t xml:space="preserve">RPM-CIS supported these contributions and decided to </w:t>
      </w:r>
      <w:r w:rsidR="00F173F2" w:rsidRPr="006E009B">
        <w:t xml:space="preserve">use them as the basis for the preparation of </w:t>
      </w:r>
      <w:r w:rsidRPr="006E009B">
        <w:t>RCC common proposals for WTDC-21</w:t>
      </w:r>
      <w:r w:rsidR="00D866D6" w:rsidRPr="006E009B">
        <w:t>.</w:t>
      </w:r>
    </w:p>
    <w:p w14:paraId="5C787B41" w14:textId="29239898" w:rsidR="00D866D6" w:rsidRPr="006E009B" w:rsidRDefault="00D866D6" w:rsidP="00712E2F">
      <w:pPr>
        <w:pStyle w:val="Heading1"/>
      </w:pPr>
      <w:r w:rsidRPr="006E009B">
        <w:t>9</w:t>
      </w:r>
      <w:r w:rsidRPr="006E009B">
        <w:tab/>
        <w:t>Other business</w:t>
      </w:r>
    </w:p>
    <w:p w14:paraId="55A1DAB5" w14:textId="08A5F434" w:rsidR="00D866D6" w:rsidRPr="006E009B" w:rsidRDefault="00CA4D66" w:rsidP="00712E2F">
      <w:r w:rsidRPr="006E009B">
        <w:t>Mr Alex Wong, BDT Senior Strategy Advisor, presented information on the</w:t>
      </w:r>
      <w:r w:rsidR="00E205D8">
        <w:t xml:space="preserve"> implementation of the</w:t>
      </w:r>
      <w:r w:rsidRPr="006E009B">
        <w:t xml:space="preserve"> ITU International Centre of Digital Innovation (i-CoDI) initiative</w:t>
      </w:r>
      <w:r w:rsidR="00D866D6" w:rsidRPr="006E009B">
        <w:t>.</w:t>
      </w:r>
    </w:p>
    <w:p w14:paraId="36BF532D" w14:textId="28EDF78C" w:rsidR="00D866D6" w:rsidRPr="006E009B" w:rsidRDefault="00D866D6" w:rsidP="00712E2F">
      <w:r w:rsidRPr="006E009B">
        <w:t xml:space="preserve">RPM-CIS took note of the </w:t>
      </w:r>
      <w:r w:rsidR="00E205D8">
        <w:t>information</w:t>
      </w:r>
      <w:r w:rsidRPr="006E009B">
        <w:t>.</w:t>
      </w:r>
    </w:p>
    <w:p w14:paraId="18B1B04D" w14:textId="223EE11B" w:rsidR="00D866D6" w:rsidRPr="006E009B" w:rsidRDefault="00D866D6" w:rsidP="00712E2F">
      <w:pPr>
        <w:pStyle w:val="Heading1"/>
      </w:pPr>
      <w:r w:rsidRPr="006E009B">
        <w:lastRenderedPageBreak/>
        <w:t>10</w:t>
      </w:r>
      <w:r w:rsidRPr="006E009B">
        <w:tab/>
      </w:r>
      <w:r w:rsidR="00AB3146" w:rsidRPr="006E009B">
        <w:t>Main outcomes</w:t>
      </w:r>
    </w:p>
    <w:p w14:paraId="1FBA17E0" w14:textId="17D19AF6" w:rsidR="00AB3146" w:rsidRPr="006E009B" w:rsidRDefault="00AB3146" w:rsidP="009C7357">
      <w:pPr>
        <w:keepNext/>
      </w:pPr>
      <w:r w:rsidRPr="006E009B">
        <w:t xml:space="preserve">RPM-CIS, after considering all input documents, </w:t>
      </w:r>
      <w:r w:rsidR="00FA55FC" w:rsidRPr="006E009B">
        <w:t>arrived at the</w:t>
      </w:r>
      <w:r w:rsidRPr="006E009B">
        <w:t xml:space="preserve"> following </w:t>
      </w:r>
      <w:r w:rsidR="00FA55FC" w:rsidRPr="006E009B">
        <w:t>outcomes</w:t>
      </w:r>
      <w:r w:rsidRPr="006E009B">
        <w:t>:</w:t>
      </w:r>
    </w:p>
    <w:p w14:paraId="4132C145" w14:textId="77777777" w:rsidR="00AB3146" w:rsidRPr="006E009B" w:rsidRDefault="00AB3146" w:rsidP="00712E2F">
      <w:r w:rsidRPr="006E009B">
        <w:t>RPM-CIS recognized that the ITU-D regional initiatives constitute an effective mechanism for fostering implementation of the WSIS outcomes and 2030 Agenda for Sustainable Development, including achievement of the Sustainable Development Goals.</w:t>
      </w:r>
    </w:p>
    <w:p w14:paraId="614E9BC1" w14:textId="1D70BC40" w:rsidR="00AB3146" w:rsidRPr="006E009B" w:rsidRDefault="00AB3146" w:rsidP="00712E2F">
      <w:r w:rsidRPr="006E009B">
        <w:t>RPM-CIS agreed the five draft CIS regional initiatives:</w:t>
      </w:r>
    </w:p>
    <w:p w14:paraId="08F29A1A" w14:textId="65EEC758" w:rsidR="00AB3146" w:rsidRPr="006E009B" w:rsidRDefault="00AB3146" w:rsidP="00712E2F">
      <w:pPr>
        <w:pStyle w:val="enumlev1"/>
      </w:pPr>
      <w:r w:rsidRPr="006E009B">
        <w:t>•</w:t>
      </w:r>
      <w:r w:rsidRPr="006E009B">
        <w:tab/>
      </w:r>
      <w:r w:rsidR="00CA4D66" w:rsidRPr="006E009B">
        <w:t>Regional Initiative 1: 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r w:rsidRPr="006E009B">
        <w:t>.</w:t>
      </w:r>
    </w:p>
    <w:p w14:paraId="00B5A188" w14:textId="30B5D476" w:rsidR="00AB3146" w:rsidRPr="006E009B" w:rsidRDefault="00AB3146" w:rsidP="00712E2F">
      <w:pPr>
        <w:pStyle w:val="enumlev1"/>
      </w:pPr>
      <w:r w:rsidRPr="006E009B">
        <w:t>•</w:t>
      </w:r>
      <w:r w:rsidRPr="006E009B">
        <w:tab/>
      </w:r>
      <w:r w:rsidR="00CA4D66" w:rsidRPr="006E009B">
        <w:t>Regional Initiative 2: Cybersecurity and personal data protection</w:t>
      </w:r>
      <w:r w:rsidRPr="006E009B">
        <w:t>.</w:t>
      </w:r>
    </w:p>
    <w:p w14:paraId="53029627" w14:textId="31134F3B" w:rsidR="00AB3146" w:rsidRPr="006E009B" w:rsidRDefault="00AB3146" w:rsidP="00712E2F">
      <w:pPr>
        <w:pStyle w:val="enumlev1"/>
      </w:pPr>
      <w:r w:rsidRPr="006E009B">
        <w:t>•</w:t>
      </w:r>
      <w:r w:rsidRPr="006E009B">
        <w:tab/>
      </w:r>
      <w:r w:rsidR="00CA4D66" w:rsidRPr="006E009B">
        <w:t>Regional Initiative 3: Creating an enabling legal and regulatory environment to accelerate digital transformation</w:t>
      </w:r>
      <w:r w:rsidRPr="006E009B">
        <w:t>.</w:t>
      </w:r>
    </w:p>
    <w:p w14:paraId="25473568" w14:textId="4A0445EA" w:rsidR="00AB3146" w:rsidRPr="006E009B" w:rsidRDefault="00AB3146" w:rsidP="00712E2F">
      <w:pPr>
        <w:pStyle w:val="enumlev1"/>
      </w:pPr>
      <w:r w:rsidRPr="006E009B">
        <w:t>•</w:t>
      </w:r>
      <w:r w:rsidRPr="006E009B">
        <w:tab/>
      </w:r>
      <w:r w:rsidR="00CA4D66" w:rsidRPr="006E009B">
        <w:t xml:space="preserve">Regional Initiative 4: Digital skills and ICT accessibility for the population, </w:t>
      </w:r>
      <w:r w:rsidR="003F68D5">
        <w:t>in particular</w:t>
      </w:r>
      <w:r w:rsidR="00CA4D66" w:rsidRPr="006E009B">
        <w:t xml:space="preserve"> for persons with disabilities</w:t>
      </w:r>
      <w:r w:rsidRPr="006E009B">
        <w:t>.</w:t>
      </w:r>
    </w:p>
    <w:p w14:paraId="37D8908D" w14:textId="42B19C4D" w:rsidR="00AB3146" w:rsidRPr="006E009B" w:rsidRDefault="00AB3146" w:rsidP="00712E2F">
      <w:pPr>
        <w:pStyle w:val="enumlev1"/>
      </w:pPr>
      <w:r w:rsidRPr="006E009B">
        <w:t>•</w:t>
      </w:r>
      <w:r w:rsidRPr="006E009B">
        <w:tab/>
      </w:r>
      <w:r w:rsidR="00CA4D66" w:rsidRPr="006E009B">
        <w:t>Regional Initiative 5: Development of smart cities and communities</w:t>
      </w:r>
      <w:r w:rsidRPr="006E009B">
        <w:t>.</w:t>
      </w:r>
    </w:p>
    <w:p w14:paraId="0F558B76" w14:textId="79096EA7" w:rsidR="00AB3146" w:rsidRPr="006E009B" w:rsidRDefault="00F67A06" w:rsidP="00712E2F">
      <w:pPr>
        <w:pStyle w:val="enumlev1"/>
      </w:pPr>
      <w:r w:rsidRPr="006E009B">
        <w:t>See the Annex for</w:t>
      </w:r>
      <w:r w:rsidR="00FA55FC" w:rsidRPr="006E009B">
        <w:t xml:space="preserve"> the five</w:t>
      </w:r>
      <w:r w:rsidRPr="006E009B">
        <w:t xml:space="preserve"> draft CIS regional initiatives</w:t>
      </w:r>
      <w:r w:rsidR="00AB3146" w:rsidRPr="006E009B">
        <w:t>.</w:t>
      </w:r>
    </w:p>
    <w:p w14:paraId="25769175" w14:textId="2836837C" w:rsidR="00AB3146" w:rsidRPr="006E009B" w:rsidRDefault="00F67A06" w:rsidP="00712E2F">
      <w:r w:rsidRPr="006E009B">
        <w:t>RPM-CIS also supported the work of TDAG and all its correspondence groups</w:t>
      </w:r>
      <w:r w:rsidR="00AB3146" w:rsidRPr="006E009B">
        <w:t xml:space="preserve">. </w:t>
      </w:r>
      <w:r w:rsidRPr="006E009B">
        <w:t>In addition, i</w:t>
      </w:r>
      <w:r w:rsidR="00AB3146" w:rsidRPr="006E009B">
        <w:t xml:space="preserve">t examined </w:t>
      </w:r>
      <w:r w:rsidRPr="006E009B">
        <w:t xml:space="preserve">and supported </w:t>
      </w:r>
      <w:r w:rsidR="00AB3146" w:rsidRPr="006E009B">
        <w:t xml:space="preserve">the proposals for the revision and </w:t>
      </w:r>
      <w:r w:rsidR="00CF7808">
        <w:t>abrogation</w:t>
      </w:r>
      <w:r w:rsidR="00AB3146" w:rsidRPr="006E009B">
        <w:t xml:space="preserve"> of </w:t>
      </w:r>
      <w:r w:rsidRPr="006E009B">
        <w:t xml:space="preserve">WTDC </w:t>
      </w:r>
      <w:r w:rsidR="001467CC" w:rsidRPr="006E009B">
        <w:t>r</w:t>
      </w:r>
      <w:r w:rsidR="00AB3146" w:rsidRPr="006E009B">
        <w:t>esolutions.</w:t>
      </w:r>
    </w:p>
    <w:p w14:paraId="3F9EB8F6" w14:textId="3D54FECB" w:rsidR="00AB3146" w:rsidRPr="006E009B" w:rsidRDefault="005040F3" w:rsidP="00712E2F">
      <w:pPr>
        <w:pStyle w:val="enumlev1"/>
      </w:pPr>
      <w:r>
        <w:t>T</w:t>
      </w:r>
      <w:r w:rsidRPr="006E009B">
        <w:t xml:space="preserve">he following two side events </w:t>
      </w:r>
      <w:r>
        <w:t xml:space="preserve">were held as part of </w:t>
      </w:r>
      <w:r w:rsidR="00E12FC4" w:rsidRPr="006E009B">
        <w:t>RPM-CIS</w:t>
      </w:r>
      <w:r w:rsidR="00F67A06" w:rsidRPr="006E009B">
        <w:t>:</w:t>
      </w:r>
    </w:p>
    <w:p w14:paraId="1D551E8B" w14:textId="6797CD07" w:rsidR="00AB3146" w:rsidRPr="006E009B" w:rsidRDefault="00AB3146" w:rsidP="00712E2F">
      <w:pPr>
        <w:pStyle w:val="enumlev1"/>
      </w:pPr>
      <w:r w:rsidRPr="006E009B">
        <w:t>•</w:t>
      </w:r>
      <w:r w:rsidRPr="006E009B">
        <w:tab/>
      </w:r>
      <w:hyperlink r:id="rId52" w:history="1">
        <w:r w:rsidR="00523FD9" w:rsidRPr="006E009B">
          <w:rPr>
            <w:rStyle w:val="Hyperlink"/>
          </w:rPr>
          <w:t>ITU infrastructure planning tools</w:t>
        </w:r>
        <w:r w:rsidR="00E12FC4" w:rsidRPr="006E009B">
          <w:rPr>
            <w:rStyle w:val="Hyperlink"/>
          </w:rPr>
          <w:t xml:space="preserve">: </w:t>
        </w:r>
        <w:r w:rsidR="00523FD9" w:rsidRPr="006E009B">
          <w:rPr>
            <w:rStyle w:val="Hyperlink"/>
          </w:rPr>
          <w:t>ITU Interactive Transmission Maps, Giga broadband calculation tool, ICT Infrastructure Business Planning Toolkit</w:t>
        </w:r>
      </w:hyperlink>
      <w:r w:rsidR="00523FD9" w:rsidRPr="006E009B">
        <w:t xml:space="preserve"> (21 April 2021)</w:t>
      </w:r>
      <w:r w:rsidR="00E12FC4" w:rsidRPr="006E009B">
        <w:t>. It was proposed to hold the session within the framework of the RCC working bodies concerned</w:t>
      </w:r>
      <w:r w:rsidRPr="006E009B">
        <w:t>.</w:t>
      </w:r>
    </w:p>
    <w:p w14:paraId="65818619" w14:textId="597D6014" w:rsidR="00AB3146" w:rsidRPr="006E009B" w:rsidRDefault="00AB3146" w:rsidP="00712E2F">
      <w:pPr>
        <w:pStyle w:val="enumlev1"/>
      </w:pPr>
      <w:r w:rsidRPr="006E009B">
        <w:t>•</w:t>
      </w:r>
      <w:r w:rsidRPr="006E009B">
        <w:tab/>
      </w:r>
      <w:hyperlink r:id="rId53" w:history="1">
        <w:r w:rsidR="00416ECA" w:rsidRPr="006E009B">
          <w:rPr>
            <w:rStyle w:val="Hyperlink"/>
            <w:rFonts w:cstheme="minorHAnsi"/>
            <w:szCs w:val="24"/>
          </w:rPr>
          <w:t>Special session: International Girls in ICT Day and Network of Women (NoW4WTDC21)</w:t>
        </w:r>
      </w:hyperlink>
      <w:r w:rsidRPr="006E009B">
        <w:t xml:space="preserve"> </w:t>
      </w:r>
      <w:r w:rsidR="00416ECA" w:rsidRPr="006E009B">
        <w:t>(22 April 2021)</w:t>
      </w:r>
      <w:r w:rsidRPr="006E009B">
        <w:t>.</w:t>
      </w:r>
    </w:p>
    <w:p w14:paraId="4405FD38" w14:textId="319FBC7B" w:rsidR="00AB3146" w:rsidRPr="006E009B" w:rsidRDefault="00AB3146" w:rsidP="00712E2F">
      <w:pPr>
        <w:pStyle w:val="Heading1"/>
      </w:pPr>
      <w:r w:rsidRPr="006E009B">
        <w:t>11</w:t>
      </w:r>
      <w:r w:rsidRPr="006E009B">
        <w:tab/>
        <w:t>Closing ceremony</w:t>
      </w:r>
    </w:p>
    <w:p w14:paraId="580E8D7A" w14:textId="619B228A" w:rsidR="00AB3146" w:rsidRPr="006E009B" w:rsidRDefault="00AB3146" w:rsidP="00712E2F">
      <w:r w:rsidRPr="006E009B">
        <w:t xml:space="preserve">Closing the meeting, the Chairman expressed his gratitude to all </w:t>
      </w:r>
      <w:r w:rsidR="001467CC" w:rsidRPr="006E009B">
        <w:t xml:space="preserve">the </w:t>
      </w:r>
      <w:r w:rsidRPr="006E009B">
        <w:t xml:space="preserve">ITU members </w:t>
      </w:r>
      <w:r w:rsidR="001467CC" w:rsidRPr="006E009B">
        <w:t xml:space="preserve">which had </w:t>
      </w:r>
      <w:r w:rsidRPr="006E009B">
        <w:t>participated in the work of RPM-CIS, especially those which had contributed to that work. Last but not least, he thanked the ITU staff for their assistance in the organization and running of the meeting.</w:t>
      </w:r>
    </w:p>
    <w:p w14:paraId="3792EB8F" w14:textId="0D845CB9" w:rsidR="00B759DE" w:rsidRPr="005040F3" w:rsidRDefault="00E12FC4" w:rsidP="00712E2F">
      <w:r w:rsidRPr="005040F3">
        <w:t>BDT Director, Ms Doreen Bogdan-Martin thanked</w:t>
      </w:r>
      <w:r w:rsidR="001467CC" w:rsidRPr="005040F3">
        <w:t xml:space="preserve"> the RPM-CIS </w:t>
      </w:r>
      <w:r w:rsidRPr="005040F3">
        <w:t xml:space="preserve">Chairman </w:t>
      </w:r>
      <w:r w:rsidR="001467CC" w:rsidRPr="005040F3">
        <w:t>and</w:t>
      </w:r>
      <w:r w:rsidRPr="005040F3">
        <w:t xml:space="preserve"> Vice-Chairman </w:t>
      </w:r>
      <w:r w:rsidR="001467CC" w:rsidRPr="005040F3">
        <w:t>and all</w:t>
      </w:r>
      <w:r w:rsidRPr="005040F3">
        <w:t xml:space="preserve"> participants</w:t>
      </w:r>
      <w:r w:rsidR="001467CC" w:rsidRPr="005040F3">
        <w:t>, as well as the BDT</w:t>
      </w:r>
      <w:r w:rsidRPr="005040F3">
        <w:t xml:space="preserve"> </w:t>
      </w:r>
      <w:r w:rsidR="001467CC" w:rsidRPr="005040F3">
        <w:t>s</w:t>
      </w:r>
      <w:r w:rsidRPr="005040F3">
        <w:t>e</w:t>
      </w:r>
      <w:r w:rsidR="001467CC" w:rsidRPr="005040F3">
        <w:t>c</w:t>
      </w:r>
      <w:r w:rsidRPr="005040F3">
        <w:t>retariat</w:t>
      </w:r>
      <w:r w:rsidR="001467CC" w:rsidRPr="005040F3">
        <w:t>,</w:t>
      </w:r>
      <w:r w:rsidRPr="005040F3">
        <w:t xml:space="preserve"> for the</w:t>
      </w:r>
      <w:r w:rsidR="001467CC" w:rsidRPr="005040F3">
        <w:t>ir productive</w:t>
      </w:r>
      <w:r w:rsidRPr="005040F3">
        <w:t xml:space="preserve"> work and support</w:t>
      </w:r>
      <w:r w:rsidR="00B759DE" w:rsidRPr="005040F3">
        <w:t>.</w:t>
      </w:r>
    </w:p>
    <w:p w14:paraId="26E43653" w14:textId="4E5EF1CE" w:rsidR="00B759DE" w:rsidRPr="006E009B" w:rsidRDefault="00B759DE" w:rsidP="00712E2F">
      <w:r w:rsidRPr="005040F3">
        <w:t>The RPM-CIS participants thanked the</w:t>
      </w:r>
      <w:r w:rsidR="001467CC" w:rsidRPr="005040F3">
        <w:t xml:space="preserve"> </w:t>
      </w:r>
      <w:r w:rsidRPr="005040F3">
        <w:t>Chairman and Vice-Chairm</w:t>
      </w:r>
      <w:r w:rsidR="001467CC" w:rsidRPr="005040F3">
        <w:t>a</w:t>
      </w:r>
      <w:r w:rsidRPr="005040F3">
        <w:t>n for their effective leadership</w:t>
      </w:r>
      <w:r w:rsidR="00E12FC4" w:rsidRPr="005040F3">
        <w:t xml:space="preserve"> and the BDT secretariat for the excellent organization of the meeting and technical support</w:t>
      </w:r>
      <w:r w:rsidRPr="005040F3">
        <w:t>.</w:t>
      </w:r>
    </w:p>
    <w:p w14:paraId="07B139B2" w14:textId="34FF17C3" w:rsidR="00B759DE" w:rsidRPr="006E009B" w:rsidRDefault="00B759DE" w:rsidP="00712E2F"/>
    <w:p w14:paraId="6DE6B57A" w14:textId="79E707F5" w:rsidR="00B759DE" w:rsidRPr="006E009B" w:rsidRDefault="00B759DE" w:rsidP="009C7357">
      <w:r w:rsidRPr="006E009B">
        <w:t>Mr Ra</w:t>
      </w:r>
      <w:r w:rsidR="00E31F48" w:rsidRPr="006E009B">
        <w:t>s</w:t>
      </w:r>
      <w:r w:rsidRPr="006E009B">
        <w:t xml:space="preserve">hid Ismailov </w:t>
      </w:r>
      <w:r w:rsidRPr="006E009B">
        <w:br/>
        <w:t>Chair</w:t>
      </w:r>
      <w:r w:rsidR="00E31F48" w:rsidRPr="006E009B">
        <w:t>man</w:t>
      </w:r>
      <w:r w:rsidRPr="006E009B">
        <w:br/>
        <w:t>22 April 2021</w:t>
      </w:r>
      <w:r w:rsidRPr="006E009B">
        <w:br w:type="page"/>
      </w:r>
    </w:p>
    <w:p w14:paraId="054F5F66" w14:textId="63730BB9" w:rsidR="00B759DE" w:rsidRPr="006E009B" w:rsidRDefault="00B377DD" w:rsidP="009C7357">
      <w:pPr>
        <w:pStyle w:val="Annextitle"/>
        <w:rPr>
          <w:b w:val="0"/>
          <w:bCs/>
        </w:rPr>
      </w:pPr>
      <w:r w:rsidRPr="006E009B">
        <w:lastRenderedPageBreak/>
        <w:t>Annex</w:t>
      </w:r>
      <w:r w:rsidR="009C7357">
        <w:br/>
      </w:r>
      <w:r w:rsidR="009C7357">
        <w:br/>
      </w:r>
      <w:r w:rsidRPr="006E009B">
        <w:rPr>
          <w:bCs/>
        </w:rPr>
        <w:t>DRAFT CIS REGIONAL INITIATIVES</w:t>
      </w:r>
      <w:r w:rsidR="00B759DE" w:rsidRPr="006E009B">
        <w:rPr>
          <w:bCs/>
        </w:rPr>
        <w:t xml:space="preserve"> (2022-2025)</w:t>
      </w:r>
    </w:p>
    <w:tbl>
      <w:tblPr>
        <w:tblStyle w:val="TableGrid"/>
        <w:tblW w:w="9634" w:type="dxa"/>
        <w:tblLook w:val="04A0" w:firstRow="1" w:lastRow="0" w:firstColumn="1" w:lastColumn="0" w:noHBand="0" w:noVBand="1"/>
      </w:tblPr>
      <w:tblGrid>
        <w:gridCol w:w="9634"/>
      </w:tblGrid>
      <w:tr w:rsidR="00B759DE" w:rsidRPr="00634247" w14:paraId="3F484BAD" w14:textId="77777777" w:rsidTr="004448F8">
        <w:trPr>
          <w:tblHeader/>
        </w:trPr>
        <w:tc>
          <w:tcPr>
            <w:tcW w:w="9634" w:type="dxa"/>
          </w:tcPr>
          <w:p w14:paraId="510B7304" w14:textId="3EECC569" w:rsidR="00B759DE" w:rsidRPr="00634247" w:rsidRDefault="00B759DE" w:rsidP="00712E2F">
            <w:pPr>
              <w:rPr>
                <w:b/>
                <w:szCs w:val="24"/>
              </w:rPr>
            </w:pPr>
            <w:bookmarkStart w:id="14" w:name="_Hlk67559803"/>
            <w:r w:rsidRPr="00634247">
              <w:rPr>
                <w:b/>
                <w:szCs w:val="24"/>
              </w:rPr>
              <w:t>(</w:t>
            </w:r>
            <w:r w:rsidR="00B377DD" w:rsidRPr="00634247">
              <w:rPr>
                <w:b/>
                <w:szCs w:val="24"/>
              </w:rPr>
              <w:t>Draft</w:t>
            </w:r>
            <w:r w:rsidRPr="00634247">
              <w:rPr>
                <w:b/>
                <w:szCs w:val="24"/>
              </w:rPr>
              <w:t>) CIS Regional initiatives (2022-2025)</w:t>
            </w:r>
          </w:p>
        </w:tc>
      </w:tr>
      <w:tr w:rsidR="00B759DE" w:rsidRPr="00634247" w14:paraId="62A9A197" w14:textId="77777777" w:rsidTr="004448F8">
        <w:trPr>
          <w:trHeight w:val="6498"/>
        </w:trPr>
        <w:tc>
          <w:tcPr>
            <w:tcW w:w="9634" w:type="dxa"/>
          </w:tcPr>
          <w:p w14:paraId="538C02EA" w14:textId="39D578E7" w:rsidR="00B759DE" w:rsidRPr="00634247" w:rsidRDefault="00B759DE" w:rsidP="00712E2F">
            <w:pPr>
              <w:rPr>
                <w:bCs/>
                <w:szCs w:val="24"/>
              </w:rPr>
            </w:pPr>
            <w:bookmarkStart w:id="15" w:name="_Hlk70328981"/>
            <w:r w:rsidRPr="00634247">
              <w:rPr>
                <w:b/>
                <w:bCs/>
                <w:szCs w:val="24"/>
              </w:rPr>
              <w:t>CIS1</w:t>
            </w:r>
            <w:r w:rsidRPr="00634247">
              <w:rPr>
                <w:bCs/>
                <w:szCs w:val="24"/>
              </w:rPr>
              <w:t xml:space="preserve">: </w:t>
            </w:r>
            <w:r w:rsidR="001161D2" w:rsidRPr="00634247">
              <w:rPr>
                <w:bCs/>
                <w:szCs w:val="24"/>
              </w:rPr>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r w:rsidRPr="00634247">
              <w:rPr>
                <w:bCs/>
                <w:szCs w:val="24"/>
              </w:rPr>
              <w:t>.</w:t>
            </w:r>
          </w:p>
          <w:p w14:paraId="3D58A765" w14:textId="49C22395" w:rsidR="00B759DE" w:rsidRPr="00634247" w:rsidRDefault="003720A0" w:rsidP="00712E2F">
            <w:pPr>
              <w:rPr>
                <w:bCs/>
                <w:szCs w:val="24"/>
              </w:rPr>
            </w:pPr>
            <w:r w:rsidRPr="00634247">
              <w:rPr>
                <w:b/>
                <w:bCs/>
                <w:szCs w:val="24"/>
              </w:rPr>
              <w:t>Objective</w:t>
            </w:r>
            <w:r w:rsidR="00B759DE" w:rsidRPr="00634247">
              <w:rPr>
                <w:b/>
                <w:bCs/>
                <w:szCs w:val="24"/>
              </w:rPr>
              <w:t>:</w:t>
            </w:r>
            <w:r w:rsidR="00B759DE" w:rsidRPr="00634247">
              <w:rPr>
                <w:bCs/>
                <w:szCs w:val="24"/>
              </w:rPr>
              <w:t xml:space="preserve"> </w:t>
            </w:r>
            <w:r w:rsidR="00B377DD" w:rsidRPr="00634247">
              <w:rPr>
                <w:bCs/>
                <w:szCs w:val="24"/>
              </w:rPr>
              <w:t xml:space="preserve">Assist ITU Member States of the region </w:t>
            </w:r>
            <w:r w:rsidR="000E3FCC" w:rsidRPr="00634247">
              <w:rPr>
                <w:bCs/>
                <w:szCs w:val="24"/>
              </w:rPr>
              <w:t>in telecommunication operators’ adoption of innovative technologies (</w:t>
            </w:r>
            <w:r w:rsidR="00820B11" w:rsidRPr="00634247">
              <w:rPr>
                <w:bCs/>
                <w:szCs w:val="24"/>
              </w:rPr>
              <w:t>in their introduction</w:t>
            </w:r>
            <w:r w:rsidR="000E3FCC" w:rsidRPr="00634247">
              <w:rPr>
                <w:bCs/>
                <w:szCs w:val="24"/>
              </w:rPr>
              <w:t xml:space="preserve"> as new services), while ensuring the stability and enhanced performance of telecommunication networks, including 5G/IMT-2020 and NET-2030 next-generation networks, within </w:t>
            </w:r>
            <w:r w:rsidR="002E4D51" w:rsidRPr="00634247">
              <w:rPr>
                <w:bCs/>
                <w:szCs w:val="24"/>
              </w:rPr>
              <w:t>the</w:t>
            </w:r>
            <w:r w:rsidR="000E3FCC" w:rsidRPr="00634247">
              <w:rPr>
                <w:bCs/>
                <w:szCs w:val="24"/>
              </w:rPr>
              <w:t xml:space="preserve"> context of ubiquitous implementation of </w:t>
            </w:r>
            <w:r w:rsidR="002E4D51" w:rsidRPr="00634247">
              <w:rPr>
                <w:bCs/>
                <w:szCs w:val="24"/>
              </w:rPr>
              <w:t xml:space="preserve">the </w:t>
            </w:r>
            <w:r w:rsidR="000E3FCC" w:rsidRPr="00634247">
              <w:rPr>
                <w:bCs/>
                <w:szCs w:val="24"/>
              </w:rPr>
              <w:t xml:space="preserve">concept and technologies </w:t>
            </w:r>
            <w:r w:rsidR="002E4D51" w:rsidRPr="00634247">
              <w:rPr>
                <w:bCs/>
                <w:szCs w:val="24"/>
              </w:rPr>
              <w:t>of</w:t>
            </w:r>
            <w:r w:rsidR="000E3FCC" w:rsidRPr="00634247">
              <w:rPr>
                <w:bCs/>
                <w:szCs w:val="24"/>
              </w:rPr>
              <w:t xml:space="preserve"> Internet of Things, Industrial Internet, quantum technologies, artificial intelligence, digital health, digital education, environmental protection, smart cities, digital skills, etc</w:t>
            </w:r>
            <w:r w:rsidR="00B759DE" w:rsidRPr="00634247">
              <w:rPr>
                <w:bCs/>
                <w:szCs w:val="24"/>
              </w:rPr>
              <w:t>.</w:t>
            </w:r>
            <w:r w:rsidR="00B759DE" w:rsidRPr="00634247">
              <w:rPr>
                <w:bCs/>
                <w:iCs/>
                <w:szCs w:val="24"/>
              </w:rPr>
              <w:t xml:space="preserve"> </w:t>
            </w:r>
          </w:p>
          <w:p w14:paraId="0D1AA61C" w14:textId="18405240" w:rsidR="00B759DE" w:rsidRPr="00634247" w:rsidRDefault="00B759DE" w:rsidP="00712E2F">
            <w:pPr>
              <w:rPr>
                <w:b/>
                <w:bCs/>
                <w:szCs w:val="24"/>
              </w:rPr>
            </w:pPr>
            <w:r w:rsidRPr="00634247">
              <w:rPr>
                <w:b/>
                <w:bCs/>
                <w:szCs w:val="24"/>
              </w:rPr>
              <w:t>Expected results:</w:t>
            </w:r>
          </w:p>
          <w:p w14:paraId="52634089" w14:textId="32826941" w:rsidR="00B759DE" w:rsidRPr="00634247" w:rsidRDefault="000E3FCC" w:rsidP="00712E2F">
            <w:pPr>
              <w:numPr>
                <w:ilvl w:val="0"/>
                <w:numId w:val="5"/>
              </w:numPr>
              <w:rPr>
                <w:szCs w:val="24"/>
              </w:rPr>
            </w:pPr>
            <w:r w:rsidRPr="00634247">
              <w:rPr>
                <w:szCs w:val="24"/>
              </w:rPr>
              <w:t xml:space="preserve">Development of </w:t>
            </w:r>
            <w:r w:rsidR="00B578E9" w:rsidRPr="00634247">
              <w:rPr>
                <w:szCs w:val="24"/>
              </w:rPr>
              <w:t xml:space="preserve">recommendations </w:t>
            </w:r>
            <w:r w:rsidR="00820B11" w:rsidRPr="00634247">
              <w:rPr>
                <w:szCs w:val="24"/>
              </w:rPr>
              <w:t>on</w:t>
            </w:r>
            <w:r w:rsidR="00B578E9" w:rsidRPr="00634247">
              <w:rPr>
                <w:szCs w:val="24"/>
              </w:rPr>
              <w:t xml:space="preserve"> new technologies</w:t>
            </w:r>
            <w:r w:rsidR="00B759DE" w:rsidRPr="00634247">
              <w:rPr>
                <w:szCs w:val="24"/>
              </w:rPr>
              <w:t>;</w:t>
            </w:r>
          </w:p>
          <w:p w14:paraId="44AFA2BC" w14:textId="76C78A65" w:rsidR="00B759DE" w:rsidRPr="00634247" w:rsidRDefault="00B578E9" w:rsidP="00712E2F">
            <w:pPr>
              <w:numPr>
                <w:ilvl w:val="0"/>
                <w:numId w:val="5"/>
              </w:numPr>
              <w:rPr>
                <w:szCs w:val="24"/>
              </w:rPr>
            </w:pPr>
            <w:r w:rsidRPr="00634247">
              <w:rPr>
                <w:szCs w:val="24"/>
              </w:rPr>
              <w:t>Creation of telecommunication/ICT infrastructure to foster innovation and partnerships in the implementation of new technologies</w:t>
            </w:r>
            <w:r w:rsidR="00B759DE" w:rsidRPr="00634247">
              <w:rPr>
                <w:szCs w:val="24"/>
              </w:rPr>
              <w:t>;</w:t>
            </w:r>
          </w:p>
          <w:p w14:paraId="2102CD68" w14:textId="6FA8AF31" w:rsidR="00B759DE" w:rsidRPr="00634247" w:rsidRDefault="00B578E9" w:rsidP="00712E2F">
            <w:pPr>
              <w:numPr>
                <w:ilvl w:val="0"/>
                <w:numId w:val="5"/>
              </w:numPr>
              <w:rPr>
                <w:szCs w:val="24"/>
              </w:rPr>
            </w:pPr>
            <w:r w:rsidRPr="00634247">
              <w:rPr>
                <w:szCs w:val="24"/>
              </w:rPr>
              <w:t>Raising of the technological level of organizations developing solutions and the general level of well-being of the</w:t>
            </w:r>
            <w:r w:rsidR="002E4D51" w:rsidRPr="00634247">
              <w:rPr>
                <w:szCs w:val="24"/>
              </w:rPr>
              <w:t xml:space="preserve"> region’s</w:t>
            </w:r>
            <w:r w:rsidRPr="00634247">
              <w:rPr>
                <w:szCs w:val="24"/>
              </w:rPr>
              <w:t xml:space="preserve"> population</w:t>
            </w:r>
            <w:r w:rsidR="00B759DE" w:rsidRPr="00634247">
              <w:rPr>
                <w:szCs w:val="24"/>
              </w:rPr>
              <w:t>;</w:t>
            </w:r>
          </w:p>
          <w:p w14:paraId="038ED0B9" w14:textId="07C45646" w:rsidR="00B759DE" w:rsidRPr="00634247" w:rsidRDefault="00B578E9" w:rsidP="00712E2F">
            <w:pPr>
              <w:numPr>
                <w:ilvl w:val="0"/>
                <w:numId w:val="5"/>
              </w:numPr>
              <w:rPr>
                <w:szCs w:val="24"/>
              </w:rPr>
            </w:pPr>
            <w:r w:rsidRPr="00634247">
              <w:rPr>
                <w:szCs w:val="24"/>
              </w:rPr>
              <w:t xml:space="preserve">Development of recommendations for </w:t>
            </w:r>
            <w:r w:rsidR="002E4D51" w:rsidRPr="00634247">
              <w:rPr>
                <w:szCs w:val="24"/>
              </w:rPr>
              <w:t xml:space="preserve">the </w:t>
            </w:r>
            <w:r w:rsidRPr="00634247">
              <w:rPr>
                <w:szCs w:val="24"/>
              </w:rPr>
              <w:t>measur</w:t>
            </w:r>
            <w:r w:rsidR="002E4D51" w:rsidRPr="00634247">
              <w:rPr>
                <w:szCs w:val="24"/>
              </w:rPr>
              <w:t>ement of</w:t>
            </w:r>
            <w:r w:rsidRPr="00634247">
              <w:rPr>
                <w:szCs w:val="24"/>
              </w:rPr>
              <w:t xml:space="preserve"> parameters </w:t>
            </w:r>
            <w:r w:rsidR="002E4D51" w:rsidRPr="00634247">
              <w:rPr>
                <w:szCs w:val="24"/>
              </w:rPr>
              <w:t>for</w:t>
            </w:r>
            <w:r w:rsidRPr="00634247">
              <w:rPr>
                <w:szCs w:val="24"/>
              </w:rPr>
              <w:t xml:space="preserve"> digital data transmission via telecommunication channels, the Internet and telephon</w:t>
            </w:r>
            <w:r w:rsidR="002E4D51" w:rsidRPr="00634247">
              <w:rPr>
                <w:szCs w:val="24"/>
              </w:rPr>
              <w:t>y</w:t>
            </w:r>
            <w:r w:rsidRPr="00634247">
              <w:rPr>
                <w:szCs w:val="24"/>
              </w:rPr>
              <w:t xml:space="preserve"> in </w:t>
            </w:r>
            <w:r w:rsidR="002E4D51" w:rsidRPr="00634247">
              <w:rPr>
                <w:szCs w:val="24"/>
              </w:rPr>
              <w:t>modern</w:t>
            </w:r>
            <w:r w:rsidRPr="00634247">
              <w:rPr>
                <w:szCs w:val="24"/>
              </w:rPr>
              <w:t xml:space="preserve"> and future communication systems</w:t>
            </w:r>
            <w:r w:rsidR="00B222D6" w:rsidRPr="00634247">
              <w:rPr>
                <w:szCs w:val="24"/>
              </w:rPr>
              <w:t>, ensuring that monitoring results are reproducible and traceable</w:t>
            </w:r>
            <w:r w:rsidR="00B759DE" w:rsidRPr="00634247">
              <w:rPr>
                <w:szCs w:val="24"/>
              </w:rPr>
              <w:t>;</w:t>
            </w:r>
          </w:p>
          <w:p w14:paraId="18E9F6B1" w14:textId="112E755D" w:rsidR="00B759DE" w:rsidRPr="00634247" w:rsidRDefault="00B222D6" w:rsidP="00712E2F">
            <w:pPr>
              <w:numPr>
                <w:ilvl w:val="0"/>
                <w:numId w:val="5"/>
              </w:numPr>
              <w:rPr>
                <w:szCs w:val="24"/>
              </w:rPr>
            </w:pPr>
            <w:r w:rsidRPr="00634247">
              <w:rPr>
                <w:szCs w:val="24"/>
              </w:rPr>
              <w:t>Bridging of the digital divide in the countries of the CIS region</w:t>
            </w:r>
            <w:r w:rsidR="00B759DE" w:rsidRPr="00634247">
              <w:rPr>
                <w:szCs w:val="24"/>
              </w:rPr>
              <w:t>.</w:t>
            </w:r>
          </w:p>
        </w:tc>
      </w:tr>
      <w:tr w:rsidR="00B759DE" w:rsidRPr="00634247" w14:paraId="677BB817" w14:textId="77777777" w:rsidTr="004448F8">
        <w:trPr>
          <w:trHeight w:val="586"/>
        </w:trPr>
        <w:tc>
          <w:tcPr>
            <w:tcW w:w="9634" w:type="dxa"/>
            <w:vMerge w:val="restart"/>
          </w:tcPr>
          <w:p w14:paraId="20A90E06" w14:textId="12800D8E" w:rsidR="00B759DE" w:rsidRPr="00634247" w:rsidRDefault="00B759DE" w:rsidP="00712E2F">
            <w:pPr>
              <w:rPr>
                <w:szCs w:val="24"/>
              </w:rPr>
            </w:pPr>
            <w:r w:rsidRPr="00634247">
              <w:rPr>
                <w:b/>
                <w:bCs/>
                <w:szCs w:val="24"/>
              </w:rPr>
              <w:t xml:space="preserve">CIS2: </w:t>
            </w:r>
            <w:r w:rsidR="001161D2" w:rsidRPr="00634247">
              <w:rPr>
                <w:szCs w:val="24"/>
              </w:rPr>
              <w:t>Cybersecurity and personal data protection.</w:t>
            </w:r>
          </w:p>
          <w:p w14:paraId="108BD2CD" w14:textId="122E6A1D" w:rsidR="00B759DE" w:rsidRPr="00634247" w:rsidRDefault="003720A0" w:rsidP="00712E2F">
            <w:pPr>
              <w:rPr>
                <w:szCs w:val="24"/>
              </w:rPr>
            </w:pPr>
            <w:r w:rsidRPr="00634247">
              <w:rPr>
                <w:b/>
                <w:bCs/>
                <w:szCs w:val="24"/>
              </w:rPr>
              <w:t>Objective</w:t>
            </w:r>
            <w:r w:rsidR="00B759DE" w:rsidRPr="00634247">
              <w:rPr>
                <w:b/>
                <w:bCs/>
                <w:szCs w:val="24"/>
              </w:rPr>
              <w:t xml:space="preserve">: </w:t>
            </w:r>
            <w:r w:rsidR="0095586E" w:rsidRPr="00634247">
              <w:rPr>
                <w:szCs w:val="24"/>
              </w:rPr>
              <w:t>Provide assistance to ITU Member States of the region in developing and maintaining secured, reliable and stable digital networks and services and in solving problems related to personal data protection</w:t>
            </w:r>
            <w:r w:rsidR="00B759DE" w:rsidRPr="00634247">
              <w:rPr>
                <w:szCs w:val="24"/>
              </w:rPr>
              <w:t>.</w:t>
            </w:r>
          </w:p>
          <w:p w14:paraId="5F22B50C" w14:textId="301AF19F" w:rsidR="00B759DE" w:rsidRPr="00634247" w:rsidRDefault="0023761F" w:rsidP="00712E2F">
            <w:pPr>
              <w:rPr>
                <w:b/>
                <w:bCs/>
                <w:szCs w:val="24"/>
              </w:rPr>
            </w:pPr>
            <w:r w:rsidRPr="00634247">
              <w:rPr>
                <w:b/>
                <w:bCs/>
                <w:szCs w:val="24"/>
              </w:rPr>
              <w:t>Expected results</w:t>
            </w:r>
            <w:r w:rsidR="00B759DE" w:rsidRPr="00634247">
              <w:rPr>
                <w:b/>
                <w:bCs/>
                <w:szCs w:val="24"/>
              </w:rPr>
              <w:t>:</w:t>
            </w:r>
          </w:p>
          <w:p w14:paraId="51887E80" w14:textId="7A4093A8" w:rsidR="00B759DE" w:rsidRPr="00634247" w:rsidRDefault="0095586E" w:rsidP="00712E2F">
            <w:pPr>
              <w:numPr>
                <w:ilvl w:val="0"/>
                <w:numId w:val="7"/>
              </w:numPr>
              <w:rPr>
                <w:szCs w:val="24"/>
              </w:rPr>
            </w:pPr>
            <w:r w:rsidRPr="00634247">
              <w:rPr>
                <w:szCs w:val="24"/>
              </w:rPr>
              <w:t xml:space="preserve">Establishment and </w:t>
            </w:r>
            <w:r w:rsidR="000E4BA4" w:rsidRPr="00634247">
              <w:rPr>
                <w:szCs w:val="24"/>
              </w:rPr>
              <w:t>enhancement</w:t>
            </w:r>
            <w:r w:rsidRPr="00634247">
              <w:rPr>
                <w:szCs w:val="24"/>
              </w:rPr>
              <w:t xml:space="preserve"> of national cybersecurity incident response teams (CIRTs)</w:t>
            </w:r>
            <w:r w:rsidR="00B759DE" w:rsidRPr="00634247">
              <w:rPr>
                <w:szCs w:val="24"/>
              </w:rPr>
              <w:t>;</w:t>
            </w:r>
          </w:p>
          <w:p w14:paraId="7C69D8FA" w14:textId="341730BF" w:rsidR="00B759DE" w:rsidRPr="00634247" w:rsidRDefault="0095586E" w:rsidP="00712E2F">
            <w:pPr>
              <w:numPr>
                <w:ilvl w:val="0"/>
                <w:numId w:val="7"/>
              </w:numPr>
              <w:rPr>
                <w:szCs w:val="24"/>
              </w:rPr>
            </w:pPr>
            <w:r w:rsidRPr="00634247">
              <w:rPr>
                <w:szCs w:val="24"/>
              </w:rPr>
              <w:t>Building of</w:t>
            </w:r>
            <w:r w:rsidR="003720A0" w:rsidRPr="00634247">
              <w:rPr>
                <w:szCs w:val="24"/>
              </w:rPr>
              <w:t xml:space="preserve"> capacity </w:t>
            </w:r>
            <w:r w:rsidRPr="00634247">
              <w:rPr>
                <w:szCs w:val="24"/>
              </w:rPr>
              <w:t xml:space="preserve">and enhancing </w:t>
            </w:r>
            <w:r w:rsidR="003720A0" w:rsidRPr="00634247">
              <w:rPr>
                <w:rFonts w:cs="Calibri"/>
                <w:szCs w:val="24"/>
              </w:rPr>
              <w:t xml:space="preserve">communication and incident response capabilities </w:t>
            </w:r>
            <w:r w:rsidR="006F138C" w:rsidRPr="00634247">
              <w:rPr>
                <w:rFonts w:cs="Calibri"/>
                <w:szCs w:val="24"/>
              </w:rPr>
              <w:t>and</w:t>
            </w:r>
            <w:r w:rsidR="003720A0" w:rsidRPr="00634247">
              <w:rPr>
                <w:rFonts w:cs="Calibri"/>
                <w:szCs w:val="24"/>
              </w:rPr>
              <w:t xml:space="preserve"> ensur</w:t>
            </w:r>
            <w:r w:rsidR="006F138C" w:rsidRPr="00634247">
              <w:rPr>
                <w:rFonts w:cs="Calibri"/>
                <w:szCs w:val="24"/>
              </w:rPr>
              <w:t>ing of</w:t>
            </w:r>
            <w:r w:rsidR="003720A0" w:rsidRPr="00634247">
              <w:rPr>
                <w:rFonts w:cs="Calibri"/>
                <w:szCs w:val="24"/>
              </w:rPr>
              <w:t xml:space="preserve"> a continued collective effort </w:t>
            </w:r>
            <w:r w:rsidR="006F138C" w:rsidRPr="00634247">
              <w:rPr>
                <w:rFonts w:cs="Calibri"/>
                <w:szCs w:val="24"/>
              </w:rPr>
              <w:t xml:space="preserve">among the regions’ national </w:t>
            </w:r>
            <w:r w:rsidR="005A7FD9" w:rsidRPr="00634247">
              <w:rPr>
                <w:rFonts w:cs="Calibri"/>
                <w:szCs w:val="24"/>
              </w:rPr>
              <w:t>computer incident response teams</w:t>
            </w:r>
            <w:r w:rsidR="006F138C" w:rsidRPr="00634247">
              <w:rPr>
                <w:rFonts w:cs="Calibri"/>
                <w:szCs w:val="24"/>
              </w:rPr>
              <w:t xml:space="preserve"> (CIRTs) to combat </w:t>
            </w:r>
            <w:r w:rsidR="003720A0" w:rsidRPr="00634247">
              <w:rPr>
                <w:rFonts w:cs="Calibri"/>
                <w:szCs w:val="24"/>
              </w:rPr>
              <w:t xml:space="preserve">cyberthreats </w:t>
            </w:r>
            <w:r w:rsidR="006F138C" w:rsidRPr="00634247">
              <w:rPr>
                <w:rFonts w:cs="Calibri"/>
                <w:szCs w:val="24"/>
              </w:rPr>
              <w:t>through global, interregional, regional and national cybersecurity drills;</w:t>
            </w:r>
          </w:p>
          <w:p w14:paraId="03B5DEEB" w14:textId="46832FEC" w:rsidR="00B759DE" w:rsidRPr="00634247" w:rsidRDefault="006F138C" w:rsidP="00712E2F">
            <w:pPr>
              <w:numPr>
                <w:ilvl w:val="0"/>
                <w:numId w:val="7"/>
              </w:numPr>
              <w:rPr>
                <w:szCs w:val="24"/>
              </w:rPr>
            </w:pPr>
            <w:r w:rsidRPr="00634247">
              <w:rPr>
                <w:szCs w:val="24"/>
              </w:rPr>
              <w:t xml:space="preserve">Training and retraining of specialists with technical and management profiles through targeted regional and national training </w:t>
            </w:r>
            <w:r w:rsidR="00820B11" w:rsidRPr="00634247">
              <w:rPr>
                <w:szCs w:val="24"/>
              </w:rPr>
              <w:t>programmes</w:t>
            </w:r>
            <w:r w:rsidR="00B759DE" w:rsidRPr="00634247">
              <w:rPr>
                <w:szCs w:val="24"/>
              </w:rPr>
              <w:t>;</w:t>
            </w:r>
          </w:p>
          <w:p w14:paraId="733586A7" w14:textId="6EB4DC61" w:rsidR="00B759DE" w:rsidRPr="00634247" w:rsidRDefault="006F138C" w:rsidP="00712E2F">
            <w:pPr>
              <w:numPr>
                <w:ilvl w:val="0"/>
                <w:numId w:val="7"/>
              </w:numPr>
              <w:rPr>
                <w:szCs w:val="24"/>
              </w:rPr>
            </w:pPr>
            <w:r w:rsidRPr="00634247">
              <w:rPr>
                <w:szCs w:val="24"/>
              </w:rPr>
              <w:lastRenderedPageBreak/>
              <w:t>Coordination of the gathering and sharing of best practices in the development of national strategies and cybersecurity and measurement of countries’ commitment to cybersecurity</w:t>
            </w:r>
            <w:r w:rsidR="00B759DE" w:rsidRPr="00634247">
              <w:rPr>
                <w:szCs w:val="24"/>
              </w:rPr>
              <w:t>.</w:t>
            </w:r>
          </w:p>
        </w:tc>
      </w:tr>
      <w:tr w:rsidR="00B759DE" w:rsidRPr="00634247" w14:paraId="3DB8BC01" w14:textId="77777777" w:rsidTr="004448F8">
        <w:trPr>
          <w:trHeight w:val="706"/>
        </w:trPr>
        <w:tc>
          <w:tcPr>
            <w:tcW w:w="9634" w:type="dxa"/>
            <w:vMerge/>
          </w:tcPr>
          <w:p w14:paraId="10523B47" w14:textId="77777777" w:rsidR="00B759DE" w:rsidRPr="00634247" w:rsidRDefault="00B759DE" w:rsidP="00712E2F">
            <w:pPr>
              <w:rPr>
                <w:b/>
                <w:bCs/>
                <w:szCs w:val="24"/>
              </w:rPr>
            </w:pPr>
          </w:p>
        </w:tc>
      </w:tr>
      <w:tr w:rsidR="00B759DE" w:rsidRPr="00634247" w14:paraId="348CF238" w14:textId="77777777" w:rsidTr="004448F8">
        <w:tc>
          <w:tcPr>
            <w:tcW w:w="9634" w:type="dxa"/>
          </w:tcPr>
          <w:p w14:paraId="73114874" w14:textId="3D9B0D2E" w:rsidR="00B759DE" w:rsidRPr="00634247" w:rsidRDefault="00B759DE" w:rsidP="00712E2F">
            <w:pPr>
              <w:rPr>
                <w:bCs/>
                <w:szCs w:val="24"/>
              </w:rPr>
            </w:pPr>
            <w:r w:rsidRPr="00634247">
              <w:rPr>
                <w:b/>
                <w:bCs/>
                <w:szCs w:val="24"/>
              </w:rPr>
              <w:t>CIS3</w:t>
            </w:r>
            <w:r w:rsidRPr="00634247">
              <w:rPr>
                <w:bCs/>
                <w:szCs w:val="24"/>
              </w:rPr>
              <w:t xml:space="preserve">: </w:t>
            </w:r>
            <w:r w:rsidR="00B377DD" w:rsidRPr="00634247">
              <w:rPr>
                <w:bCs/>
                <w:szCs w:val="24"/>
              </w:rPr>
              <w:t>Creating an enabling legal and regulatory environment to accelerate digital transformation.</w:t>
            </w:r>
          </w:p>
          <w:p w14:paraId="79157F07" w14:textId="4524433C" w:rsidR="00B759DE" w:rsidRPr="00634247" w:rsidRDefault="003720A0" w:rsidP="00712E2F">
            <w:pPr>
              <w:rPr>
                <w:bCs/>
                <w:szCs w:val="24"/>
              </w:rPr>
            </w:pPr>
            <w:r w:rsidRPr="00634247">
              <w:rPr>
                <w:b/>
                <w:bCs/>
                <w:szCs w:val="24"/>
              </w:rPr>
              <w:t>Objective</w:t>
            </w:r>
            <w:r w:rsidR="00B759DE" w:rsidRPr="00634247">
              <w:rPr>
                <w:bCs/>
                <w:szCs w:val="24"/>
              </w:rPr>
              <w:t xml:space="preserve">: </w:t>
            </w:r>
            <w:r w:rsidR="0091444C" w:rsidRPr="00634247">
              <w:rPr>
                <w:bCs/>
                <w:szCs w:val="24"/>
              </w:rPr>
              <w:t>Provide assistance to ITU Member States of the region in develop</w:t>
            </w:r>
            <w:r w:rsidR="005A7FD9" w:rsidRPr="00634247">
              <w:rPr>
                <w:bCs/>
                <w:szCs w:val="24"/>
              </w:rPr>
              <w:t>ing</w:t>
            </w:r>
            <w:r w:rsidR="0091444C" w:rsidRPr="00634247">
              <w:rPr>
                <w:bCs/>
                <w:szCs w:val="24"/>
              </w:rPr>
              <w:t xml:space="preserve"> related laws and regulations and digital services in various economic sectors, fostering innovation, increasing information sharing and strengthening cooperation in regulation, thereby contributing to the creation of an enabling regulatory environment for all stakeholders</w:t>
            </w:r>
            <w:r w:rsidR="00B759DE" w:rsidRPr="00634247">
              <w:rPr>
                <w:bCs/>
                <w:szCs w:val="24"/>
              </w:rPr>
              <w:t>.</w:t>
            </w:r>
          </w:p>
          <w:p w14:paraId="48B7172B" w14:textId="2D759AD5" w:rsidR="00B759DE" w:rsidRPr="00634247" w:rsidRDefault="003720A0" w:rsidP="00712E2F">
            <w:pPr>
              <w:rPr>
                <w:b/>
                <w:bCs/>
                <w:szCs w:val="24"/>
              </w:rPr>
            </w:pPr>
            <w:r w:rsidRPr="00634247">
              <w:rPr>
                <w:b/>
                <w:bCs/>
                <w:szCs w:val="24"/>
              </w:rPr>
              <w:t>Expected results</w:t>
            </w:r>
            <w:r w:rsidR="00B759DE" w:rsidRPr="00634247">
              <w:rPr>
                <w:bCs/>
                <w:szCs w:val="24"/>
              </w:rPr>
              <w:t>:</w:t>
            </w:r>
          </w:p>
          <w:p w14:paraId="3300AE8E" w14:textId="2BFFC668" w:rsidR="00B759DE" w:rsidRPr="00634247" w:rsidRDefault="0091444C" w:rsidP="00712E2F">
            <w:pPr>
              <w:numPr>
                <w:ilvl w:val="0"/>
                <w:numId w:val="6"/>
              </w:numPr>
              <w:rPr>
                <w:bCs/>
                <w:szCs w:val="24"/>
              </w:rPr>
            </w:pPr>
            <w:r w:rsidRPr="00634247">
              <w:rPr>
                <w:bCs/>
                <w:szCs w:val="24"/>
              </w:rPr>
              <w:t xml:space="preserve">Creation of an interconnected </w:t>
            </w:r>
            <w:r w:rsidR="004448F8" w:rsidRPr="00634247">
              <w:rPr>
                <w:bCs/>
                <w:szCs w:val="24"/>
              </w:rPr>
              <w:t>innovation ecosystem for start-up development and digital transformation in the countries of the region</w:t>
            </w:r>
            <w:r w:rsidR="00B759DE" w:rsidRPr="00634247">
              <w:rPr>
                <w:bCs/>
                <w:szCs w:val="24"/>
              </w:rPr>
              <w:t>;</w:t>
            </w:r>
          </w:p>
          <w:p w14:paraId="3C354093" w14:textId="782A072F" w:rsidR="00B759DE" w:rsidRPr="00634247" w:rsidRDefault="004448F8" w:rsidP="00712E2F">
            <w:pPr>
              <w:numPr>
                <w:ilvl w:val="0"/>
                <w:numId w:val="6"/>
              </w:numPr>
              <w:rPr>
                <w:bCs/>
                <w:szCs w:val="24"/>
              </w:rPr>
            </w:pPr>
            <w:r w:rsidRPr="00634247">
              <w:rPr>
                <w:bCs/>
                <w:szCs w:val="24"/>
              </w:rPr>
              <w:t>Expert assistance</w:t>
            </w:r>
            <w:r w:rsidR="00654D40" w:rsidRPr="00634247">
              <w:rPr>
                <w:bCs/>
                <w:szCs w:val="24"/>
              </w:rPr>
              <w:t xml:space="preserve"> in the creation of digital public services based on open innovation</w:t>
            </w:r>
            <w:r w:rsidR="00B759DE" w:rsidRPr="00634247">
              <w:rPr>
                <w:bCs/>
                <w:szCs w:val="24"/>
              </w:rPr>
              <w:t>;</w:t>
            </w:r>
          </w:p>
          <w:p w14:paraId="61FB09B6" w14:textId="568ABE6A" w:rsidR="00B759DE" w:rsidRPr="00634247" w:rsidRDefault="00654D40" w:rsidP="00712E2F">
            <w:pPr>
              <w:numPr>
                <w:ilvl w:val="0"/>
                <w:numId w:val="6"/>
              </w:numPr>
              <w:rPr>
                <w:bCs/>
                <w:szCs w:val="24"/>
              </w:rPr>
            </w:pPr>
            <w:r w:rsidRPr="00634247">
              <w:rPr>
                <w:bCs/>
                <w:szCs w:val="24"/>
              </w:rPr>
              <w:t xml:space="preserve">Expert assistance in the creation of regulatory and legal frameworks and coordination mechanisms for </w:t>
            </w:r>
            <w:r w:rsidR="005A7FD9" w:rsidRPr="00634247">
              <w:rPr>
                <w:bCs/>
                <w:szCs w:val="24"/>
              </w:rPr>
              <w:t xml:space="preserve">the fostering of </w:t>
            </w:r>
            <w:r w:rsidRPr="00634247">
              <w:rPr>
                <w:bCs/>
                <w:szCs w:val="24"/>
              </w:rPr>
              <w:t>innovation in the finance and education sectors</w:t>
            </w:r>
            <w:r w:rsidR="00B759DE" w:rsidRPr="00634247">
              <w:rPr>
                <w:bCs/>
                <w:szCs w:val="24"/>
              </w:rPr>
              <w:t xml:space="preserve"> (Fintech </w:t>
            </w:r>
            <w:r w:rsidR="003720A0" w:rsidRPr="00634247">
              <w:rPr>
                <w:bCs/>
                <w:szCs w:val="24"/>
              </w:rPr>
              <w:t>and</w:t>
            </w:r>
            <w:r w:rsidR="00B759DE" w:rsidRPr="00634247">
              <w:rPr>
                <w:bCs/>
                <w:szCs w:val="24"/>
              </w:rPr>
              <w:t xml:space="preserve"> </w:t>
            </w:r>
            <w:r w:rsidR="00B759DE" w:rsidRPr="00634247">
              <w:rPr>
                <w:szCs w:val="24"/>
              </w:rPr>
              <w:t>Edtech);</w:t>
            </w:r>
          </w:p>
          <w:p w14:paraId="76B081CD" w14:textId="794F6659" w:rsidR="00B759DE" w:rsidRPr="00634247" w:rsidRDefault="00654D40" w:rsidP="00712E2F">
            <w:pPr>
              <w:numPr>
                <w:ilvl w:val="0"/>
                <w:numId w:val="6"/>
              </w:numPr>
              <w:rPr>
                <w:bCs/>
                <w:szCs w:val="24"/>
              </w:rPr>
            </w:pPr>
            <w:r w:rsidRPr="00634247">
              <w:rPr>
                <w:bCs/>
                <w:szCs w:val="24"/>
              </w:rPr>
              <w:t>Sharing of information on changes in the legal and regulatory framework and market developments in the ICT sector and digital economy</w:t>
            </w:r>
            <w:r w:rsidR="00B759DE" w:rsidRPr="00634247">
              <w:rPr>
                <w:bCs/>
                <w:szCs w:val="24"/>
              </w:rPr>
              <w:t>;</w:t>
            </w:r>
          </w:p>
          <w:p w14:paraId="6C708AE2" w14:textId="6541CDF5" w:rsidR="00B759DE" w:rsidRPr="00634247" w:rsidRDefault="00654D40" w:rsidP="00712E2F">
            <w:pPr>
              <w:numPr>
                <w:ilvl w:val="0"/>
                <w:numId w:val="6"/>
              </w:numPr>
              <w:rPr>
                <w:bCs/>
                <w:szCs w:val="24"/>
              </w:rPr>
            </w:pPr>
            <w:r w:rsidRPr="00634247">
              <w:rPr>
                <w:bCs/>
                <w:szCs w:val="24"/>
              </w:rPr>
              <w:t xml:space="preserve">Building of institutional, human and technical capacity in </w:t>
            </w:r>
            <w:r w:rsidR="005A7FD9" w:rsidRPr="00634247">
              <w:rPr>
                <w:bCs/>
                <w:szCs w:val="24"/>
              </w:rPr>
              <w:t>relevant</w:t>
            </w:r>
            <w:r w:rsidRPr="00634247">
              <w:rPr>
                <w:bCs/>
                <w:szCs w:val="24"/>
              </w:rPr>
              <w:t xml:space="preserve"> issues of sector legislation, regulatory matters</w:t>
            </w:r>
            <w:r w:rsidR="00F71CD5" w:rsidRPr="00634247">
              <w:rPr>
                <w:bCs/>
                <w:szCs w:val="24"/>
              </w:rPr>
              <w:t>, economic and financial issues and market developments</w:t>
            </w:r>
            <w:r w:rsidR="00B759DE" w:rsidRPr="00634247">
              <w:rPr>
                <w:bCs/>
                <w:szCs w:val="24"/>
              </w:rPr>
              <w:t>.</w:t>
            </w:r>
          </w:p>
        </w:tc>
      </w:tr>
      <w:tr w:rsidR="00B759DE" w:rsidRPr="00634247" w14:paraId="022AD380" w14:textId="77777777" w:rsidTr="004448F8">
        <w:tc>
          <w:tcPr>
            <w:tcW w:w="9634" w:type="dxa"/>
          </w:tcPr>
          <w:p w14:paraId="1E351A66" w14:textId="2894A23C" w:rsidR="00B759DE" w:rsidRPr="00634247" w:rsidRDefault="00B759DE" w:rsidP="00712E2F">
            <w:pPr>
              <w:rPr>
                <w:bCs/>
                <w:szCs w:val="24"/>
              </w:rPr>
            </w:pPr>
            <w:r w:rsidRPr="00634247">
              <w:rPr>
                <w:b/>
                <w:bCs/>
                <w:szCs w:val="24"/>
              </w:rPr>
              <w:t>СIS4</w:t>
            </w:r>
            <w:r w:rsidRPr="00634247">
              <w:rPr>
                <w:bCs/>
                <w:szCs w:val="24"/>
              </w:rPr>
              <w:t xml:space="preserve">: </w:t>
            </w:r>
            <w:r w:rsidR="00B377DD" w:rsidRPr="00634247">
              <w:rPr>
                <w:bCs/>
                <w:szCs w:val="24"/>
              </w:rPr>
              <w:t xml:space="preserve">Digital skills and ICT accessibility for the population, </w:t>
            </w:r>
            <w:r w:rsidR="003F68D5" w:rsidRPr="00634247">
              <w:rPr>
                <w:bCs/>
                <w:szCs w:val="24"/>
              </w:rPr>
              <w:t>in particular</w:t>
            </w:r>
            <w:r w:rsidR="00B377DD" w:rsidRPr="00634247">
              <w:rPr>
                <w:bCs/>
                <w:szCs w:val="24"/>
              </w:rPr>
              <w:t xml:space="preserve"> for persons with disabilities.</w:t>
            </w:r>
          </w:p>
          <w:p w14:paraId="76427C8A" w14:textId="64ADE48A" w:rsidR="00B759DE" w:rsidRPr="00634247" w:rsidRDefault="003720A0" w:rsidP="00712E2F">
            <w:pPr>
              <w:rPr>
                <w:bCs/>
                <w:szCs w:val="24"/>
              </w:rPr>
            </w:pPr>
            <w:r w:rsidRPr="00634247">
              <w:rPr>
                <w:b/>
                <w:bCs/>
                <w:szCs w:val="24"/>
              </w:rPr>
              <w:t>Objective</w:t>
            </w:r>
            <w:r w:rsidR="00B759DE" w:rsidRPr="00634247">
              <w:rPr>
                <w:b/>
                <w:szCs w:val="24"/>
              </w:rPr>
              <w:t>:</w:t>
            </w:r>
            <w:r w:rsidR="00B759DE" w:rsidRPr="00634247">
              <w:rPr>
                <w:bCs/>
                <w:szCs w:val="24"/>
              </w:rPr>
              <w:t xml:space="preserve"> </w:t>
            </w:r>
            <w:r w:rsidR="00F71CD5" w:rsidRPr="00634247">
              <w:rPr>
                <w:bCs/>
                <w:szCs w:val="24"/>
              </w:rPr>
              <w:t>Provide assistance to ITU Member States of the region in formulatin</w:t>
            </w:r>
            <w:r w:rsidR="005A7FD9" w:rsidRPr="00634247">
              <w:rPr>
                <w:bCs/>
                <w:szCs w:val="24"/>
              </w:rPr>
              <w:t>g</w:t>
            </w:r>
            <w:r w:rsidR="00F71CD5" w:rsidRPr="00634247">
              <w:rPr>
                <w:bCs/>
                <w:szCs w:val="24"/>
              </w:rPr>
              <w:t xml:space="preserve"> recommendation</w:t>
            </w:r>
            <w:r w:rsidR="005A7FD9" w:rsidRPr="00634247">
              <w:rPr>
                <w:bCs/>
                <w:szCs w:val="24"/>
              </w:rPr>
              <w:t>s</w:t>
            </w:r>
            <w:r w:rsidR="00F71CD5" w:rsidRPr="00634247">
              <w:rPr>
                <w:bCs/>
                <w:szCs w:val="24"/>
              </w:rPr>
              <w:t xml:space="preserve"> for the development of citizens’ digital skills, paying particular attention to persons with disabilities</w:t>
            </w:r>
            <w:r w:rsidR="00B759DE" w:rsidRPr="00634247">
              <w:rPr>
                <w:bCs/>
                <w:szCs w:val="24"/>
              </w:rPr>
              <w:t>.</w:t>
            </w:r>
          </w:p>
          <w:p w14:paraId="6FB0B0E4" w14:textId="097E1E2C" w:rsidR="00B759DE" w:rsidRPr="00634247" w:rsidRDefault="003720A0" w:rsidP="00712E2F">
            <w:pPr>
              <w:rPr>
                <w:b/>
                <w:szCs w:val="24"/>
              </w:rPr>
            </w:pPr>
            <w:r w:rsidRPr="00634247">
              <w:rPr>
                <w:b/>
                <w:szCs w:val="24"/>
              </w:rPr>
              <w:t>Expected results</w:t>
            </w:r>
            <w:r w:rsidR="00B759DE" w:rsidRPr="00634247">
              <w:rPr>
                <w:b/>
                <w:szCs w:val="24"/>
              </w:rPr>
              <w:t xml:space="preserve">: </w:t>
            </w:r>
          </w:p>
          <w:p w14:paraId="687F1748" w14:textId="03C30AB1" w:rsidR="00B759DE" w:rsidRPr="00634247" w:rsidRDefault="00F71CD5" w:rsidP="00712E2F">
            <w:pPr>
              <w:numPr>
                <w:ilvl w:val="0"/>
                <w:numId w:val="8"/>
              </w:numPr>
              <w:rPr>
                <w:bCs/>
                <w:szCs w:val="24"/>
              </w:rPr>
            </w:pPr>
            <w:r w:rsidRPr="00634247">
              <w:rPr>
                <w:bCs/>
                <w:szCs w:val="24"/>
              </w:rPr>
              <w:t xml:space="preserve">A detailed study of the needs of persons with disabilities in terms </w:t>
            </w:r>
            <w:r w:rsidR="005A7FD9" w:rsidRPr="00634247">
              <w:rPr>
                <w:bCs/>
                <w:szCs w:val="24"/>
              </w:rPr>
              <w:t xml:space="preserve">of </w:t>
            </w:r>
            <w:r w:rsidRPr="00634247">
              <w:rPr>
                <w:bCs/>
                <w:szCs w:val="24"/>
              </w:rPr>
              <w:t>digital</w:t>
            </w:r>
            <w:r w:rsidR="005A7FD9" w:rsidRPr="00634247">
              <w:rPr>
                <w:bCs/>
                <w:szCs w:val="24"/>
              </w:rPr>
              <w:t>-</w:t>
            </w:r>
            <w:r w:rsidRPr="00634247">
              <w:rPr>
                <w:bCs/>
                <w:szCs w:val="24"/>
              </w:rPr>
              <w:t>skill training methodology</w:t>
            </w:r>
            <w:r w:rsidR="00B759DE" w:rsidRPr="00634247">
              <w:rPr>
                <w:bCs/>
                <w:szCs w:val="24"/>
              </w:rPr>
              <w:t>;</w:t>
            </w:r>
          </w:p>
          <w:p w14:paraId="6EAD1A1E" w14:textId="6067AC91" w:rsidR="00B759DE" w:rsidRPr="00634247" w:rsidRDefault="00F71CD5" w:rsidP="00712E2F">
            <w:pPr>
              <w:numPr>
                <w:ilvl w:val="0"/>
                <w:numId w:val="8"/>
              </w:numPr>
              <w:rPr>
                <w:bCs/>
                <w:szCs w:val="24"/>
              </w:rPr>
            </w:pPr>
            <w:r w:rsidRPr="00634247">
              <w:rPr>
                <w:bCs/>
                <w:szCs w:val="24"/>
              </w:rPr>
              <w:t>Recommendations on the development and improvement of digital literacy for persons with disabilities</w:t>
            </w:r>
            <w:r w:rsidR="00B759DE" w:rsidRPr="00634247">
              <w:rPr>
                <w:bCs/>
                <w:szCs w:val="24"/>
              </w:rPr>
              <w:t>;</w:t>
            </w:r>
          </w:p>
          <w:p w14:paraId="01CFDF7F" w14:textId="4EAF6E38" w:rsidR="00B759DE" w:rsidRPr="00634247" w:rsidRDefault="00F71CD5" w:rsidP="00712E2F">
            <w:pPr>
              <w:numPr>
                <w:ilvl w:val="0"/>
                <w:numId w:val="8"/>
              </w:numPr>
              <w:rPr>
                <w:bCs/>
                <w:szCs w:val="24"/>
              </w:rPr>
            </w:pPr>
            <w:r w:rsidRPr="00634247">
              <w:rPr>
                <w:bCs/>
                <w:szCs w:val="24"/>
              </w:rPr>
              <w:t>Creation of a network of training centres for persons with disabilities, including in remote areas of countries</w:t>
            </w:r>
            <w:r w:rsidR="00B759DE" w:rsidRPr="00634247">
              <w:rPr>
                <w:bCs/>
                <w:szCs w:val="24"/>
              </w:rPr>
              <w:t>;</w:t>
            </w:r>
          </w:p>
          <w:p w14:paraId="1EBDC283" w14:textId="4245F72C" w:rsidR="00B759DE" w:rsidRPr="00634247" w:rsidRDefault="00F71CD5" w:rsidP="00712E2F">
            <w:pPr>
              <w:numPr>
                <w:ilvl w:val="0"/>
                <w:numId w:val="8"/>
              </w:numPr>
              <w:rPr>
                <w:bCs/>
                <w:szCs w:val="24"/>
              </w:rPr>
            </w:pPr>
            <w:r w:rsidRPr="00634247">
              <w:rPr>
                <w:bCs/>
                <w:szCs w:val="24"/>
              </w:rPr>
              <w:t>Methodological guidance and training for teachers of training centres for persons with disabilities</w:t>
            </w:r>
            <w:r w:rsidR="00B759DE" w:rsidRPr="00634247">
              <w:rPr>
                <w:bCs/>
                <w:szCs w:val="24"/>
              </w:rPr>
              <w:t>;</w:t>
            </w:r>
          </w:p>
          <w:p w14:paraId="70DBD7FB" w14:textId="3E743987" w:rsidR="00B759DE" w:rsidRPr="00634247" w:rsidRDefault="00F71CD5" w:rsidP="00712E2F">
            <w:pPr>
              <w:numPr>
                <w:ilvl w:val="0"/>
                <w:numId w:val="8"/>
              </w:numPr>
              <w:rPr>
                <w:bCs/>
                <w:szCs w:val="24"/>
              </w:rPr>
            </w:pPr>
            <w:r w:rsidRPr="00634247">
              <w:rPr>
                <w:bCs/>
                <w:szCs w:val="24"/>
              </w:rPr>
              <w:t>Recommendations on the development of citizens’ digital skills in art and culture and the reduction of barriers in public access to museum collections</w:t>
            </w:r>
            <w:r w:rsidR="00B759DE" w:rsidRPr="00634247">
              <w:rPr>
                <w:bCs/>
                <w:szCs w:val="24"/>
              </w:rPr>
              <w:t>;</w:t>
            </w:r>
          </w:p>
          <w:p w14:paraId="3CF9B876" w14:textId="173AE071" w:rsidR="00B759DE" w:rsidRPr="00634247" w:rsidRDefault="00F7309A" w:rsidP="00712E2F">
            <w:pPr>
              <w:numPr>
                <w:ilvl w:val="0"/>
                <w:numId w:val="8"/>
              </w:numPr>
              <w:rPr>
                <w:bCs/>
                <w:szCs w:val="24"/>
              </w:rPr>
            </w:pPr>
            <w:r w:rsidRPr="00634247">
              <w:rPr>
                <w:bCs/>
                <w:szCs w:val="24"/>
              </w:rPr>
              <w:t>Cooperation with museums for the development of special programmes for public access to museum exhibits</w:t>
            </w:r>
            <w:r w:rsidR="00B759DE" w:rsidRPr="00634247">
              <w:rPr>
                <w:bCs/>
                <w:szCs w:val="24"/>
              </w:rPr>
              <w:t>;</w:t>
            </w:r>
          </w:p>
          <w:p w14:paraId="53265F82" w14:textId="377B6B0C" w:rsidR="00B759DE" w:rsidRPr="00634247" w:rsidRDefault="00F7309A" w:rsidP="00712E2F">
            <w:pPr>
              <w:numPr>
                <w:ilvl w:val="0"/>
                <w:numId w:val="8"/>
              </w:numPr>
              <w:rPr>
                <w:bCs/>
                <w:szCs w:val="24"/>
              </w:rPr>
            </w:pPr>
            <w:r w:rsidRPr="00634247">
              <w:rPr>
                <w:bCs/>
                <w:szCs w:val="24"/>
              </w:rPr>
              <w:lastRenderedPageBreak/>
              <w:t>Professional development courses, forums, training and seminars on matters related to the development of the public’s digital skills in art and culture</w:t>
            </w:r>
            <w:r w:rsidR="00B759DE" w:rsidRPr="00634247">
              <w:rPr>
                <w:bCs/>
                <w:szCs w:val="24"/>
              </w:rPr>
              <w:t>.</w:t>
            </w:r>
          </w:p>
        </w:tc>
      </w:tr>
      <w:tr w:rsidR="00B759DE" w:rsidRPr="00634247" w14:paraId="73E9C79D" w14:textId="77777777" w:rsidTr="004448F8">
        <w:trPr>
          <w:trHeight w:val="750"/>
        </w:trPr>
        <w:tc>
          <w:tcPr>
            <w:tcW w:w="9634" w:type="dxa"/>
          </w:tcPr>
          <w:p w14:paraId="40007DBD" w14:textId="033D0C0C" w:rsidR="00B759DE" w:rsidRPr="00634247" w:rsidRDefault="00B759DE" w:rsidP="00712E2F">
            <w:pPr>
              <w:rPr>
                <w:bCs/>
                <w:szCs w:val="24"/>
              </w:rPr>
            </w:pPr>
            <w:r w:rsidRPr="00634247">
              <w:rPr>
                <w:b/>
                <w:bCs/>
                <w:szCs w:val="24"/>
              </w:rPr>
              <w:lastRenderedPageBreak/>
              <w:t>CIS5</w:t>
            </w:r>
            <w:r w:rsidRPr="00634247">
              <w:rPr>
                <w:bCs/>
                <w:szCs w:val="24"/>
              </w:rPr>
              <w:t xml:space="preserve">: </w:t>
            </w:r>
            <w:r w:rsidR="00B377DD" w:rsidRPr="00634247">
              <w:rPr>
                <w:szCs w:val="24"/>
              </w:rPr>
              <w:t>Development of smart cities and communities</w:t>
            </w:r>
          </w:p>
          <w:p w14:paraId="6DE483E4" w14:textId="1A6D828E" w:rsidR="00B759DE" w:rsidRPr="00634247" w:rsidRDefault="003720A0" w:rsidP="00712E2F">
            <w:pPr>
              <w:rPr>
                <w:b/>
                <w:bCs/>
                <w:szCs w:val="24"/>
              </w:rPr>
            </w:pPr>
            <w:r w:rsidRPr="00634247">
              <w:rPr>
                <w:b/>
                <w:bCs/>
                <w:szCs w:val="24"/>
              </w:rPr>
              <w:t>Objective</w:t>
            </w:r>
            <w:r w:rsidR="00B759DE" w:rsidRPr="00634247">
              <w:rPr>
                <w:bCs/>
                <w:szCs w:val="24"/>
              </w:rPr>
              <w:t xml:space="preserve">: </w:t>
            </w:r>
            <w:r w:rsidR="00F7309A" w:rsidRPr="00634247">
              <w:rPr>
                <w:szCs w:val="24"/>
              </w:rPr>
              <w:t>A</w:t>
            </w:r>
            <w:r w:rsidRPr="00634247">
              <w:rPr>
                <w:rFonts w:cstheme="minorHAnsi"/>
                <w:szCs w:val="24"/>
              </w:rPr>
              <w:t xml:space="preserve">ssist ITU Member States of the region </w:t>
            </w:r>
            <w:r w:rsidRPr="00634247">
              <w:rPr>
                <w:szCs w:val="24"/>
              </w:rPr>
              <w:t xml:space="preserve">in developing legal and regulatory frameworks, creating necessary infrastructure, introducing modern services and applications in different aspects of </w:t>
            </w:r>
            <w:r w:rsidR="00F7309A" w:rsidRPr="00634247">
              <w:rPr>
                <w:szCs w:val="24"/>
              </w:rPr>
              <w:t>smart cities and communities</w:t>
            </w:r>
            <w:r w:rsidRPr="00634247">
              <w:rPr>
                <w:szCs w:val="24"/>
              </w:rPr>
              <w:t xml:space="preserve"> (education, healthcare, tourism, transport, energy, security, the environment, etc.) and raising the digital literacy of the population, business and authorities</w:t>
            </w:r>
            <w:r w:rsidR="00B759DE" w:rsidRPr="00634247">
              <w:rPr>
                <w:bCs/>
                <w:szCs w:val="24"/>
              </w:rPr>
              <w:t>.</w:t>
            </w:r>
            <w:r w:rsidR="00B759DE" w:rsidRPr="00634247">
              <w:rPr>
                <w:b/>
                <w:bCs/>
                <w:szCs w:val="24"/>
              </w:rPr>
              <w:t xml:space="preserve"> </w:t>
            </w:r>
          </w:p>
          <w:p w14:paraId="72A4B690" w14:textId="14925C74" w:rsidR="00B759DE" w:rsidRPr="00634247" w:rsidRDefault="003720A0" w:rsidP="00712E2F">
            <w:pPr>
              <w:rPr>
                <w:bCs/>
                <w:szCs w:val="24"/>
              </w:rPr>
            </w:pPr>
            <w:r w:rsidRPr="00634247">
              <w:rPr>
                <w:b/>
                <w:bCs/>
                <w:szCs w:val="24"/>
              </w:rPr>
              <w:t>Expected results</w:t>
            </w:r>
            <w:r w:rsidR="00B759DE" w:rsidRPr="00634247">
              <w:rPr>
                <w:bCs/>
                <w:szCs w:val="24"/>
              </w:rPr>
              <w:t>:</w:t>
            </w:r>
          </w:p>
          <w:p w14:paraId="33FCB284" w14:textId="76363210" w:rsidR="00B759DE" w:rsidRPr="00634247" w:rsidRDefault="003720A0" w:rsidP="00712E2F">
            <w:pPr>
              <w:numPr>
                <w:ilvl w:val="0"/>
                <w:numId w:val="9"/>
              </w:numPr>
              <w:rPr>
                <w:bCs/>
                <w:szCs w:val="24"/>
              </w:rPr>
            </w:pPr>
            <w:r w:rsidRPr="00634247">
              <w:rPr>
                <w:szCs w:val="24"/>
              </w:rPr>
              <w:t xml:space="preserve">Recommendations on the development of a legal and regulatory framework for </w:t>
            </w:r>
            <w:r w:rsidR="00F7309A" w:rsidRPr="00634247">
              <w:rPr>
                <w:szCs w:val="24"/>
              </w:rPr>
              <w:t>smart city and community</w:t>
            </w:r>
            <w:r w:rsidRPr="00634247">
              <w:rPr>
                <w:szCs w:val="24"/>
              </w:rPr>
              <w:t xml:space="preserve"> development at all architectural levels, as well as the organizational aspect of </w:t>
            </w:r>
            <w:r w:rsidR="00F7309A" w:rsidRPr="00634247">
              <w:rPr>
                <w:szCs w:val="24"/>
              </w:rPr>
              <w:t>smart city and community</w:t>
            </w:r>
            <w:r w:rsidRPr="00634247">
              <w:rPr>
                <w:szCs w:val="24"/>
              </w:rPr>
              <w:t xml:space="preserve"> development</w:t>
            </w:r>
            <w:r w:rsidR="00B759DE" w:rsidRPr="00634247">
              <w:rPr>
                <w:bCs/>
                <w:szCs w:val="24"/>
              </w:rPr>
              <w:t>;</w:t>
            </w:r>
          </w:p>
          <w:p w14:paraId="005943B4" w14:textId="1EA19124" w:rsidR="00B759DE" w:rsidRPr="00634247" w:rsidRDefault="003720A0" w:rsidP="00712E2F">
            <w:pPr>
              <w:numPr>
                <w:ilvl w:val="0"/>
                <w:numId w:val="9"/>
              </w:numPr>
              <w:rPr>
                <w:bCs/>
                <w:szCs w:val="24"/>
              </w:rPr>
            </w:pPr>
            <w:r w:rsidRPr="00634247">
              <w:rPr>
                <w:szCs w:val="24"/>
              </w:rPr>
              <w:t xml:space="preserve">Recommendations on the development of necessary infrastructure, including the use of telecommunications and other connective media to support and facilitate sustainable </w:t>
            </w:r>
            <w:r w:rsidR="000E4BA4" w:rsidRPr="00634247">
              <w:rPr>
                <w:szCs w:val="24"/>
              </w:rPr>
              <w:t>smart city and community</w:t>
            </w:r>
            <w:r w:rsidRPr="00634247">
              <w:rPr>
                <w:szCs w:val="24"/>
              </w:rPr>
              <w:t xml:space="preserve"> development in developing countries</w:t>
            </w:r>
            <w:r w:rsidR="00B759DE" w:rsidRPr="00634247">
              <w:rPr>
                <w:bCs/>
                <w:szCs w:val="24"/>
              </w:rPr>
              <w:t>;</w:t>
            </w:r>
          </w:p>
          <w:p w14:paraId="7B870A62" w14:textId="5D0DA9E2" w:rsidR="00B759DE" w:rsidRPr="00634247" w:rsidRDefault="003720A0" w:rsidP="00712E2F">
            <w:pPr>
              <w:numPr>
                <w:ilvl w:val="0"/>
                <w:numId w:val="9"/>
              </w:numPr>
              <w:rPr>
                <w:bCs/>
                <w:szCs w:val="24"/>
              </w:rPr>
            </w:pPr>
            <w:r w:rsidRPr="00634247">
              <w:rPr>
                <w:szCs w:val="24"/>
              </w:rPr>
              <w:t xml:space="preserve">Pilot projects for different aspects of </w:t>
            </w:r>
            <w:r w:rsidR="00F7309A" w:rsidRPr="00634247">
              <w:rPr>
                <w:szCs w:val="24"/>
              </w:rPr>
              <w:t>smart city and community</w:t>
            </w:r>
            <w:r w:rsidRPr="00634247">
              <w:rPr>
                <w:szCs w:val="24"/>
              </w:rPr>
              <w:t xml:space="preserve"> development (education, healthcare, tourism, transport, energy, security, the environment, etc.);</w:t>
            </w:r>
          </w:p>
          <w:p w14:paraId="06A64213" w14:textId="0A8C9886" w:rsidR="00B759DE" w:rsidRPr="00634247" w:rsidRDefault="003720A0" w:rsidP="00712E2F">
            <w:pPr>
              <w:numPr>
                <w:ilvl w:val="0"/>
                <w:numId w:val="9"/>
              </w:numPr>
              <w:rPr>
                <w:bCs/>
                <w:szCs w:val="24"/>
              </w:rPr>
            </w:pPr>
            <w:r w:rsidRPr="00634247">
              <w:rPr>
                <w:szCs w:val="24"/>
              </w:rPr>
              <w:t xml:space="preserve">Rating and key performance indicator system for the </w:t>
            </w:r>
            <w:r w:rsidR="00F7309A" w:rsidRPr="00634247">
              <w:rPr>
                <w:szCs w:val="24"/>
              </w:rPr>
              <w:t>smart city and community</w:t>
            </w:r>
            <w:r w:rsidRPr="00634247">
              <w:rPr>
                <w:szCs w:val="24"/>
              </w:rPr>
              <w:t xml:space="preserve"> domain</w:t>
            </w:r>
            <w:r w:rsidR="00B759DE" w:rsidRPr="00634247">
              <w:rPr>
                <w:bCs/>
                <w:szCs w:val="24"/>
              </w:rPr>
              <w:t>;</w:t>
            </w:r>
          </w:p>
          <w:p w14:paraId="33418721" w14:textId="3ED1D29A" w:rsidR="00B759DE" w:rsidRPr="00634247" w:rsidRDefault="003720A0" w:rsidP="00712E2F">
            <w:pPr>
              <w:numPr>
                <w:ilvl w:val="0"/>
                <w:numId w:val="9"/>
              </w:numPr>
              <w:rPr>
                <w:bCs/>
                <w:szCs w:val="24"/>
              </w:rPr>
            </w:pPr>
            <w:r w:rsidRPr="00634247">
              <w:rPr>
                <w:szCs w:val="24"/>
              </w:rPr>
              <w:t xml:space="preserve">Further training courses, training sessions and seminars on issues relating to </w:t>
            </w:r>
            <w:r w:rsidR="00F7309A" w:rsidRPr="00634247">
              <w:rPr>
                <w:szCs w:val="24"/>
              </w:rPr>
              <w:t>smart city and community</w:t>
            </w:r>
            <w:r w:rsidRPr="00634247">
              <w:rPr>
                <w:szCs w:val="24"/>
              </w:rPr>
              <w:t xml:space="preserve"> development and raising the digital literacy of the population, business and authorities.</w:t>
            </w:r>
          </w:p>
        </w:tc>
      </w:tr>
      <w:bookmarkEnd w:id="14"/>
      <w:bookmarkEnd w:id="15"/>
    </w:tbl>
    <w:p w14:paraId="6A9BCEF0" w14:textId="6725C407" w:rsidR="00B759DE" w:rsidRPr="006E009B" w:rsidRDefault="00B759DE" w:rsidP="00634247"/>
    <w:p w14:paraId="1B3F20E9" w14:textId="77777777" w:rsidR="00B759DE" w:rsidRPr="006E009B" w:rsidRDefault="00B759DE" w:rsidP="00712E2F">
      <w:pPr>
        <w:pStyle w:val="Reasons"/>
      </w:pPr>
    </w:p>
    <w:p w14:paraId="5FDE5A4B" w14:textId="77777777" w:rsidR="00B759DE" w:rsidRPr="006E009B" w:rsidRDefault="00B759DE" w:rsidP="00712E2F">
      <w:pPr>
        <w:jc w:val="center"/>
      </w:pPr>
      <w:r w:rsidRPr="006E009B">
        <w:t>______________</w:t>
      </w:r>
    </w:p>
    <w:p w14:paraId="2EDE2506" w14:textId="77777777" w:rsidR="00B759DE" w:rsidRPr="006E009B" w:rsidRDefault="00B759DE" w:rsidP="00634247"/>
    <w:sectPr w:rsidR="00B759DE" w:rsidRPr="006E009B" w:rsidSect="00674952">
      <w:headerReference w:type="default" r:id="rId54"/>
      <w:footerReference w:type="even" r:id="rId55"/>
      <w:footerReference w:type="default" r:id="rId56"/>
      <w:footerReference w:type="first" r:id="rId5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E86E" w14:textId="77777777" w:rsidR="004C78EF" w:rsidRDefault="004C78EF">
      <w:r>
        <w:separator/>
      </w:r>
    </w:p>
  </w:endnote>
  <w:endnote w:type="continuationSeparator" w:id="0">
    <w:p w14:paraId="767D624A" w14:textId="77777777" w:rsidR="004C78EF" w:rsidRDefault="004C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EBE9" w14:textId="77777777" w:rsidR="00F2764F" w:rsidRDefault="00F2764F">
    <w:pPr>
      <w:framePr w:wrap="around" w:vAnchor="text" w:hAnchor="margin" w:xAlign="right" w:y="1"/>
    </w:pPr>
    <w:r>
      <w:fldChar w:fldCharType="begin"/>
    </w:r>
    <w:r>
      <w:instrText xml:space="preserve">PAGE  </w:instrText>
    </w:r>
    <w:r>
      <w:fldChar w:fldCharType="end"/>
    </w:r>
  </w:p>
  <w:p w14:paraId="1AF513E7" w14:textId="0E399627" w:rsidR="00F2764F" w:rsidRPr="0041348E" w:rsidRDefault="00F2764F">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F790E">
      <w:rPr>
        <w:noProof/>
      </w:rPr>
      <w:t>29.04.21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EBFA" w14:textId="178E2171" w:rsidR="00F2764F" w:rsidRPr="00D83BF5" w:rsidRDefault="00F2764F" w:rsidP="00F21A1D">
    <w:pPr>
      <w:pStyle w:val="Footer"/>
      <w:rPr>
        <w:lang w:val="en-US"/>
      </w:rPr>
    </w:pPr>
    <w:r>
      <w:fldChar w:fldCharType="begin"/>
    </w:r>
    <w:r w:rsidRPr="00D83BF5">
      <w:rPr>
        <w:lang w:val="en-US"/>
      </w:rPr>
      <w:instrText xml:space="preserve"> FILENAME \p  \* MERGEFORMAT </w:instrText>
    </w:r>
    <w:r>
      <w:fldChar w:fldCharType="separate"/>
    </w:r>
    <w:r w:rsidR="00735BE2">
      <w:rPr>
        <w:lang w:val="en-US"/>
      </w:rPr>
      <w:t>P:\ENG\ITU-D\CONF-D\RPMS\CIS\000\037E.docx</w:t>
    </w:r>
    <w:r>
      <w:fldChar w:fldCharType="end"/>
    </w:r>
    <w:r w:rsidR="00735BE2">
      <w:t xml:space="preserve"> (487399)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1"/>
      <w:gridCol w:w="2250"/>
      <w:gridCol w:w="5958"/>
    </w:tblGrid>
    <w:tr w:rsidR="00F2764F" w:rsidRPr="004D495C" w14:paraId="01A02557" w14:textId="77777777" w:rsidTr="00124A96">
      <w:tc>
        <w:tcPr>
          <w:tcW w:w="1431" w:type="dxa"/>
          <w:tcBorders>
            <w:top w:val="single" w:sz="4" w:space="0" w:color="000000"/>
          </w:tcBorders>
          <w:shd w:val="clear" w:color="auto" w:fill="auto"/>
        </w:tcPr>
        <w:p w14:paraId="39281F3B" w14:textId="77777777" w:rsidR="00F2764F" w:rsidRPr="004D495C" w:rsidRDefault="00F2764F"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5342DA92" w14:textId="77777777" w:rsidR="00F2764F" w:rsidRPr="004D495C" w:rsidRDefault="00F2764F"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46C7FF76" w14:textId="05393028" w:rsidR="00F2764F" w:rsidRPr="004D495C" w:rsidRDefault="00F2764F" w:rsidP="00B441D6">
          <w:pPr>
            <w:pStyle w:val="FirstFooter"/>
            <w:tabs>
              <w:tab w:val="left" w:pos="2302"/>
            </w:tabs>
            <w:rPr>
              <w:sz w:val="18"/>
              <w:szCs w:val="18"/>
              <w:highlight w:val="yellow"/>
              <w:lang w:val="en-US"/>
            </w:rPr>
          </w:pPr>
          <w:r>
            <w:rPr>
              <w:sz w:val="18"/>
              <w:szCs w:val="18"/>
            </w:rPr>
            <w:t xml:space="preserve">Mr </w:t>
          </w:r>
          <w:r w:rsidRPr="001F7242">
            <w:rPr>
              <w:sz w:val="18"/>
              <w:szCs w:val="18"/>
            </w:rPr>
            <w:t>Ra</w:t>
          </w:r>
          <w:r w:rsidR="00D969C7">
            <w:rPr>
              <w:sz w:val="18"/>
              <w:szCs w:val="18"/>
            </w:rPr>
            <w:t>s</w:t>
          </w:r>
          <w:r w:rsidRPr="001F7242">
            <w:rPr>
              <w:sz w:val="18"/>
              <w:szCs w:val="18"/>
            </w:rPr>
            <w:t>hid Ismailov</w:t>
          </w:r>
          <w:r>
            <w:rPr>
              <w:sz w:val="18"/>
              <w:szCs w:val="18"/>
            </w:rPr>
            <w:t xml:space="preserve">, </w:t>
          </w:r>
          <w:r w:rsidRPr="001F7242">
            <w:rPr>
              <w:sz w:val="18"/>
              <w:szCs w:val="18"/>
            </w:rPr>
            <w:t>Chair of RPM-CIS, Ministry of Digital Development, Communications and Mass Media</w:t>
          </w:r>
          <w:r>
            <w:rPr>
              <w:sz w:val="18"/>
              <w:szCs w:val="18"/>
            </w:rPr>
            <w:t>,</w:t>
          </w:r>
          <w:r w:rsidRPr="001F7242">
            <w:rPr>
              <w:sz w:val="18"/>
              <w:szCs w:val="18"/>
            </w:rPr>
            <w:t xml:space="preserve"> Russian Federation</w:t>
          </w:r>
        </w:p>
      </w:tc>
    </w:tr>
    <w:tr w:rsidR="00F2764F" w:rsidRPr="004D495C" w14:paraId="7D20FA2F" w14:textId="77777777" w:rsidTr="00124A96">
      <w:tc>
        <w:tcPr>
          <w:tcW w:w="1431" w:type="dxa"/>
          <w:shd w:val="clear" w:color="auto" w:fill="auto"/>
        </w:tcPr>
        <w:p w14:paraId="77C53B6A" w14:textId="77777777" w:rsidR="00F2764F" w:rsidRPr="004D495C" w:rsidRDefault="00F2764F" w:rsidP="00D83BF5">
          <w:pPr>
            <w:pStyle w:val="FirstFooter"/>
            <w:tabs>
              <w:tab w:val="left" w:pos="1559"/>
              <w:tab w:val="left" w:pos="3828"/>
            </w:tabs>
            <w:rPr>
              <w:sz w:val="20"/>
              <w:lang w:val="en-US"/>
            </w:rPr>
          </w:pPr>
        </w:p>
      </w:tc>
      <w:tc>
        <w:tcPr>
          <w:tcW w:w="2250" w:type="dxa"/>
          <w:shd w:val="clear" w:color="auto" w:fill="auto"/>
        </w:tcPr>
        <w:p w14:paraId="64855648" w14:textId="77777777" w:rsidR="00F2764F" w:rsidRPr="004D495C" w:rsidRDefault="00F2764F"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A4BE870" w14:textId="4C878EEC" w:rsidR="00F2764F" w:rsidRPr="00B441D6" w:rsidRDefault="00F2764F" w:rsidP="00D83BF5">
          <w:pPr>
            <w:pStyle w:val="FirstFooter"/>
            <w:tabs>
              <w:tab w:val="left" w:pos="2302"/>
            </w:tabs>
            <w:rPr>
              <w:sz w:val="18"/>
              <w:szCs w:val="18"/>
            </w:rPr>
          </w:pPr>
          <w:bookmarkStart w:id="18" w:name="PhoneNo"/>
          <w:bookmarkEnd w:id="18"/>
          <w:r w:rsidRPr="00B441D6">
            <w:rPr>
              <w:sz w:val="18"/>
              <w:szCs w:val="18"/>
            </w:rPr>
            <w:t>n/a</w:t>
          </w:r>
        </w:p>
      </w:tc>
    </w:tr>
    <w:tr w:rsidR="00F2764F" w:rsidRPr="004D495C" w14:paraId="1A8935CC" w14:textId="77777777" w:rsidTr="00124A96">
      <w:tc>
        <w:tcPr>
          <w:tcW w:w="1431" w:type="dxa"/>
          <w:shd w:val="clear" w:color="auto" w:fill="auto"/>
        </w:tcPr>
        <w:p w14:paraId="752AD3AF" w14:textId="77777777" w:rsidR="00F2764F" w:rsidRPr="004D495C" w:rsidRDefault="00F2764F" w:rsidP="00D83BF5">
          <w:pPr>
            <w:pStyle w:val="FirstFooter"/>
            <w:tabs>
              <w:tab w:val="left" w:pos="1559"/>
              <w:tab w:val="left" w:pos="3828"/>
            </w:tabs>
            <w:rPr>
              <w:sz w:val="20"/>
              <w:lang w:val="en-US"/>
            </w:rPr>
          </w:pPr>
        </w:p>
      </w:tc>
      <w:tc>
        <w:tcPr>
          <w:tcW w:w="2250" w:type="dxa"/>
          <w:shd w:val="clear" w:color="auto" w:fill="auto"/>
        </w:tcPr>
        <w:p w14:paraId="0707CF19" w14:textId="77777777" w:rsidR="00F2764F" w:rsidRPr="004D495C" w:rsidRDefault="00F2764F" w:rsidP="00D83BF5">
          <w:pPr>
            <w:pStyle w:val="FirstFooter"/>
            <w:tabs>
              <w:tab w:val="left" w:pos="2302"/>
            </w:tabs>
            <w:rPr>
              <w:sz w:val="18"/>
              <w:szCs w:val="18"/>
              <w:lang w:val="en-US"/>
            </w:rPr>
          </w:pPr>
          <w:r w:rsidRPr="004D495C">
            <w:rPr>
              <w:sz w:val="18"/>
              <w:szCs w:val="18"/>
              <w:lang w:val="en-US"/>
            </w:rPr>
            <w:t>E-mail:</w:t>
          </w:r>
        </w:p>
      </w:tc>
      <w:bookmarkStart w:id="19" w:name="Email"/>
      <w:bookmarkEnd w:id="19"/>
      <w:tc>
        <w:tcPr>
          <w:tcW w:w="5958" w:type="dxa"/>
          <w:shd w:val="clear" w:color="auto" w:fill="auto"/>
        </w:tcPr>
        <w:p w14:paraId="51A0A28F" w14:textId="5B470531" w:rsidR="00F2764F" w:rsidRPr="00B441D6" w:rsidRDefault="00F2764F" w:rsidP="00D83BF5">
          <w:pPr>
            <w:pStyle w:val="FirstFooter"/>
            <w:tabs>
              <w:tab w:val="left" w:pos="2302"/>
            </w:tabs>
            <w:rPr>
              <w:sz w:val="18"/>
              <w:szCs w:val="18"/>
            </w:rPr>
          </w:pPr>
          <w:r>
            <w:fldChar w:fldCharType="begin"/>
          </w:r>
          <w:r>
            <w:instrText xml:space="preserve"> HYPERLINK "mailto:rrismailov@beeline.ru" </w:instrText>
          </w:r>
          <w:r>
            <w:fldChar w:fldCharType="separate"/>
          </w:r>
          <w:r w:rsidRPr="000201DB">
            <w:rPr>
              <w:rStyle w:val="Hyperlink"/>
              <w:sz w:val="18"/>
              <w:szCs w:val="18"/>
            </w:rPr>
            <w:t>rrismailov@beeline.ru</w:t>
          </w:r>
          <w:r>
            <w:rPr>
              <w:rStyle w:val="Hyperlink"/>
              <w:sz w:val="18"/>
              <w:szCs w:val="18"/>
            </w:rPr>
            <w:fldChar w:fldCharType="end"/>
          </w:r>
        </w:p>
      </w:tc>
    </w:tr>
  </w:tbl>
  <w:p w14:paraId="1CE19187" w14:textId="77777777" w:rsidR="00F2764F" w:rsidRPr="00E229F1" w:rsidRDefault="00200BDA" w:rsidP="00E229F1">
    <w:pPr>
      <w:jc w:val="center"/>
      <w:rPr>
        <w:rFonts w:ascii="Calibri" w:hAnsi="Calibri"/>
        <w:sz w:val="20"/>
        <w:szCs w:val="16"/>
      </w:rPr>
    </w:pPr>
    <w:hyperlink r:id="rId1" w:history="1">
      <w:r w:rsidR="00F2764F">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5043" w14:textId="77777777" w:rsidR="004C78EF" w:rsidRDefault="004C78EF">
      <w:r>
        <w:rPr>
          <w:b/>
        </w:rPr>
        <w:t>_______________</w:t>
      </w:r>
    </w:p>
  </w:footnote>
  <w:footnote w:type="continuationSeparator" w:id="0">
    <w:p w14:paraId="0AA88B20" w14:textId="77777777" w:rsidR="004C78EF" w:rsidRDefault="004C7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EDC6" w14:textId="71A460A3" w:rsidR="00F2764F" w:rsidRPr="00D83BF5" w:rsidRDefault="00F2764F"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6" w:name="DocRef2"/>
    <w:bookmarkEnd w:id="16"/>
    <w:r w:rsidRPr="00FF089C">
      <w:rPr>
        <w:sz w:val="22"/>
        <w:szCs w:val="22"/>
        <w:lang w:val="es-ES_tradnl"/>
      </w:rPr>
      <w:t>RPM-</w:t>
    </w:r>
    <w:r>
      <w:rPr>
        <w:sz w:val="22"/>
        <w:szCs w:val="22"/>
        <w:lang w:val="es-ES_tradnl"/>
      </w:rPr>
      <w:t>CIS21</w:t>
    </w:r>
    <w:r w:rsidRPr="00FF089C">
      <w:rPr>
        <w:sz w:val="22"/>
        <w:szCs w:val="22"/>
        <w:lang w:val="es-ES_tradnl"/>
      </w:rPr>
      <w:t>/</w:t>
    </w:r>
    <w:bookmarkStart w:id="17" w:name="DocNo2"/>
    <w:bookmarkEnd w:id="17"/>
    <w:r>
      <w:rPr>
        <w:sz w:val="22"/>
        <w:szCs w:val="22"/>
        <w:lang w:val="es-ES_tradnl"/>
      </w:rPr>
      <w:t>37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00630"/>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3"/>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60860"/>
    <w:rsid w:val="00075C63"/>
    <w:rsid w:val="00077239"/>
    <w:rsid w:val="00080557"/>
    <w:rsid w:val="000822BE"/>
    <w:rsid w:val="00086491"/>
    <w:rsid w:val="00091346"/>
    <w:rsid w:val="000D238F"/>
    <w:rsid w:val="000D41C5"/>
    <w:rsid w:val="000E3FCC"/>
    <w:rsid w:val="000E4BA4"/>
    <w:rsid w:val="000F73FF"/>
    <w:rsid w:val="00114CF7"/>
    <w:rsid w:val="001160DA"/>
    <w:rsid w:val="001161D2"/>
    <w:rsid w:val="0011723C"/>
    <w:rsid w:val="00123B68"/>
    <w:rsid w:val="00124A96"/>
    <w:rsid w:val="00126F2E"/>
    <w:rsid w:val="00132F5A"/>
    <w:rsid w:val="001467CC"/>
    <w:rsid w:val="00146F6F"/>
    <w:rsid w:val="00152957"/>
    <w:rsid w:val="00167542"/>
    <w:rsid w:val="00187BD9"/>
    <w:rsid w:val="001906E7"/>
    <w:rsid w:val="00190B55"/>
    <w:rsid w:val="00194CFB"/>
    <w:rsid w:val="001B2ED3"/>
    <w:rsid w:val="001C3B5F"/>
    <w:rsid w:val="001D058F"/>
    <w:rsid w:val="001D5675"/>
    <w:rsid w:val="001F7224"/>
    <w:rsid w:val="002009EA"/>
    <w:rsid w:val="00200BDA"/>
    <w:rsid w:val="00202CA0"/>
    <w:rsid w:val="002058CB"/>
    <w:rsid w:val="002154A6"/>
    <w:rsid w:val="00216FDE"/>
    <w:rsid w:val="002255B3"/>
    <w:rsid w:val="0023761F"/>
    <w:rsid w:val="00271316"/>
    <w:rsid w:val="00273025"/>
    <w:rsid w:val="00290795"/>
    <w:rsid w:val="002B05DA"/>
    <w:rsid w:val="002C1950"/>
    <w:rsid w:val="002D58BE"/>
    <w:rsid w:val="002E4D51"/>
    <w:rsid w:val="002F3470"/>
    <w:rsid w:val="002F4305"/>
    <w:rsid w:val="003013EE"/>
    <w:rsid w:val="003021E6"/>
    <w:rsid w:val="00311004"/>
    <w:rsid w:val="003247E8"/>
    <w:rsid w:val="0035734D"/>
    <w:rsid w:val="003720A0"/>
    <w:rsid w:val="00377BD3"/>
    <w:rsid w:val="00384088"/>
    <w:rsid w:val="0039169B"/>
    <w:rsid w:val="003A7F8C"/>
    <w:rsid w:val="003B532E"/>
    <w:rsid w:val="003B6F14"/>
    <w:rsid w:val="003D0509"/>
    <w:rsid w:val="003D0F8B"/>
    <w:rsid w:val="003F68D5"/>
    <w:rsid w:val="004131D4"/>
    <w:rsid w:val="0041348E"/>
    <w:rsid w:val="00415029"/>
    <w:rsid w:val="00416ECA"/>
    <w:rsid w:val="004448F8"/>
    <w:rsid w:val="00447308"/>
    <w:rsid w:val="00450870"/>
    <w:rsid w:val="004528F0"/>
    <w:rsid w:val="0045767B"/>
    <w:rsid w:val="00470658"/>
    <w:rsid w:val="004765FF"/>
    <w:rsid w:val="00492075"/>
    <w:rsid w:val="004969AD"/>
    <w:rsid w:val="004B13CB"/>
    <w:rsid w:val="004B4FDF"/>
    <w:rsid w:val="004C78EF"/>
    <w:rsid w:val="004D5D5C"/>
    <w:rsid w:val="0050139F"/>
    <w:rsid w:val="005040F3"/>
    <w:rsid w:val="0051762D"/>
    <w:rsid w:val="00521223"/>
    <w:rsid w:val="00523FD9"/>
    <w:rsid w:val="0055118B"/>
    <w:rsid w:val="0055140B"/>
    <w:rsid w:val="005964AB"/>
    <w:rsid w:val="005A7FD9"/>
    <w:rsid w:val="005B66F2"/>
    <w:rsid w:val="005C099A"/>
    <w:rsid w:val="005C31A5"/>
    <w:rsid w:val="005E10C9"/>
    <w:rsid w:val="005E61DD"/>
    <w:rsid w:val="005E6321"/>
    <w:rsid w:val="005F63B6"/>
    <w:rsid w:val="006023DF"/>
    <w:rsid w:val="0061204E"/>
    <w:rsid w:val="00627654"/>
    <w:rsid w:val="00634247"/>
    <w:rsid w:val="00640028"/>
    <w:rsid w:val="00654D40"/>
    <w:rsid w:val="00657DE0"/>
    <w:rsid w:val="0067199F"/>
    <w:rsid w:val="00674952"/>
    <w:rsid w:val="00685313"/>
    <w:rsid w:val="00686D75"/>
    <w:rsid w:val="00687800"/>
    <w:rsid w:val="006A6E9B"/>
    <w:rsid w:val="006B7C2A"/>
    <w:rsid w:val="006C23DA"/>
    <w:rsid w:val="006C7095"/>
    <w:rsid w:val="006E009B"/>
    <w:rsid w:val="006E3D45"/>
    <w:rsid w:val="006F138C"/>
    <w:rsid w:val="00712E2F"/>
    <w:rsid w:val="007149F9"/>
    <w:rsid w:val="00733A30"/>
    <w:rsid w:val="00735BE2"/>
    <w:rsid w:val="00745AEE"/>
    <w:rsid w:val="007479EA"/>
    <w:rsid w:val="00750F10"/>
    <w:rsid w:val="00766532"/>
    <w:rsid w:val="007742CA"/>
    <w:rsid w:val="00794391"/>
    <w:rsid w:val="007B115F"/>
    <w:rsid w:val="007B719A"/>
    <w:rsid w:val="007D06F0"/>
    <w:rsid w:val="007D45E3"/>
    <w:rsid w:val="007D5320"/>
    <w:rsid w:val="00800972"/>
    <w:rsid w:val="00804475"/>
    <w:rsid w:val="00804DA7"/>
    <w:rsid w:val="00811633"/>
    <w:rsid w:val="00820B11"/>
    <w:rsid w:val="00821CEF"/>
    <w:rsid w:val="008249F6"/>
    <w:rsid w:val="00832828"/>
    <w:rsid w:val="00832B8B"/>
    <w:rsid w:val="0083645A"/>
    <w:rsid w:val="00842423"/>
    <w:rsid w:val="00852CBA"/>
    <w:rsid w:val="00872FC8"/>
    <w:rsid w:val="008753F0"/>
    <w:rsid w:val="008801D3"/>
    <w:rsid w:val="008845D0"/>
    <w:rsid w:val="008B43F2"/>
    <w:rsid w:val="008B6CFF"/>
    <w:rsid w:val="008E5257"/>
    <w:rsid w:val="00910B26"/>
    <w:rsid w:val="0091444C"/>
    <w:rsid w:val="009274B4"/>
    <w:rsid w:val="00934EA2"/>
    <w:rsid w:val="00944A5C"/>
    <w:rsid w:val="00952A66"/>
    <w:rsid w:val="0095586E"/>
    <w:rsid w:val="00980A76"/>
    <w:rsid w:val="0098604B"/>
    <w:rsid w:val="0099006B"/>
    <w:rsid w:val="009C56E5"/>
    <w:rsid w:val="009C7357"/>
    <w:rsid w:val="009E4123"/>
    <w:rsid w:val="009E5FC8"/>
    <w:rsid w:val="009E687A"/>
    <w:rsid w:val="00A03C5C"/>
    <w:rsid w:val="00A066F1"/>
    <w:rsid w:val="00A141AF"/>
    <w:rsid w:val="00A16D29"/>
    <w:rsid w:val="00A20E5E"/>
    <w:rsid w:val="00A30305"/>
    <w:rsid w:val="00A305E6"/>
    <w:rsid w:val="00A31D2D"/>
    <w:rsid w:val="00A4600A"/>
    <w:rsid w:val="00A538A6"/>
    <w:rsid w:val="00A54C25"/>
    <w:rsid w:val="00A63D2F"/>
    <w:rsid w:val="00A710E7"/>
    <w:rsid w:val="00A7372E"/>
    <w:rsid w:val="00A93B85"/>
    <w:rsid w:val="00A96DFE"/>
    <w:rsid w:val="00AA0B18"/>
    <w:rsid w:val="00AA2B39"/>
    <w:rsid w:val="00AA666F"/>
    <w:rsid w:val="00AB3146"/>
    <w:rsid w:val="00AC6D3A"/>
    <w:rsid w:val="00AC7827"/>
    <w:rsid w:val="00B004E5"/>
    <w:rsid w:val="00B0605A"/>
    <w:rsid w:val="00B222D6"/>
    <w:rsid w:val="00B328C4"/>
    <w:rsid w:val="00B377DD"/>
    <w:rsid w:val="00B441D6"/>
    <w:rsid w:val="00B574FC"/>
    <w:rsid w:val="00B578E9"/>
    <w:rsid w:val="00B639E9"/>
    <w:rsid w:val="00B759DE"/>
    <w:rsid w:val="00B817CD"/>
    <w:rsid w:val="00BA65F3"/>
    <w:rsid w:val="00BB29C8"/>
    <w:rsid w:val="00BB3A95"/>
    <w:rsid w:val="00BC427C"/>
    <w:rsid w:val="00C0018F"/>
    <w:rsid w:val="00C107AE"/>
    <w:rsid w:val="00C13326"/>
    <w:rsid w:val="00C20466"/>
    <w:rsid w:val="00C214ED"/>
    <w:rsid w:val="00C234E6"/>
    <w:rsid w:val="00C324A8"/>
    <w:rsid w:val="00C3563D"/>
    <w:rsid w:val="00C35FB0"/>
    <w:rsid w:val="00C54517"/>
    <w:rsid w:val="00C64B30"/>
    <w:rsid w:val="00C64CD8"/>
    <w:rsid w:val="00C73599"/>
    <w:rsid w:val="00C80D27"/>
    <w:rsid w:val="00C97C68"/>
    <w:rsid w:val="00CA1A47"/>
    <w:rsid w:val="00CA4D66"/>
    <w:rsid w:val="00CC247A"/>
    <w:rsid w:val="00CE5E47"/>
    <w:rsid w:val="00CF020F"/>
    <w:rsid w:val="00CF2B5B"/>
    <w:rsid w:val="00CF7808"/>
    <w:rsid w:val="00D02600"/>
    <w:rsid w:val="00D11924"/>
    <w:rsid w:val="00D14CE0"/>
    <w:rsid w:val="00D5651D"/>
    <w:rsid w:val="00D74898"/>
    <w:rsid w:val="00D801ED"/>
    <w:rsid w:val="00D815BC"/>
    <w:rsid w:val="00D82137"/>
    <w:rsid w:val="00D83BF5"/>
    <w:rsid w:val="00D855EC"/>
    <w:rsid w:val="00D866D6"/>
    <w:rsid w:val="00D925C2"/>
    <w:rsid w:val="00D936BC"/>
    <w:rsid w:val="00D96530"/>
    <w:rsid w:val="00D969C7"/>
    <w:rsid w:val="00D96B4B"/>
    <w:rsid w:val="00DA11AE"/>
    <w:rsid w:val="00DA7078"/>
    <w:rsid w:val="00DB598D"/>
    <w:rsid w:val="00DD08B4"/>
    <w:rsid w:val="00DD288F"/>
    <w:rsid w:val="00DD44AF"/>
    <w:rsid w:val="00DE2AC3"/>
    <w:rsid w:val="00DE434C"/>
    <w:rsid w:val="00DE5692"/>
    <w:rsid w:val="00DF6F8E"/>
    <w:rsid w:val="00E03C94"/>
    <w:rsid w:val="00E06128"/>
    <w:rsid w:val="00E07105"/>
    <w:rsid w:val="00E12FC4"/>
    <w:rsid w:val="00E205D8"/>
    <w:rsid w:val="00E229F1"/>
    <w:rsid w:val="00E26226"/>
    <w:rsid w:val="00E31F48"/>
    <w:rsid w:val="00E45D05"/>
    <w:rsid w:val="00E55816"/>
    <w:rsid w:val="00E55AEF"/>
    <w:rsid w:val="00E91D60"/>
    <w:rsid w:val="00E976C1"/>
    <w:rsid w:val="00EA12E5"/>
    <w:rsid w:val="00F02766"/>
    <w:rsid w:val="00F04067"/>
    <w:rsid w:val="00F05BD4"/>
    <w:rsid w:val="00F15654"/>
    <w:rsid w:val="00F173F2"/>
    <w:rsid w:val="00F21A1D"/>
    <w:rsid w:val="00F2764F"/>
    <w:rsid w:val="00F44606"/>
    <w:rsid w:val="00F65180"/>
    <w:rsid w:val="00F65C19"/>
    <w:rsid w:val="00F67A06"/>
    <w:rsid w:val="00F71CD5"/>
    <w:rsid w:val="00F7309A"/>
    <w:rsid w:val="00FA55FC"/>
    <w:rsid w:val="00FD2546"/>
    <w:rsid w:val="00FD772E"/>
    <w:rsid w:val="00FE78C7"/>
    <w:rsid w:val="00FF43AC"/>
    <w:rsid w:val="00FF7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45D0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UnresolvedMention">
    <w:name w:val="Unresolved Mention"/>
    <w:basedOn w:val="DefaultParagraphFont"/>
    <w:uiPriority w:val="99"/>
    <w:semiHidden/>
    <w:unhideWhenUsed/>
    <w:rsid w:val="00627654"/>
    <w:rPr>
      <w:color w:val="605E5C"/>
      <w:shd w:val="clear" w:color="auto" w:fill="E1DFDD"/>
    </w:rPr>
  </w:style>
  <w:style w:type="character" w:customStyle="1" w:styleId="y2iqfc">
    <w:name w:val="y2iqfc"/>
    <w:basedOn w:val="DefaultParagraphFont"/>
    <w:rsid w:val="00470658"/>
  </w:style>
  <w:style w:type="character" w:styleId="CommentReference">
    <w:name w:val="annotation reference"/>
    <w:basedOn w:val="DefaultParagraphFont"/>
    <w:semiHidden/>
    <w:unhideWhenUsed/>
    <w:rsid w:val="001906E7"/>
    <w:rPr>
      <w:sz w:val="16"/>
      <w:szCs w:val="16"/>
    </w:rPr>
  </w:style>
  <w:style w:type="paragraph" w:styleId="CommentText">
    <w:name w:val="annotation text"/>
    <w:basedOn w:val="Normal"/>
    <w:link w:val="CommentTextChar"/>
    <w:semiHidden/>
    <w:unhideWhenUsed/>
    <w:rsid w:val="001906E7"/>
    <w:rPr>
      <w:sz w:val="20"/>
    </w:rPr>
  </w:style>
  <w:style w:type="character" w:customStyle="1" w:styleId="CommentTextChar">
    <w:name w:val="Comment Text Char"/>
    <w:basedOn w:val="DefaultParagraphFont"/>
    <w:link w:val="CommentText"/>
    <w:semiHidden/>
    <w:rsid w:val="001906E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906E7"/>
    <w:rPr>
      <w:b/>
      <w:bCs/>
    </w:rPr>
  </w:style>
  <w:style w:type="character" w:customStyle="1" w:styleId="CommentSubjectChar">
    <w:name w:val="Comment Subject Char"/>
    <w:basedOn w:val="CommentTextChar"/>
    <w:link w:val="CommentSubject"/>
    <w:semiHidden/>
    <w:rsid w:val="001906E7"/>
    <w:rPr>
      <w:rFonts w:asciiTheme="minorHAnsi" w:hAnsiTheme="minorHAnsi"/>
      <w:b/>
      <w:bCs/>
      <w:lang w:val="en-GB" w:eastAsia="en-US"/>
    </w:rPr>
  </w:style>
  <w:style w:type="paragraph" w:styleId="Revision">
    <w:name w:val="Revision"/>
    <w:hidden/>
    <w:uiPriority w:val="99"/>
    <w:semiHidden/>
    <w:rsid w:val="001906E7"/>
    <w:rPr>
      <w:rFonts w:asciiTheme="minorHAnsi" w:hAnsiTheme="minorHAnsi"/>
      <w:sz w:val="24"/>
      <w:lang w:val="en-GB" w:eastAsia="en-US"/>
    </w:rPr>
  </w:style>
  <w:style w:type="table" w:styleId="TableGrid">
    <w:name w:val="Table Grid"/>
    <w:basedOn w:val="TableNormal"/>
    <w:rsid w:val="00B7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3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652">
      <w:bodyDiv w:val="1"/>
      <w:marLeft w:val="0"/>
      <w:marRight w:val="0"/>
      <w:marTop w:val="0"/>
      <w:marBottom w:val="0"/>
      <w:divBdr>
        <w:top w:val="none" w:sz="0" w:space="0" w:color="auto"/>
        <w:left w:val="none" w:sz="0" w:space="0" w:color="auto"/>
        <w:bottom w:val="none" w:sz="0" w:space="0" w:color="auto"/>
        <w:right w:val="none" w:sz="0" w:space="0" w:color="auto"/>
      </w:divBdr>
    </w:div>
    <w:div w:id="11233596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4273952">
      <w:bodyDiv w:val="1"/>
      <w:marLeft w:val="0"/>
      <w:marRight w:val="0"/>
      <w:marTop w:val="0"/>
      <w:marBottom w:val="0"/>
      <w:divBdr>
        <w:top w:val="none" w:sz="0" w:space="0" w:color="auto"/>
        <w:left w:val="none" w:sz="0" w:space="0" w:color="auto"/>
        <w:bottom w:val="none" w:sz="0" w:space="0" w:color="auto"/>
        <w:right w:val="none" w:sz="0" w:space="0" w:color="auto"/>
      </w:divBdr>
    </w:div>
    <w:div w:id="106745885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8-RPMCIS-C-0004/en" TargetMode="External"/><Relationship Id="rId26" Type="http://schemas.openxmlformats.org/officeDocument/2006/relationships/hyperlink" Target="https://www.itu.int/md/D18-RPMCIS-C-0011/en" TargetMode="External"/><Relationship Id="rId39" Type="http://schemas.openxmlformats.org/officeDocument/2006/relationships/hyperlink" Target="https://www.itu.int/md/D18-RPMCIS-C-0019/en" TargetMode="External"/><Relationship Id="rId21" Type="http://schemas.openxmlformats.org/officeDocument/2006/relationships/hyperlink" Target="https://www.itu.int/md/D18-RPMCIS-C-0006/en" TargetMode="External"/><Relationship Id="rId34" Type="http://schemas.openxmlformats.org/officeDocument/2006/relationships/hyperlink" Target="https://www.itu.int/md/D18-RPMCIS-C-0014/en" TargetMode="External"/><Relationship Id="rId42" Type="http://schemas.openxmlformats.org/officeDocument/2006/relationships/hyperlink" Target="https://www.itu.int/md/D18-RPMCIS-C-0023/en" TargetMode="External"/><Relationship Id="rId47" Type="http://schemas.openxmlformats.org/officeDocument/2006/relationships/hyperlink" Target="https://www.itu.int/md/D18-RPMCIS-C-0028/en" TargetMode="External"/><Relationship Id="rId50" Type="http://schemas.openxmlformats.org/officeDocument/2006/relationships/hyperlink" Target="https://www.itu.int/md/D18-RPMCIS-C-0033/en"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D18-RPMCIS-210421-TD-0001/en" TargetMode="External"/><Relationship Id="rId29" Type="http://schemas.openxmlformats.org/officeDocument/2006/relationships/hyperlink" Target="https://www.itu.int/md/D18-RPMCIS-C-0035/en" TargetMode="External"/><Relationship Id="rId11" Type="http://schemas.openxmlformats.org/officeDocument/2006/relationships/endnotes" Target="endnotes.xml"/><Relationship Id="rId24" Type="http://schemas.openxmlformats.org/officeDocument/2006/relationships/hyperlink" Target="https://www.itu.int/md/D18-RPMCIS-C-0009/en" TargetMode="External"/><Relationship Id="rId32" Type="http://schemas.openxmlformats.org/officeDocument/2006/relationships/hyperlink" Target="https://www.itu.int/md/D18-RPMCIS-C-0012/en" TargetMode="External"/><Relationship Id="rId37" Type="http://schemas.openxmlformats.org/officeDocument/2006/relationships/hyperlink" Target="https://www.itu.int/md/D18-RPMCIS-C-0017/en" TargetMode="External"/><Relationship Id="rId40" Type="http://schemas.openxmlformats.org/officeDocument/2006/relationships/hyperlink" Target="https://www.itu.int/md/D18-RPMCIS-C-0021/en" TargetMode="External"/><Relationship Id="rId45" Type="http://schemas.openxmlformats.org/officeDocument/2006/relationships/hyperlink" Target="https://www.itu.int/md/D18-RPMCIS-C-0026/en" TargetMode="External"/><Relationship Id="rId53" Type="http://schemas.openxmlformats.org/officeDocument/2006/relationships/hyperlink" Target="https://www.itu.int/en/ITU-D/Conferences/WTDC/WTDC21/NoW/Pages/Events/Regional/CIS/2021_04.aspx"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itu.int/en/ITU-D/Conferences/WTDC/WTDC17/Documents/WTDC17_final_report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online/mm/scripts/s/gensel23?_lang=&amp;_event=C-00009412&amp;_event_type=ZSED" TargetMode="External"/><Relationship Id="rId22" Type="http://schemas.openxmlformats.org/officeDocument/2006/relationships/hyperlink" Target="https://www.itu.int/md/D18-RPMCIS-C-0007/en" TargetMode="External"/><Relationship Id="rId27" Type="http://schemas.openxmlformats.org/officeDocument/2006/relationships/hyperlink" Target="https://www.itu.int/md/D18-RPMCIS-C-0020/en" TargetMode="External"/><Relationship Id="rId30" Type="http://schemas.openxmlformats.org/officeDocument/2006/relationships/hyperlink" Target="https://www.itu.int/md/D18-RPMCIS-C-0036/en" TargetMode="External"/><Relationship Id="rId35" Type="http://schemas.openxmlformats.org/officeDocument/2006/relationships/hyperlink" Target="https://www.itu.int/md/D18-RPMCIS-C-0015/en" TargetMode="External"/><Relationship Id="rId43" Type="http://schemas.openxmlformats.org/officeDocument/2006/relationships/hyperlink" Target="https://www.itu.int/md/D18-RPMCIS-C-0024/en" TargetMode="External"/><Relationship Id="rId48" Type="http://schemas.openxmlformats.org/officeDocument/2006/relationships/hyperlink" Target="https://www.itu.int/md/D18-RPMCIS-C-0029/en"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itu.int/md/D18-RPMCIS-C-0034/e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8-RPMCIS-C-0002/en" TargetMode="External"/><Relationship Id="rId25" Type="http://schemas.openxmlformats.org/officeDocument/2006/relationships/hyperlink" Target="https://www.itu.int/md/D18-RPMCIS-C-0010/en" TargetMode="External"/><Relationship Id="rId33" Type="http://schemas.openxmlformats.org/officeDocument/2006/relationships/hyperlink" Target="https://www.itu.int/md/D18-RPMCIS-C-0013/en" TargetMode="External"/><Relationship Id="rId38" Type="http://schemas.openxmlformats.org/officeDocument/2006/relationships/hyperlink" Target="https://www.itu.int/md/D18-RPMCIS-C-0018/en" TargetMode="External"/><Relationship Id="rId46" Type="http://schemas.openxmlformats.org/officeDocument/2006/relationships/hyperlink" Target="https://www.itu.int/md/D18-RPMCIS-C-0027/en" TargetMode="External"/><Relationship Id="rId59" Type="http://schemas.openxmlformats.org/officeDocument/2006/relationships/theme" Target="theme/theme1.xml"/><Relationship Id="rId20" Type="http://schemas.openxmlformats.org/officeDocument/2006/relationships/hyperlink" Target="https://www.itu.int/md/D18-RPMCIS-C-0005/en" TargetMode="External"/><Relationship Id="rId41" Type="http://schemas.openxmlformats.org/officeDocument/2006/relationships/hyperlink" Target="https://www.itu.int/md/D18-RPMCIS-C-0022/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8-RPMCIS-C-0001" TargetMode="External"/><Relationship Id="rId23" Type="http://schemas.openxmlformats.org/officeDocument/2006/relationships/hyperlink" Target="https://www.itu.int/md/D18-RPMCIS-C-0008/en" TargetMode="External"/><Relationship Id="rId28" Type="http://schemas.openxmlformats.org/officeDocument/2006/relationships/hyperlink" Target="https://www.itu.int/md/D18-RPMCIS-C-0031/en" TargetMode="External"/><Relationship Id="rId36" Type="http://schemas.openxmlformats.org/officeDocument/2006/relationships/hyperlink" Target="https://www.itu.int/md/D18-RPMCIS-C-0016/en" TargetMode="External"/><Relationship Id="rId49" Type="http://schemas.openxmlformats.org/officeDocument/2006/relationships/hyperlink" Target="https://www.itu.int/md/D18-RPMCIS-C-0030/en"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itu.int/md/D18-RPMCIS-C-0032/en" TargetMode="External"/><Relationship Id="rId44" Type="http://schemas.openxmlformats.org/officeDocument/2006/relationships/hyperlink" Target="https://www.itu.int/md/D18-RPMCIS-C-0025/en" TargetMode="External"/><Relationship Id="rId52" Type="http://schemas.openxmlformats.org/officeDocument/2006/relationships/hyperlink" Target="https://www.itu.int/en/ITU-D/Conferences/WTDC/WTDC21/Pages/RPM/CIS/Side-Event/ITU-IP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B0B5D-1869-4BC0-9F12-920E6F3ED97E}">
  <ds:schemaRefs>
    <ds:schemaRef ds:uri="http://schemas.openxmlformats.org/officeDocument/2006/bibliography"/>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4224</Words>
  <Characters>27999</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Scott, Sarah</cp:lastModifiedBy>
  <cp:revision>4</cp:revision>
  <cp:lastPrinted>2011-08-24T07:41:00Z</cp:lastPrinted>
  <dcterms:created xsi:type="dcterms:W3CDTF">2021-04-30T07:22:00Z</dcterms:created>
  <dcterms:modified xsi:type="dcterms:W3CDTF">2021-04-30T07:53:00Z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