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843"/>
        <w:gridCol w:w="1417"/>
      </w:tblGrid>
      <w:tr w:rsidR="00B13C55" w:rsidRPr="00AC6120" w14:paraId="5A4FDABF" w14:textId="77777777" w:rsidTr="00B13C55">
        <w:trPr>
          <w:cantSplit/>
          <w:trHeight w:val="1530"/>
        </w:trPr>
        <w:tc>
          <w:tcPr>
            <w:tcW w:w="2268" w:type="dxa"/>
          </w:tcPr>
          <w:p w14:paraId="7BC89215" w14:textId="298B1538" w:rsidR="00B13C55" w:rsidRPr="00AC6120" w:rsidRDefault="0048687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AC6120">
              <w:rPr>
                <w:lang w:val="ru-RU"/>
              </w:rPr>
              <w:drawing>
                <wp:inline distT="0" distB="0" distL="0" distR="0" wp14:anchorId="57B9D1D8" wp14:editId="0EB44245">
                  <wp:extent cx="1194435" cy="1054100"/>
                  <wp:effectExtent l="0" t="0" r="5715" b="0"/>
                  <wp:docPr id="1" name="Picture 1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46"/>
                          <a:stretch/>
                        </pic:blipFill>
                        <pic:spPr bwMode="auto">
                          <a:xfrm>
                            <a:off x="0" y="0"/>
                            <a:ext cx="119443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96ABD82" w14:textId="05372F00" w:rsidR="00B13C55" w:rsidRPr="00AC6120" w:rsidRDefault="00B13C55" w:rsidP="00B13C55">
            <w:pPr>
              <w:spacing w:after="120" w:line="240" w:lineRule="atLeast"/>
              <w:rPr>
                <w:rFonts w:cstheme="minorHAnsi"/>
                <w:b/>
                <w:bCs/>
                <w:caps/>
                <w:szCs w:val="24"/>
                <w:lang w:val="ru-RU"/>
              </w:rPr>
            </w:pPr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Региональное подготовительное собрание к </w:t>
            </w:r>
            <w:proofErr w:type="spellStart"/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t>ВКРЭ</w:t>
            </w:r>
            <w:proofErr w:type="spellEnd"/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t xml:space="preserve">-21 для стран СНГ </w:t>
            </w:r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  <w:t>(</w:t>
            </w:r>
            <w:proofErr w:type="spellStart"/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РПС</w:t>
            </w:r>
            <w:proofErr w:type="spellEnd"/>
            <w:r w:rsidRPr="00AC6120">
              <w:rPr>
                <w:rFonts w:cstheme="minorHAnsi"/>
                <w:b/>
                <w:bCs/>
                <w:sz w:val="32"/>
                <w:szCs w:val="32"/>
                <w:lang w:val="ru-RU"/>
              </w:rPr>
              <w:t>-СНГ)</w:t>
            </w:r>
          </w:p>
          <w:p w14:paraId="2C5307A5" w14:textId="1C8148A9" w:rsidR="00B13C55" w:rsidRPr="00AC6120" w:rsidRDefault="00B13C55" w:rsidP="00563BC0">
            <w:pPr>
              <w:spacing w:before="0" w:after="48" w:line="240" w:lineRule="atLeast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AC6120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AC6120">
              <w:rPr>
                <w:rFonts w:cstheme="minorHAnsi"/>
                <w:b/>
                <w:bCs/>
                <w:szCs w:val="24"/>
                <w:lang w:val="ru-RU"/>
              </w:rPr>
              <w:t>иртуальное, 21</w:t>
            </w:r>
            <w:r w:rsidR="008946CC" w:rsidRPr="00AC6120">
              <w:rPr>
                <w:rFonts w:cstheme="minorHAnsi"/>
                <w:b/>
                <w:bCs/>
                <w:szCs w:val="24"/>
                <w:lang w:val="ru-RU"/>
              </w:rPr>
              <w:t>–</w:t>
            </w:r>
            <w:r w:rsidRPr="00AC6120">
              <w:rPr>
                <w:rFonts w:cstheme="minorHAnsi"/>
                <w:b/>
                <w:bCs/>
                <w:szCs w:val="24"/>
                <w:lang w:val="ru-RU"/>
              </w:rPr>
              <w:t>22 апреля 2021 года</w:t>
            </w:r>
          </w:p>
        </w:tc>
        <w:tc>
          <w:tcPr>
            <w:tcW w:w="1417" w:type="dxa"/>
          </w:tcPr>
          <w:p w14:paraId="08590635" w14:textId="3E0052EE" w:rsidR="00B13C55" w:rsidRPr="00AC6120" w:rsidRDefault="00B13C55" w:rsidP="00B13C55">
            <w:pPr>
              <w:spacing w:before="240" w:line="240" w:lineRule="atLeast"/>
              <w:jc w:val="right"/>
              <w:rPr>
                <w:rFonts w:cstheme="minorHAnsi"/>
                <w:lang w:val="ru-RU"/>
              </w:rPr>
            </w:pPr>
            <w:bookmarkStart w:id="0" w:name="ditulogo"/>
            <w:bookmarkEnd w:id="0"/>
            <w:r w:rsidRPr="00AC6120">
              <w:rPr>
                <w:lang w:val="ru-RU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AC6120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AC6120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  <w:lang w:val="ru-RU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AC6120" w:rsidRDefault="00C64B30" w:rsidP="00C64B30">
            <w:pPr>
              <w:spacing w:before="0" w:line="240" w:lineRule="atLeast"/>
              <w:rPr>
                <w:rFonts w:cstheme="minorHAnsi"/>
                <w:sz w:val="20"/>
                <w:lang w:val="ru-RU"/>
              </w:rPr>
            </w:pPr>
          </w:p>
        </w:tc>
      </w:tr>
      <w:tr w:rsidR="00C64B30" w:rsidRPr="00AC6120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AC6120" w:rsidRDefault="00C64B30" w:rsidP="00C64B30">
            <w:pPr>
              <w:pStyle w:val="Committee"/>
              <w:framePr w:hSpace="0" w:wrap="auto" w:hAnchor="text" w:yAlign="inline"/>
              <w:rPr>
                <w:lang w:val="ru-RU"/>
              </w:rPr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63C930B7" w:rsidR="00C64B30" w:rsidRPr="00AC6120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C6120">
              <w:rPr>
                <w:b/>
                <w:bCs/>
                <w:lang w:val="ru-RU"/>
              </w:rPr>
              <w:t>Документ</w:t>
            </w:r>
            <w:r w:rsidRPr="00AC6120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proofErr w:type="spellStart"/>
            <w:r w:rsidRPr="00AC6120">
              <w:rPr>
                <w:b/>
                <w:bCs/>
                <w:szCs w:val="24"/>
                <w:lang w:val="ru-RU"/>
              </w:rPr>
              <w:t>RPM-CIS21</w:t>
            </w:r>
            <w:proofErr w:type="spellEnd"/>
            <w:r w:rsidRPr="00AC6120">
              <w:rPr>
                <w:b/>
                <w:bCs/>
                <w:szCs w:val="24"/>
                <w:lang w:val="ru-RU"/>
              </w:rPr>
              <w:t>/</w:t>
            </w:r>
            <w:r w:rsidR="00C2147D" w:rsidRPr="00AC6120">
              <w:rPr>
                <w:b/>
                <w:bCs/>
                <w:szCs w:val="24"/>
                <w:lang w:val="ru-RU"/>
              </w:rPr>
              <w:t>6</w:t>
            </w:r>
            <w:r w:rsidRPr="00AC6120">
              <w:rPr>
                <w:b/>
                <w:bCs/>
                <w:szCs w:val="24"/>
                <w:lang w:val="ru-RU"/>
              </w:rPr>
              <w:t>-R</w:t>
            </w:r>
          </w:p>
        </w:tc>
      </w:tr>
      <w:tr w:rsidR="0022796D" w:rsidRPr="00AC6120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AC6120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ru-RU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06C82022" w:rsidR="0022796D" w:rsidRPr="00AC6120" w:rsidRDefault="00C2147D" w:rsidP="0022796D">
            <w:pPr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  <w:r w:rsidRPr="00AC6120">
              <w:rPr>
                <w:b/>
                <w:bCs/>
                <w:szCs w:val="24"/>
                <w:lang w:val="ru-RU"/>
              </w:rPr>
              <w:t>5 апреля 2021 года</w:t>
            </w:r>
          </w:p>
        </w:tc>
      </w:tr>
      <w:bookmarkEnd w:id="5"/>
      <w:bookmarkEnd w:id="6"/>
      <w:tr w:rsidR="0022796D" w:rsidRPr="00AC6120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AC6120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ru-RU"/>
              </w:rPr>
            </w:pPr>
          </w:p>
        </w:tc>
        <w:tc>
          <w:tcPr>
            <w:tcW w:w="3260" w:type="dxa"/>
            <w:gridSpan w:val="2"/>
          </w:tcPr>
          <w:p w14:paraId="09B26F7F" w14:textId="69F2CCEE" w:rsidR="0022796D" w:rsidRPr="00AC6120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 w:rsidRPr="00AC6120">
              <w:rPr>
                <w:b/>
                <w:bCs/>
                <w:szCs w:val="24"/>
                <w:lang w:val="ru-RU"/>
              </w:rPr>
              <w:t>Оригинал: английский</w:t>
            </w:r>
          </w:p>
        </w:tc>
      </w:tr>
      <w:tr w:rsidR="00C64B30" w:rsidRPr="00AC6120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56E95E27" w14:textId="69DF63AB" w:rsidR="00C64B30" w:rsidRPr="00AC6120" w:rsidRDefault="00C2147D" w:rsidP="00C64B30">
            <w:pPr>
              <w:pStyle w:val="Source"/>
              <w:spacing w:before="240" w:after="240"/>
              <w:rPr>
                <w:rFonts w:cstheme="minorHAnsi"/>
                <w:lang w:val="ru-RU"/>
              </w:rPr>
            </w:pPr>
            <w:bookmarkStart w:id="7" w:name="dbluepink" w:colFirst="0" w:colLast="0"/>
            <w:bookmarkStart w:id="8" w:name="dorlang" w:colFirst="1" w:colLast="1"/>
            <w:r w:rsidRPr="00AC6120">
              <w:rPr>
                <w:lang w:val="ru-RU"/>
              </w:rPr>
              <w:t xml:space="preserve">Председатель Рабочей группы </w:t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 xml:space="preserve"> по подготовке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</w:p>
        </w:tc>
      </w:tr>
      <w:tr w:rsidR="00C64B30" w:rsidRPr="00AC6120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5E22902A" w:rsidR="00C64B30" w:rsidRPr="00AC6120" w:rsidRDefault="00C2147D" w:rsidP="00C64B30">
            <w:pPr>
              <w:pStyle w:val="Title1"/>
              <w:spacing w:before="120" w:after="120"/>
              <w:rPr>
                <w:rFonts w:cstheme="minorHAnsi"/>
                <w:caps w:val="0"/>
                <w:lang w:val="ru-RU"/>
              </w:rPr>
            </w:pPr>
            <w:r w:rsidRPr="00AC6120">
              <w:rPr>
                <w:lang w:val="ru-RU"/>
              </w:rPr>
              <w:t xml:space="preserve">ЗАКЛЮЧИТЕЛЬНЫЙ ОТЧЕТ Рабочей группы </w:t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 xml:space="preserve"> </w:t>
            </w:r>
            <w:r w:rsidRPr="00AC6120">
              <w:rPr>
                <w:lang w:val="ru-RU"/>
              </w:rPr>
              <w:br/>
              <w:t xml:space="preserve">по подготовке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 (РГ-</w:t>
            </w:r>
            <w:proofErr w:type="spellStart"/>
            <w:r w:rsidRPr="00AC6120">
              <w:rPr>
                <w:lang w:val="ru-RU"/>
              </w:rPr>
              <w:t>Подг</w:t>
            </w:r>
            <w:proofErr w:type="spellEnd"/>
            <w:r w:rsidRPr="00AC6120">
              <w:rPr>
                <w:lang w:val="ru-RU"/>
              </w:rPr>
              <w:t>-</w:t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>)</w:t>
            </w:r>
          </w:p>
        </w:tc>
      </w:tr>
      <w:tr w:rsidR="00C64B30" w:rsidRPr="00AC6120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AC6120" w:rsidRDefault="00C64B30" w:rsidP="00C64B30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C64B30" w:rsidRPr="00AC6120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1460" w14:textId="3645B2D0" w:rsidR="00A6222D" w:rsidRPr="00AC6120" w:rsidRDefault="00FC1EEC" w:rsidP="008946CC">
            <w:pPr>
              <w:pStyle w:val="Headingb"/>
              <w:rPr>
                <w:caps/>
                <w:lang w:val="ru-RU"/>
              </w:rPr>
            </w:pPr>
            <w:r w:rsidRPr="00AC6120">
              <w:rPr>
                <w:lang w:val="ru-RU"/>
              </w:rPr>
              <w:t>Пункт повестки дня</w:t>
            </w:r>
          </w:p>
          <w:p w14:paraId="288B302C" w14:textId="43F774E9" w:rsidR="00A6222D" w:rsidRPr="00AC6120" w:rsidRDefault="00C2147D" w:rsidP="00A6222D">
            <w:pPr>
              <w:spacing w:after="120"/>
              <w:rPr>
                <w:lang w:val="ru-RU"/>
              </w:rPr>
            </w:pPr>
            <w:r w:rsidRPr="00AC6120">
              <w:rPr>
                <w:lang w:val="ru-RU"/>
              </w:rPr>
              <w:t>Пункт 7.1</w:t>
            </w:r>
            <w:r w:rsidR="00AC6120" w:rsidRPr="00AC6120">
              <w:rPr>
                <w:lang w:val="ru-RU"/>
              </w:rPr>
              <w:t>.</w:t>
            </w:r>
          </w:p>
          <w:p w14:paraId="6BC81203" w14:textId="2AE9B399" w:rsidR="00A6222D" w:rsidRPr="00AC6120" w:rsidRDefault="00A6222D" w:rsidP="008946CC">
            <w:pPr>
              <w:pStyle w:val="Headingb"/>
              <w:rPr>
                <w:caps/>
                <w:lang w:val="ru-RU"/>
              </w:rPr>
            </w:pPr>
            <w:r w:rsidRPr="00AC6120">
              <w:rPr>
                <w:lang w:val="ru-RU"/>
              </w:rPr>
              <w:t xml:space="preserve">Резюме </w:t>
            </w:r>
          </w:p>
          <w:p w14:paraId="0B82DF90" w14:textId="26DBDBFC" w:rsidR="00A6222D" w:rsidRPr="00AC6120" w:rsidRDefault="00C2147D" w:rsidP="00A6222D">
            <w:pPr>
              <w:spacing w:after="120"/>
              <w:rPr>
                <w:lang w:val="ru-RU"/>
              </w:rPr>
            </w:pPr>
            <w:r w:rsidRPr="00AC6120">
              <w:rPr>
                <w:lang w:val="ru-RU"/>
              </w:rPr>
              <w:t xml:space="preserve">В документе содержится заключительный отчет Рабочей группы </w:t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 xml:space="preserve"> по подготовке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 (РГ</w:t>
            </w:r>
            <w:r w:rsidR="00AC6120">
              <w:rPr>
                <w:lang w:val="ru-RU"/>
              </w:rPr>
              <w:noBreakHyphen/>
            </w:r>
            <w:proofErr w:type="spellStart"/>
            <w:r w:rsidRPr="00AC6120">
              <w:rPr>
                <w:lang w:val="ru-RU"/>
              </w:rPr>
              <w:t>Подг</w:t>
            </w:r>
            <w:proofErr w:type="spellEnd"/>
            <w:r w:rsidR="00AC6120">
              <w:rPr>
                <w:lang w:val="ru-RU"/>
              </w:rPr>
              <w:noBreakHyphen/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>)</w:t>
            </w:r>
            <w:r w:rsidRPr="00AC6120">
              <w:rPr>
                <w:szCs w:val="28"/>
                <w:lang w:val="ru-RU"/>
              </w:rPr>
              <w:t>,</w:t>
            </w:r>
            <w:r w:rsidR="00B10D8C" w:rsidRPr="00AC6120">
              <w:rPr>
                <w:szCs w:val="28"/>
                <w:lang w:val="ru-RU"/>
              </w:rPr>
              <w:t xml:space="preserve"> включая вопросы, по которым группе не удалось достичь консенсуса, и решение было принято на собрании</w:t>
            </w:r>
            <w:r w:rsidRPr="00AC6120">
              <w:rPr>
                <w:szCs w:val="28"/>
                <w:lang w:val="ru-RU"/>
              </w:rPr>
              <w:t xml:space="preserve"> </w:t>
            </w:r>
            <w:proofErr w:type="spellStart"/>
            <w:r w:rsidR="006B0145"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szCs w:val="28"/>
                <w:lang w:val="ru-RU"/>
              </w:rPr>
              <w:t>-20/3.</w:t>
            </w:r>
          </w:p>
          <w:p w14:paraId="2F7E323A" w14:textId="629BCCD9" w:rsidR="00A6222D" w:rsidRPr="00AC6120" w:rsidRDefault="00A6222D" w:rsidP="008946CC">
            <w:pPr>
              <w:pStyle w:val="Headingb"/>
              <w:rPr>
                <w:caps/>
                <w:lang w:val="ru-RU"/>
              </w:rPr>
            </w:pPr>
            <w:r w:rsidRPr="00AC6120">
              <w:rPr>
                <w:lang w:val="ru-RU"/>
              </w:rPr>
              <w:t>Ожидаемые результаты</w:t>
            </w:r>
          </w:p>
          <w:p w14:paraId="7EAA7A01" w14:textId="0C459611" w:rsidR="00A6222D" w:rsidRPr="00AC6120" w:rsidRDefault="00C2147D" w:rsidP="00A6222D">
            <w:pPr>
              <w:spacing w:after="120"/>
              <w:rPr>
                <w:lang w:val="ru-RU"/>
              </w:rPr>
            </w:pPr>
            <w:proofErr w:type="spellStart"/>
            <w:r w:rsidRPr="00AC6120">
              <w:rPr>
                <w:rFonts w:cstheme="minorHAnsi"/>
                <w:sz w:val="24"/>
                <w:szCs w:val="24"/>
                <w:lang w:val="ru-RU"/>
              </w:rPr>
              <w:t>РПС</w:t>
            </w:r>
            <w:proofErr w:type="spellEnd"/>
            <w:r w:rsidRPr="00AC6120">
              <w:rPr>
                <w:rFonts w:cstheme="minorHAnsi"/>
                <w:sz w:val="24"/>
                <w:szCs w:val="24"/>
                <w:lang w:val="ru-RU"/>
              </w:rPr>
              <w:t>-СНГ</w:t>
            </w:r>
            <w:r w:rsidR="00B10D8C" w:rsidRPr="00AC6120">
              <w:rPr>
                <w:rFonts w:cstheme="minorHAnsi"/>
                <w:sz w:val="24"/>
                <w:szCs w:val="24"/>
                <w:lang w:val="ru-RU"/>
              </w:rPr>
              <w:t xml:space="preserve"> предлагается принять настоящий документ к сведению</w:t>
            </w:r>
            <w:r w:rsidRPr="00AC6120">
              <w:rPr>
                <w:sz w:val="24"/>
                <w:lang w:val="ru-RU"/>
              </w:rPr>
              <w:t>.</w:t>
            </w:r>
          </w:p>
          <w:p w14:paraId="65283B37" w14:textId="0E0E79A0" w:rsidR="00A6222D" w:rsidRPr="00AC6120" w:rsidRDefault="00A6222D" w:rsidP="008946CC">
            <w:pPr>
              <w:pStyle w:val="Headingb"/>
              <w:rPr>
                <w:caps/>
                <w:lang w:val="ru-RU"/>
              </w:rPr>
            </w:pPr>
            <w:r w:rsidRPr="00AC6120">
              <w:rPr>
                <w:lang w:val="ru-RU"/>
              </w:rPr>
              <w:t>Справочные документы</w:t>
            </w:r>
          </w:p>
          <w:p w14:paraId="3D799BA1" w14:textId="14F025BC" w:rsidR="00C64B30" w:rsidRPr="00AC6120" w:rsidRDefault="00273B3A" w:rsidP="00A6222D">
            <w:pPr>
              <w:spacing w:after="120"/>
              <w:rPr>
                <w:lang w:val="ru-RU"/>
              </w:rPr>
            </w:pPr>
            <w:hyperlink r:id="rId14" w:history="1">
              <w:proofErr w:type="spellStart"/>
              <w:r w:rsidR="00C2147D" w:rsidRPr="00AC6120">
                <w:rPr>
                  <w:rStyle w:val="Hyperlink"/>
                  <w:szCs w:val="24"/>
                  <w:lang w:val="ru-RU"/>
                </w:rPr>
                <w:t>TDAG</w:t>
              </w:r>
              <w:proofErr w:type="spellEnd"/>
              <w:r w:rsidR="00C2147D" w:rsidRPr="00AC6120">
                <w:rPr>
                  <w:rStyle w:val="Hyperlink"/>
                  <w:szCs w:val="24"/>
                  <w:lang w:val="ru-RU"/>
                </w:rPr>
                <w:t>-20/3/5</w:t>
              </w:r>
            </w:hyperlink>
          </w:p>
        </w:tc>
      </w:tr>
      <w:bookmarkEnd w:id="7"/>
      <w:bookmarkEnd w:id="8"/>
    </w:tbl>
    <w:p w14:paraId="74513DD8" w14:textId="77777777" w:rsidR="00075C63" w:rsidRPr="00AC6120" w:rsidRDefault="00075C6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Cs w:val="24"/>
          <w:lang w:val="ru-RU"/>
        </w:rPr>
      </w:pPr>
      <w:r w:rsidRPr="00AC6120">
        <w:rPr>
          <w:szCs w:val="24"/>
          <w:lang w:val="ru-RU"/>
        </w:rPr>
        <w:br w:type="page"/>
      </w:r>
    </w:p>
    <w:p w14:paraId="4495604A" w14:textId="77777777" w:rsidR="006B0145" w:rsidRPr="00AC6120" w:rsidRDefault="006B0145" w:rsidP="006B0145">
      <w:pPr>
        <w:pStyle w:val="Headingb"/>
        <w:rPr>
          <w:lang w:val="ru-RU"/>
        </w:rPr>
      </w:pPr>
      <w:r w:rsidRPr="00AC6120">
        <w:rPr>
          <w:lang w:val="ru-RU"/>
        </w:rPr>
        <w:lastRenderedPageBreak/>
        <w:t>Резюме</w:t>
      </w:r>
    </w:p>
    <w:p w14:paraId="319BE002" w14:textId="20334A73" w:rsidR="006B0145" w:rsidRPr="00AC6120" w:rsidRDefault="006B0145" w:rsidP="006B0145">
      <w:pPr>
        <w:rPr>
          <w:lang w:val="ru-RU"/>
        </w:rPr>
      </w:pPr>
      <w:r w:rsidRPr="00AC6120">
        <w:rPr>
          <w:lang w:val="ru-RU"/>
        </w:rPr>
        <w:t xml:space="preserve">В настоящем документе содержится заключительный отчет Рабочей группы </w:t>
      </w:r>
      <w:proofErr w:type="spellStart"/>
      <w:r w:rsidRPr="00AC6120">
        <w:rPr>
          <w:lang w:val="ru-RU"/>
        </w:rPr>
        <w:t>КГРЭ</w:t>
      </w:r>
      <w:proofErr w:type="spellEnd"/>
      <w:r w:rsidRPr="00AC6120">
        <w:rPr>
          <w:lang w:val="ru-RU"/>
        </w:rPr>
        <w:t xml:space="preserve"> по подготовке </w:t>
      </w:r>
      <w:proofErr w:type="spellStart"/>
      <w:r w:rsidRPr="00AC6120">
        <w:rPr>
          <w:lang w:val="ru-RU"/>
        </w:rPr>
        <w:t>ВКРЭ</w:t>
      </w:r>
      <w:proofErr w:type="spellEnd"/>
      <w:r w:rsidRPr="00AC6120">
        <w:rPr>
          <w:lang w:val="ru-RU"/>
        </w:rPr>
        <w:t xml:space="preserve">, в том числе предложения в соответствии с ее кругом ведения. Настоящий отчет </w:t>
      </w:r>
      <w:r w:rsidR="00B10D8C" w:rsidRPr="00AC6120">
        <w:rPr>
          <w:lang w:val="ru-RU"/>
        </w:rPr>
        <w:t xml:space="preserve">также содержит решения, принятые на собрании </w:t>
      </w:r>
      <w:proofErr w:type="spellStart"/>
      <w:r w:rsidR="00B10D8C" w:rsidRPr="00AC6120">
        <w:rPr>
          <w:lang w:val="ru-RU"/>
        </w:rPr>
        <w:t>КГРЭ</w:t>
      </w:r>
      <w:proofErr w:type="spellEnd"/>
      <w:r w:rsidR="00B10D8C" w:rsidRPr="00AC6120">
        <w:rPr>
          <w:lang w:val="ru-RU"/>
        </w:rPr>
        <w:t>-20/3 по тем вопросам, в отношении которых группе не удалось достичь консенсуса.</w:t>
      </w:r>
    </w:p>
    <w:p w14:paraId="43ED807F" w14:textId="77777777" w:rsidR="006B0145" w:rsidRPr="00AC6120" w:rsidRDefault="006B0145" w:rsidP="006B0145">
      <w:pPr>
        <w:rPr>
          <w:lang w:val="ru-RU"/>
        </w:rPr>
      </w:pPr>
      <w:r w:rsidRPr="00AC6120">
        <w:rPr>
          <w:lang w:val="ru-RU"/>
        </w:rPr>
        <w:t xml:space="preserve">Рабочая группа </w:t>
      </w:r>
      <w:proofErr w:type="spellStart"/>
      <w:r w:rsidRPr="00AC6120">
        <w:rPr>
          <w:lang w:val="ru-RU"/>
        </w:rPr>
        <w:t>КГРЭ</w:t>
      </w:r>
      <w:proofErr w:type="spellEnd"/>
      <w:r w:rsidRPr="00AC6120">
        <w:rPr>
          <w:lang w:val="ru-RU"/>
        </w:rPr>
        <w:t xml:space="preserve"> по подготовке </w:t>
      </w:r>
      <w:proofErr w:type="spellStart"/>
      <w:r w:rsidRPr="00AC6120">
        <w:rPr>
          <w:lang w:val="ru-RU"/>
        </w:rPr>
        <w:t>ВКРЭ</w:t>
      </w:r>
      <w:proofErr w:type="spellEnd"/>
      <w:r w:rsidRPr="00AC6120">
        <w:rPr>
          <w:lang w:val="ru-RU"/>
        </w:rPr>
        <w:t xml:space="preserve"> была учреждена </w:t>
      </w:r>
      <w:proofErr w:type="spellStart"/>
      <w:r w:rsidRPr="00AC6120">
        <w:rPr>
          <w:lang w:val="ru-RU"/>
        </w:rPr>
        <w:t>КГРЭ</w:t>
      </w:r>
      <w:proofErr w:type="spellEnd"/>
      <w:r w:rsidRPr="00AC6120">
        <w:rPr>
          <w:lang w:val="ru-RU"/>
        </w:rPr>
        <w:t xml:space="preserve"> на ее собрании, проходившем </w:t>
      </w:r>
      <w:proofErr w:type="gramStart"/>
      <w:r w:rsidRPr="00AC6120">
        <w:rPr>
          <w:lang w:val="ru-RU"/>
        </w:rPr>
        <w:t>2−5</w:t>
      </w:r>
      <w:proofErr w:type="gramEnd"/>
      <w:r w:rsidRPr="00AC6120">
        <w:rPr>
          <w:lang w:val="ru-RU"/>
        </w:rPr>
        <w:t xml:space="preserve"> июня 2020 года. На следующем, внеочередном собрании </w:t>
      </w:r>
      <w:proofErr w:type="spellStart"/>
      <w:r w:rsidRPr="00AC6120">
        <w:rPr>
          <w:lang w:val="ru-RU"/>
        </w:rPr>
        <w:t>КГРЭ</w:t>
      </w:r>
      <w:proofErr w:type="spellEnd"/>
      <w:r w:rsidRPr="00AC6120">
        <w:rPr>
          <w:lang w:val="ru-RU"/>
        </w:rPr>
        <w:t xml:space="preserve"> 16 июня 2020 года был утвержден </w:t>
      </w:r>
      <w:hyperlink r:id="rId15" w:history="1">
        <w:r w:rsidRPr="00AC6120">
          <w:rPr>
            <w:color w:val="0000FF"/>
            <w:u w:val="single"/>
            <w:lang w:val="ru-RU"/>
          </w:rPr>
          <w:t>круг ведения</w:t>
        </w:r>
      </w:hyperlink>
      <w:r w:rsidRPr="00AC6120">
        <w:rPr>
          <w:lang w:val="ru-RU"/>
        </w:rPr>
        <w:t xml:space="preserve"> этой Рабочей группы, а также назначен ее Председатель, г-н </w:t>
      </w:r>
      <w:r w:rsidRPr="00AC6120">
        <w:rPr>
          <w:rFonts w:cs="Arial"/>
          <w:lang w:val="ru-RU"/>
        </w:rPr>
        <w:t xml:space="preserve">Сантьяго </w:t>
      </w:r>
      <w:proofErr w:type="spellStart"/>
      <w:r w:rsidRPr="00AC6120">
        <w:rPr>
          <w:rFonts w:cs="Arial"/>
          <w:lang w:val="ru-RU"/>
        </w:rPr>
        <w:t>Рейес-Борда</w:t>
      </w:r>
      <w:proofErr w:type="spellEnd"/>
      <w:r w:rsidRPr="00AC6120">
        <w:rPr>
          <w:rFonts w:cs="Arial"/>
          <w:lang w:val="ru-RU"/>
        </w:rPr>
        <w:t xml:space="preserve"> (Канада).</w:t>
      </w:r>
      <w:r w:rsidRPr="00AC6120">
        <w:rPr>
          <w:lang w:val="ru-RU"/>
        </w:rPr>
        <w:t xml:space="preserve"> </w:t>
      </w:r>
    </w:p>
    <w:p w14:paraId="096764D4" w14:textId="00526CC4" w:rsidR="006B0145" w:rsidRPr="00AC6120" w:rsidRDefault="006B0145" w:rsidP="006B0145">
      <w:pPr>
        <w:spacing w:after="120"/>
        <w:rPr>
          <w:lang w:val="ru-RU"/>
        </w:rPr>
      </w:pPr>
      <w:r w:rsidRPr="00AC6120">
        <w:rPr>
          <w:lang w:val="ru-RU"/>
        </w:rPr>
        <w:t xml:space="preserve">Группа провела четыре собрания – в июле, сентябре и октябре 2020 года – и получила </w:t>
      </w:r>
      <w:r w:rsidR="001D15D9" w:rsidRPr="001D15D9">
        <w:rPr>
          <w:lang w:val="ru-RU"/>
        </w:rPr>
        <w:t>12</w:t>
      </w:r>
      <w:r w:rsidR="001D15D9">
        <w:rPr>
          <w:lang w:val="en-US"/>
        </w:rPr>
        <w:t> </w:t>
      </w:r>
      <w:r w:rsidRPr="00AC6120">
        <w:rPr>
          <w:lang w:val="ru-RU"/>
        </w:rPr>
        <w:t>вкладов от Государств-Членов и Членов Сектора, которые были представлены и обсуждены на этих собраниях. Отчеты обо всех собраниях содержатся в следующих документах: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6B0145" w:rsidRPr="00AC6120" w14:paraId="401F5D30" w14:textId="77777777" w:rsidTr="00B7442D">
        <w:tc>
          <w:tcPr>
            <w:tcW w:w="4697" w:type="dxa"/>
          </w:tcPr>
          <w:p w14:paraId="5E93C094" w14:textId="77777777" w:rsidR="006B0145" w:rsidRPr="00AC6120" w:rsidRDefault="006B0145" w:rsidP="001D15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theme="minorHAnsi"/>
                <w:bCs/>
                <w:szCs w:val="22"/>
                <w:lang w:val="ru-RU"/>
              </w:rPr>
            </w:pPr>
            <w:r w:rsidRPr="00AC6120">
              <w:rPr>
                <w:rFonts w:cstheme="minorHAnsi"/>
                <w:bCs/>
                <w:szCs w:val="22"/>
                <w:lang w:val="ru-RU"/>
              </w:rPr>
              <w:t xml:space="preserve">16 июля 2020 г. – </w:t>
            </w:r>
            <w:hyperlink r:id="rId16" w:history="1">
              <w:proofErr w:type="spellStart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TDAG-WG-Prep</w:t>
              </w:r>
              <w:proofErr w:type="spellEnd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/4</w:t>
              </w:r>
            </w:hyperlink>
          </w:p>
        </w:tc>
        <w:tc>
          <w:tcPr>
            <w:tcW w:w="4697" w:type="dxa"/>
          </w:tcPr>
          <w:p w14:paraId="654FC402" w14:textId="77777777" w:rsidR="006B0145" w:rsidRPr="00AC6120" w:rsidRDefault="006B0145" w:rsidP="001D15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theme="minorHAnsi"/>
                <w:bCs/>
                <w:szCs w:val="22"/>
                <w:lang w:val="ru-RU"/>
              </w:rPr>
            </w:pPr>
            <w:r w:rsidRPr="00AC6120">
              <w:rPr>
                <w:rFonts w:cstheme="minorHAnsi"/>
                <w:bCs/>
                <w:szCs w:val="22"/>
                <w:lang w:val="ru-RU"/>
              </w:rPr>
              <w:t xml:space="preserve">30 сентября 2020 г. – </w:t>
            </w:r>
            <w:hyperlink r:id="rId17" w:history="1">
              <w:proofErr w:type="spellStart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TDAG-WG-Prep</w:t>
              </w:r>
              <w:proofErr w:type="spellEnd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/18</w:t>
              </w:r>
            </w:hyperlink>
          </w:p>
        </w:tc>
      </w:tr>
      <w:tr w:rsidR="006B0145" w:rsidRPr="00AC6120" w14:paraId="7A7D3F87" w14:textId="77777777" w:rsidTr="00B7442D">
        <w:tc>
          <w:tcPr>
            <w:tcW w:w="4697" w:type="dxa"/>
          </w:tcPr>
          <w:p w14:paraId="0E46D9D3" w14:textId="77777777" w:rsidR="006B0145" w:rsidRPr="00AC6120" w:rsidRDefault="006B0145" w:rsidP="001D15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theme="minorHAnsi"/>
                <w:bCs/>
                <w:szCs w:val="22"/>
                <w:lang w:val="ru-RU"/>
              </w:rPr>
            </w:pPr>
            <w:r w:rsidRPr="00AC6120">
              <w:rPr>
                <w:rFonts w:cstheme="minorHAnsi"/>
                <w:bCs/>
                <w:szCs w:val="22"/>
                <w:lang w:val="ru-RU"/>
              </w:rPr>
              <w:t xml:space="preserve">7 сентября 2020 г. – </w:t>
            </w:r>
            <w:hyperlink r:id="rId18" w:history="1">
              <w:proofErr w:type="spellStart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TDAG-WG-Prep</w:t>
              </w:r>
              <w:proofErr w:type="spellEnd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/12</w:t>
              </w:r>
            </w:hyperlink>
          </w:p>
        </w:tc>
        <w:tc>
          <w:tcPr>
            <w:tcW w:w="4697" w:type="dxa"/>
          </w:tcPr>
          <w:p w14:paraId="4F1F2FE5" w14:textId="77777777" w:rsidR="006B0145" w:rsidRPr="00AC6120" w:rsidRDefault="006B0145" w:rsidP="001D15D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cstheme="minorHAnsi"/>
                <w:bCs/>
                <w:szCs w:val="22"/>
                <w:lang w:val="ru-RU"/>
              </w:rPr>
            </w:pPr>
            <w:r w:rsidRPr="00AC6120">
              <w:rPr>
                <w:rFonts w:cstheme="minorHAnsi"/>
                <w:bCs/>
                <w:szCs w:val="22"/>
                <w:lang w:val="ru-RU"/>
              </w:rPr>
              <w:t>20 октября и 4 ноября 2020 г.</w:t>
            </w:r>
            <w:r w:rsidRPr="00AC6120">
              <w:rPr>
                <w:rFonts w:cstheme="minorHAnsi"/>
                <w:bCs/>
                <w:szCs w:val="22"/>
                <w:lang w:val="ru-RU"/>
              </w:rPr>
              <w:br/>
            </w:r>
            <w:hyperlink r:id="rId19" w:history="1">
              <w:proofErr w:type="spellStart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TDAG-WG-Prep</w:t>
              </w:r>
              <w:proofErr w:type="spellEnd"/>
              <w:r w:rsidRPr="00AC6120">
                <w:rPr>
                  <w:rFonts w:cstheme="minorHAnsi"/>
                  <w:bCs/>
                  <w:color w:val="0000FF"/>
                  <w:szCs w:val="22"/>
                  <w:u w:val="single"/>
                  <w:lang w:val="ru-RU"/>
                </w:rPr>
                <w:t>/26</w:t>
              </w:r>
            </w:hyperlink>
          </w:p>
        </w:tc>
      </w:tr>
    </w:tbl>
    <w:p w14:paraId="31FB07FE" w14:textId="77777777" w:rsidR="006B0145" w:rsidRPr="00AC6120" w:rsidRDefault="006B0145" w:rsidP="006B0145">
      <w:pPr>
        <w:pStyle w:val="Headingb"/>
        <w:rPr>
          <w:lang w:val="ru-RU"/>
        </w:rPr>
      </w:pPr>
      <w:r w:rsidRPr="00AC6120">
        <w:rPr>
          <w:lang w:val="ru-RU"/>
        </w:rPr>
        <w:t>Введение</w:t>
      </w:r>
    </w:p>
    <w:p w14:paraId="066E6F1F" w14:textId="77777777" w:rsidR="006B0145" w:rsidRPr="00AC6120" w:rsidRDefault="006B0145" w:rsidP="006B0145">
      <w:pPr>
        <w:rPr>
          <w:highlight w:val="lightGray"/>
          <w:lang w:val="ru-RU"/>
        </w:rPr>
      </w:pPr>
      <w:r w:rsidRPr="00AC6120">
        <w:rPr>
          <w:lang w:val="ru-RU"/>
        </w:rPr>
        <w:t xml:space="preserve">На своих собраниях Группа подчеркивала, что </w:t>
      </w:r>
      <w:proofErr w:type="spellStart"/>
      <w:r w:rsidRPr="00AC6120">
        <w:rPr>
          <w:lang w:val="ru-RU"/>
        </w:rPr>
        <w:t>ВКРЭ</w:t>
      </w:r>
      <w:proofErr w:type="spellEnd"/>
      <w:r w:rsidRPr="00AC6120">
        <w:rPr>
          <w:lang w:val="ru-RU"/>
        </w:rPr>
        <w:t xml:space="preserve"> должна быть Конференцией, ориентированной на действия, в которой заинтересованные стороны могут вести интерактивные диалоги, чтобы выработать общее понимание существующих препятствий и продвигать результативные, устойчивые и инновационные решения для расширения реальных возможностей установления соединений для всех людей, где бы они ни находи везде.</w:t>
      </w:r>
      <w:r w:rsidRPr="00AC6120">
        <w:rPr>
          <w:highlight w:val="lightGray"/>
          <w:lang w:val="ru-RU"/>
        </w:rPr>
        <w:t xml:space="preserve"> </w:t>
      </w:r>
    </w:p>
    <w:p w14:paraId="55A9B58D" w14:textId="77777777" w:rsidR="006B0145" w:rsidRPr="00AC6120" w:rsidRDefault="006B0145" w:rsidP="006B0145">
      <w:pPr>
        <w:rPr>
          <w:highlight w:val="lightGray"/>
          <w:lang w:val="ru-RU"/>
        </w:rPr>
      </w:pPr>
      <w:r w:rsidRPr="00AC6120">
        <w:rPr>
          <w:lang w:val="ru-RU"/>
        </w:rPr>
        <w:t xml:space="preserve">Как отмечали многие, пандемия </w:t>
      </w:r>
      <w:proofErr w:type="spellStart"/>
      <w:r w:rsidRPr="00AC6120">
        <w:rPr>
          <w:lang w:val="ru-RU"/>
        </w:rPr>
        <w:t>COVID</w:t>
      </w:r>
      <w:proofErr w:type="spellEnd"/>
      <w:r w:rsidRPr="00AC6120">
        <w:rPr>
          <w:lang w:val="ru-RU"/>
        </w:rPr>
        <w:t xml:space="preserve">-19 указала на фундаментальную важность электросвязи и информационно-коммуникационных технологий (ИКТ) во всех аспектах жизни людей: здравоохранении, образовании, работе и развлечениях. Экономическое воздействие </w:t>
      </w:r>
      <w:proofErr w:type="spellStart"/>
      <w:r w:rsidRPr="00AC6120">
        <w:rPr>
          <w:lang w:val="ru-RU"/>
        </w:rPr>
        <w:t>COVID</w:t>
      </w:r>
      <w:proofErr w:type="spellEnd"/>
      <w:r w:rsidRPr="00AC6120">
        <w:rPr>
          <w:lang w:val="ru-RU"/>
        </w:rPr>
        <w:t>-19 в течение ряда лет будет влиять на путь к восстановлению экономики как в развитых, так и в развивающихся странах. Решающую роль в этом процессе восстановления будут играть электросвязь и ИКТ. МСЭ через свой Сектор развития электросвязи (МСЭ-D) способен играть ключевую роль в объединении стран в целях решения многих проблем, обусловленных влиянием пандемии на глобальную экономику.</w:t>
      </w:r>
    </w:p>
    <w:p w14:paraId="6AA6D263" w14:textId="77777777" w:rsidR="006B0145" w:rsidRPr="00AC6120" w:rsidRDefault="006B0145" w:rsidP="006B0145">
      <w:pPr>
        <w:rPr>
          <w:highlight w:val="lightGray"/>
          <w:lang w:val="ru-RU"/>
        </w:rPr>
      </w:pPr>
      <w:r w:rsidRPr="00AC6120">
        <w:rPr>
          <w:lang w:val="ru-RU"/>
        </w:rPr>
        <w:t xml:space="preserve">Участники Группы считают, что </w:t>
      </w:r>
      <w:proofErr w:type="spellStart"/>
      <w:r w:rsidRPr="00AC6120">
        <w:rPr>
          <w:lang w:val="ru-RU"/>
        </w:rPr>
        <w:t>ВКРЭ</w:t>
      </w:r>
      <w:proofErr w:type="spellEnd"/>
      <w:r w:rsidRPr="00AC6120">
        <w:rPr>
          <w:lang w:val="ru-RU"/>
        </w:rPr>
        <w:t xml:space="preserve">-21 дает бесценную возможность для того, чтобы чрезвычайно важная работа МСЭ-D заняла центральное место в усилиях по обеспечению доступа к приемлемой в ценовом отношении и высококачественной широкополосной связи для всех людей во всех странах. </w:t>
      </w:r>
      <w:r w:rsidRPr="00AC6120">
        <w:rPr>
          <w:rFonts w:cstheme="minorHAnsi"/>
          <w:lang w:val="ru-RU"/>
        </w:rPr>
        <w:t xml:space="preserve">В связи с этим процесс подготовки, структура и содержание </w:t>
      </w:r>
      <w:proofErr w:type="spellStart"/>
      <w:r w:rsidRPr="00AC6120">
        <w:rPr>
          <w:rFonts w:cstheme="minorHAnsi"/>
          <w:lang w:val="ru-RU"/>
        </w:rPr>
        <w:t>ВКРЭ</w:t>
      </w:r>
      <w:proofErr w:type="spellEnd"/>
      <w:r w:rsidRPr="00AC6120">
        <w:rPr>
          <w:rFonts w:cstheme="minorHAnsi"/>
          <w:lang w:val="ru-RU"/>
        </w:rPr>
        <w:t xml:space="preserve"> должны быть направлены на обеспечение того, чтобы никто не был забыт.</w:t>
      </w:r>
    </w:p>
    <w:p w14:paraId="4CC75F61" w14:textId="77777777" w:rsidR="006B0145" w:rsidRPr="001D15D9" w:rsidRDefault="006B0145" w:rsidP="001D15D9">
      <w:r w:rsidRPr="001D15D9">
        <w:br w:type="page"/>
      </w:r>
    </w:p>
    <w:p w14:paraId="1CE21CF3" w14:textId="0C0F94AD" w:rsidR="006B0145" w:rsidRPr="00AC6120" w:rsidRDefault="006B0145" w:rsidP="006B0145">
      <w:pPr>
        <w:pStyle w:val="Headingb"/>
        <w:spacing w:after="120"/>
        <w:rPr>
          <w:szCs w:val="22"/>
          <w:highlight w:val="lightGray"/>
          <w:lang w:val="ru-RU"/>
        </w:rPr>
      </w:pPr>
      <w:r w:rsidRPr="00AC6120">
        <w:rPr>
          <w:lang w:val="ru-RU"/>
        </w:rPr>
        <w:lastRenderedPageBreak/>
        <w:t>Раздел I – Процесс подготовки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0145" w:rsidRPr="00AC6120" w14:paraId="4660C456" w14:textId="77777777" w:rsidTr="00B7442D">
        <w:tc>
          <w:tcPr>
            <w:tcW w:w="9776" w:type="dxa"/>
            <w:shd w:val="clear" w:color="auto" w:fill="9BE5FF"/>
          </w:tcPr>
          <w:p w14:paraId="297D48DB" w14:textId="2D767305" w:rsidR="006B0145" w:rsidRPr="00AC6120" w:rsidRDefault="006B0145" w:rsidP="006B1F9C">
            <w:pPr>
              <w:pStyle w:val="enumlev1"/>
              <w:spacing w:after="80"/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>•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 xml:space="preserve">рассмотреть предварительные предложения для </w:t>
            </w:r>
            <w:proofErr w:type="spellStart"/>
            <w:r w:rsidRPr="00AC6120">
              <w:rPr>
                <w:b/>
                <w:bCs/>
                <w:lang w:val="ru-RU"/>
              </w:rPr>
              <w:t>ВКРЭ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 по процессу подготовки </w:t>
            </w:r>
            <w:proofErr w:type="spellStart"/>
            <w:r w:rsidRPr="00AC6120">
              <w:rPr>
                <w:b/>
                <w:bCs/>
                <w:lang w:val="ru-RU"/>
              </w:rPr>
              <w:t>ВКРЭ</w:t>
            </w:r>
            <w:proofErr w:type="spellEnd"/>
            <w:r w:rsidR="001D15D9">
              <w:rPr>
                <w:b/>
                <w:bCs/>
                <w:lang w:val="ru-RU"/>
              </w:rPr>
              <w:noBreakHyphen/>
            </w:r>
            <w:r w:rsidRPr="00AC6120">
              <w:rPr>
                <w:b/>
                <w:bCs/>
                <w:lang w:val="ru-RU"/>
              </w:rPr>
              <w:t xml:space="preserve">21, в том числе ответы на обследование </w:t>
            </w:r>
            <w:proofErr w:type="spellStart"/>
            <w:r w:rsidRPr="00AC6120">
              <w:rPr>
                <w:b/>
                <w:bCs/>
                <w:lang w:val="ru-RU"/>
              </w:rPr>
              <w:t>БРЭ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 по вопросу реформирования </w:t>
            </w:r>
            <w:proofErr w:type="spellStart"/>
            <w:r w:rsidRPr="00AC6120">
              <w:rPr>
                <w:b/>
                <w:bCs/>
                <w:lang w:val="ru-RU"/>
              </w:rPr>
              <w:t>ВКРЭ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, которое обсуждалось в ходе двух веб-диалогов </w:t>
            </w:r>
            <w:proofErr w:type="spellStart"/>
            <w:r w:rsidRPr="00AC6120">
              <w:rPr>
                <w:b/>
                <w:bCs/>
                <w:lang w:val="ru-RU"/>
              </w:rPr>
              <w:t>КГРЭ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, а также любые другие соответствующие вклады членов к виртуальному собранию </w:t>
            </w:r>
            <w:proofErr w:type="spellStart"/>
            <w:r w:rsidRPr="00AC6120">
              <w:rPr>
                <w:b/>
                <w:bCs/>
                <w:lang w:val="ru-RU"/>
              </w:rPr>
              <w:t>КГРЭ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-20 по </w:t>
            </w:r>
            <w:proofErr w:type="spellStart"/>
            <w:r w:rsidRPr="00AC6120">
              <w:rPr>
                <w:b/>
                <w:bCs/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>;</w:t>
            </w:r>
          </w:p>
        </w:tc>
      </w:tr>
      <w:tr w:rsidR="006B0145" w:rsidRPr="00AC6120" w14:paraId="35BDB1F0" w14:textId="77777777" w:rsidTr="00B7442D">
        <w:tc>
          <w:tcPr>
            <w:tcW w:w="9776" w:type="dxa"/>
          </w:tcPr>
          <w:p w14:paraId="0958FBBA" w14:textId="77777777" w:rsidR="006B0145" w:rsidRPr="00AC6120" w:rsidRDefault="006B0145" w:rsidP="006B014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rPr>
                <w:szCs w:val="22"/>
                <w:highlight w:val="lightGray"/>
                <w:lang w:val="ru-RU"/>
              </w:rPr>
            </w:pPr>
            <w:r w:rsidRPr="00AC6120">
              <w:rPr>
                <w:szCs w:val="22"/>
                <w:lang w:val="ru-RU"/>
              </w:rPr>
              <w:t>--</w:t>
            </w:r>
          </w:p>
        </w:tc>
      </w:tr>
    </w:tbl>
    <w:p w14:paraId="496013D6" w14:textId="77777777" w:rsidR="006B0145" w:rsidRPr="00AC6120" w:rsidRDefault="006B0145" w:rsidP="006B014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rPr>
          <w:szCs w:val="22"/>
          <w:highlight w:val="lightGray"/>
          <w:lang w:val="ru-R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0145" w:rsidRPr="00AC6120" w14:paraId="5D480A3D" w14:textId="77777777" w:rsidTr="00B7442D">
        <w:tc>
          <w:tcPr>
            <w:tcW w:w="9776" w:type="dxa"/>
            <w:shd w:val="clear" w:color="auto" w:fill="9BE5FF"/>
          </w:tcPr>
          <w:p w14:paraId="05E5D5CF" w14:textId="77777777" w:rsidR="006B0145" w:rsidRPr="00AC6120" w:rsidRDefault="006B0145" w:rsidP="006B1F9C">
            <w:pPr>
              <w:pStyle w:val="enumlev1"/>
              <w:spacing w:after="80"/>
              <w:rPr>
                <w:lang w:val="ru-RU"/>
              </w:rPr>
            </w:pPr>
            <w:r w:rsidRPr="00AC6120">
              <w:rPr>
                <w:lang w:val="ru-RU"/>
              </w:rPr>
              <w:t>•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 xml:space="preserve">на основе консультаций с членами МСЭ и Бюро </w:t>
            </w:r>
            <w:proofErr w:type="spellStart"/>
            <w:r w:rsidRPr="00AC6120">
              <w:rPr>
                <w:b/>
                <w:bCs/>
                <w:lang w:val="ru-RU"/>
              </w:rPr>
              <w:t>КГРЭ</w:t>
            </w:r>
            <w:proofErr w:type="spellEnd"/>
            <w:r w:rsidRPr="00AC6120">
              <w:rPr>
                <w:b/>
                <w:bCs/>
                <w:lang w:val="ru-RU"/>
              </w:rPr>
              <w:t xml:space="preserve"> разработать рекомендации в отношении подготовки подготовительных собраний и мероприятий перед Конференцией</w:t>
            </w:r>
            <w:r w:rsidRPr="00AC6120">
              <w:rPr>
                <w:lang w:val="ru-RU"/>
              </w:rPr>
              <w:t>;</w:t>
            </w:r>
          </w:p>
        </w:tc>
      </w:tr>
      <w:tr w:rsidR="006B0145" w:rsidRPr="00AC6120" w14:paraId="6DB9AF67" w14:textId="77777777" w:rsidTr="00B7442D">
        <w:tc>
          <w:tcPr>
            <w:tcW w:w="9776" w:type="dxa"/>
          </w:tcPr>
          <w:p w14:paraId="2FBDAE29" w14:textId="77777777" w:rsidR="006B0145" w:rsidRPr="001D15D9" w:rsidRDefault="006B0145" w:rsidP="006B0145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>Сколько межрегиональных координационных собраний (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>) следует проводить и когда</w:t>
            </w:r>
            <w:r w:rsidRPr="001D15D9">
              <w:rPr>
                <w:b w:val="0"/>
                <w:bCs/>
                <w:lang w:val="ru-RU"/>
              </w:rPr>
              <w:t xml:space="preserve">? </w:t>
            </w:r>
          </w:p>
          <w:p w14:paraId="1ACF393B" w14:textId="100744BC" w:rsidR="006B0145" w:rsidRPr="00AC6120" w:rsidRDefault="006B0145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>Рабочая группа рекомендует не менее двух и не более трех межрегиональных собраний.</w:t>
            </w:r>
          </w:p>
          <w:p w14:paraId="1AD35A36" w14:textId="77777777" w:rsidR="006B0145" w:rsidRPr="00AC6120" w:rsidRDefault="006B0145" w:rsidP="006B1F9C">
            <w:pPr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Рабочая группа рекомендует также проводить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вплотную к </w:t>
            </w:r>
            <w:proofErr w:type="spellStart"/>
            <w:r w:rsidRPr="00AC6120">
              <w:rPr>
                <w:lang w:val="ru-RU"/>
              </w:rPr>
              <w:t>РПС</w:t>
            </w:r>
            <w:proofErr w:type="spellEnd"/>
            <w:r w:rsidRPr="00AC6120">
              <w:rPr>
                <w:lang w:val="ru-RU"/>
              </w:rPr>
              <w:t xml:space="preserve"> при условии дальнейшего обсуждения этого вопроса между РОЭ на основе консультаций и координации с </w:t>
            </w:r>
            <w:proofErr w:type="spellStart"/>
            <w:r w:rsidRPr="00AC6120">
              <w:rPr>
                <w:lang w:val="ru-RU"/>
              </w:rPr>
              <w:t>БРЭ</w:t>
            </w:r>
            <w:proofErr w:type="spellEnd"/>
            <w:r w:rsidRPr="00AC6120">
              <w:rPr>
                <w:lang w:val="ru-RU"/>
              </w:rPr>
              <w:t>.</w:t>
            </w:r>
          </w:p>
          <w:p w14:paraId="393891EC" w14:textId="77777777" w:rsidR="006B0145" w:rsidRPr="001D15D9" w:rsidRDefault="006B0145" w:rsidP="006B0145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Каким должен быть формат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1D15D9">
              <w:rPr>
                <w:b w:val="0"/>
                <w:bCs/>
                <w:lang w:val="ru-RU"/>
              </w:rPr>
              <w:t>?</w:t>
            </w:r>
          </w:p>
          <w:p w14:paraId="4A42EF70" w14:textId="77777777" w:rsidR="006B0145" w:rsidRPr="00AC6120" w:rsidRDefault="006B0145" w:rsidP="006B1F9C">
            <w:pPr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Группа рекомендует, чтобы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по возможности способствовали личному и дистанционному участию на равной основе и стремились к выработке общей позиции по ключевым вопросам, которые должны обсуждаться на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-21, с соблюдением суверенного права каждого Государства-Члена представлять на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>-21 собственные вклады.</w:t>
            </w:r>
          </w:p>
          <w:p w14:paraId="04E87A53" w14:textId="77777777" w:rsidR="006B0145" w:rsidRPr="001D15D9" w:rsidRDefault="006B0145" w:rsidP="006B0145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Что должно входить в повестку дня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1D15D9">
              <w:rPr>
                <w:b w:val="0"/>
                <w:bCs/>
                <w:lang w:val="ru-RU"/>
              </w:rPr>
              <w:t xml:space="preserve">? </w:t>
            </w:r>
          </w:p>
          <w:p w14:paraId="65A98570" w14:textId="77777777" w:rsidR="006B0145" w:rsidRPr="00AC6120" w:rsidRDefault="006B0145" w:rsidP="006B1F9C">
            <w:pPr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Группа рекомендует разработать повестку дня на основе поступивших от </w:t>
            </w:r>
            <w:proofErr w:type="spellStart"/>
            <w:r w:rsidRPr="00AC6120">
              <w:rPr>
                <w:lang w:val="ru-RU"/>
              </w:rPr>
              <w:t>РПС</w:t>
            </w:r>
            <w:proofErr w:type="spellEnd"/>
            <w:r w:rsidRPr="00AC6120">
              <w:rPr>
                <w:lang w:val="ru-RU"/>
              </w:rPr>
              <w:t xml:space="preserve"> предложений, а также предложений от Государств-Членов, Членов Сектора, региональных организаций электросвязи, </w:t>
            </w:r>
            <w:proofErr w:type="spellStart"/>
            <w:r w:rsidRPr="00AC6120">
              <w:rPr>
                <w:lang w:val="ru-RU"/>
              </w:rPr>
              <w:t>БРЭ</w:t>
            </w:r>
            <w:proofErr w:type="spellEnd"/>
            <w:r w:rsidRPr="00AC6120">
              <w:rPr>
                <w:lang w:val="ru-RU"/>
              </w:rPr>
              <w:t xml:space="preserve"> и других заинтересованных сторон, в зависимости от случая, которая охватывала бы ключевые темы, требующие координации и консенсуса между разными регионами.</w:t>
            </w:r>
          </w:p>
          <w:p w14:paraId="3370F7E0" w14:textId="77777777" w:rsidR="006B0145" w:rsidRPr="001D15D9" w:rsidRDefault="006B0145" w:rsidP="006B0145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Следует ли ограничивать участие в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и, если да, сколько представителей от каждого региона должны присутствовать на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1D15D9">
              <w:rPr>
                <w:b w:val="0"/>
                <w:bCs/>
                <w:lang w:val="ru-RU"/>
              </w:rPr>
              <w:t>?</w:t>
            </w:r>
          </w:p>
          <w:p w14:paraId="6DFB6A87" w14:textId="6EAE6EC7" w:rsidR="006B0145" w:rsidRPr="00AC6120" w:rsidRDefault="00B10D8C" w:rsidP="006B1F9C">
            <w:pPr>
              <w:rPr>
                <w:szCs w:val="22"/>
                <w:lang w:val="ru-RU"/>
              </w:rPr>
            </w:pPr>
            <w:r w:rsidRPr="00AC6120">
              <w:rPr>
                <w:lang w:val="ru-RU"/>
              </w:rPr>
              <w:t>На основании предложения Рабочей группы собрание</w:t>
            </w:r>
            <w:r w:rsidR="006B0145" w:rsidRPr="00AC6120">
              <w:rPr>
                <w:lang w:val="ru-RU"/>
              </w:rPr>
              <w:t xml:space="preserve"> </w:t>
            </w:r>
            <w:proofErr w:type="spellStart"/>
            <w:r w:rsidR="006B1F9C" w:rsidRPr="00AC6120">
              <w:rPr>
                <w:lang w:val="ru-RU"/>
              </w:rPr>
              <w:t>КГРЭ</w:t>
            </w:r>
            <w:proofErr w:type="spellEnd"/>
            <w:r w:rsidR="006B0145" w:rsidRPr="00AC6120">
              <w:rPr>
                <w:lang w:val="ru-RU"/>
              </w:rPr>
              <w:t>-20/3</w:t>
            </w:r>
            <w:r w:rsidRPr="00AC6120">
              <w:rPr>
                <w:lang w:val="ru-RU"/>
              </w:rPr>
              <w:t xml:space="preserve"> приняло решение, что участие в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будет открыто для всех Членов </w:t>
            </w:r>
            <w:r w:rsidR="006B1F9C" w:rsidRPr="00AC6120">
              <w:rPr>
                <w:lang w:val="ru-RU"/>
              </w:rPr>
              <w:t>МСЭ</w:t>
            </w:r>
            <w:r w:rsidR="006B0145" w:rsidRPr="00AC6120">
              <w:rPr>
                <w:lang w:val="ru-RU"/>
              </w:rPr>
              <w:t>-D</w:t>
            </w:r>
            <w:r w:rsidRPr="00AC6120">
              <w:rPr>
                <w:lang w:val="ru-RU"/>
              </w:rPr>
              <w:t>, и что каждая РОЭ должна принять решение, кто будет</w:t>
            </w:r>
            <w:r w:rsidR="00DB2E1E" w:rsidRPr="00AC6120">
              <w:rPr>
                <w:lang w:val="ru-RU"/>
              </w:rPr>
              <w:t xml:space="preserve"> выступать от имени</w:t>
            </w:r>
            <w:r w:rsidRPr="00AC6120">
              <w:rPr>
                <w:lang w:val="ru-RU"/>
              </w:rPr>
              <w:t xml:space="preserve"> регион</w:t>
            </w:r>
            <w:r w:rsidR="00DB2E1E" w:rsidRPr="00AC6120">
              <w:rPr>
                <w:lang w:val="ru-RU"/>
              </w:rPr>
              <w:t>а</w:t>
            </w:r>
            <w:r w:rsidRPr="00AC6120">
              <w:rPr>
                <w:lang w:val="ru-RU"/>
              </w:rPr>
              <w:t>. Выступающие могут, к примеру, включать представителей правительственных структур, регуляторных и директивных органов, гражданского общества, академических организаций, сообщества технических экспертов по вопросам интернета, молодежи, организаций по вопросам гендерного равенства и других.</w:t>
            </w:r>
            <w:r w:rsidR="006B0145" w:rsidRPr="00AC6120">
              <w:rPr>
                <w:lang w:val="ru-RU"/>
              </w:rPr>
              <w:t xml:space="preserve"> </w:t>
            </w:r>
          </w:p>
          <w:p w14:paraId="501BDD51" w14:textId="77777777" w:rsidR="006B0145" w:rsidRPr="001D15D9" w:rsidRDefault="006B0145" w:rsidP="006B0145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 будет определяться председательство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1D15D9">
              <w:rPr>
                <w:b w:val="0"/>
                <w:bCs/>
                <w:lang w:val="ru-RU"/>
              </w:rPr>
              <w:t>?</w:t>
            </w:r>
          </w:p>
          <w:p w14:paraId="58065E2A" w14:textId="77777777" w:rsidR="006B0145" w:rsidRPr="00AC6120" w:rsidRDefault="006B0145" w:rsidP="006B1F9C">
            <w:pPr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Группа предлагает, чтобы был один председатель, предпочтительно председатель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-21, и шесть заместителей председателя, предпочтительно те, которые отвечают за координацию процесса подготовки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 в соответствующих РОЭ.</w:t>
            </w:r>
          </w:p>
          <w:p w14:paraId="07576720" w14:textId="77777777" w:rsidR="006B0145" w:rsidRPr="001D15D9" w:rsidRDefault="006B0145" w:rsidP="006B1F9C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Какие следует принять меры для обеспечения надлежащего планирования и координации между </w:t>
            </w:r>
            <w:proofErr w:type="spellStart"/>
            <w:r w:rsidRPr="00AC6120">
              <w:rPr>
                <w:lang w:val="ru-RU"/>
              </w:rPr>
              <w:t>РПС</w:t>
            </w:r>
            <w:proofErr w:type="spellEnd"/>
            <w:r w:rsidRPr="00AC6120">
              <w:rPr>
                <w:lang w:val="ru-RU"/>
              </w:rPr>
              <w:t xml:space="preserve">,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и подготовительными собраниями РОЭ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3F1BDF63" w14:textId="77777777" w:rsidR="006B0145" w:rsidRPr="00AC6120" w:rsidRDefault="006B0145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 xml:space="preserve">Группа рекомендует учесть при планировании и в работе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передовой опыт (в плане подготовки) других конференций МСЭ.</w:t>
            </w:r>
          </w:p>
          <w:p w14:paraId="2B55AB9D" w14:textId="77777777" w:rsidR="006B0145" w:rsidRPr="00AC6120" w:rsidRDefault="006B0145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 xml:space="preserve">Что касается координации между </w:t>
            </w:r>
            <w:proofErr w:type="spellStart"/>
            <w:r w:rsidRPr="00AC6120">
              <w:rPr>
                <w:lang w:val="ru-RU"/>
              </w:rPr>
              <w:t>РПС</w:t>
            </w:r>
            <w:proofErr w:type="spellEnd"/>
            <w:r w:rsidRPr="00AC6120">
              <w:rPr>
                <w:lang w:val="ru-RU"/>
              </w:rPr>
              <w:t xml:space="preserve"> и </w:t>
            </w:r>
            <w:proofErr w:type="spellStart"/>
            <w:r w:rsidRPr="00AC6120">
              <w:rPr>
                <w:lang w:val="ru-RU"/>
              </w:rPr>
              <w:t>МРС</w:t>
            </w:r>
            <w:proofErr w:type="spellEnd"/>
            <w:r w:rsidRPr="00AC6120">
              <w:rPr>
                <w:lang w:val="ru-RU"/>
              </w:rPr>
              <w:t xml:space="preserve"> и РОЭ, каждый регион назначит своих координаторов, при этом секретариату РОЭ будет разрешено играть общую координирующую роль.</w:t>
            </w:r>
          </w:p>
          <w:p w14:paraId="10A566ED" w14:textId="77777777" w:rsidR="006B0145" w:rsidRPr="00AC6120" w:rsidRDefault="006B0145" w:rsidP="006B1F9C">
            <w:pPr>
              <w:rPr>
                <w:rFonts w:cstheme="minorHAnsi"/>
                <w:highlight w:val="lightGray"/>
                <w:lang w:val="ru-RU"/>
              </w:rPr>
            </w:pPr>
            <w:r w:rsidRPr="00AC6120">
              <w:rPr>
                <w:lang w:val="ru-RU"/>
              </w:rPr>
              <w:lastRenderedPageBreak/>
              <w:t>Региональный процесс подготовки следует сосредоточить на определении региональных приоритетов/инициатив, на пересмотре или подготовке проектов Резолюций, что занимает много времени, на рассмотрении вопросов, касающихся исследовательских комиссий и групп Докладчиков, и на разработке руководящих принципов и текста для Декларации.</w:t>
            </w:r>
          </w:p>
          <w:p w14:paraId="346A511D" w14:textId="77777777" w:rsidR="006B0145" w:rsidRPr="001D15D9" w:rsidRDefault="006B0145" w:rsidP="006B1F9C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 следует пропагандировать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noBreakHyphen/>
              <w:t>21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6DB69628" w14:textId="77777777" w:rsidR="006B0145" w:rsidRPr="00AC6120" w:rsidRDefault="006B0145" w:rsidP="006B1F9C">
            <w:pPr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Рабочая группа призывает </w:t>
            </w: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 xml:space="preserve">-20/3 рекомендовать надлежащие механизмы для содействия пропагандированию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>-21 среди членов МСЭ, в системе ООН, среди международных финансовых учреждений и всех соответствующих заинтересованных сторон.</w:t>
            </w:r>
          </w:p>
          <w:p w14:paraId="10AB6775" w14:textId="77777777" w:rsidR="006B0145" w:rsidRPr="001D15D9" w:rsidRDefault="006B0145" w:rsidP="006B1F9C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Какие другие представительные форумы можно использовать для повышения осведомленности о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 и заинтересованности в ней, и как МСЭ следует этого добиваться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1AACAEC6" w14:textId="77777777" w:rsidR="006B0145" w:rsidRPr="00AC6120" w:rsidRDefault="006B0145" w:rsidP="006B1F9C">
            <w:pPr>
              <w:spacing w:after="120"/>
              <w:rPr>
                <w:lang w:val="ru-RU"/>
              </w:rPr>
            </w:pPr>
            <w:r w:rsidRPr="00AC6120">
              <w:rPr>
                <w:lang w:val="ru-RU"/>
              </w:rPr>
              <w:t>См. предыдущий раздел.</w:t>
            </w:r>
          </w:p>
        </w:tc>
      </w:tr>
    </w:tbl>
    <w:p w14:paraId="078AFB95" w14:textId="77777777" w:rsidR="006B0145" w:rsidRPr="00AC6120" w:rsidRDefault="006B0145" w:rsidP="006B1F9C">
      <w:pPr>
        <w:pStyle w:val="Headingb"/>
        <w:spacing w:after="120"/>
        <w:rPr>
          <w:sz w:val="20"/>
          <w:highlight w:val="lightGray"/>
          <w:lang w:val="ru-RU"/>
        </w:rPr>
      </w:pPr>
      <w:r w:rsidRPr="00AC6120">
        <w:rPr>
          <w:lang w:val="ru-RU"/>
        </w:rPr>
        <w:lastRenderedPageBreak/>
        <w:t>Раздел II – Организация Конференции, в том числе содержание, тематические сегменты, темы и заинтересованные стороны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0145" w:rsidRPr="00AC6120" w14:paraId="74B1FCDC" w14:textId="77777777" w:rsidTr="00B7442D">
        <w:tc>
          <w:tcPr>
            <w:tcW w:w="9776" w:type="dxa"/>
            <w:shd w:val="clear" w:color="auto" w:fill="9BE5FF"/>
          </w:tcPr>
          <w:p w14:paraId="79E22BA9" w14:textId="77777777" w:rsidR="006B0145" w:rsidRPr="00AC6120" w:rsidRDefault="006B0145" w:rsidP="006B1F9C">
            <w:pPr>
              <w:pStyle w:val="enumlev1"/>
              <w:spacing w:after="80"/>
              <w:rPr>
                <w:lang w:val="ru-RU"/>
              </w:rPr>
            </w:pPr>
            <w:r w:rsidRPr="00AC6120">
              <w:rPr>
                <w:lang w:val="ru-RU"/>
              </w:rPr>
              <w:t>•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>разработать предложения и вынести рекомендации, которые могли бы улучшить организацию Конференции, включая</w:t>
            </w:r>
            <w:r w:rsidRPr="00AC6120">
              <w:rPr>
                <w:lang w:val="ru-RU"/>
              </w:rPr>
              <w:t>:</w:t>
            </w:r>
          </w:p>
        </w:tc>
      </w:tr>
      <w:tr w:rsidR="006B1F9C" w:rsidRPr="00AC6120" w14:paraId="55783314" w14:textId="77777777" w:rsidTr="006B1F9C">
        <w:tc>
          <w:tcPr>
            <w:tcW w:w="9776" w:type="dxa"/>
            <w:tcBorders>
              <w:bottom w:val="nil"/>
            </w:tcBorders>
            <w:shd w:val="clear" w:color="auto" w:fill="9BE5FF"/>
          </w:tcPr>
          <w:p w14:paraId="7C56A9C5" w14:textId="77777777" w:rsidR="006B1F9C" w:rsidRPr="00AC6120" w:rsidRDefault="006B1F9C" w:rsidP="006B1F9C">
            <w:pPr>
              <w:pStyle w:val="enumlev1"/>
              <w:rPr>
                <w:highlight w:val="lightGray"/>
                <w:lang w:val="ru-RU"/>
              </w:rPr>
            </w:pPr>
            <w:r w:rsidRPr="00AC6120">
              <w:rPr>
                <w:lang w:val="ru-RU"/>
              </w:rPr>
              <w:t>−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>содержание Конференции</w:t>
            </w:r>
            <w:r w:rsidRPr="00AC6120">
              <w:rPr>
                <w:lang w:val="ru-RU"/>
              </w:rPr>
              <w:t>;</w:t>
            </w:r>
          </w:p>
          <w:p w14:paraId="0AA77676" w14:textId="7B21B99F" w:rsidR="006B1F9C" w:rsidRPr="00AC6120" w:rsidRDefault="006B1F9C" w:rsidP="006B1F9C">
            <w:pPr>
              <w:pStyle w:val="enumlev1"/>
              <w:spacing w:after="80"/>
              <w:rPr>
                <w:lang w:val="ru-RU"/>
              </w:rPr>
            </w:pPr>
            <w:r w:rsidRPr="00AC6120">
              <w:rPr>
                <w:lang w:val="ru-RU"/>
              </w:rPr>
              <w:t>−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>рассмотрение тематических сегментов</w:t>
            </w:r>
            <w:r w:rsidRPr="00AC6120">
              <w:rPr>
                <w:lang w:val="ru-RU"/>
              </w:rPr>
              <w:t>;</w:t>
            </w:r>
          </w:p>
        </w:tc>
      </w:tr>
      <w:tr w:rsidR="006B1F9C" w:rsidRPr="00AC6120" w14:paraId="2F06ECC0" w14:textId="77777777" w:rsidTr="006B1F9C">
        <w:tc>
          <w:tcPr>
            <w:tcW w:w="9776" w:type="dxa"/>
            <w:tcBorders>
              <w:top w:val="nil"/>
              <w:bottom w:val="nil"/>
            </w:tcBorders>
          </w:tcPr>
          <w:p w14:paraId="5AD8D44F" w14:textId="77777777" w:rsidR="006B1F9C" w:rsidRPr="001D15D9" w:rsidRDefault="006B1F9C" w:rsidP="006B1F9C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>Следует ли изменить сегмент высокого уровня и, если да, какую форму он должен принять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4B55D369" w14:textId="77777777" w:rsidR="006B1F9C" w:rsidRPr="00AC6120" w:rsidRDefault="006B1F9C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>Предложение Рабочей группы заключается в следующем:</w:t>
            </w:r>
          </w:p>
          <w:p w14:paraId="369C2E86" w14:textId="77777777" w:rsidR="006B1F9C" w:rsidRPr="00AC6120" w:rsidRDefault="006B1F9C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>Сегмент высокого уровня и общеполитические заявления высокого уровня могут входить в сегмент развития, который включал бы проводимые на уровне старшего руководящего состава дискуссионные группы, круглые столы и тематические обсуждения вопросов развития, связанных с выполнением Плана действий и разработкой нового Плана действий.</w:t>
            </w:r>
          </w:p>
          <w:p w14:paraId="20B19A2E" w14:textId="77777777" w:rsidR="006B1F9C" w:rsidRPr="00AC6120" w:rsidRDefault="006B1F9C" w:rsidP="006B1F9C">
            <w:pPr>
              <w:rPr>
                <w:rFonts w:cstheme="minorHAnsi"/>
                <w:highlight w:val="lightGray"/>
                <w:lang w:val="ru-RU"/>
              </w:rPr>
            </w:pPr>
            <w:r w:rsidRPr="00AC6120">
              <w:rPr>
                <w:lang w:val="ru-RU"/>
              </w:rPr>
              <w:t xml:space="preserve">Сегменты высокого уровня не должны отнимать рабочее время у пленарных заседаний и комитетов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t xml:space="preserve"> и их соответствующих групп.</w:t>
            </w:r>
          </w:p>
          <w:p w14:paraId="5874A5D6" w14:textId="77777777" w:rsidR="006B1F9C" w:rsidRPr="00AC6120" w:rsidRDefault="006B1F9C" w:rsidP="006B1F9C">
            <w:pPr>
              <w:pStyle w:val="Headingb"/>
              <w:rPr>
                <w:lang w:val="ru-RU"/>
              </w:rPr>
            </w:pPr>
            <w:r w:rsidRPr="00AC6120">
              <w:rPr>
                <w:lang w:val="ru-RU"/>
              </w:rPr>
              <w:t>Представление предложений по тематическим сегментам, который могут быть включены в структуру Конференции</w:t>
            </w:r>
          </w:p>
          <w:p w14:paraId="23632ECB" w14:textId="50A91E37" w:rsidR="006B1F9C" w:rsidRPr="00AC6120" w:rsidRDefault="006B1F9C" w:rsidP="006B1F9C">
            <w:pPr>
              <w:rPr>
                <w:lang w:val="ru-RU"/>
              </w:rPr>
            </w:pPr>
            <w:r w:rsidRPr="00AC6120">
              <w:rPr>
                <w:lang w:val="ru-RU"/>
              </w:rPr>
              <w:t>Группа рекомендует, чтобы тематические сегменты отражали тематические приоритеты МСЭ-D.</w:t>
            </w:r>
          </w:p>
        </w:tc>
      </w:tr>
      <w:tr w:rsidR="006B1F9C" w:rsidRPr="00AC6120" w14:paraId="1370DBC1" w14:textId="77777777" w:rsidTr="007F415A">
        <w:tc>
          <w:tcPr>
            <w:tcW w:w="9776" w:type="dxa"/>
            <w:tcBorders>
              <w:top w:val="nil"/>
              <w:bottom w:val="nil"/>
            </w:tcBorders>
            <w:shd w:val="clear" w:color="auto" w:fill="9BE5FF"/>
          </w:tcPr>
          <w:p w14:paraId="149AD883" w14:textId="24D80101" w:rsidR="006B1F9C" w:rsidRPr="00AC6120" w:rsidRDefault="006B1F9C" w:rsidP="007F415A">
            <w:pPr>
              <w:pStyle w:val="enumlev1"/>
              <w:spacing w:after="80"/>
              <w:rPr>
                <w:lang w:val="ru-RU"/>
              </w:rPr>
            </w:pPr>
            <w:r w:rsidRPr="00AC6120">
              <w:rPr>
                <w:lang w:val="ru-RU"/>
              </w:rPr>
              <w:t>−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>определение темы (тем) Конференции</w:t>
            </w:r>
            <w:r w:rsidRPr="00AC6120">
              <w:rPr>
                <w:lang w:val="ru-RU"/>
              </w:rPr>
              <w:t>;</w:t>
            </w:r>
          </w:p>
        </w:tc>
      </w:tr>
      <w:tr w:rsidR="006B1F9C" w:rsidRPr="00AC6120" w14:paraId="4EC193EC" w14:textId="77777777" w:rsidTr="006B1F9C">
        <w:tc>
          <w:tcPr>
            <w:tcW w:w="9776" w:type="dxa"/>
            <w:tcBorders>
              <w:top w:val="nil"/>
              <w:bottom w:val="nil"/>
            </w:tcBorders>
          </w:tcPr>
          <w:p w14:paraId="0182B681" w14:textId="77777777" w:rsidR="006B1F9C" w:rsidRPr="001D15D9" w:rsidRDefault="006B1F9C" w:rsidP="006B1F9C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Какую тему или какие темы (связанные с проблемами развития и приоритетами членов) следует принять для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noBreakHyphen/>
              <w:t>21 и как эта тема (эти темы) должны соотноситься с содержанием и структурой Конференции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4D982228" w14:textId="0A3C48AE" w:rsidR="007F415A" w:rsidRPr="00AC6120" w:rsidRDefault="0019048C" w:rsidP="007F415A">
            <w:pPr>
              <w:rPr>
                <w:lang w:val="ru-RU"/>
              </w:rPr>
            </w:pPr>
            <w:r w:rsidRPr="00AC6120">
              <w:rPr>
                <w:rFonts w:cstheme="minorHAnsi"/>
                <w:bCs/>
                <w:szCs w:val="24"/>
                <w:lang w:val="ru-RU"/>
              </w:rPr>
              <w:t xml:space="preserve">На основании предложения Рабочей группы собрание </w:t>
            </w:r>
            <w:proofErr w:type="spellStart"/>
            <w:r w:rsidRPr="00AC6120">
              <w:rPr>
                <w:rFonts w:cstheme="minorHAnsi"/>
                <w:bCs/>
                <w:szCs w:val="24"/>
                <w:lang w:val="ru-RU"/>
              </w:rPr>
              <w:t>КГРЭ</w:t>
            </w:r>
            <w:proofErr w:type="spellEnd"/>
            <w:r w:rsidRPr="00AC6120">
              <w:rPr>
                <w:rFonts w:cstheme="minorHAnsi"/>
                <w:bCs/>
                <w:szCs w:val="24"/>
                <w:lang w:val="ru-RU"/>
              </w:rPr>
              <w:t xml:space="preserve">-20/3 приняло решение, что темой </w:t>
            </w:r>
            <w:proofErr w:type="spellStart"/>
            <w:r w:rsidRPr="00AC6120">
              <w:rPr>
                <w:rFonts w:cstheme="minorHAnsi"/>
                <w:bCs/>
                <w:szCs w:val="24"/>
                <w:lang w:val="ru-RU"/>
              </w:rPr>
              <w:t>ВКРЭ</w:t>
            </w:r>
            <w:proofErr w:type="spellEnd"/>
            <w:r w:rsidR="00D76D4A">
              <w:rPr>
                <w:rFonts w:cstheme="minorHAnsi"/>
                <w:bCs/>
                <w:szCs w:val="24"/>
                <w:lang w:val="ru-RU"/>
              </w:rPr>
              <w:noBreakHyphen/>
            </w:r>
            <w:r w:rsidRPr="00AC6120">
              <w:rPr>
                <w:rFonts w:cstheme="minorHAnsi"/>
                <w:bCs/>
                <w:szCs w:val="24"/>
                <w:lang w:val="ru-RU"/>
              </w:rPr>
              <w:t>21 будет:</w:t>
            </w:r>
          </w:p>
          <w:p w14:paraId="26E8DF0C" w14:textId="7365D5BB" w:rsidR="006B1F9C" w:rsidRPr="00AC6120" w:rsidRDefault="0019048C" w:rsidP="007F415A">
            <w:pPr>
              <w:rPr>
                <w:lang w:val="ru-RU"/>
              </w:rPr>
            </w:pPr>
            <w:r w:rsidRPr="00AC6120">
              <w:rPr>
                <w:lang w:val="ru-RU"/>
              </w:rPr>
              <w:t>П</w:t>
            </w:r>
            <w:r w:rsidR="007F415A" w:rsidRPr="00AC6120">
              <w:rPr>
                <w:lang w:val="ru-RU"/>
              </w:rPr>
              <w:t>одключение тех, кто не подключен, для достижения устойчивого развития.</w:t>
            </w:r>
          </w:p>
        </w:tc>
      </w:tr>
      <w:tr w:rsidR="006B1F9C" w:rsidRPr="00AC6120" w14:paraId="1AF66472" w14:textId="77777777" w:rsidTr="007F415A">
        <w:tc>
          <w:tcPr>
            <w:tcW w:w="9776" w:type="dxa"/>
            <w:tcBorders>
              <w:top w:val="nil"/>
              <w:bottom w:val="nil"/>
            </w:tcBorders>
            <w:shd w:val="clear" w:color="auto" w:fill="9BE5FF"/>
          </w:tcPr>
          <w:p w14:paraId="0F2F0C45" w14:textId="6F3A02C2" w:rsidR="006B1F9C" w:rsidRPr="00AC6120" w:rsidRDefault="007F415A" w:rsidP="007F415A">
            <w:pPr>
              <w:pStyle w:val="enumlev1"/>
              <w:spacing w:after="80"/>
              <w:rPr>
                <w:lang w:val="ru-RU"/>
              </w:rPr>
            </w:pPr>
            <w:r w:rsidRPr="00AC6120">
              <w:rPr>
                <w:lang w:val="ru-RU"/>
              </w:rPr>
              <w:t>−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>ключевые заинтересованные стороны</w:t>
            </w:r>
            <w:r w:rsidRPr="00AC6120">
              <w:rPr>
                <w:lang w:val="ru-RU"/>
              </w:rPr>
              <w:t>;</w:t>
            </w:r>
          </w:p>
        </w:tc>
      </w:tr>
      <w:tr w:rsidR="006B0145" w:rsidRPr="00AC6120" w14:paraId="3BAE84EA" w14:textId="77777777" w:rsidTr="006B1F9C">
        <w:tc>
          <w:tcPr>
            <w:tcW w:w="9776" w:type="dxa"/>
            <w:tcBorders>
              <w:top w:val="nil"/>
            </w:tcBorders>
          </w:tcPr>
          <w:p w14:paraId="432BB517" w14:textId="77777777" w:rsidR="006B0145" w:rsidRPr="001D15D9" w:rsidRDefault="006B0145" w:rsidP="007F415A">
            <w:pPr>
              <w:pStyle w:val="Headingb"/>
              <w:rPr>
                <w:b w:val="0"/>
                <w:bCs/>
                <w:lang w:val="ru-RU"/>
              </w:rPr>
            </w:pPr>
            <w:r w:rsidRPr="00AC6120">
              <w:rPr>
                <w:lang w:val="ru-RU"/>
              </w:rPr>
              <w:t xml:space="preserve">На какие группы участников </w:t>
            </w:r>
            <w:proofErr w:type="spellStart"/>
            <w:r w:rsidRPr="00AC6120">
              <w:rPr>
                <w:lang w:val="ru-RU"/>
              </w:rPr>
              <w:t>ВКРЭ</w:t>
            </w:r>
            <w:proofErr w:type="spellEnd"/>
            <w:r w:rsidRPr="00AC6120">
              <w:rPr>
                <w:lang w:val="ru-RU"/>
              </w:rPr>
              <w:noBreakHyphen/>
              <w:t>21 следует ориентироваться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7ECF0420" w14:textId="77777777" w:rsidR="006B0145" w:rsidRPr="00AC6120" w:rsidRDefault="006B0145" w:rsidP="007F415A">
            <w:pPr>
              <w:rPr>
                <w:lang w:val="ru-RU"/>
              </w:rPr>
            </w:pPr>
            <w:r w:rsidRPr="00AC6120">
              <w:rPr>
                <w:lang w:val="ru-RU"/>
              </w:rPr>
              <w:t xml:space="preserve">Группа предлагает, чтобы к участникам, на которых следует ориентироваться, были отнесены международные финансовые учреждения, региональные банки развития, система Организации </w:t>
            </w:r>
            <w:r w:rsidRPr="00AC6120">
              <w:rPr>
                <w:lang w:val="ru-RU"/>
              </w:rPr>
              <w:lastRenderedPageBreak/>
              <w:t>Объединенных Наций, частный сектор и другие соответствующие заинтересованные стороны, такие как молодежные организации и представители маргинализированных сообществ.</w:t>
            </w:r>
          </w:p>
          <w:p w14:paraId="66DE387B" w14:textId="77777777" w:rsidR="006B0145" w:rsidRPr="00AC6120" w:rsidRDefault="006B0145" w:rsidP="007F415A">
            <w:pPr>
              <w:pStyle w:val="Headingb"/>
              <w:rPr>
                <w:lang w:val="ru-RU"/>
              </w:rPr>
            </w:pPr>
            <w:r w:rsidRPr="00AC6120">
              <w:rPr>
                <w:lang w:val="ru-RU"/>
              </w:rPr>
              <w:t>Каких участников высокого уровня следует пригласить для исполнения обязанностей председателя и/или выступления с основными докладами по выбранной(</w:t>
            </w:r>
            <w:proofErr w:type="spellStart"/>
            <w:r w:rsidRPr="00AC6120">
              <w:rPr>
                <w:lang w:val="ru-RU"/>
              </w:rPr>
              <w:t>ым</w:t>
            </w:r>
            <w:proofErr w:type="spellEnd"/>
            <w:r w:rsidRPr="00AC6120">
              <w:rPr>
                <w:lang w:val="ru-RU"/>
              </w:rPr>
              <w:t>) теме(</w:t>
            </w:r>
            <w:proofErr w:type="spellStart"/>
            <w:r w:rsidRPr="00AC6120">
              <w:rPr>
                <w:lang w:val="ru-RU"/>
              </w:rPr>
              <w:t>ам</w:t>
            </w:r>
            <w:proofErr w:type="spellEnd"/>
            <w:r w:rsidRPr="00AC6120">
              <w:rPr>
                <w:lang w:val="ru-RU"/>
              </w:rPr>
              <w:t>)</w:t>
            </w:r>
            <w:r w:rsidRPr="001D15D9">
              <w:rPr>
                <w:b w:val="0"/>
                <w:bCs/>
                <w:lang w:val="ru-RU"/>
              </w:rPr>
              <w:t>?</w:t>
            </w:r>
          </w:p>
          <w:p w14:paraId="7629C66F" w14:textId="7F428365" w:rsidR="006B0145" w:rsidRPr="00AC6120" w:rsidRDefault="006B0145" w:rsidP="007F415A">
            <w:pPr>
              <w:spacing w:after="120"/>
              <w:rPr>
                <w:lang w:val="ru-RU"/>
              </w:rPr>
            </w:pPr>
            <w:r w:rsidRPr="00AC6120">
              <w:rPr>
                <w:lang w:val="ru-RU"/>
              </w:rPr>
              <w:t>Рабочая группа предлагает пригласить для исполнения обязанностей председателя и/или выступления с основными докладами по выбранной(</w:t>
            </w:r>
            <w:proofErr w:type="spellStart"/>
            <w:r w:rsidRPr="00AC6120">
              <w:rPr>
                <w:lang w:val="ru-RU"/>
              </w:rPr>
              <w:t>ым</w:t>
            </w:r>
            <w:proofErr w:type="spellEnd"/>
            <w:r w:rsidRPr="00AC6120">
              <w:rPr>
                <w:lang w:val="ru-RU"/>
              </w:rPr>
              <w:t>) теме(</w:t>
            </w:r>
            <w:proofErr w:type="spellStart"/>
            <w:r w:rsidRPr="00AC6120">
              <w:rPr>
                <w:lang w:val="ru-RU"/>
              </w:rPr>
              <w:t>ам</w:t>
            </w:r>
            <w:proofErr w:type="spellEnd"/>
            <w:r w:rsidRPr="00AC6120">
              <w:rPr>
                <w:lang w:val="ru-RU"/>
              </w:rPr>
              <w:t>) участников высокого уровня от Государств-Членов, Членов Сектора, частного сектора, академических организаций, системы ООН, гражданского общества, а также от международных и региональных финансовых организаций.</w:t>
            </w:r>
          </w:p>
        </w:tc>
      </w:tr>
    </w:tbl>
    <w:p w14:paraId="312DD0C3" w14:textId="77777777" w:rsidR="006B0145" w:rsidRPr="00AC6120" w:rsidRDefault="006B0145" w:rsidP="006B0145">
      <w:pPr>
        <w:tabs>
          <w:tab w:val="clear" w:pos="1134"/>
          <w:tab w:val="clear" w:pos="1871"/>
          <w:tab w:val="clear" w:pos="2268"/>
          <w:tab w:val="left" w:pos="794"/>
          <w:tab w:val="left" w:pos="1191"/>
          <w:tab w:val="left" w:pos="1588"/>
          <w:tab w:val="left" w:pos="1985"/>
        </w:tabs>
        <w:spacing w:before="0"/>
        <w:rPr>
          <w:rFonts w:cstheme="minorHAnsi"/>
          <w:bCs/>
          <w:szCs w:val="22"/>
          <w:lang w:val="ru-RU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B0145" w:rsidRPr="00AC6120" w14:paraId="558FF6CF" w14:textId="77777777" w:rsidTr="00B7442D">
        <w:tc>
          <w:tcPr>
            <w:tcW w:w="9776" w:type="dxa"/>
            <w:shd w:val="clear" w:color="auto" w:fill="9BE5FF"/>
          </w:tcPr>
          <w:p w14:paraId="45AE94D1" w14:textId="77777777" w:rsidR="006B0145" w:rsidRPr="00AC6120" w:rsidRDefault="006B0145" w:rsidP="007F415A">
            <w:pPr>
              <w:pStyle w:val="enumlev1"/>
              <w:spacing w:after="80"/>
              <w:rPr>
                <w:bCs/>
                <w:lang w:val="ru-RU"/>
              </w:rPr>
            </w:pPr>
            <w:r w:rsidRPr="00AC6120">
              <w:rPr>
                <w:lang w:val="ru-RU"/>
              </w:rPr>
              <w:t>•</w:t>
            </w:r>
            <w:r w:rsidRPr="00AC6120">
              <w:rPr>
                <w:lang w:val="ru-RU"/>
              </w:rPr>
              <w:tab/>
            </w:r>
            <w:r w:rsidRPr="00AC6120">
              <w:rPr>
                <w:b/>
                <w:bCs/>
                <w:lang w:val="ru-RU"/>
              </w:rPr>
              <w:t xml:space="preserve">представить отчет следующему собранию </w:t>
            </w:r>
            <w:proofErr w:type="spellStart"/>
            <w:r w:rsidRPr="00AC6120">
              <w:rPr>
                <w:b/>
                <w:bCs/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>.</w:t>
            </w:r>
          </w:p>
        </w:tc>
      </w:tr>
      <w:tr w:rsidR="006B0145" w:rsidRPr="00AC6120" w14:paraId="7CF2637C" w14:textId="77777777" w:rsidTr="00B7442D">
        <w:tc>
          <w:tcPr>
            <w:tcW w:w="9776" w:type="dxa"/>
          </w:tcPr>
          <w:p w14:paraId="0EFC37B9" w14:textId="77777777" w:rsidR="006B0145" w:rsidRPr="00AC6120" w:rsidRDefault="006B0145" w:rsidP="007F415A">
            <w:pPr>
              <w:spacing w:after="120"/>
              <w:rPr>
                <w:lang w:val="ru-RU"/>
              </w:rPr>
            </w:pPr>
            <w:proofErr w:type="spellStart"/>
            <w:r w:rsidRPr="00AC6120">
              <w:rPr>
                <w:lang w:val="ru-RU"/>
              </w:rPr>
              <w:t>КГРЭ</w:t>
            </w:r>
            <w:proofErr w:type="spellEnd"/>
            <w:r w:rsidRPr="00AC6120">
              <w:rPr>
                <w:lang w:val="ru-RU"/>
              </w:rPr>
              <w:t xml:space="preserve"> предлагается рассмотреть настоящий отчет и одобрить содержащиеся в нем рекомендации. </w:t>
            </w:r>
          </w:p>
        </w:tc>
      </w:tr>
    </w:tbl>
    <w:p w14:paraId="7572B8B5" w14:textId="77777777" w:rsidR="00D83BF5" w:rsidRPr="00AC6120" w:rsidRDefault="00D83BF5" w:rsidP="006B0145">
      <w:pPr>
        <w:spacing w:before="720"/>
        <w:jc w:val="center"/>
        <w:rPr>
          <w:szCs w:val="24"/>
          <w:lang w:val="ru-RU"/>
        </w:rPr>
      </w:pPr>
      <w:r w:rsidRPr="00AC6120">
        <w:rPr>
          <w:szCs w:val="24"/>
          <w:lang w:val="ru-RU"/>
        </w:rPr>
        <w:t>_______________</w:t>
      </w:r>
    </w:p>
    <w:sectPr w:rsidR="00D83BF5" w:rsidRPr="00AC6120" w:rsidSect="00674952">
      <w:headerReference w:type="default" r:id="rId20"/>
      <w:footerReference w:type="even" r:id="rId21"/>
      <w:footerReference w:type="default" r:id="rId22"/>
      <w:footerReference w:type="first" r:id="rId23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B15D2" w14:textId="77777777" w:rsidR="00203BB0" w:rsidRDefault="00203BB0">
      <w:r>
        <w:separator/>
      </w:r>
    </w:p>
  </w:endnote>
  <w:endnote w:type="continuationSeparator" w:id="0">
    <w:p w14:paraId="63D149C5" w14:textId="77777777" w:rsidR="00203BB0" w:rsidRDefault="0020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40B69E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C6120">
      <w:rPr>
        <w:noProof/>
      </w:rPr>
      <w:t>19.03.21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0BE95" w14:textId="6640A0BB" w:rsidR="00E45D05" w:rsidRPr="007F415A" w:rsidRDefault="00E45D05" w:rsidP="00F21A1D">
    <w:pPr>
      <w:pStyle w:val="Footer"/>
      <w:rPr>
        <w:lang w:val="fr-FR"/>
      </w:rPr>
    </w:pPr>
    <w:r>
      <w:fldChar w:fldCharType="begin"/>
    </w:r>
    <w:r w:rsidRPr="007F415A">
      <w:rPr>
        <w:lang w:val="fr-FR"/>
      </w:rPr>
      <w:instrText xml:space="preserve"> FILENAME \p  \* MERGEFORMAT </w:instrText>
    </w:r>
    <w:r>
      <w:fldChar w:fldCharType="separate"/>
    </w:r>
    <w:r w:rsidR="007F415A" w:rsidRPr="007F415A">
      <w:rPr>
        <w:lang w:val="fr-FR"/>
      </w:rPr>
      <w:t>P:\RUS\ITU-D\CONF-D\RPMS\CIS\000\006R.docx</w:t>
    </w:r>
    <w:r>
      <w:fldChar w:fldCharType="end"/>
    </w:r>
    <w:r w:rsidR="007F415A" w:rsidRPr="007F415A">
      <w:rPr>
        <w:lang w:val="fr-FR"/>
      </w:rPr>
      <w:t xml:space="preserve"> (482513)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4"/>
      <w:gridCol w:w="5006"/>
    </w:tblGrid>
    <w:tr w:rsidR="006B0145" w:rsidRPr="00AC6120" w14:paraId="36BAA43A" w14:textId="77777777" w:rsidTr="006B0145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6B0145" w:rsidRPr="001B5DC9" w:rsidRDefault="006B0145" w:rsidP="00C2147D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1B5DC9">
            <w:rPr>
              <w:sz w:val="18"/>
              <w:szCs w:val="18"/>
            </w:rPr>
            <w:t>Координатор: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6B0145" w:rsidRPr="004D495C" w:rsidRDefault="006B0145" w:rsidP="00C2147D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</w:tcPr>
        <w:p w14:paraId="386DF51C" w14:textId="15B8A6E8" w:rsidR="006B0145" w:rsidRPr="00B10D8C" w:rsidRDefault="006B0145" w:rsidP="00C2147D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B10D8C">
            <w:rPr>
              <w:sz w:val="18"/>
              <w:szCs w:val="18"/>
              <w:lang w:val="ru-RU"/>
            </w:rPr>
            <w:t>г-н Сантьяго Рейес-Борда (</w:t>
          </w:r>
          <w:r w:rsidRPr="00B90FD1">
            <w:rPr>
              <w:sz w:val="18"/>
              <w:szCs w:val="18"/>
            </w:rPr>
            <w:t>Mr</w:t>
          </w:r>
          <w:r w:rsidRPr="00B10D8C">
            <w:rPr>
              <w:sz w:val="18"/>
              <w:szCs w:val="18"/>
              <w:lang w:val="ru-RU"/>
            </w:rPr>
            <w:t xml:space="preserve"> </w:t>
          </w:r>
          <w:r w:rsidRPr="00B90FD1">
            <w:rPr>
              <w:sz w:val="18"/>
              <w:szCs w:val="18"/>
            </w:rPr>
            <w:t>Santiago</w:t>
          </w:r>
          <w:r w:rsidRPr="00B10D8C">
            <w:rPr>
              <w:sz w:val="18"/>
              <w:szCs w:val="18"/>
              <w:lang w:val="ru-RU"/>
            </w:rPr>
            <w:t xml:space="preserve"> </w:t>
          </w:r>
          <w:r w:rsidRPr="00B90FD1">
            <w:rPr>
              <w:sz w:val="18"/>
              <w:szCs w:val="18"/>
            </w:rPr>
            <w:t>Reyes</w:t>
          </w:r>
          <w:r w:rsidRPr="00B10D8C">
            <w:rPr>
              <w:sz w:val="18"/>
              <w:szCs w:val="18"/>
              <w:lang w:val="ru-RU"/>
            </w:rPr>
            <w:t>-</w:t>
          </w:r>
          <w:r w:rsidRPr="00B90FD1">
            <w:rPr>
              <w:sz w:val="18"/>
              <w:szCs w:val="18"/>
            </w:rPr>
            <w:t>Borda</w:t>
          </w:r>
          <w:r w:rsidRPr="00B10D8C">
            <w:rPr>
              <w:sz w:val="18"/>
              <w:szCs w:val="18"/>
              <w:lang w:val="ru-RU"/>
            </w:rPr>
            <w:t>), старший советник по политическим вопросам, Министерство инноваций, науки и экономического развития, Канада</w:t>
          </w:r>
        </w:p>
      </w:tc>
    </w:tr>
    <w:tr w:rsidR="006B0145" w:rsidRPr="004D495C" w14:paraId="750F4F8C" w14:textId="77777777" w:rsidTr="006B0145">
      <w:tc>
        <w:tcPr>
          <w:tcW w:w="1417" w:type="dxa"/>
          <w:shd w:val="clear" w:color="auto" w:fill="auto"/>
        </w:tcPr>
        <w:p w14:paraId="313B1984" w14:textId="77777777" w:rsidR="006B0145" w:rsidRPr="00B10D8C" w:rsidRDefault="006B0145" w:rsidP="00C2147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6B0145" w:rsidRPr="004D495C" w:rsidRDefault="006B0145" w:rsidP="00C214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3F03975A" w14:textId="67E7BE7D" w:rsidR="006B0145" w:rsidRPr="008946CC" w:rsidRDefault="006B0145" w:rsidP="00C214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</w:rPr>
            <w:t>отсутствует</w:t>
          </w:r>
        </w:p>
      </w:tc>
      <w:bookmarkStart w:id="11" w:name="PhoneNo"/>
      <w:bookmarkEnd w:id="11"/>
    </w:tr>
    <w:tr w:rsidR="006B0145" w:rsidRPr="004D495C" w14:paraId="39B164F2" w14:textId="77777777" w:rsidTr="006B0145">
      <w:tc>
        <w:tcPr>
          <w:tcW w:w="1417" w:type="dxa"/>
          <w:shd w:val="clear" w:color="auto" w:fill="auto"/>
        </w:tcPr>
        <w:p w14:paraId="676BB75A" w14:textId="77777777" w:rsidR="006B0145" w:rsidRPr="004D495C" w:rsidRDefault="006B0145" w:rsidP="00C2147D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6B0145" w:rsidRPr="004D495C" w:rsidRDefault="006B0145" w:rsidP="00C214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</w:tcPr>
        <w:p w14:paraId="25336CE9" w14:textId="4083A1B1" w:rsidR="006B0145" w:rsidRPr="008946CC" w:rsidRDefault="00273B3A" w:rsidP="00C2147D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6B0145" w:rsidRPr="000B74B3">
              <w:rPr>
                <w:rStyle w:val="Hyperlink"/>
                <w:sz w:val="18"/>
                <w:szCs w:val="24"/>
                <w:lang w:val="en-US"/>
              </w:rPr>
              <w:t>santiago.reyes-borda@canada.ca</w:t>
            </w:r>
          </w:hyperlink>
        </w:p>
      </w:tc>
      <w:bookmarkStart w:id="12" w:name="Email"/>
      <w:bookmarkEnd w:id="12"/>
    </w:tr>
  </w:tbl>
  <w:p w14:paraId="65715F79" w14:textId="57D5ECB9" w:rsidR="00E45D05" w:rsidRPr="001458B2" w:rsidRDefault="00273B3A" w:rsidP="001458B2">
    <w:pPr>
      <w:jc w:val="center"/>
      <w:rPr>
        <w:sz w:val="20"/>
        <w:szCs w:val="16"/>
      </w:rPr>
    </w:pPr>
    <w:hyperlink r:id="rId2" w:history="1">
      <w:r w:rsidR="001458B2" w:rsidRPr="003E5A78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07563" w14:textId="77777777" w:rsidR="00203BB0" w:rsidRDefault="00203BB0">
      <w:r>
        <w:rPr>
          <w:b/>
        </w:rPr>
        <w:t>_______________</w:t>
      </w:r>
    </w:p>
  </w:footnote>
  <w:footnote w:type="continuationSeparator" w:id="0">
    <w:p w14:paraId="63DACF95" w14:textId="77777777" w:rsidR="00203BB0" w:rsidRDefault="0020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680C9EA6" w:rsidR="00A066F1" w:rsidRPr="006B0145" w:rsidRDefault="00D83BF5" w:rsidP="008946CC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Cs w:val="22"/>
        <w:lang w:val="fr-FR"/>
      </w:rPr>
    </w:pPr>
    <w:r w:rsidRPr="004D495C">
      <w:rPr>
        <w:szCs w:val="22"/>
      </w:rPr>
      <w:tab/>
    </w:r>
    <w:r w:rsidRPr="00C2147D">
      <w:rPr>
        <w:szCs w:val="22"/>
        <w:lang w:val="fr-FR"/>
      </w:rPr>
      <w:t>ITU-D/</w:t>
    </w:r>
    <w:bookmarkStart w:id="9" w:name="DocRef2"/>
    <w:bookmarkEnd w:id="9"/>
    <w:r w:rsidRPr="00C2147D">
      <w:rPr>
        <w:szCs w:val="22"/>
        <w:lang w:val="fr-FR"/>
      </w:rPr>
      <w:t>RPM-</w:t>
    </w:r>
    <w:r w:rsidR="000D238F" w:rsidRPr="00C2147D">
      <w:rPr>
        <w:szCs w:val="22"/>
        <w:lang w:val="fr-FR"/>
      </w:rPr>
      <w:t>CIS</w:t>
    </w:r>
    <w:r w:rsidR="00674952" w:rsidRPr="00C2147D">
      <w:rPr>
        <w:szCs w:val="22"/>
        <w:lang w:val="fr-FR"/>
      </w:rPr>
      <w:t>21</w:t>
    </w:r>
    <w:r w:rsidRPr="00C2147D">
      <w:rPr>
        <w:szCs w:val="22"/>
        <w:lang w:val="fr-FR"/>
      </w:rPr>
      <w:t>/</w:t>
    </w:r>
    <w:bookmarkStart w:id="10" w:name="DocNo2"/>
    <w:bookmarkEnd w:id="10"/>
    <w:r w:rsidR="006B0145" w:rsidRPr="006B0145">
      <w:rPr>
        <w:szCs w:val="22"/>
        <w:lang w:val="fr-FR"/>
      </w:rPr>
      <w:t>6</w:t>
    </w:r>
    <w:r w:rsidRPr="00C2147D">
      <w:rPr>
        <w:szCs w:val="22"/>
        <w:lang w:val="fr-FR"/>
      </w:rPr>
      <w:t>-</w:t>
    </w:r>
    <w:r w:rsidR="00F06C73" w:rsidRPr="00C2147D">
      <w:rPr>
        <w:szCs w:val="22"/>
        <w:lang w:val="fr-FR"/>
      </w:rPr>
      <w:t>R</w:t>
    </w:r>
    <w:r w:rsidRPr="00C2147D">
      <w:rPr>
        <w:szCs w:val="22"/>
        <w:lang w:val="fr-FR"/>
      </w:rPr>
      <w:tab/>
    </w:r>
    <w:r w:rsidR="008946CC" w:rsidRPr="008946CC">
      <w:rPr>
        <w:szCs w:val="22"/>
        <w:lang w:val="ru-RU"/>
      </w:rPr>
      <w:t>Стр</w:t>
    </w:r>
    <w:r w:rsidR="008946CC" w:rsidRPr="008946CC">
      <w:rPr>
        <w:szCs w:val="22"/>
        <w:lang w:val="fr-FR"/>
      </w:rPr>
      <w:t>.</w:t>
    </w:r>
    <w:r w:rsidRPr="00C2147D">
      <w:rPr>
        <w:szCs w:val="22"/>
        <w:lang w:val="fr-FR"/>
      </w:rPr>
      <w:t xml:space="preserve"> </w:t>
    </w:r>
    <w:r w:rsidRPr="004D495C">
      <w:rPr>
        <w:szCs w:val="22"/>
      </w:rPr>
      <w:fldChar w:fldCharType="begin"/>
    </w:r>
    <w:r w:rsidRPr="00C2147D">
      <w:rPr>
        <w:szCs w:val="22"/>
        <w:lang w:val="fr-FR"/>
      </w:rPr>
      <w:instrText xml:space="preserve"> PAGE </w:instrText>
    </w:r>
    <w:r w:rsidRPr="004D495C">
      <w:rPr>
        <w:szCs w:val="22"/>
      </w:rPr>
      <w:fldChar w:fldCharType="separate"/>
    </w:r>
    <w:r w:rsidR="00075C63" w:rsidRPr="006B0145">
      <w:rPr>
        <w:noProof/>
        <w:szCs w:val="22"/>
        <w:lang w:val="fr-FR"/>
      </w:rPr>
      <w:t>2</w:t>
    </w:r>
    <w:r w:rsidRPr="004D495C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D238F"/>
    <w:rsid w:val="000D41C5"/>
    <w:rsid w:val="000F73FF"/>
    <w:rsid w:val="00114CF7"/>
    <w:rsid w:val="00123B68"/>
    <w:rsid w:val="00124A96"/>
    <w:rsid w:val="00126F2E"/>
    <w:rsid w:val="001458B2"/>
    <w:rsid w:val="00146F6F"/>
    <w:rsid w:val="00152957"/>
    <w:rsid w:val="00187BD9"/>
    <w:rsid w:val="0019048C"/>
    <w:rsid w:val="00190B55"/>
    <w:rsid w:val="00194CFB"/>
    <w:rsid w:val="001B2ED3"/>
    <w:rsid w:val="001B32F7"/>
    <w:rsid w:val="001C3B5F"/>
    <w:rsid w:val="001D058F"/>
    <w:rsid w:val="001D15D9"/>
    <w:rsid w:val="002009EA"/>
    <w:rsid w:val="00202CA0"/>
    <w:rsid w:val="00203BB0"/>
    <w:rsid w:val="002154A6"/>
    <w:rsid w:val="002255B3"/>
    <w:rsid w:val="0022796D"/>
    <w:rsid w:val="00271316"/>
    <w:rsid w:val="00273B3A"/>
    <w:rsid w:val="00275D99"/>
    <w:rsid w:val="00290795"/>
    <w:rsid w:val="002D58BE"/>
    <w:rsid w:val="003013EE"/>
    <w:rsid w:val="00377BD3"/>
    <w:rsid w:val="00384088"/>
    <w:rsid w:val="0039169B"/>
    <w:rsid w:val="003A7F8C"/>
    <w:rsid w:val="003B532E"/>
    <w:rsid w:val="003B6F14"/>
    <w:rsid w:val="003D0F8B"/>
    <w:rsid w:val="004131D4"/>
    <w:rsid w:val="0041348E"/>
    <w:rsid w:val="00447308"/>
    <w:rsid w:val="004765FF"/>
    <w:rsid w:val="0048687B"/>
    <w:rsid w:val="00492075"/>
    <w:rsid w:val="004969AD"/>
    <w:rsid w:val="004B13CB"/>
    <w:rsid w:val="004B4FDF"/>
    <w:rsid w:val="004D5D5C"/>
    <w:rsid w:val="0050139F"/>
    <w:rsid w:val="00521223"/>
    <w:rsid w:val="0055118B"/>
    <w:rsid w:val="0055140B"/>
    <w:rsid w:val="005964AB"/>
    <w:rsid w:val="005C099A"/>
    <w:rsid w:val="005C31A5"/>
    <w:rsid w:val="005E10C9"/>
    <w:rsid w:val="005E61DD"/>
    <w:rsid w:val="005E6321"/>
    <w:rsid w:val="006023DF"/>
    <w:rsid w:val="00657DE0"/>
    <w:rsid w:val="0067199F"/>
    <w:rsid w:val="00674952"/>
    <w:rsid w:val="00685313"/>
    <w:rsid w:val="00687800"/>
    <w:rsid w:val="006A6E9B"/>
    <w:rsid w:val="006B0145"/>
    <w:rsid w:val="006B1F9C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D06F0"/>
    <w:rsid w:val="007D45E3"/>
    <w:rsid w:val="007D5320"/>
    <w:rsid w:val="007F415A"/>
    <w:rsid w:val="00800972"/>
    <w:rsid w:val="0080368E"/>
    <w:rsid w:val="00804475"/>
    <w:rsid w:val="00811633"/>
    <w:rsid w:val="00821CEF"/>
    <w:rsid w:val="00832828"/>
    <w:rsid w:val="0083645A"/>
    <w:rsid w:val="0085335E"/>
    <w:rsid w:val="00872FC8"/>
    <w:rsid w:val="008801D3"/>
    <w:rsid w:val="008845D0"/>
    <w:rsid w:val="008946CC"/>
    <w:rsid w:val="008B43F2"/>
    <w:rsid w:val="008B6CFF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4600A"/>
    <w:rsid w:val="00A538A6"/>
    <w:rsid w:val="00A54C25"/>
    <w:rsid w:val="00A6222D"/>
    <w:rsid w:val="00A710E7"/>
    <w:rsid w:val="00A7372E"/>
    <w:rsid w:val="00A93B85"/>
    <w:rsid w:val="00A96DFE"/>
    <w:rsid w:val="00AA0B18"/>
    <w:rsid w:val="00AA2B39"/>
    <w:rsid w:val="00AA666F"/>
    <w:rsid w:val="00AC6120"/>
    <w:rsid w:val="00B004E5"/>
    <w:rsid w:val="00B10D8C"/>
    <w:rsid w:val="00B13C55"/>
    <w:rsid w:val="00B46C1F"/>
    <w:rsid w:val="00B639E9"/>
    <w:rsid w:val="00B817CD"/>
    <w:rsid w:val="00BA65F3"/>
    <w:rsid w:val="00BB29C8"/>
    <w:rsid w:val="00BB3A95"/>
    <w:rsid w:val="00C0018F"/>
    <w:rsid w:val="00C20466"/>
    <w:rsid w:val="00C2147D"/>
    <w:rsid w:val="00C214ED"/>
    <w:rsid w:val="00C234E6"/>
    <w:rsid w:val="00C324A8"/>
    <w:rsid w:val="00C54517"/>
    <w:rsid w:val="00C64B30"/>
    <w:rsid w:val="00C64CD8"/>
    <w:rsid w:val="00C97C68"/>
    <w:rsid w:val="00CA1A47"/>
    <w:rsid w:val="00CC247A"/>
    <w:rsid w:val="00CE5E47"/>
    <w:rsid w:val="00CF020F"/>
    <w:rsid w:val="00CF2B5B"/>
    <w:rsid w:val="00D14CE0"/>
    <w:rsid w:val="00D5651D"/>
    <w:rsid w:val="00D74898"/>
    <w:rsid w:val="00D76D4A"/>
    <w:rsid w:val="00D801ED"/>
    <w:rsid w:val="00D83BF5"/>
    <w:rsid w:val="00D925C2"/>
    <w:rsid w:val="00D936BC"/>
    <w:rsid w:val="00D96530"/>
    <w:rsid w:val="00D96B4B"/>
    <w:rsid w:val="00DA7078"/>
    <w:rsid w:val="00DB2E1E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06C73"/>
    <w:rsid w:val="00F21A1D"/>
    <w:rsid w:val="00F65C19"/>
    <w:rsid w:val="00FC1E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D9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75D99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75D99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75D99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75D99"/>
    <w:pPr>
      <w:outlineLvl w:val="3"/>
    </w:pPr>
  </w:style>
  <w:style w:type="paragraph" w:styleId="Heading5">
    <w:name w:val="heading 5"/>
    <w:basedOn w:val="Heading4"/>
    <w:next w:val="Normal"/>
    <w:qFormat/>
    <w:rsid w:val="00275D99"/>
    <w:pPr>
      <w:outlineLvl w:val="4"/>
    </w:pPr>
  </w:style>
  <w:style w:type="paragraph" w:styleId="Heading6">
    <w:name w:val="heading 6"/>
    <w:basedOn w:val="Heading4"/>
    <w:next w:val="Normal"/>
    <w:qFormat/>
    <w:rsid w:val="00275D99"/>
    <w:pPr>
      <w:outlineLvl w:val="5"/>
    </w:pPr>
  </w:style>
  <w:style w:type="paragraph" w:styleId="Heading7">
    <w:name w:val="heading 7"/>
    <w:basedOn w:val="Heading6"/>
    <w:next w:val="Normal"/>
    <w:qFormat/>
    <w:rsid w:val="00275D99"/>
    <w:pPr>
      <w:outlineLvl w:val="6"/>
    </w:pPr>
  </w:style>
  <w:style w:type="paragraph" w:styleId="Heading8">
    <w:name w:val="heading 8"/>
    <w:basedOn w:val="Heading6"/>
    <w:next w:val="Normal"/>
    <w:qFormat/>
    <w:rsid w:val="00275D99"/>
    <w:pPr>
      <w:outlineLvl w:val="7"/>
    </w:pPr>
  </w:style>
  <w:style w:type="paragraph" w:styleId="Heading9">
    <w:name w:val="heading 9"/>
    <w:basedOn w:val="Heading6"/>
    <w:next w:val="Normal"/>
    <w:qFormat/>
    <w:rsid w:val="00275D9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275D99"/>
    <w:pPr>
      <w:overflowPunct/>
      <w:autoSpaceDE/>
      <w:autoSpaceDN/>
      <w:adjustRightInd/>
      <w:spacing w:before="240"/>
      <w:jc w:val="center"/>
      <w:textAlignment w:val="auto"/>
    </w:pPr>
    <w:rPr>
      <w:sz w:val="26"/>
      <w:lang w:val="es-ES_tradnl"/>
    </w:rPr>
  </w:style>
  <w:style w:type="paragraph" w:customStyle="1" w:styleId="AnnexNo">
    <w:name w:val="Annex_No"/>
    <w:basedOn w:val="Normal"/>
    <w:next w:val="Normal"/>
    <w:rsid w:val="00275D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275D9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275D99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275D99"/>
    <w:rPr>
      <w:rFonts w:ascii="Calibri" w:hAnsi="Calibri"/>
      <w:b/>
    </w:rPr>
  </w:style>
  <w:style w:type="character" w:customStyle="1" w:styleId="Appref">
    <w:name w:val="App_ref"/>
    <w:basedOn w:val="DefaultParagraphFont"/>
    <w:rsid w:val="00275D99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275D99"/>
  </w:style>
  <w:style w:type="paragraph" w:customStyle="1" w:styleId="ApptoAnnex">
    <w:name w:val="App_to_Annex"/>
    <w:basedOn w:val="AppendixNo"/>
    <w:next w:val="Normal"/>
    <w:qFormat/>
    <w:rsid w:val="00275D99"/>
  </w:style>
  <w:style w:type="paragraph" w:customStyle="1" w:styleId="Appendixref">
    <w:name w:val="Appendix_ref"/>
    <w:basedOn w:val="Annexref"/>
    <w:next w:val="Annextitle"/>
    <w:rsid w:val="00275D99"/>
  </w:style>
  <w:style w:type="paragraph" w:customStyle="1" w:styleId="Appendixtitle">
    <w:name w:val="Appendix_title"/>
    <w:basedOn w:val="Annextitle"/>
    <w:next w:val="Normal"/>
    <w:rsid w:val="00275D99"/>
  </w:style>
  <w:style w:type="character" w:customStyle="1" w:styleId="Artdef">
    <w:name w:val="Art_def"/>
    <w:basedOn w:val="DefaultParagraphFont"/>
    <w:rsid w:val="00275D99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275D99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275D99"/>
    <w:rPr>
      <w:rFonts w:ascii="Calibri" w:hAnsi="Calibri"/>
    </w:rPr>
  </w:style>
  <w:style w:type="paragraph" w:customStyle="1" w:styleId="Arttitle">
    <w:name w:val="Art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275D9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275D99"/>
    <w:rPr>
      <w:b/>
    </w:rPr>
  </w:style>
  <w:style w:type="paragraph" w:customStyle="1" w:styleId="Chaptitle">
    <w:name w:val="Chap_title"/>
    <w:basedOn w:val="Arttitle"/>
    <w:next w:val="Normal"/>
    <w:rsid w:val="00275D99"/>
  </w:style>
  <w:style w:type="paragraph" w:customStyle="1" w:styleId="enumlev1">
    <w:name w:val="enumlev1"/>
    <w:basedOn w:val="Normal"/>
    <w:rsid w:val="00275D9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275D99"/>
    <w:pPr>
      <w:ind w:left="1871" w:hanging="737"/>
    </w:pPr>
  </w:style>
  <w:style w:type="paragraph" w:customStyle="1" w:styleId="enumlev3">
    <w:name w:val="enumlev3"/>
    <w:basedOn w:val="enumlev2"/>
    <w:rsid w:val="00275D99"/>
    <w:pPr>
      <w:ind w:left="2268" w:hanging="397"/>
    </w:pPr>
  </w:style>
  <w:style w:type="paragraph" w:customStyle="1" w:styleId="Equation">
    <w:name w:val="Equation"/>
    <w:basedOn w:val="Normal"/>
    <w:rsid w:val="00275D99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275D9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275D99"/>
    <w:pPr>
      <w:ind w:left="1134"/>
    </w:pPr>
  </w:style>
  <w:style w:type="paragraph" w:customStyle="1" w:styleId="Figure">
    <w:name w:val="Figure"/>
    <w:basedOn w:val="Normal"/>
    <w:next w:val="Normal"/>
    <w:rsid w:val="00275D99"/>
    <w:pPr>
      <w:keepNext/>
      <w:keepLines/>
      <w:jc w:val="center"/>
    </w:pPr>
  </w:style>
  <w:style w:type="paragraph" w:customStyle="1" w:styleId="Figurelegend">
    <w:name w:val="Figure_legend"/>
    <w:basedOn w:val="Normal"/>
    <w:rsid w:val="00275D9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275D9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275D99"/>
    <w:pPr>
      <w:keepNext/>
      <w:keepLines/>
      <w:spacing w:before="0"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275D99"/>
    <w:pPr>
      <w:keepNext w:val="0"/>
    </w:pPr>
  </w:style>
  <w:style w:type="paragraph" w:styleId="Footer">
    <w:name w:val="footer"/>
    <w:basedOn w:val="Normal"/>
    <w:link w:val="FooterChar"/>
    <w:rsid w:val="00275D99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275D99"/>
    <w:rPr>
      <w:rFonts w:ascii="Calibri" w:hAnsi="Calibri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275D9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75D99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link w:val="FootnoteTextChar"/>
    <w:rsid w:val="00275D99"/>
    <w:pPr>
      <w:keepLines/>
      <w:tabs>
        <w:tab w:val="clear" w:pos="1134"/>
        <w:tab w:val="clear" w:pos="1871"/>
        <w:tab w:val="clear" w:pos="2268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75D99"/>
    <w:rPr>
      <w:rFonts w:ascii="Calibri" w:hAnsi="Calibri"/>
      <w:lang w:val="en-GB" w:eastAsia="en-US"/>
    </w:rPr>
  </w:style>
  <w:style w:type="paragraph" w:styleId="Header">
    <w:name w:val="header"/>
    <w:basedOn w:val="Normal"/>
    <w:link w:val="HeaderChar"/>
    <w:rsid w:val="00275D9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275D99"/>
    <w:rPr>
      <w:rFonts w:ascii="Calibri" w:hAnsi="Calibri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275D99"/>
    <w:pPr>
      <w:spacing w:before="280"/>
    </w:pPr>
  </w:style>
  <w:style w:type="paragraph" w:customStyle="1" w:styleId="Section1">
    <w:name w:val="Section_1"/>
    <w:basedOn w:val="Normal"/>
    <w:rsid w:val="00275D99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275D99"/>
    <w:rPr>
      <w:b w:val="0"/>
      <w:i/>
    </w:rPr>
  </w:style>
  <w:style w:type="paragraph" w:customStyle="1" w:styleId="Section3">
    <w:name w:val="Section_3"/>
    <w:basedOn w:val="Section1"/>
    <w:rsid w:val="00275D99"/>
    <w:rPr>
      <w:b w:val="0"/>
    </w:rPr>
  </w:style>
  <w:style w:type="paragraph" w:customStyle="1" w:styleId="SectionNo">
    <w:name w:val="Section_No"/>
    <w:basedOn w:val="AnnexNo"/>
    <w:next w:val="Normal"/>
    <w:rsid w:val="00275D99"/>
  </w:style>
  <w:style w:type="paragraph" w:customStyle="1" w:styleId="Sectiontitle">
    <w:name w:val="Section_title"/>
    <w:basedOn w:val="Annextitle"/>
    <w:next w:val="Normalaftertitle"/>
    <w:rsid w:val="00275D99"/>
  </w:style>
  <w:style w:type="paragraph" w:customStyle="1" w:styleId="Source">
    <w:name w:val="Source"/>
    <w:basedOn w:val="Normal"/>
    <w:next w:val="Normal"/>
    <w:rsid w:val="00275D99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275D99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75D99"/>
  </w:style>
  <w:style w:type="character" w:customStyle="1" w:styleId="Tablefreq">
    <w:name w:val="Table_freq"/>
    <w:basedOn w:val="DefaultParagraphFont"/>
    <w:rsid w:val="00275D99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275D99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275D99"/>
    <w:rPr>
      <w:sz w:val="20"/>
    </w:rPr>
  </w:style>
  <w:style w:type="paragraph" w:customStyle="1" w:styleId="TableNo">
    <w:name w:val="Table_No"/>
    <w:basedOn w:val="Normal"/>
    <w:next w:val="Normal"/>
    <w:rsid w:val="00275D9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275D99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275D99"/>
    <w:rPr>
      <w:lang w:val="en-US"/>
    </w:rPr>
  </w:style>
  <w:style w:type="paragraph" w:customStyle="1" w:styleId="Proposal">
    <w:name w:val="Proposal"/>
    <w:basedOn w:val="Normal"/>
    <w:next w:val="Normal"/>
    <w:rsid w:val="00275D9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275D99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275D99"/>
    <w:pPr>
      <w:keepNext/>
      <w:keepLines/>
      <w:jc w:val="right"/>
    </w:pPr>
  </w:style>
  <w:style w:type="paragraph" w:customStyle="1" w:styleId="QuestionNo">
    <w:name w:val="Question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Questiontitle">
    <w:name w:val="Question_title"/>
    <w:basedOn w:val="Normal"/>
    <w:next w:val="Normal"/>
    <w:rsid w:val="00275D99"/>
    <w:pPr>
      <w:keepNext/>
      <w:keepLines/>
      <w:spacing w:before="240"/>
      <w:jc w:val="center"/>
    </w:pPr>
    <w:rPr>
      <w:b/>
      <w:sz w:val="26"/>
    </w:rPr>
  </w:style>
  <w:style w:type="paragraph" w:styleId="TOC1">
    <w:name w:val="toc 1"/>
    <w:basedOn w:val="Normal"/>
    <w:rsid w:val="00275D99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275D99"/>
    <w:pPr>
      <w:spacing w:before="120"/>
    </w:pPr>
  </w:style>
  <w:style w:type="paragraph" w:styleId="TOC3">
    <w:name w:val="toc 3"/>
    <w:basedOn w:val="TOC2"/>
    <w:rsid w:val="00275D99"/>
  </w:style>
  <w:style w:type="paragraph" w:styleId="TOC4">
    <w:name w:val="toc 4"/>
    <w:basedOn w:val="TOC3"/>
    <w:rsid w:val="00275D99"/>
  </w:style>
  <w:style w:type="paragraph" w:styleId="TOC5">
    <w:name w:val="toc 5"/>
    <w:basedOn w:val="TOC4"/>
    <w:rsid w:val="00275D99"/>
  </w:style>
  <w:style w:type="paragraph" w:styleId="TOC6">
    <w:name w:val="toc 6"/>
    <w:basedOn w:val="TOC4"/>
    <w:rsid w:val="00275D99"/>
  </w:style>
  <w:style w:type="paragraph" w:styleId="TOC7">
    <w:name w:val="toc 7"/>
    <w:basedOn w:val="TOC4"/>
    <w:rsid w:val="00275D99"/>
  </w:style>
  <w:style w:type="paragraph" w:styleId="TOC8">
    <w:name w:val="toc 8"/>
    <w:basedOn w:val="TOC4"/>
    <w:rsid w:val="00275D99"/>
  </w:style>
  <w:style w:type="paragraph" w:customStyle="1" w:styleId="Title1">
    <w:name w:val="Title 1"/>
    <w:basedOn w:val="Source"/>
    <w:next w:val="Normal"/>
    <w:rsid w:val="00275D99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275D9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275D9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75D99"/>
    <w:rPr>
      <w:b/>
    </w:rPr>
  </w:style>
  <w:style w:type="paragraph" w:customStyle="1" w:styleId="Tabletext">
    <w:name w:val="Table_text"/>
    <w:basedOn w:val="Normal"/>
    <w:rsid w:val="00275D99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275D99"/>
    <w:pPr>
      <w:keepNext/>
      <w:keepLines/>
      <w:spacing w:before="0" w:after="120"/>
      <w:jc w:val="center"/>
    </w:pPr>
    <w:rPr>
      <w:b/>
    </w:rPr>
  </w:style>
  <w:style w:type="paragraph" w:customStyle="1" w:styleId="Headingi">
    <w:name w:val="Heading_i"/>
    <w:basedOn w:val="Normal"/>
    <w:next w:val="Normal"/>
    <w:qFormat/>
    <w:rsid w:val="00275D99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6B0145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275D99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275D99"/>
  </w:style>
  <w:style w:type="paragraph" w:customStyle="1" w:styleId="PartNo">
    <w:name w:val="Part_No"/>
    <w:basedOn w:val="AnnexNo"/>
    <w:next w:val="Normal"/>
    <w:rsid w:val="00275D99"/>
  </w:style>
  <w:style w:type="paragraph" w:customStyle="1" w:styleId="Partref">
    <w:name w:val="Part_ref"/>
    <w:basedOn w:val="Annexref"/>
    <w:next w:val="Normal"/>
    <w:rsid w:val="00275D99"/>
  </w:style>
  <w:style w:type="paragraph" w:customStyle="1" w:styleId="Parttitle">
    <w:name w:val="Part_title"/>
    <w:basedOn w:val="Annextitle"/>
    <w:next w:val="Normalaftertitle"/>
    <w:rsid w:val="00275D99"/>
  </w:style>
  <w:style w:type="paragraph" w:customStyle="1" w:styleId="Recdate">
    <w:name w:val="Rec_date"/>
    <w:basedOn w:val="Normal"/>
    <w:next w:val="Normalaftertitle"/>
    <w:rsid w:val="00275D99"/>
    <w:pPr>
      <w:keepNext/>
      <w:keepLines/>
      <w:jc w:val="right"/>
    </w:pPr>
  </w:style>
  <w:style w:type="paragraph" w:customStyle="1" w:styleId="RecNo">
    <w:name w:val="Rec_No"/>
    <w:basedOn w:val="Normal"/>
    <w:next w:val="Normal"/>
    <w:rsid w:val="00275D99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275D99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275D99"/>
  </w:style>
  <w:style w:type="paragraph" w:customStyle="1" w:styleId="Restitle">
    <w:name w:val="Res_title"/>
    <w:basedOn w:val="Rectitle"/>
    <w:next w:val="Normal"/>
    <w:rsid w:val="00275D99"/>
  </w:style>
  <w:style w:type="paragraph" w:customStyle="1" w:styleId="AppArtNo">
    <w:name w:val="App_Art_No"/>
    <w:basedOn w:val="ArtNo"/>
    <w:qFormat/>
    <w:rsid w:val="00275D99"/>
  </w:style>
  <w:style w:type="paragraph" w:customStyle="1" w:styleId="AppArttitle">
    <w:name w:val="App_Art_title"/>
    <w:basedOn w:val="Arttitle"/>
    <w:qFormat/>
    <w:rsid w:val="00275D99"/>
  </w:style>
  <w:style w:type="paragraph" w:styleId="ListParagraph">
    <w:name w:val="List Paragraph"/>
    <w:basedOn w:val="Normal"/>
    <w:uiPriority w:val="34"/>
    <w:qFormat/>
    <w:rsid w:val="00275D99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275D99"/>
  </w:style>
  <w:style w:type="paragraph" w:customStyle="1" w:styleId="OpinionNo">
    <w:name w:val="Opinion_No"/>
    <w:basedOn w:val="RecNo"/>
    <w:next w:val="Opiniontitle"/>
    <w:qFormat/>
    <w:rsid w:val="00275D99"/>
  </w:style>
  <w:style w:type="paragraph" w:customStyle="1" w:styleId="Volumetitle">
    <w:name w:val="Volume_title"/>
    <w:basedOn w:val="Normal"/>
    <w:qFormat/>
    <w:rsid w:val="00275D99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275D9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D99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275D99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,Style 58,超????,超?级链,超级链接,超链接1,하이퍼링크2,하이퍼링크21"/>
    <w:uiPriority w:val="99"/>
    <w:qFormat/>
    <w:rsid w:val="00275D99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275D99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75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75D99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275D9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6B0145"/>
    <w:rPr>
      <w:rFonts w:ascii="CG Times" w:hAnsi="CG Tim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md/D18-TDAG27.WP-C-0012/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D18-TDAG27.WP-C-0018/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TDAG27.WP-C-0004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D/Conferences/TDAG/Pages/TDAG_WG_WTDC_Prep.aspx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www.itu.int/md/D18-TDAG27.WP-C-0026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md/D18-TDAG27-C-0005/" TargetMode="External"/><Relationship Id="rId22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santiago.reyes-borda@canad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96169-0522-4968-85B5-10A933138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1192</Words>
  <Characters>8592</Characters>
  <Application>Microsoft Office Word</Application>
  <DocSecurity>0</DocSecurity>
  <Lines>71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/>
  <LinksUpToDate>false</LinksUpToDate>
  <CharactersWithSpaces>9765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Russian</cp:lastModifiedBy>
  <cp:revision>9</cp:revision>
  <cp:lastPrinted>2011-08-24T07:41:00Z</cp:lastPrinted>
  <dcterms:created xsi:type="dcterms:W3CDTF">2021-02-11T16:54:00Z</dcterms:created>
  <dcterms:modified xsi:type="dcterms:W3CDTF">2021-03-22T08:25:00Z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