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FB221" w14:textId="203C7C58" w:rsidR="00EF558F" w:rsidRDefault="00EF558F">
      <w:pPr>
        <w:tabs>
          <w:tab w:val="clear" w:pos="1134"/>
          <w:tab w:val="clear" w:pos="1871"/>
          <w:tab w:val="clear" w:pos="2268"/>
        </w:tabs>
        <w:overflowPunct/>
        <w:autoSpaceDE/>
        <w:autoSpaceDN/>
        <w:adjustRightInd/>
        <w:spacing w:before="0"/>
        <w:textAlignment w:val="auto"/>
      </w:pPr>
    </w:p>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EF558F" w14:paraId="56DF2302" w14:textId="77777777" w:rsidTr="00EA5EFB">
        <w:trPr>
          <w:cantSplit/>
        </w:trPr>
        <w:tc>
          <w:tcPr>
            <w:tcW w:w="2127" w:type="dxa"/>
          </w:tcPr>
          <w:p w14:paraId="0B6161FA" w14:textId="77777777" w:rsidR="00EF558F" w:rsidRPr="00A96DFE" w:rsidRDefault="00EF558F" w:rsidP="00EA5EFB">
            <w:pPr>
              <w:spacing w:after="120"/>
              <w:rPr>
                <w:rFonts w:cstheme="minorHAnsi"/>
                <w:b/>
                <w:bCs/>
                <w:sz w:val="32"/>
                <w:szCs w:val="32"/>
              </w:rPr>
            </w:pPr>
            <w:r>
              <w:rPr>
                <w:rFonts w:cstheme="minorHAnsi"/>
                <w:noProof/>
              </w:rPr>
              <w:drawing>
                <wp:inline distT="0" distB="0" distL="0" distR="0" wp14:anchorId="615418CF" wp14:editId="72489E87">
                  <wp:extent cx="1190625" cy="988139"/>
                  <wp:effectExtent l="0" t="0" r="0" b="254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14027" name="WTDC21 Logo Final (1).png"/>
                          <pic:cNvPicPr/>
                        </pic:nvPicPr>
                        <pic:blipFill>
                          <a:blip r:embed="rId11" cstate="print">
                            <a:extLst>
                              <a:ext uri="{28A0092B-C50C-407E-A947-70E740481C1C}">
                                <a14:useLocalDpi xmlns:a14="http://schemas.microsoft.com/office/drawing/2010/main" val="0"/>
                              </a:ext>
                            </a:extLst>
                          </a:blip>
                          <a:srcRect l="9901" t="18139" r="9241" b="14804"/>
                          <a:stretch>
                            <a:fillRect/>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1F859F6" w14:textId="0CC7489D" w:rsidR="00EF558F" w:rsidRPr="00A96DFE" w:rsidRDefault="00EF558F" w:rsidP="00EA5EFB">
            <w:pPr>
              <w:spacing w:after="120"/>
              <w:rPr>
                <w:rFonts w:cstheme="minorHAnsi"/>
                <w:b/>
                <w:bCs/>
                <w:sz w:val="32"/>
                <w:szCs w:val="32"/>
                <w:lang w:eastAsia="zh-CN"/>
              </w:rPr>
            </w:pPr>
            <w:r w:rsidRPr="00392C5F">
              <w:rPr>
                <w:b/>
                <w:bCs/>
                <w:sz w:val="32"/>
                <w:szCs w:val="32"/>
                <w:lang w:val="en-US" w:eastAsia="zh-CN"/>
              </w:rPr>
              <w:t>WTDC</w:t>
            </w:r>
            <w:r w:rsidRPr="00392C5F">
              <w:rPr>
                <w:b/>
                <w:bCs/>
                <w:sz w:val="32"/>
                <w:szCs w:val="32"/>
                <w:lang w:val="en-US" w:eastAsia="zh-CN"/>
              </w:rPr>
              <w:noBreakHyphen/>
            </w:r>
            <w:r w:rsidRPr="00392C5F">
              <w:rPr>
                <w:rFonts w:hint="eastAsia"/>
                <w:b/>
                <w:bCs/>
                <w:sz w:val="32"/>
                <w:szCs w:val="32"/>
                <w:lang w:val="en-US" w:eastAsia="zh-CN"/>
              </w:rPr>
              <w:t>2</w:t>
            </w:r>
            <w:r w:rsidRPr="00392C5F">
              <w:rPr>
                <w:b/>
                <w:bCs/>
                <w:sz w:val="32"/>
                <w:szCs w:val="32"/>
                <w:lang w:val="en-US" w:eastAsia="zh-CN"/>
              </w:rPr>
              <w:t>1</w:t>
            </w:r>
            <w:r w:rsidRPr="00392C5F">
              <w:rPr>
                <w:rFonts w:hint="eastAsia"/>
                <w:b/>
                <w:bCs/>
                <w:sz w:val="32"/>
                <w:szCs w:val="32"/>
                <w:lang w:val="en-US" w:eastAsia="zh-CN"/>
              </w:rPr>
              <w:t>亚太区域筹备会议</w:t>
            </w:r>
            <w:r w:rsidR="00392C5F" w:rsidRPr="00392C5F">
              <w:rPr>
                <w:b/>
                <w:bCs/>
                <w:sz w:val="32"/>
                <w:szCs w:val="32"/>
                <w:lang w:val="en-US" w:eastAsia="zh-CN"/>
              </w:rPr>
              <w:br/>
            </w:r>
            <w:r w:rsidRPr="00392C5F">
              <w:rPr>
                <w:rFonts w:hint="eastAsia"/>
                <w:b/>
                <w:bCs/>
                <w:sz w:val="32"/>
                <w:szCs w:val="32"/>
                <w:lang w:val="en-US" w:eastAsia="zh-CN"/>
              </w:rPr>
              <w:t>（</w:t>
            </w:r>
            <w:r w:rsidRPr="00392C5F">
              <w:rPr>
                <w:b/>
                <w:bCs/>
                <w:sz w:val="32"/>
                <w:szCs w:val="32"/>
                <w:lang w:val="en-US" w:eastAsia="zh-CN"/>
              </w:rPr>
              <w:t>RPM-ASP</w:t>
            </w:r>
            <w:r w:rsidRPr="00392C5F">
              <w:rPr>
                <w:rFonts w:hint="eastAsia"/>
                <w:b/>
                <w:bCs/>
                <w:sz w:val="32"/>
                <w:szCs w:val="32"/>
                <w:lang w:val="en-US" w:eastAsia="zh-CN"/>
              </w:rPr>
              <w:t>）</w:t>
            </w:r>
            <w:r w:rsidRPr="00060860">
              <w:rPr>
                <w:rFonts w:cstheme="minorHAnsi"/>
                <w:b/>
                <w:bCs/>
                <w:szCs w:val="24"/>
                <w:lang w:eastAsia="zh-CN"/>
              </w:rPr>
              <w:br/>
            </w:r>
            <w:r w:rsidRPr="00392C5F">
              <w:rPr>
                <w:rFonts w:cstheme="minorHAnsi"/>
                <w:b/>
                <w:bCs/>
                <w:szCs w:val="24"/>
                <w:lang w:eastAsia="zh-CN"/>
              </w:rPr>
              <w:t>2021</w:t>
            </w:r>
            <w:r w:rsidRPr="00392C5F">
              <w:rPr>
                <w:rFonts w:cstheme="minorHAnsi"/>
                <w:b/>
                <w:bCs/>
                <w:szCs w:val="24"/>
                <w:lang w:eastAsia="zh-CN"/>
              </w:rPr>
              <w:t>年</w:t>
            </w:r>
            <w:r w:rsidRPr="00392C5F">
              <w:rPr>
                <w:rFonts w:cstheme="minorHAnsi"/>
                <w:b/>
                <w:bCs/>
                <w:szCs w:val="24"/>
                <w:lang w:eastAsia="zh-CN"/>
              </w:rPr>
              <w:t>3</w:t>
            </w:r>
            <w:r w:rsidRPr="00392C5F">
              <w:rPr>
                <w:rFonts w:cstheme="minorHAnsi"/>
                <w:b/>
                <w:bCs/>
                <w:szCs w:val="24"/>
                <w:lang w:eastAsia="zh-CN"/>
              </w:rPr>
              <w:t>月</w:t>
            </w:r>
            <w:r w:rsidRPr="00392C5F">
              <w:rPr>
                <w:rFonts w:cstheme="minorHAnsi"/>
                <w:b/>
                <w:bCs/>
                <w:szCs w:val="24"/>
                <w:lang w:eastAsia="zh-CN"/>
              </w:rPr>
              <w:t>9-10</w:t>
            </w:r>
            <w:r w:rsidRPr="00392C5F">
              <w:rPr>
                <w:rFonts w:cstheme="minorHAnsi"/>
                <w:b/>
                <w:bCs/>
                <w:szCs w:val="24"/>
                <w:lang w:eastAsia="zh-CN"/>
              </w:rPr>
              <w:t>日，虚拟会议</w:t>
            </w:r>
          </w:p>
        </w:tc>
        <w:tc>
          <w:tcPr>
            <w:tcW w:w="1275" w:type="dxa"/>
          </w:tcPr>
          <w:p w14:paraId="1F9FF74E" w14:textId="77777777" w:rsidR="00EF558F" w:rsidRPr="00674952" w:rsidRDefault="00EF558F" w:rsidP="00EA5EFB">
            <w:pPr>
              <w:spacing w:before="240" w:line="240" w:lineRule="atLeast"/>
              <w:jc w:val="right"/>
              <w:rPr>
                <w:rFonts w:cstheme="minorHAnsi"/>
              </w:rPr>
            </w:pPr>
            <w:r>
              <w:rPr>
                <w:noProof/>
                <w:lang w:val="fr-FR" w:eastAsia="fr-FR"/>
              </w:rPr>
              <w:drawing>
                <wp:inline distT="0" distB="0" distL="0" distR="0" wp14:anchorId="66F69F5F" wp14:editId="1E4CE2F2">
                  <wp:extent cx="712470" cy="785495"/>
                  <wp:effectExtent l="0" t="0" r="0" b="0"/>
                  <wp:docPr id="9" name="Picture 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F558F" w14:paraId="36BCE105" w14:textId="77777777" w:rsidTr="00EA5EFB">
        <w:trPr>
          <w:cantSplit/>
        </w:trPr>
        <w:tc>
          <w:tcPr>
            <w:tcW w:w="6379" w:type="dxa"/>
            <w:gridSpan w:val="2"/>
            <w:tcBorders>
              <w:top w:val="single" w:sz="12" w:space="0" w:color="auto"/>
            </w:tcBorders>
          </w:tcPr>
          <w:p w14:paraId="494EDBFE" w14:textId="77777777" w:rsidR="00EF558F" w:rsidRPr="00674952" w:rsidRDefault="00EF558F" w:rsidP="00EA5EFB">
            <w:pPr>
              <w:spacing w:before="0" w:after="48" w:line="240" w:lineRule="atLeast"/>
              <w:rPr>
                <w:rFonts w:cstheme="minorHAnsi"/>
                <w:b/>
                <w:smallCaps/>
                <w:sz w:val="20"/>
              </w:rPr>
            </w:pPr>
          </w:p>
        </w:tc>
        <w:tc>
          <w:tcPr>
            <w:tcW w:w="3260" w:type="dxa"/>
            <w:gridSpan w:val="2"/>
            <w:tcBorders>
              <w:top w:val="single" w:sz="12" w:space="0" w:color="auto"/>
            </w:tcBorders>
          </w:tcPr>
          <w:p w14:paraId="715A7810" w14:textId="77777777" w:rsidR="00EF558F" w:rsidRPr="00674952" w:rsidRDefault="00EF558F" w:rsidP="00EA5EFB">
            <w:pPr>
              <w:spacing w:before="0" w:line="240" w:lineRule="atLeast"/>
              <w:rPr>
                <w:rFonts w:cstheme="minorHAnsi"/>
                <w:sz w:val="20"/>
              </w:rPr>
            </w:pPr>
          </w:p>
        </w:tc>
      </w:tr>
      <w:tr w:rsidR="00EF558F" w14:paraId="1F401336" w14:textId="77777777" w:rsidTr="00EA5EFB">
        <w:trPr>
          <w:cantSplit/>
          <w:trHeight w:val="23"/>
        </w:trPr>
        <w:tc>
          <w:tcPr>
            <w:tcW w:w="6379" w:type="dxa"/>
            <w:gridSpan w:val="2"/>
            <w:shd w:val="clear" w:color="auto" w:fill="auto"/>
          </w:tcPr>
          <w:p w14:paraId="0711432E" w14:textId="77777777" w:rsidR="00EF558F" w:rsidRPr="00674952" w:rsidRDefault="00EF558F" w:rsidP="00EA5EFB">
            <w:pPr>
              <w:pStyle w:val="Committee"/>
              <w:framePr w:hSpace="0" w:wrap="auto" w:hAnchor="text" w:yAlign="inline"/>
            </w:pPr>
          </w:p>
        </w:tc>
        <w:tc>
          <w:tcPr>
            <w:tcW w:w="3260" w:type="dxa"/>
            <w:gridSpan w:val="2"/>
          </w:tcPr>
          <w:p w14:paraId="3C4ADE54" w14:textId="77777777" w:rsidR="00EF558F" w:rsidRPr="00674952" w:rsidRDefault="00EF558F" w:rsidP="00EA5EFB">
            <w:pPr>
              <w:tabs>
                <w:tab w:val="left" w:pos="851"/>
              </w:tabs>
              <w:spacing w:before="0" w:line="240" w:lineRule="atLeast"/>
              <w:rPr>
                <w:rFonts w:cstheme="minorHAnsi"/>
                <w:szCs w:val="24"/>
                <w:lang w:val="es-ES_tradnl"/>
              </w:rPr>
            </w:pPr>
            <w:r>
              <w:rPr>
                <w:rFonts w:cstheme="minorHAnsi" w:hint="eastAsia"/>
                <w:b/>
                <w:bCs/>
                <w:szCs w:val="24"/>
                <w:lang w:val="es-ES_tradnl" w:eastAsia="zh-CN"/>
              </w:rPr>
              <w:t>文件</w:t>
            </w:r>
            <w:r w:rsidRPr="00674952">
              <w:rPr>
                <w:rFonts w:cstheme="minorHAnsi"/>
                <w:b/>
                <w:bCs/>
                <w:szCs w:val="24"/>
                <w:lang w:val="es-ES_tradnl"/>
              </w:rPr>
              <w:t xml:space="preserve"> RPM-ASP21/3-</w:t>
            </w:r>
            <w:r>
              <w:rPr>
                <w:rFonts w:cstheme="minorHAnsi" w:hint="eastAsia"/>
                <w:b/>
                <w:bCs/>
                <w:szCs w:val="24"/>
                <w:lang w:val="es-ES_tradnl" w:eastAsia="zh-CN"/>
              </w:rPr>
              <w:t>C</w:t>
            </w:r>
          </w:p>
        </w:tc>
      </w:tr>
      <w:tr w:rsidR="00EF558F" w14:paraId="2A609AF0" w14:textId="77777777" w:rsidTr="00EA5EFB">
        <w:trPr>
          <w:cantSplit/>
          <w:trHeight w:val="23"/>
        </w:trPr>
        <w:tc>
          <w:tcPr>
            <w:tcW w:w="6379" w:type="dxa"/>
            <w:gridSpan w:val="2"/>
            <w:shd w:val="clear" w:color="auto" w:fill="auto"/>
          </w:tcPr>
          <w:p w14:paraId="782DB829" w14:textId="77777777" w:rsidR="00EF558F" w:rsidRPr="00674952" w:rsidRDefault="00EF558F" w:rsidP="00EA5EFB">
            <w:pPr>
              <w:tabs>
                <w:tab w:val="left" w:pos="851"/>
              </w:tabs>
              <w:spacing w:before="0" w:line="240" w:lineRule="atLeast"/>
              <w:rPr>
                <w:rFonts w:cstheme="minorHAnsi"/>
                <w:b/>
                <w:szCs w:val="24"/>
                <w:lang w:val="es-ES_tradnl"/>
              </w:rPr>
            </w:pPr>
          </w:p>
        </w:tc>
        <w:tc>
          <w:tcPr>
            <w:tcW w:w="3260" w:type="dxa"/>
            <w:gridSpan w:val="2"/>
          </w:tcPr>
          <w:p w14:paraId="0CFEE9EB" w14:textId="1BFAA658" w:rsidR="00EF558F" w:rsidRPr="008436EB" w:rsidRDefault="00EF558F" w:rsidP="00EA5EFB">
            <w:pPr>
              <w:spacing w:before="0" w:line="240" w:lineRule="atLeast"/>
              <w:rPr>
                <w:rFonts w:cstheme="minorHAnsi"/>
                <w:szCs w:val="24"/>
              </w:rPr>
            </w:pPr>
            <w:r w:rsidRPr="008436EB">
              <w:rPr>
                <w:rFonts w:cstheme="minorHAnsi"/>
                <w:b/>
                <w:bCs/>
                <w:szCs w:val="24"/>
                <w:lang w:val="fr-FR"/>
              </w:rPr>
              <w:t>202</w:t>
            </w:r>
            <w:r w:rsidR="00C27456">
              <w:rPr>
                <w:rFonts w:cstheme="minorHAnsi"/>
                <w:b/>
                <w:bCs/>
                <w:szCs w:val="24"/>
                <w:lang w:val="fr-FR"/>
              </w:rPr>
              <w:t>1</w:t>
            </w:r>
            <w:r>
              <w:rPr>
                <w:rFonts w:cstheme="minorHAnsi" w:hint="eastAsia"/>
                <w:b/>
                <w:bCs/>
                <w:szCs w:val="24"/>
                <w:lang w:val="fr-FR" w:eastAsia="zh-CN"/>
              </w:rPr>
              <w:t>年</w:t>
            </w:r>
            <w:r w:rsidR="00C27456">
              <w:rPr>
                <w:rFonts w:cstheme="minorHAnsi"/>
                <w:b/>
                <w:bCs/>
                <w:szCs w:val="24"/>
                <w:lang w:val="fr-FR" w:eastAsia="zh-CN"/>
              </w:rPr>
              <w:t>1</w:t>
            </w:r>
            <w:r>
              <w:rPr>
                <w:rFonts w:cstheme="minorHAnsi" w:hint="eastAsia"/>
                <w:b/>
                <w:bCs/>
                <w:szCs w:val="24"/>
                <w:lang w:val="fr-FR" w:eastAsia="zh-CN"/>
              </w:rPr>
              <w:t>月</w:t>
            </w:r>
            <w:r>
              <w:rPr>
                <w:rFonts w:cstheme="minorHAnsi" w:hint="eastAsia"/>
                <w:b/>
                <w:bCs/>
                <w:szCs w:val="24"/>
                <w:lang w:val="fr-FR" w:eastAsia="zh-CN"/>
              </w:rPr>
              <w:t>2</w:t>
            </w:r>
            <w:r w:rsidR="00C27456">
              <w:rPr>
                <w:rFonts w:cstheme="minorHAnsi"/>
                <w:b/>
                <w:bCs/>
                <w:szCs w:val="24"/>
                <w:lang w:val="fr-FR" w:eastAsia="zh-CN"/>
              </w:rPr>
              <w:t>6</w:t>
            </w:r>
            <w:bookmarkStart w:id="0" w:name="_GoBack"/>
            <w:bookmarkEnd w:id="0"/>
            <w:r>
              <w:rPr>
                <w:rFonts w:cstheme="minorHAnsi" w:hint="eastAsia"/>
                <w:b/>
                <w:bCs/>
                <w:szCs w:val="24"/>
                <w:lang w:val="fr-FR" w:eastAsia="zh-CN"/>
              </w:rPr>
              <w:t>日</w:t>
            </w:r>
          </w:p>
        </w:tc>
      </w:tr>
      <w:tr w:rsidR="00EF558F" w14:paraId="3E6AF0D9" w14:textId="77777777" w:rsidTr="00EA5EFB">
        <w:trPr>
          <w:cantSplit/>
          <w:trHeight w:val="23"/>
        </w:trPr>
        <w:tc>
          <w:tcPr>
            <w:tcW w:w="6379" w:type="dxa"/>
            <w:gridSpan w:val="2"/>
            <w:shd w:val="clear" w:color="auto" w:fill="auto"/>
          </w:tcPr>
          <w:p w14:paraId="5724B65D" w14:textId="77777777" w:rsidR="00EF558F" w:rsidRPr="00674952" w:rsidRDefault="00EF558F" w:rsidP="00EA5EFB">
            <w:pPr>
              <w:tabs>
                <w:tab w:val="left" w:pos="851"/>
              </w:tabs>
              <w:spacing w:before="0" w:line="240" w:lineRule="atLeast"/>
              <w:rPr>
                <w:rFonts w:cstheme="minorHAnsi"/>
                <w:szCs w:val="24"/>
              </w:rPr>
            </w:pPr>
          </w:p>
        </w:tc>
        <w:tc>
          <w:tcPr>
            <w:tcW w:w="3260" w:type="dxa"/>
            <w:gridSpan w:val="2"/>
          </w:tcPr>
          <w:p w14:paraId="3674EB12" w14:textId="77777777" w:rsidR="00EF558F" w:rsidRPr="008436EB" w:rsidRDefault="00EF558F" w:rsidP="00EA5EFB">
            <w:pPr>
              <w:tabs>
                <w:tab w:val="left" w:pos="993"/>
              </w:tabs>
              <w:spacing w:before="0"/>
              <w:rPr>
                <w:rFonts w:cstheme="minorHAnsi"/>
                <w:b/>
                <w:szCs w:val="24"/>
              </w:rPr>
            </w:pPr>
            <w:r w:rsidRPr="00BD549A">
              <w:rPr>
                <w:rFonts w:cstheme="minorHAnsi" w:hint="eastAsia"/>
                <w:b/>
                <w:bCs/>
                <w:szCs w:val="24"/>
                <w:lang w:val="fr-FR"/>
              </w:rPr>
              <w:t>原文：英文</w:t>
            </w:r>
          </w:p>
        </w:tc>
      </w:tr>
      <w:tr w:rsidR="00EF558F" w14:paraId="3C012B0E" w14:textId="77777777" w:rsidTr="00EA5EFB">
        <w:trPr>
          <w:cantSplit/>
          <w:trHeight w:val="23"/>
        </w:trPr>
        <w:tc>
          <w:tcPr>
            <w:tcW w:w="9639" w:type="dxa"/>
            <w:gridSpan w:val="4"/>
            <w:shd w:val="clear" w:color="auto" w:fill="auto"/>
          </w:tcPr>
          <w:p w14:paraId="27A69079" w14:textId="77777777" w:rsidR="00EF558F" w:rsidRPr="00674952" w:rsidRDefault="00EF558F" w:rsidP="00EA5EFB">
            <w:pPr>
              <w:pStyle w:val="Source"/>
              <w:spacing w:before="240" w:after="240"/>
              <w:rPr>
                <w:rFonts w:cstheme="minorHAnsi"/>
              </w:rPr>
            </w:pPr>
            <w:r w:rsidRPr="008F5A2D">
              <w:rPr>
                <w:rFonts w:hint="eastAsia"/>
                <w:szCs w:val="28"/>
              </w:rPr>
              <w:t>电</w:t>
            </w:r>
            <w:r w:rsidRPr="008F5A2D">
              <w:rPr>
                <w:szCs w:val="28"/>
              </w:rPr>
              <w:t>信发展局主任</w:t>
            </w:r>
          </w:p>
        </w:tc>
      </w:tr>
      <w:tr w:rsidR="00EF558F" w14:paraId="32CFE9D4" w14:textId="77777777" w:rsidTr="00EA5EFB">
        <w:trPr>
          <w:cantSplit/>
          <w:trHeight w:val="23"/>
        </w:trPr>
        <w:tc>
          <w:tcPr>
            <w:tcW w:w="9639" w:type="dxa"/>
            <w:gridSpan w:val="4"/>
            <w:shd w:val="clear" w:color="auto" w:fill="auto"/>
          </w:tcPr>
          <w:p w14:paraId="13DD7B4D" w14:textId="6118CCB0" w:rsidR="00EF558F" w:rsidRPr="00C42440" w:rsidRDefault="00EF558F" w:rsidP="00EA5EFB">
            <w:pPr>
              <w:pStyle w:val="Title1"/>
              <w:spacing w:before="120" w:after="120"/>
              <w:rPr>
                <w:rFonts w:ascii="Calibri" w:hAnsi="Calibri" w:cs="Calibri"/>
                <w:b/>
                <w:caps w:val="0"/>
                <w:color w:val="800000"/>
                <w:sz w:val="22"/>
                <w:lang w:eastAsia="zh-CN"/>
              </w:rPr>
            </w:pPr>
            <w:r w:rsidRPr="00BD549A">
              <w:rPr>
                <w:rFonts w:hint="eastAsia"/>
                <w:caps w:val="0"/>
                <w:lang w:val="en-US" w:eastAsia="zh-CN"/>
              </w:rPr>
              <w:t>电信发展局基于结果的管理方式</w:t>
            </w:r>
            <w:r w:rsidR="007062B6" w:rsidRPr="00BD549A">
              <w:rPr>
                <w:rFonts w:hint="eastAsia"/>
                <w:caps w:val="0"/>
                <w:lang w:val="en-US" w:eastAsia="zh-CN"/>
              </w:rPr>
              <w:t>的实施</w:t>
            </w:r>
            <w:r w:rsidR="007062B6">
              <w:rPr>
                <w:caps w:val="0"/>
                <w:lang w:val="en-US" w:eastAsia="zh-CN"/>
              </w:rPr>
              <w:t xml:space="preserve"> </w:t>
            </w:r>
            <w:r>
              <w:rPr>
                <w:rFonts w:ascii="Calibri" w:hAnsi="Calibri" w:cs="Calibri"/>
                <w:b/>
                <w:caps w:val="0"/>
                <w:color w:val="800000"/>
                <w:sz w:val="22"/>
                <w:lang w:val="en-US" w:eastAsia="zh-CN"/>
              </w:rPr>
              <w:t xml:space="preserve"> </w:t>
            </w:r>
          </w:p>
        </w:tc>
      </w:tr>
      <w:tr w:rsidR="00EF558F" w14:paraId="51D29FFE" w14:textId="77777777" w:rsidTr="00EA5EFB">
        <w:trPr>
          <w:cantSplit/>
          <w:trHeight w:val="23"/>
        </w:trPr>
        <w:tc>
          <w:tcPr>
            <w:tcW w:w="9639" w:type="dxa"/>
            <w:gridSpan w:val="4"/>
            <w:tcBorders>
              <w:bottom w:val="single" w:sz="4" w:space="0" w:color="auto"/>
            </w:tcBorders>
            <w:shd w:val="clear" w:color="auto" w:fill="auto"/>
          </w:tcPr>
          <w:p w14:paraId="6D4A2DF9" w14:textId="77777777" w:rsidR="00EF558F" w:rsidRPr="00674952" w:rsidRDefault="00EF558F" w:rsidP="00EA5EFB">
            <w:pPr>
              <w:pStyle w:val="Title1"/>
              <w:rPr>
                <w:rFonts w:cstheme="minorHAnsi"/>
                <w:szCs w:val="28"/>
                <w:lang w:eastAsia="zh-CN"/>
              </w:rPr>
            </w:pPr>
          </w:p>
        </w:tc>
      </w:tr>
      <w:tr w:rsidR="00EF558F" w14:paraId="4EB960BD" w14:textId="77777777" w:rsidTr="00EA5EFB">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850BAE7" w14:textId="27CEB703" w:rsidR="00EF558F" w:rsidRPr="00357F34" w:rsidRDefault="00EF558F" w:rsidP="00EA5EFB">
            <w:pPr>
              <w:pStyle w:val="Title1"/>
              <w:spacing w:before="120"/>
              <w:jc w:val="left"/>
              <w:rPr>
                <w:rFonts w:cstheme="minorHAnsi"/>
                <w:b/>
                <w:bCs/>
                <w:caps w:val="0"/>
                <w:sz w:val="24"/>
                <w:szCs w:val="24"/>
              </w:rPr>
            </w:pPr>
            <w:r>
              <w:rPr>
                <w:rFonts w:cstheme="minorHAnsi" w:hint="eastAsia"/>
                <w:b/>
                <w:bCs/>
                <w:caps w:val="0"/>
                <w:sz w:val="24"/>
                <w:szCs w:val="24"/>
                <w:lang w:eastAsia="zh-CN"/>
              </w:rPr>
              <w:t>议项：</w:t>
            </w:r>
          </w:p>
          <w:p w14:paraId="6C1EEB69" w14:textId="21E3B8EF" w:rsidR="00EF558F" w:rsidRPr="00357F34" w:rsidRDefault="007062B6" w:rsidP="00EA5EFB">
            <w:pPr>
              <w:pStyle w:val="Title1"/>
              <w:spacing w:before="120"/>
              <w:jc w:val="left"/>
              <w:rPr>
                <w:rFonts w:cstheme="minorHAnsi"/>
                <w:caps w:val="0"/>
                <w:sz w:val="24"/>
                <w:szCs w:val="24"/>
                <w:lang w:eastAsia="zh-CN"/>
              </w:rPr>
            </w:pPr>
            <w:r>
              <w:rPr>
                <w:rFonts w:cstheme="minorHAnsi" w:hint="eastAsia"/>
                <w:caps w:val="0"/>
                <w:sz w:val="24"/>
                <w:szCs w:val="24"/>
                <w:lang w:eastAsia="zh-CN"/>
              </w:rPr>
              <w:t>议项</w:t>
            </w:r>
            <w:r w:rsidR="00EF558F" w:rsidRPr="00357F34">
              <w:rPr>
                <w:rFonts w:cstheme="minorHAnsi"/>
                <w:caps w:val="0"/>
                <w:sz w:val="24"/>
                <w:szCs w:val="24"/>
                <w:lang w:eastAsia="zh-CN"/>
              </w:rPr>
              <w:t>5</w:t>
            </w:r>
          </w:p>
          <w:p w14:paraId="7939FD86" w14:textId="77777777" w:rsidR="00EF558F" w:rsidRPr="00674952" w:rsidRDefault="00EF558F" w:rsidP="00EA5EFB">
            <w:pPr>
              <w:pStyle w:val="Title1"/>
              <w:spacing w:before="120"/>
              <w:jc w:val="left"/>
              <w:rPr>
                <w:rFonts w:cstheme="minorHAnsi"/>
                <w:b/>
                <w:bCs/>
                <w:caps w:val="0"/>
                <w:sz w:val="24"/>
                <w:szCs w:val="24"/>
                <w:lang w:eastAsia="zh-CN"/>
              </w:rPr>
            </w:pPr>
            <w:r w:rsidRPr="00BD549A">
              <w:rPr>
                <w:rFonts w:cstheme="minorHAnsi" w:hint="eastAsia"/>
                <w:b/>
                <w:bCs/>
                <w:caps w:val="0"/>
                <w:sz w:val="24"/>
                <w:szCs w:val="24"/>
                <w:lang w:eastAsia="zh-CN"/>
              </w:rPr>
              <w:t>摘要</w:t>
            </w:r>
            <w:r w:rsidRPr="00BD549A">
              <w:rPr>
                <w:rFonts w:cstheme="minorHAnsi"/>
                <w:b/>
                <w:bCs/>
                <w:caps w:val="0"/>
                <w:sz w:val="24"/>
                <w:szCs w:val="24"/>
                <w:lang w:eastAsia="zh-CN"/>
              </w:rPr>
              <w:t>：</w:t>
            </w:r>
          </w:p>
          <w:p w14:paraId="40BFEA8D" w14:textId="006EE08F" w:rsidR="00EF558F" w:rsidRPr="000E4354" w:rsidRDefault="00EF558F" w:rsidP="00392C5F">
            <w:pPr>
              <w:ind w:firstLineChars="200" w:firstLine="480"/>
              <w:rPr>
                <w:rFonts w:ascii="Calibri" w:hAnsi="Calibri" w:cs="Calibri"/>
                <w:b/>
                <w:color w:val="800000"/>
                <w:sz w:val="22"/>
                <w:lang w:eastAsia="zh-CN"/>
              </w:rPr>
            </w:pPr>
            <w:r w:rsidRPr="006B32BB">
              <w:rPr>
                <w:rFonts w:hint="eastAsia"/>
                <w:lang w:eastAsia="zh-CN"/>
              </w:rPr>
              <w:t>2019</w:t>
            </w:r>
            <w:r>
              <w:rPr>
                <w:rFonts w:hint="eastAsia"/>
                <w:lang w:eastAsia="zh-CN"/>
              </w:rPr>
              <w:t>年，电信发展局着手全面革新</w:t>
            </w:r>
            <w:r w:rsidRPr="006B32BB">
              <w:rPr>
                <w:rFonts w:hint="eastAsia"/>
                <w:lang w:eastAsia="zh-CN"/>
              </w:rPr>
              <w:t>对基于结果的管理</w:t>
            </w:r>
            <w:r>
              <w:rPr>
                <w:rFonts w:hint="eastAsia"/>
                <w:lang w:eastAsia="zh-CN"/>
              </w:rPr>
              <w:t>方式</w:t>
            </w:r>
            <w:r w:rsidRPr="006B32BB">
              <w:rPr>
                <w:rFonts w:hint="eastAsia"/>
                <w:lang w:eastAsia="zh-CN"/>
              </w:rPr>
              <w:t>（</w:t>
            </w:r>
            <w:r w:rsidRPr="006B32BB">
              <w:rPr>
                <w:rFonts w:hint="eastAsia"/>
                <w:lang w:eastAsia="zh-CN"/>
              </w:rPr>
              <w:t>RBM</w:t>
            </w:r>
            <w:r>
              <w:rPr>
                <w:rFonts w:hint="eastAsia"/>
                <w:lang w:eastAsia="zh-CN"/>
              </w:rPr>
              <w:t>）的使用，让电信发展局</w:t>
            </w:r>
            <w:r w:rsidR="007062B6">
              <w:rPr>
                <w:rFonts w:hint="eastAsia"/>
                <w:lang w:eastAsia="zh-CN"/>
              </w:rPr>
              <w:t>（</w:t>
            </w:r>
            <w:r w:rsidR="007062B6">
              <w:rPr>
                <w:rFonts w:hint="eastAsia"/>
                <w:lang w:eastAsia="zh-CN"/>
              </w:rPr>
              <w:t>BDT</w:t>
            </w:r>
            <w:r w:rsidR="007062B6">
              <w:rPr>
                <w:rFonts w:hint="eastAsia"/>
                <w:lang w:eastAsia="zh-CN"/>
              </w:rPr>
              <w:t>）</w:t>
            </w:r>
            <w:r>
              <w:rPr>
                <w:rFonts w:hint="eastAsia"/>
                <w:lang w:eastAsia="zh-CN"/>
              </w:rPr>
              <w:t>能够应对快速变化的发展格局带来的挑战并做到“</w:t>
            </w:r>
            <w:r w:rsidRPr="006B32BB">
              <w:rPr>
                <w:rFonts w:hint="eastAsia"/>
                <w:lang w:eastAsia="zh-CN"/>
              </w:rPr>
              <w:t>有的放矢，胜任其职”。</w:t>
            </w:r>
            <w:r>
              <w:rPr>
                <w:rFonts w:hint="eastAsia"/>
                <w:lang w:eastAsia="zh-CN"/>
              </w:rPr>
              <w:t>这项改革将使</w:t>
            </w:r>
            <w:r>
              <w:rPr>
                <w:rFonts w:hint="eastAsia"/>
                <w:lang w:eastAsia="zh-CN"/>
              </w:rPr>
              <w:t>RBM</w:t>
            </w:r>
            <w:r>
              <w:rPr>
                <w:rFonts w:hint="eastAsia"/>
                <w:lang w:eastAsia="zh-CN"/>
              </w:rPr>
              <w:t>与所有工作计划的实施相关联，用作管理决策和监测工具并提供证明电信发展局</w:t>
            </w:r>
            <w:r w:rsidRPr="006B32BB">
              <w:rPr>
                <w:rFonts w:hint="eastAsia"/>
                <w:lang w:eastAsia="zh-CN"/>
              </w:rPr>
              <w:t>影响</w:t>
            </w:r>
            <w:r>
              <w:rPr>
                <w:rFonts w:hint="eastAsia"/>
                <w:lang w:eastAsia="zh-CN"/>
              </w:rPr>
              <w:t>的证据</w:t>
            </w:r>
            <w:r w:rsidRPr="006B32BB">
              <w:rPr>
                <w:rFonts w:hint="eastAsia"/>
                <w:lang w:eastAsia="zh-CN"/>
              </w:rPr>
              <w:t>。</w:t>
            </w:r>
            <w:r w:rsidR="007062B6">
              <w:rPr>
                <w:rFonts w:hint="eastAsia"/>
                <w:lang w:eastAsia="zh-CN"/>
              </w:rPr>
              <w:t>RBM</w:t>
            </w:r>
            <w:r w:rsidRPr="006B32BB">
              <w:rPr>
                <w:rFonts w:hint="eastAsia"/>
                <w:lang w:eastAsia="zh-CN"/>
              </w:rPr>
              <w:t>还将</w:t>
            </w:r>
            <w:r>
              <w:rPr>
                <w:rFonts w:hint="eastAsia"/>
                <w:lang w:eastAsia="zh-CN"/>
              </w:rPr>
              <w:t>作为平台，与内部和外部合作伙伴合作，复制和扩大成功的项目和工作计划举措。</w:t>
            </w:r>
          </w:p>
          <w:p w14:paraId="1D95FA38" w14:textId="31A0B3D8" w:rsidR="00EF558F" w:rsidRPr="000E4354" w:rsidRDefault="007062B6" w:rsidP="00EA5EFB">
            <w:pPr>
              <w:pStyle w:val="Title1"/>
              <w:spacing w:before="120"/>
              <w:jc w:val="left"/>
              <w:rPr>
                <w:rFonts w:cstheme="minorHAnsi"/>
                <w:b/>
                <w:bCs/>
                <w:caps w:val="0"/>
                <w:sz w:val="24"/>
                <w:szCs w:val="24"/>
                <w:lang w:eastAsia="zh-CN"/>
              </w:rPr>
            </w:pPr>
            <w:r>
              <w:rPr>
                <w:rFonts w:cstheme="minorHAnsi" w:hint="eastAsia"/>
                <w:b/>
                <w:bCs/>
                <w:caps w:val="0"/>
                <w:sz w:val="24"/>
                <w:szCs w:val="24"/>
                <w:lang w:eastAsia="zh-CN"/>
              </w:rPr>
              <w:t>预期结果</w:t>
            </w:r>
            <w:r w:rsidR="00392C5F">
              <w:rPr>
                <w:rFonts w:cstheme="minorHAnsi" w:hint="eastAsia"/>
                <w:b/>
                <w:bCs/>
                <w:caps w:val="0"/>
                <w:sz w:val="24"/>
                <w:szCs w:val="24"/>
                <w:lang w:eastAsia="zh-CN"/>
              </w:rPr>
              <w:t>：</w:t>
            </w:r>
          </w:p>
          <w:p w14:paraId="1DACE567" w14:textId="534635A0" w:rsidR="00EF558F" w:rsidRPr="00674952" w:rsidRDefault="007062B6" w:rsidP="00392C5F">
            <w:pPr>
              <w:pStyle w:val="Title1"/>
              <w:spacing w:before="120"/>
              <w:ind w:firstLineChars="200" w:firstLine="480"/>
              <w:jc w:val="left"/>
              <w:rPr>
                <w:rFonts w:cstheme="minorHAnsi"/>
                <w:caps w:val="0"/>
                <w:sz w:val="24"/>
                <w:szCs w:val="24"/>
                <w:lang w:eastAsia="zh-CN"/>
              </w:rPr>
            </w:pPr>
            <w:r>
              <w:rPr>
                <w:rFonts w:cstheme="minorHAnsi" w:hint="eastAsia"/>
                <w:caps w:val="0"/>
                <w:sz w:val="24"/>
                <w:szCs w:val="24"/>
                <w:lang w:eastAsia="zh-CN"/>
              </w:rPr>
              <w:t>请</w:t>
            </w:r>
            <w:r w:rsidR="00EF558F" w:rsidRPr="000E4354">
              <w:rPr>
                <w:rFonts w:cstheme="minorHAnsi"/>
                <w:caps w:val="0"/>
                <w:sz w:val="24"/>
                <w:szCs w:val="24"/>
                <w:lang w:eastAsia="zh-CN"/>
              </w:rPr>
              <w:t>RPM-ASP</w:t>
            </w:r>
            <w:r>
              <w:rPr>
                <w:rFonts w:cstheme="minorHAnsi" w:hint="eastAsia"/>
                <w:caps w:val="0"/>
                <w:sz w:val="24"/>
                <w:szCs w:val="24"/>
                <w:lang w:eastAsia="zh-CN"/>
              </w:rPr>
              <w:t>注意本文件。</w:t>
            </w:r>
          </w:p>
          <w:p w14:paraId="0CE95698" w14:textId="77777777" w:rsidR="00EF558F" w:rsidRPr="00674952" w:rsidRDefault="00EF558F" w:rsidP="00EA5EFB">
            <w:pPr>
              <w:pStyle w:val="Title1"/>
              <w:spacing w:before="120"/>
              <w:jc w:val="left"/>
              <w:rPr>
                <w:rFonts w:cstheme="minorHAnsi"/>
                <w:b/>
                <w:bCs/>
                <w:caps w:val="0"/>
                <w:sz w:val="24"/>
                <w:szCs w:val="24"/>
                <w:lang w:eastAsia="zh-CN"/>
              </w:rPr>
            </w:pPr>
            <w:r w:rsidRPr="00BD549A">
              <w:rPr>
                <w:rFonts w:cstheme="minorHAnsi" w:hint="eastAsia"/>
                <w:b/>
                <w:bCs/>
                <w:caps w:val="0"/>
                <w:sz w:val="24"/>
                <w:szCs w:val="24"/>
                <w:lang w:eastAsia="zh-CN"/>
              </w:rPr>
              <w:t>参考文件：</w:t>
            </w:r>
          </w:p>
          <w:p w14:paraId="6EABC534" w14:textId="77777777" w:rsidR="00EF558F" w:rsidRPr="00674952" w:rsidRDefault="00EF558F" w:rsidP="00392C5F">
            <w:pPr>
              <w:spacing w:after="120"/>
              <w:ind w:firstLineChars="200" w:firstLine="480"/>
              <w:rPr>
                <w:lang w:eastAsia="zh-CN"/>
              </w:rPr>
            </w:pPr>
            <w:r w:rsidRPr="00BD549A">
              <w:rPr>
                <w:rFonts w:hint="eastAsia"/>
                <w:lang w:eastAsia="zh-CN"/>
              </w:rPr>
              <w:t>2017</w:t>
            </w:r>
            <w:r w:rsidRPr="00BD549A">
              <w:rPr>
                <w:rFonts w:hint="eastAsia"/>
                <w:lang w:eastAsia="zh-CN"/>
              </w:rPr>
              <w:t>年世界电信发展大会（</w:t>
            </w:r>
            <w:r w:rsidRPr="00BD549A">
              <w:rPr>
                <w:rFonts w:hint="eastAsia"/>
                <w:lang w:eastAsia="zh-CN"/>
              </w:rPr>
              <w:t>WTDC-17</w:t>
            </w:r>
            <w:r w:rsidRPr="00BD549A">
              <w:rPr>
                <w:rFonts w:hint="eastAsia"/>
                <w:lang w:eastAsia="zh-CN"/>
              </w:rPr>
              <w:t>）通过的《布宜诺斯艾利斯行动计划》、全权代表大会第</w:t>
            </w:r>
            <w:r w:rsidRPr="00BD549A">
              <w:rPr>
                <w:rFonts w:hint="eastAsia"/>
                <w:lang w:eastAsia="zh-CN"/>
              </w:rPr>
              <w:t>25</w:t>
            </w:r>
            <w:r w:rsidRPr="00BD549A">
              <w:rPr>
                <w:rFonts w:hint="eastAsia"/>
                <w:lang w:eastAsia="zh-CN"/>
              </w:rPr>
              <w:t>号、第</w:t>
            </w:r>
            <w:r w:rsidRPr="00BD549A">
              <w:rPr>
                <w:rFonts w:hint="eastAsia"/>
                <w:lang w:eastAsia="zh-CN"/>
              </w:rPr>
              <w:t>71</w:t>
            </w:r>
            <w:r w:rsidRPr="00BD549A">
              <w:rPr>
                <w:rFonts w:hint="eastAsia"/>
                <w:lang w:eastAsia="zh-CN"/>
              </w:rPr>
              <w:t>号和第</w:t>
            </w:r>
            <w:r w:rsidRPr="00BD549A">
              <w:rPr>
                <w:rFonts w:hint="eastAsia"/>
                <w:lang w:eastAsia="zh-CN"/>
              </w:rPr>
              <w:t>151</w:t>
            </w:r>
            <w:r w:rsidRPr="00BD549A">
              <w:rPr>
                <w:rFonts w:hint="eastAsia"/>
                <w:lang w:eastAsia="zh-CN"/>
              </w:rPr>
              <w:t>号决议（</w:t>
            </w:r>
            <w:r w:rsidRPr="00BD549A">
              <w:rPr>
                <w:rFonts w:hint="eastAsia"/>
                <w:lang w:eastAsia="zh-CN"/>
              </w:rPr>
              <w:t>2018</w:t>
            </w:r>
            <w:r w:rsidRPr="00BD549A">
              <w:rPr>
                <w:rFonts w:hint="eastAsia"/>
                <w:lang w:eastAsia="zh-CN"/>
              </w:rPr>
              <w:t>年，迪拜，修订版）、</w:t>
            </w:r>
            <w:r w:rsidRPr="00BD549A">
              <w:rPr>
                <w:rFonts w:hint="eastAsia"/>
                <w:lang w:eastAsia="zh-CN"/>
              </w:rPr>
              <w:t>WTDC</w:t>
            </w:r>
            <w:r w:rsidRPr="00BD549A">
              <w:rPr>
                <w:rFonts w:hint="eastAsia"/>
                <w:lang w:eastAsia="zh-CN"/>
              </w:rPr>
              <w:t>第</w:t>
            </w:r>
            <w:r w:rsidRPr="00BD549A">
              <w:rPr>
                <w:rFonts w:hint="eastAsia"/>
                <w:lang w:eastAsia="zh-CN"/>
              </w:rPr>
              <w:t>52</w:t>
            </w:r>
            <w:r w:rsidRPr="00BD549A">
              <w:rPr>
                <w:rFonts w:hint="eastAsia"/>
                <w:lang w:eastAsia="zh-CN"/>
              </w:rPr>
              <w:t>号和第</w:t>
            </w:r>
            <w:r w:rsidRPr="00BD549A">
              <w:rPr>
                <w:rFonts w:hint="eastAsia"/>
                <w:lang w:eastAsia="zh-CN"/>
              </w:rPr>
              <w:t>53</w:t>
            </w:r>
            <w:r w:rsidRPr="00BD549A">
              <w:rPr>
                <w:rFonts w:hint="eastAsia"/>
                <w:lang w:eastAsia="zh-CN"/>
              </w:rPr>
              <w:t>号决议（</w:t>
            </w:r>
            <w:r w:rsidRPr="00BD549A">
              <w:rPr>
                <w:rFonts w:hint="eastAsia"/>
                <w:lang w:eastAsia="zh-CN"/>
              </w:rPr>
              <w:t>2014</w:t>
            </w:r>
            <w:r w:rsidRPr="00BD549A">
              <w:rPr>
                <w:rFonts w:hint="eastAsia"/>
                <w:lang w:eastAsia="zh-CN"/>
              </w:rPr>
              <w:t>年，迪拜，修订版）</w:t>
            </w:r>
          </w:p>
        </w:tc>
      </w:tr>
    </w:tbl>
    <w:p w14:paraId="7ECC4E38" w14:textId="069C0F32" w:rsidR="006D14DF" w:rsidRDefault="006D7042">
      <w:pPr>
        <w:rPr>
          <w:lang w:eastAsia="zh-CN"/>
        </w:rPr>
      </w:pPr>
      <w:r>
        <w:rPr>
          <w:lang w:eastAsia="zh-CN"/>
        </w:rPr>
        <w:br w:type="page"/>
      </w:r>
    </w:p>
    <w:p w14:paraId="7EE1C81B" w14:textId="7D73B7EC" w:rsidR="00F77372" w:rsidRPr="003831C9" w:rsidRDefault="00392C5F" w:rsidP="00392C5F">
      <w:pPr>
        <w:pStyle w:val="Heading1"/>
        <w:rPr>
          <w:lang w:eastAsia="zh-CN"/>
        </w:rPr>
      </w:pPr>
      <w:r>
        <w:rPr>
          <w:rFonts w:hint="eastAsia"/>
          <w:lang w:eastAsia="zh-CN"/>
        </w:rPr>
        <w:lastRenderedPageBreak/>
        <w:t>1</w:t>
      </w:r>
      <w:r>
        <w:rPr>
          <w:lang w:eastAsia="zh-CN"/>
        </w:rPr>
        <w:tab/>
      </w:r>
      <w:r w:rsidR="00BD549A" w:rsidRPr="00BD549A">
        <w:rPr>
          <w:rFonts w:hint="eastAsia"/>
          <w:lang w:eastAsia="zh-CN"/>
        </w:rPr>
        <w:t>开展意义深远的</w:t>
      </w:r>
      <w:r w:rsidR="00BD549A" w:rsidRPr="00BD549A">
        <w:rPr>
          <w:rFonts w:hint="eastAsia"/>
          <w:lang w:eastAsia="zh-CN"/>
        </w:rPr>
        <w:t>RBM</w:t>
      </w:r>
      <w:r w:rsidR="00BD549A" w:rsidRPr="00BD549A">
        <w:rPr>
          <w:rFonts w:hint="eastAsia"/>
          <w:lang w:eastAsia="zh-CN"/>
        </w:rPr>
        <w:t>变革举措</w:t>
      </w:r>
      <w:r w:rsidR="007062B6">
        <w:rPr>
          <w:rFonts w:hint="eastAsia"/>
          <w:lang w:eastAsia="zh-CN"/>
        </w:rPr>
        <w:t>的必要性</w:t>
      </w:r>
      <w:r w:rsidR="00BD549A" w:rsidRPr="00BD549A">
        <w:rPr>
          <w:rFonts w:hint="eastAsia"/>
          <w:lang w:eastAsia="zh-CN"/>
        </w:rPr>
        <w:t>？</w:t>
      </w:r>
    </w:p>
    <w:p w14:paraId="36C6A720" w14:textId="0C2581D8" w:rsidR="00F77372" w:rsidRDefault="00BD549A" w:rsidP="00392C5F">
      <w:pPr>
        <w:keepNext/>
        <w:ind w:firstLineChars="200" w:firstLine="480"/>
        <w:rPr>
          <w:rFonts w:cstheme="minorHAnsi"/>
          <w:szCs w:val="24"/>
          <w:lang w:eastAsia="zh-CN"/>
        </w:rPr>
      </w:pPr>
      <w:r w:rsidRPr="00BD549A">
        <w:rPr>
          <w:rFonts w:cstheme="minorHAnsi" w:hint="eastAsia"/>
          <w:szCs w:val="24"/>
          <w:lang w:eastAsia="zh-CN"/>
        </w:rPr>
        <w:t>在快速变化的发展格局背景下，成员国不断要求确保一个高效、有效的电信发展局</w:t>
      </w:r>
      <w:r w:rsidR="007062B6">
        <w:rPr>
          <w:rStyle w:val="FootnoteReference"/>
          <w:rFonts w:cstheme="minorHAnsi"/>
          <w:szCs w:val="24"/>
        </w:rPr>
        <w:footnoteReference w:id="1"/>
      </w:r>
      <w:r w:rsidRPr="00BD549A">
        <w:rPr>
          <w:rFonts w:cstheme="minorHAnsi" w:hint="eastAsia"/>
          <w:szCs w:val="24"/>
          <w:lang w:eastAsia="zh-CN"/>
        </w:rPr>
        <w:t>，于是电信发展局</w:t>
      </w:r>
      <w:r w:rsidR="007062B6">
        <w:rPr>
          <w:rFonts w:cstheme="minorHAnsi" w:hint="eastAsia"/>
          <w:szCs w:val="24"/>
          <w:lang w:eastAsia="zh-CN"/>
        </w:rPr>
        <w:t>（</w:t>
      </w:r>
      <w:r w:rsidR="007062B6">
        <w:rPr>
          <w:rFonts w:cstheme="minorHAnsi" w:hint="eastAsia"/>
          <w:szCs w:val="24"/>
          <w:lang w:eastAsia="zh-CN"/>
        </w:rPr>
        <w:t>BDT</w:t>
      </w:r>
      <w:r w:rsidR="007062B6">
        <w:rPr>
          <w:rFonts w:cstheme="minorHAnsi" w:hint="eastAsia"/>
          <w:szCs w:val="24"/>
          <w:lang w:eastAsia="zh-CN"/>
        </w:rPr>
        <w:t>）</w:t>
      </w:r>
      <w:r w:rsidRPr="00BD549A">
        <w:rPr>
          <w:rFonts w:cstheme="minorHAnsi" w:hint="eastAsia"/>
          <w:szCs w:val="24"/>
          <w:lang w:eastAsia="zh-CN"/>
        </w:rPr>
        <w:t>于</w:t>
      </w:r>
      <w:r w:rsidRPr="00BD549A">
        <w:rPr>
          <w:rFonts w:cstheme="minorHAnsi" w:hint="eastAsia"/>
          <w:szCs w:val="24"/>
          <w:lang w:eastAsia="zh-CN"/>
        </w:rPr>
        <w:t>2019</w:t>
      </w:r>
      <w:r w:rsidRPr="00BD549A">
        <w:rPr>
          <w:rFonts w:cstheme="minorHAnsi" w:hint="eastAsia"/>
          <w:szCs w:val="24"/>
          <w:lang w:eastAsia="zh-CN"/>
        </w:rPr>
        <w:t>年着手全面</w:t>
      </w:r>
      <w:r w:rsidR="007062B6">
        <w:rPr>
          <w:rFonts w:cstheme="minorHAnsi" w:hint="eastAsia"/>
          <w:szCs w:val="24"/>
          <w:lang w:eastAsia="zh-CN"/>
        </w:rPr>
        <w:t>审议</w:t>
      </w:r>
      <w:r w:rsidRPr="00BD549A">
        <w:rPr>
          <w:rFonts w:cstheme="minorHAnsi" w:hint="eastAsia"/>
          <w:szCs w:val="24"/>
          <w:lang w:eastAsia="zh-CN"/>
        </w:rPr>
        <w:t>基于结果的管理框架。为维持并增强电信发展局的针对性，</w:t>
      </w:r>
      <w:r w:rsidRPr="00BD549A">
        <w:rPr>
          <w:rFonts w:cstheme="minorHAnsi" w:hint="eastAsia"/>
          <w:szCs w:val="24"/>
          <w:lang w:eastAsia="zh-CN"/>
        </w:rPr>
        <w:t>2019</w:t>
      </w:r>
      <w:r w:rsidRPr="00BD549A">
        <w:rPr>
          <w:rFonts w:cstheme="minorHAnsi" w:hint="eastAsia"/>
          <w:szCs w:val="24"/>
          <w:lang w:eastAsia="zh-CN"/>
        </w:rPr>
        <w:t>年上半年开展的打造“有的放矢，胜任其职”的电信发展局基线分析显示：</w:t>
      </w:r>
    </w:p>
    <w:p w14:paraId="7E063F14" w14:textId="78426948" w:rsidR="00F77372" w:rsidRDefault="00BD549A" w:rsidP="008E5BDF">
      <w:pPr>
        <w:pStyle w:val="ListParagraph"/>
        <w:keepNext/>
        <w:numPr>
          <w:ilvl w:val="0"/>
          <w:numId w:val="5"/>
        </w:numPr>
        <w:spacing w:before="80"/>
        <w:ind w:left="1134" w:hanging="1134"/>
        <w:contextualSpacing w:val="0"/>
        <w:rPr>
          <w:rFonts w:cstheme="minorHAnsi"/>
          <w:szCs w:val="24"/>
          <w:lang w:eastAsia="zh-CN"/>
        </w:rPr>
      </w:pPr>
      <w:r w:rsidRPr="00BD549A">
        <w:rPr>
          <w:rFonts w:cstheme="minorHAnsi" w:hint="eastAsia"/>
          <w:szCs w:val="24"/>
          <w:lang w:eastAsia="zh-CN"/>
        </w:rPr>
        <w:t>活动已变得分散，难以系统化地吸引合作伙伴参与，也难以利用与国际电联</w:t>
      </w:r>
      <w:r w:rsidR="007062B6">
        <w:rPr>
          <w:rFonts w:cstheme="minorHAnsi" w:hint="eastAsia"/>
          <w:szCs w:val="24"/>
          <w:lang w:eastAsia="zh-CN"/>
        </w:rPr>
        <w:t>各部门</w:t>
      </w:r>
      <w:r w:rsidRPr="00BD549A">
        <w:rPr>
          <w:rFonts w:cstheme="minorHAnsi" w:hint="eastAsia"/>
          <w:szCs w:val="24"/>
          <w:lang w:eastAsia="zh-CN"/>
        </w:rPr>
        <w:t>的协同机会并跟踪影响</w:t>
      </w:r>
      <w:r>
        <w:rPr>
          <w:rFonts w:cstheme="minorHAnsi" w:hint="eastAsia"/>
          <w:szCs w:val="24"/>
          <w:lang w:eastAsia="zh-CN"/>
        </w:rPr>
        <w:t>；</w:t>
      </w:r>
    </w:p>
    <w:p w14:paraId="50AED4E8" w14:textId="68B997E6" w:rsidR="00F77372" w:rsidRDefault="00BD549A" w:rsidP="008E5BDF">
      <w:pPr>
        <w:pStyle w:val="ListParagraph"/>
        <w:numPr>
          <w:ilvl w:val="0"/>
          <w:numId w:val="5"/>
        </w:numPr>
        <w:spacing w:before="80"/>
        <w:ind w:left="1134" w:hanging="1134"/>
        <w:contextualSpacing w:val="0"/>
        <w:rPr>
          <w:rFonts w:cstheme="minorHAnsi"/>
          <w:szCs w:val="24"/>
          <w:lang w:eastAsia="zh-CN"/>
        </w:rPr>
      </w:pPr>
      <w:r w:rsidRPr="00BD549A">
        <w:rPr>
          <w:rFonts w:cstheme="minorHAnsi" w:hint="eastAsia"/>
          <w:szCs w:val="24"/>
          <w:lang w:eastAsia="zh-CN"/>
        </w:rPr>
        <w:t>工作计划</w:t>
      </w:r>
      <w:r w:rsidR="007062B6">
        <w:rPr>
          <w:rFonts w:cstheme="minorHAnsi" w:hint="eastAsia"/>
          <w:szCs w:val="24"/>
          <w:lang w:eastAsia="zh-CN"/>
        </w:rPr>
        <w:t>的完成各自为政</w:t>
      </w:r>
      <w:r w:rsidRPr="00BD549A">
        <w:rPr>
          <w:rFonts w:cstheme="minorHAnsi" w:hint="eastAsia"/>
          <w:szCs w:val="24"/>
          <w:lang w:eastAsia="zh-CN"/>
        </w:rPr>
        <w:t>，运作规划工作计划往往与项目和区域性举措脱节</w:t>
      </w:r>
      <w:r>
        <w:rPr>
          <w:rFonts w:cstheme="minorHAnsi" w:hint="eastAsia"/>
          <w:szCs w:val="24"/>
          <w:lang w:eastAsia="zh-CN"/>
        </w:rPr>
        <w:t>；</w:t>
      </w:r>
    </w:p>
    <w:p w14:paraId="5E2A9ED2" w14:textId="2BA237B7" w:rsidR="00F77372" w:rsidRDefault="00BD549A" w:rsidP="008E5BDF">
      <w:pPr>
        <w:pStyle w:val="ListParagraph"/>
        <w:numPr>
          <w:ilvl w:val="0"/>
          <w:numId w:val="5"/>
        </w:numPr>
        <w:spacing w:before="80"/>
        <w:ind w:left="1134" w:hanging="1134"/>
        <w:contextualSpacing w:val="0"/>
        <w:rPr>
          <w:rFonts w:cstheme="minorHAnsi"/>
          <w:szCs w:val="24"/>
          <w:lang w:eastAsia="zh-CN"/>
        </w:rPr>
      </w:pPr>
      <w:r w:rsidRPr="00BD549A">
        <w:rPr>
          <w:rFonts w:cstheme="minorHAnsi" w:hint="eastAsia"/>
          <w:szCs w:val="24"/>
          <w:lang w:eastAsia="zh-CN"/>
        </w:rPr>
        <w:t>区域性举措，尤其是专题领域相似、职责范围覆盖多个区域的举措，尚未从可能的规模扩展和资源筹措机会中受益</w:t>
      </w:r>
      <w:r w:rsidR="007062B6">
        <w:rPr>
          <w:rStyle w:val="FootnoteReference"/>
          <w:rFonts w:cstheme="minorHAnsi"/>
          <w:szCs w:val="24"/>
        </w:rPr>
        <w:footnoteReference w:id="2"/>
      </w:r>
      <w:r>
        <w:rPr>
          <w:rFonts w:cstheme="minorHAnsi" w:hint="eastAsia"/>
          <w:szCs w:val="24"/>
          <w:lang w:eastAsia="zh-CN"/>
        </w:rPr>
        <w:t>；</w:t>
      </w:r>
    </w:p>
    <w:p w14:paraId="241BD6A0" w14:textId="5477C442" w:rsidR="00F77372" w:rsidRDefault="007062B6" w:rsidP="008E5BDF">
      <w:pPr>
        <w:pStyle w:val="ListParagraph"/>
        <w:numPr>
          <w:ilvl w:val="0"/>
          <w:numId w:val="5"/>
        </w:numPr>
        <w:spacing w:before="80"/>
        <w:ind w:left="1134" w:hanging="1134"/>
        <w:contextualSpacing w:val="0"/>
        <w:rPr>
          <w:rFonts w:cstheme="minorHAnsi"/>
          <w:szCs w:val="24"/>
          <w:lang w:eastAsia="zh-CN"/>
        </w:rPr>
      </w:pPr>
      <w:r>
        <w:rPr>
          <w:rFonts w:cstheme="minorHAnsi" w:hint="eastAsia"/>
          <w:szCs w:val="24"/>
          <w:lang w:eastAsia="zh-CN"/>
        </w:rPr>
        <w:t>国际电联</w:t>
      </w:r>
      <w:r w:rsidR="005B4615" w:rsidRPr="005B4615">
        <w:rPr>
          <w:rFonts w:cstheme="minorHAnsi" w:hint="eastAsia"/>
          <w:szCs w:val="24"/>
          <w:lang w:eastAsia="zh-CN"/>
        </w:rPr>
        <w:t>作为负责</w:t>
      </w:r>
      <w:r w:rsidR="005B4615" w:rsidRPr="005B4615">
        <w:rPr>
          <w:rFonts w:cstheme="minorHAnsi" w:hint="eastAsia"/>
          <w:szCs w:val="24"/>
          <w:lang w:eastAsia="zh-CN"/>
        </w:rPr>
        <w:t>ICT</w:t>
      </w:r>
      <w:r w:rsidR="005B4615" w:rsidRPr="005B4615">
        <w:rPr>
          <w:rFonts w:cstheme="minorHAnsi" w:hint="eastAsia"/>
          <w:szCs w:val="24"/>
          <w:lang w:eastAsia="zh-CN"/>
        </w:rPr>
        <w:t>的联合国专门机构的作用，尤其是电信发展局成为“利用有意义的互连互通推进数字化转型的合作伙伴”的目标尚未得到其它关键国际组织和</w:t>
      </w:r>
      <w:r>
        <w:rPr>
          <w:rFonts w:cstheme="minorHAnsi" w:hint="eastAsia"/>
          <w:szCs w:val="24"/>
          <w:lang w:eastAsia="zh-CN"/>
        </w:rPr>
        <w:t>其他</w:t>
      </w:r>
      <w:r w:rsidR="005B4615" w:rsidRPr="005B4615">
        <w:rPr>
          <w:rFonts w:cstheme="minorHAnsi" w:hint="eastAsia"/>
          <w:szCs w:val="24"/>
          <w:lang w:eastAsia="zh-CN"/>
        </w:rPr>
        <w:t>成员国的充分认可。</w:t>
      </w:r>
    </w:p>
    <w:p w14:paraId="5B058706" w14:textId="5498E63E" w:rsidR="00F77372" w:rsidRPr="000E4354" w:rsidRDefault="005B4615" w:rsidP="00392C5F">
      <w:pPr>
        <w:ind w:firstLineChars="200" w:firstLine="480"/>
        <w:rPr>
          <w:rFonts w:ascii="Calibri" w:hAnsi="Calibri" w:cs="Calibri"/>
          <w:b/>
          <w:color w:val="800000"/>
          <w:sz w:val="22"/>
          <w:szCs w:val="24"/>
          <w:lang w:eastAsia="zh-CN"/>
        </w:rPr>
      </w:pPr>
      <w:r w:rsidRPr="005B4615">
        <w:rPr>
          <w:rFonts w:cstheme="minorHAnsi" w:hint="eastAsia"/>
          <w:szCs w:val="24"/>
          <w:lang w:eastAsia="zh-CN"/>
        </w:rPr>
        <w:t>综上所述，我们认为需要</w:t>
      </w:r>
      <w:r w:rsidR="007062B6">
        <w:rPr>
          <w:rFonts w:cstheme="minorHAnsi" w:hint="eastAsia"/>
          <w:szCs w:val="24"/>
          <w:lang w:eastAsia="zh-CN"/>
        </w:rPr>
        <w:t>以</w:t>
      </w:r>
      <w:r w:rsidRPr="005B4615">
        <w:rPr>
          <w:rFonts w:cstheme="minorHAnsi" w:hint="eastAsia"/>
          <w:szCs w:val="24"/>
          <w:lang w:eastAsia="zh-CN"/>
        </w:rPr>
        <w:t>更协调一致的方法履行我们的工作计划，并且确保电信发展局被视为发展领域的关键合作伙伴。</w:t>
      </w:r>
    </w:p>
    <w:p w14:paraId="7E19D548" w14:textId="51544DBE" w:rsidR="00E432AD" w:rsidRPr="003831C9" w:rsidRDefault="00392C5F" w:rsidP="00392C5F">
      <w:pPr>
        <w:pStyle w:val="Heading1"/>
        <w:rPr>
          <w:bCs/>
          <w:lang w:eastAsia="zh-CN"/>
        </w:rPr>
      </w:pPr>
      <w:r>
        <w:rPr>
          <w:rFonts w:hint="eastAsia"/>
          <w:lang w:eastAsia="zh-CN"/>
        </w:rPr>
        <w:t>2</w:t>
      </w:r>
      <w:r>
        <w:rPr>
          <w:lang w:eastAsia="zh-CN"/>
        </w:rPr>
        <w:tab/>
      </w:r>
      <w:r w:rsidR="005B4615" w:rsidRPr="005B4615">
        <w:rPr>
          <w:rFonts w:hint="eastAsia"/>
          <w:lang w:eastAsia="zh-CN"/>
        </w:rPr>
        <w:t>改革工作计划</w:t>
      </w:r>
      <w:r w:rsidR="007062B6">
        <w:rPr>
          <w:rFonts w:hint="eastAsia"/>
          <w:lang w:eastAsia="zh-CN"/>
        </w:rPr>
        <w:t>的</w:t>
      </w:r>
      <w:r w:rsidR="005B4615" w:rsidRPr="005B4615">
        <w:rPr>
          <w:rFonts w:hint="eastAsia"/>
          <w:lang w:eastAsia="zh-CN"/>
        </w:rPr>
        <w:t>方式</w:t>
      </w:r>
    </w:p>
    <w:p w14:paraId="40181EC5" w14:textId="28316589" w:rsidR="00E432AD" w:rsidRDefault="00FB2328" w:rsidP="00392C5F">
      <w:pPr>
        <w:ind w:firstLineChars="200" w:firstLine="480"/>
        <w:rPr>
          <w:rFonts w:cstheme="minorHAnsi"/>
          <w:szCs w:val="24"/>
          <w:lang w:eastAsia="zh-CN"/>
        </w:rPr>
      </w:pPr>
      <w:r w:rsidRPr="00FB2328">
        <w:rPr>
          <w:rFonts w:cstheme="minorHAnsi" w:hint="eastAsia"/>
          <w:szCs w:val="24"/>
          <w:lang w:eastAsia="zh-CN"/>
        </w:rPr>
        <w:t>在</w:t>
      </w:r>
      <w:r>
        <w:rPr>
          <w:rFonts w:cstheme="minorHAnsi" w:hint="eastAsia"/>
          <w:szCs w:val="24"/>
          <w:lang w:eastAsia="zh-CN"/>
        </w:rPr>
        <w:t>之前</w:t>
      </w:r>
      <w:r w:rsidRPr="00FB2328">
        <w:rPr>
          <w:rFonts w:cstheme="minorHAnsi" w:hint="eastAsia"/>
          <w:szCs w:val="24"/>
          <w:lang w:eastAsia="zh-CN"/>
        </w:rPr>
        <w:t>努力的基础上，从一开始就设计了一个新的、全面的</w:t>
      </w:r>
      <w:r w:rsidRPr="00FB2328">
        <w:rPr>
          <w:rFonts w:cstheme="minorHAnsi" w:hint="eastAsia"/>
          <w:szCs w:val="24"/>
          <w:lang w:eastAsia="zh-CN"/>
        </w:rPr>
        <w:t>RBM</w:t>
      </w:r>
      <w:r>
        <w:rPr>
          <w:rFonts w:cstheme="minorHAnsi" w:hint="eastAsia"/>
          <w:szCs w:val="24"/>
          <w:lang w:eastAsia="zh-CN"/>
        </w:rPr>
        <w:t>方式</w:t>
      </w:r>
      <w:r w:rsidR="00392C5F">
        <w:rPr>
          <w:rFonts w:cstheme="minorHAnsi" w:hint="eastAsia"/>
          <w:szCs w:val="24"/>
          <w:lang w:eastAsia="zh-CN"/>
        </w:rPr>
        <w:t>：</w:t>
      </w:r>
    </w:p>
    <w:p w14:paraId="2514D06C" w14:textId="40238759" w:rsidR="00FB2328" w:rsidRPr="00FB2328" w:rsidRDefault="00FB2328" w:rsidP="008E5BDF">
      <w:pPr>
        <w:pStyle w:val="ListParagraph"/>
        <w:numPr>
          <w:ilvl w:val="0"/>
          <w:numId w:val="8"/>
        </w:numPr>
        <w:spacing w:before="80"/>
        <w:ind w:left="1134" w:hanging="1134"/>
        <w:rPr>
          <w:rFonts w:cstheme="minorHAnsi"/>
          <w:szCs w:val="24"/>
          <w:lang w:eastAsia="zh-CN"/>
        </w:rPr>
      </w:pPr>
      <w:r w:rsidRPr="00FB2328">
        <w:rPr>
          <w:rFonts w:cstheme="minorHAnsi" w:hint="eastAsia"/>
          <w:szCs w:val="24"/>
          <w:lang w:eastAsia="zh-CN"/>
        </w:rPr>
        <w:t>使</w:t>
      </w:r>
      <w:r w:rsidRPr="00FB2328">
        <w:rPr>
          <w:rFonts w:cstheme="minorHAnsi" w:hint="eastAsia"/>
          <w:szCs w:val="24"/>
          <w:lang w:eastAsia="zh-CN"/>
        </w:rPr>
        <w:t>RBM</w:t>
      </w:r>
      <w:r w:rsidRPr="00FB2328">
        <w:rPr>
          <w:rFonts w:cstheme="minorHAnsi" w:hint="eastAsia"/>
          <w:szCs w:val="24"/>
          <w:lang w:eastAsia="zh-CN"/>
        </w:rPr>
        <w:t>在</w:t>
      </w:r>
      <w:r>
        <w:rPr>
          <w:rFonts w:cstheme="minorHAnsi" w:hint="eastAsia"/>
          <w:szCs w:val="24"/>
          <w:lang w:eastAsia="zh-CN"/>
        </w:rPr>
        <w:t>电信发展局</w:t>
      </w:r>
      <w:r w:rsidRPr="00FB2328">
        <w:rPr>
          <w:rFonts w:cstheme="minorHAnsi" w:hint="eastAsia"/>
          <w:szCs w:val="24"/>
          <w:lang w:eastAsia="zh-CN"/>
        </w:rPr>
        <w:t>超越其作为规划工具的有限使用，并将其覆盖面扩大到整体方案实施的</w:t>
      </w:r>
      <w:r>
        <w:rPr>
          <w:rFonts w:cstheme="minorHAnsi" w:hint="eastAsia"/>
          <w:szCs w:val="24"/>
          <w:lang w:eastAsia="zh-CN"/>
        </w:rPr>
        <w:t>中心</w:t>
      </w:r>
      <w:r w:rsidRPr="00FB2328">
        <w:rPr>
          <w:rFonts w:cstheme="minorHAnsi" w:hint="eastAsia"/>
          <w:szCs w:val="24"/>
          <w:lang w:eastAsia="zh-CN"/>
        </w:rPr>
        <w:t>，包括</w:t>
      </w:r>
      <w:r>
        <w:rPr>
          <w:rFonts w:cstheme="minorHAnsi" w:hint="eastAsia"/>
          <w:szCs w:val="24"/>
          <w:lang w:eastAsia="zh-CN"/>
        </w:rPr>
        <w:t>运作规划－</w:t>
      </w:r>
      <w:r w:rsidRPr="00FB2328">
        <w:rPr>
          <w:rFonts w:cstheme="minorHAnsi" w:hint="eastAsia"/>
          <w:szCs w:val="24"/>
          <w:lang w:eastAsia="zh-CN"/>
        </w:rPr>
        <w:t>预算、项目和区域</w:t>
      </w:r>
      <w:r>
        <w:rPr>
          <w:rFonts w:cstheme="minorHAnsi" w:hint="eastAsia"/>
          <w:szCs w:val="24"/>
          <w:lang w:eastAsia="zh-CN"/>
        </w:rPr>
        <w:t>性举措</w:t>
      </w:r>
      <w:r w:rsidRPr="00FB2328">
        <w:rPr>
          <w:rFonts w:cstheme="minorHAnsi" w:hint="eastAsia"/>
          <w:szCs w:val="24"/>
          <w:lang w:eastAsia="zh-CN"/>
        </w:rPr>
        <w:t>，并提高跨优先主题的协同作用，无缝整合总部的主题和区域工作</w:t>
      </w:r>
      <w:r>
        <w:rPr>
          <w:rFonts w:cstheme="minorHAnsi" w:hint="eastAsia"/>
          <w:szCs w:val="24"/>
          <w:lang w:eastAsia="zh-CN"/>
        </w:rPr>
        <w:t>项目</w:t>
      </w:r>
      <w:r w:rsidRPr="00FB2328">
        <w:rPr>
          <w:rFonts w:cstheme="minorHAnsi" w:hint="eastAsia"/>
          <w:szCs w:val="24"/>
          <w:lang w:eastAsia="zh-CN"/>
        </w:rPr>
        <w:t>；</w:t>
      </w:r>
    </w:p>
    <w:p w14:paraId="4842E659" w14:textId="71056062" w:rsidR="00E432AD" w:rsidRDefault="00FB2328" w:rsidP="008E5BDF">
      <w:pPr>
        <w:pStyle w:val="ListParagraph"/>
        <w:numPr>
          <w:ilvl w:val="0"/>
          <w:numId w:val="5"/>
        </w:numPr>
        <w:spacing w:before="80"/>
        <w:ind w:left="1134" w:hanging="1134"/>
        <w:contextualSpacing w:val="0"/>
        <w:rPr>
          <w:rFonts w:cstheme="minorHAnsi"/>
          <w:szCs w:val="24"/>
          <w:lang w:eastAsia="zh-CN"/>
        </w:rPr>
      </w:pPr>
      <w:r w:rsidRPr="00FB2328">
        <w:rPr>
          <w:rFonts w:cstheme="minorHAnsi" w:hint="eastAsia"/>
          <w:szCs w:val="24"/>
          <w:lang w:eastAsia="zh-CN"/>
        </w:rPr>
        <w:t>通过季度管理审查加强监测和报告职能，以跟踪</w:t>
      </w:r>
      <w:r>
        <w:rPr>
          <w:rFonts w:cstheme="minorHAnsi" w:hint="eastAsia"/>
          <w:szCs w:val="24"/>
          <w:lang w:eastAsia="zh-CN"/>
        </w:rPr>
        <w:t>电信发展局</w:t>
      </w:r>
      <w:r w:rsidRPr="00FB2328">
        <w:rPr>
          <w:rFonts w:cstheme="minorHAnsi" w:hint="eastAsia"/>
          <w:szCs w:val="24"/>
          <w:lang w:eastAsia="zh-CN"/>
        </w:rPr>
        <w:t>工作</w:t>
      </w:r>
      <w:r>
        <w:rPr>
          <w:rFonts w:cstheme="minorHAnsi" w:hint="eastAsia"/>
          <w:szCs w:val="24"/>
          <w:lang w:eastAsia="zh-CN"/>
        </w:rPr>
        <w:t>项目</w:t>
      </w:r>
      <w:r w:rsidRPr="00FB2328">
        <w:rPr>
          <w:rFonts w:cstheme="minorHAnsi" w:hint="eastAsia"/>
          <w:szCs w:val="24"/>
          <w:lang w:eastAsia="zh-CN"/>
        </w:rPr>
        <w:t>的进展，并</w:t>
      </w:r>
      <w:r>
        <w:rPr>
          <w:rFonts w:cstheme="minorHAnsi" w:hint="eastAsia"/>
          <w:szCs w:val="24"/>
          <w:lang w:eastAsia="zh-CN"/>
        </w:rPr>
        <w:t>应对</w:t>
      </w:r>
      <w:r w:rsidRPr="00FB2328">
        <w:rPr>
          <w:rFonts w:cstheme="minorHAnsi" w:hint="eastAsia"/>
          <w:szCs w:val="24"/>
          <w:lang w:eastAsia="zh-CN"/>
        </w:rPr>
        <w:t>关键的业务风险，这些风险现已记录在风险登记册中；</w:t>
      </w:r>
      <w:r>
        <w:rPr>
          <w:rFonts w:cstheme="minorHAnsi" w:hint="eastAsia"/>
          <w:szCs w:val="24"/>
          <w:lang w:eastAsia="zh-CN"/>
        </w:rPr>
        <w:t>且</w:t>
      </w:r>
    </w:p>
    <w:p w14:paraId="498BBC5F" w14:textId="38C302BD" w:rsidR="00E432AD" w:rsidRPr="00FB2328" w:rsidRDefault="00FB2328" w:rsidP="008E5BDF">
      <w:pPr>
        <w:pStyle w:val="ListParagraph"/>
        <w:numPr>
          <w:ilvl w:val="0"/>
          <w:numId w:val="5"/>
        </w:numPr>
        <w:spacing w:before="80"/>
        <w:ind w:left="1134" w:hanging="1134"/>
        <w:contextualSpacing w:val="0"/>
        <w:rPr>
          <w:rFonts w:cstheme="minorHAnsi"/>
          <w:szCs w:val="24"/>
          <w:lang w:eastAsia="zh-CN"/>
        </w:rPr>
      </w:pPr>
      <w:r w:rsidRPr="00FB2328">
        <w:rPr>
          <w:rFonts w:cstheme="minorHAnsi" w:hint="eastAsia"/>
          <w:szCs w:val="24"/>
          <w:lang w:eastAsia="zh-CN"/>
        </w:rPr>
        <w:t>在</w:t>
      </w:r>
      <w:r w:rsidRPr="00FB2328">
        <w:rPr>
          <w:rFonts w:cstheme="minorHAnsi" w:hint="eastAsia"/>
          <w:szCs w:val="24"/>
          <w:lang w:eastAsia="zh-CN"/>
        </w:rPr>
        <w:t>RBM</w:t>
      </w:r>
      <w:r w:rsidRPr="00FB2328">
        <w:rPr>
          <w:rFonts w:cstheme="minorHAnsi" w:hint="eastAsia"/>
          <w:szCs w:val="24"/>
          <w:lang w:eastAsia="zh-CN"/>
        </w:rPr>
        <w:t>周期的所有阶段都促进学习，因为这成为成功实施</w:t>
      </w:r>
      <w:r w:rsidRPr="00FB2328">
        <w:rPr>
          <w:rFonts w:cstheme="minorHAnsi" w:hint="eastAsia"/>
          <w:szCs w:val="24"/>
          <w:lang w:eastAsia="zh-CN"/>
        </w:rPr>
        <w:t>RBM</w:t>
      </w:r>
      <w:r w:rsidRPr="00FB2328">
        <w:rPr>
          <w:rFonts w:cstheme="minorHAnsi" w:hint="eastAsia"/>
          <w:szCs w:val="24"/>
          <w:lang w:eastAsia="zh-CN"/>
        </w:rPr>
        <w:t>的一个更加决定性的因素，因为成果和影响超出了</w:t>
      </w:r>
      <w:r>
        <w:rPr>
          <w:rFonts w:cstheme="minorHAnsi" w:hint="eastAsia"/>
          <w:szCs w:val="24"/>
          <w:lang w:eastAsia="zh-CN"/>
        </w:rPr>
        <w:t>电信发展局</w:t>
      </w:r>
      <w:r w:rsidRPr="00FB2328">
        <w:rPr>
          <w:rFonts w:cstheme="minorHAnsi" w:hint="eastAsia"/>
          <w:szCs w:val="24"/>
          <w:lang w:eastAsia="zh-CN"/>
        </w:rPr>
        <w:t>的直接控制。为此，优先</w:t>
      </w:r>
      <w:r>
        <w:rPr>
          <w:rFonts w:cstheme="minorHAnsi" w:hint="eastAsia"/>
          <w:szCs w:val="24"/>
          <w:lang w:eastAsia="zh-CN"/>
        </w:rPr>
        <w:t>主题</w:t>
      </w:r>
      <w:r w:rsidRPr="00FB2328">
        <w:rPr>
          <w:rFonts w:cstheme="minorHAnsi" w:hint="eastAsia"/>
          <w:szCs w:val="24"/>
          <w:lang w:eastAsia="zh-CN"/>
        </w:rPr>
        <w:t>和整合总部和各区域努力的相关网络将在加强知识转让和知识共享方面发挥重要作用</w:t>
      </w:r>
      <w:r>
        <w:rPr>
          <w:rFonts w:cstheme="minorHAnsi" w:hint="eastAsia"/>
          <w:szCs w:val="24"/>
          <w:lang w:eastAsia="zh-CN"/>
        </w:rPr>
        <w:t>。</w:t>
      </w:r>
      <w:r w:rsidRPr="00FB2328">
        <w:rPr>
          <w:rFonts w:cstheme="minorHAnsi" w:hint="eastAsia"/>
          <w:szCs w:val="24"/>
          <w:lang w:eastAsia="zh-CN"/>
        </w:rPr>
        <w:t>需要建立和加强该部门的评价职能将，以便就成果链不同阶段取得的影响提供更可靠的见解。</w:t>
      </w:r>
    </w:p>
    <w:p w14:paraId="10C672C3" w14:textId="622E058D" w:rsidR="00E432AD" w:rsidRPr="002B76DD" w:rsidRDefault="005B4615" w:rsidP="00392C5F">
      <w:pPr>
        <w:keepNext/>
        <w:ind w:firstLineChars="200" w:firstLine="480"/>
        <w:rPr>
          <w:rFonts w:cstheme="minorHAnsi"/>
          <w:szCs w:val="24"/>
          <w:lang w:eastAsia="zh-CN"/>
        </w:rPr>
      </w:pPr>
      <w:r w:rsidRPr="002B76DD">
        <w:rPr>
          <w:rFonts w:cstheme="minorHAnsi" w:hint="eastAsia"/>
          <w:szCs w:val="24"/>
          <w:lang w:eastAsia="zh-CN"/>
        </w:rPr>
        <w:t>因此，电信发展局将</w:t>
      </w:r>
      <w:r w:rsidR="00585D56" w:rsidRPr="002B76DD">
        <w:rPr>
          <w:rFonts w:cstheme="minorHAnsi" w:hint="eastAsia"/>
          <w:szCs w:val="24"/>
          <w:lang w:eastAsia="zh-CN"/>
        </w:rPr>
        <w:t>扩大对</w:t>
      </w:r>
      <w:r w:rsidR="00585D56" w:rsidRPr="002B76DD">
        <w:rPr>
          <w:rFonts w:cstheme="minorHAnsi" w:hint="eastAsia"/>
          <w:szCs w:val="24"/>
          <w:lang w:eastAsia="zh-CN"/>
        </w:rPr>
        <w:t>RBM</w:t>
      </w:r>
      <w:r w:rsidRPr="002B76DD">
        <w:rPr>
          <w:rFonts w:cstheme="minorHAnsi" w:hint="eastAsia"/>
          <w:szCs w:val="24"/>
          <w:lang w:eastAsia="zh-CN"/>
        </w:rPr>
        <w:t>框架</w:t>
      </w:r>
      <w:r w:rsidR="00585D56" w:rsidRPr="002B76DD">
        <w:rPr>
          <w:rFonts w:cstheme="minorHAnsi" w:hint="eastAsia"/>
          <w:szCs w:val="24"/>
          <w:lang w:eastAsia="zh-CN"/>
        </w:rPr>
        <w:t>的使用</w:t>
      </w:r>
      <w:r w:rsidRPr="002B76DD">
        <w:rPr>
          <w:rFonts w:cstheme="minorHAnsi" w:hint="eastAsia"/>
          <w:szCs w:val="24"/>
          <w:lang w:eastAsia="zh-CN"/>
        </w:rPr>
        <w:t>，纳入以下</w:t>
      </w:r>
      <w:r w:rsidR="00585D56" w:rsidRPr="002B76DD">
        <w:rPr>
          <w:rFonts w:cstheme="minorHAnsi" w:hint="eastAsia"/>
          <w:szCs w:val="24"/>
          <w:lang w:eastAsia="zh-CN"/>
        </w:rPr>
        <w:t>组成部分纳入其中</w:t>
      </w:r>
      <w:r w:rsidRPr="002B76DD">
        <w:rPr>
          <w:rFonts w:cstheme="minorHAnsi" w:hint="eastAsia"/>
          <w:szCs w:val="24"/>
          <w:lang w:eastAsia="zh-CN"/>
        </w:rPr>
        <w:t>：</w:t>
      </w:r>
    </w:p>
    <w:p w14:paraId="282D6C0C" w14:textId="7A4FAA66" w:rsidR="00E432AD" w:rsidRPr="002B76DD" w:rsidRDefault="005B4615" w:rsidP="008E5BDF">
      <w:pPr>
        <w:keepNext/>
        <w:numPr>
          <w:ilvl w:val="0"/>
          <w:numId w:val="7"/>
        </w:numPr>
        <w:tabs>
          <w:tab w:val="clear" w:pos="1871"/>
          <w:tab w:val="clear" w:pos="2268"/>
          <w:tab w:val="left" w:pos="1191"/>
          <w:tab w:val="left" w:pos="1588"/>
          <w:tab w:val="left" w:pos="1985"/>
        </w:tabs>
        <w:spacing w:before="80"/>
        <w:ind w:left="1134" w:hanging="1134"/>
        <w:rPr>
          <w:rFonts w:cstheme="minorHAnsi"/>
          <w:szCs w:val="24"/>
          <w:lang w:eastAsia="zh-CN"/>
        </w:rPr>
      </w:pPr>
      <w:r w:rsidRPr="002B76DD">
        <w:rPr>
          <w:rFonts w:ascii="STKaiti" w:eastAsia="STKaiti" w:hAnsi="STKaiti" w:hint="eastAsia"/>
          <w:b/>
          <w:bCs/>
          <w:lang w:eastAsia="zh-CN"/>
        </w:rPr>
        <w:t>影响</w:t>
      </w:r>
      <w:r w:rsidR="00585D56" w:rsidRPr="002B76DD">
        <w:rPr>
          <w:rFonts w:ascii="STKaiti" w:eastAsia="STKaiti" w:hAnsi="STKaiti" w:hint="eastAsia"/>
          <w:b/>
          <w:bCs/>
          <w:lang w:eastAsia="zh-CN"/>
        </w:rPr>
        <w:t>途径</w:t>
      </w:r>
      <w:r w:rsidRPr="002B76DD">
        <w:rPr>
          <w:rFonts w:ascii="Calibri" w:hAnsi="Calibri" w:hint="eastAsia"/>
          <w:lang w:eastAsia="zh-CN"/>
        </w:rPr>
        <w:t>，</w:t>
      </w:r>
      <w:r w:rsidR="00585D56" w:rsidRPr="002B76DD">
        <w:rPr>
          <w:rFonts w:ascii="Calibri" w:hAnsi="Calibri" w:hint="eastAsia"/>
          <w:lang w:eastAsia="zh-CN"/>
        </w:rPr>
        <w:t>根据</w:t>
      </w:r>
      <w:r w:rsidRPr="002B76DD">
        <w:rPr>
          <w:rFonts w:ascii="Calibri" w:hAnsi="Calibri" w:hint="eastAsia"/>
          <w:lang w:eastAsia="zh-CN"/>
        </w:rPr>
        <w:t>专题活动工作领域</w:t>
      </w:r>
      <w:r w:rsidR="00585D56" w:rsidRPr="002B76DD">
        <w:rPr>
          <w:rFonts w:ascii="Calibri" w:hAnsi="Calibri" w:hint="eastAsia"/>
          <w:lang w:eastAsia="zh-CN"/>
        </w:rPr>
        <w:t>（优先主题）</w:t>
      </w:r>
      <w:r w:rsidRPr="002B76DD">
        <w:rPr>
          <w:rFonts w:ascii="Calibri" w:hAnsi="Calibri" w:hint="eastAsia"/>
          <w:lang w:eastAsia="zh-CN"/>
        </w:rPr>
        <w:t>确定实际输出成果、</w:t>
      </w:r>
      <w:r w:rsidR="00585D56" w:rsidRPr="002B76DD">
        <w:rPr>
          <w:rFonts w:ascii="Calibri" w:hAnsi="Calibri" w:hint="eastAsia"/>
          <w:lang w:eastAsia="zh-CN"/>
        </w:rPr>
        <w:t>接触</w:t>
      </w:r>
      <w:r w:rsidRPr="002B76DD">
        <w:rPr>
          <w:rFonts w:ascii="Calibri" w:hAnsi="Calibri" w:hint="eastAsia"/>
          <w:lang w:eastAsia="zh-CN"/>
        </w:rPr>
        <w:t>的目标接受方</w:t>
      </w:r>
      <w:r w:rsidR="00585D56" w:rsidRPr="002B76DD">
        <w:rPr>
          <w:rFonts w:ascii="Calibri" w:hAnsi="Calibri" w:hint="eastAsia"/>
          <w:lang w:eastAsia="zh-CN"/>
        </w:rPr>
        <w:t>及其</w:t>
      </w:r>
      <w:r w:rsidRPr="002B76DD">
        <w:rPr>
          <w:rFonts w:ascii="Calibri" w:hAnsi="Calibri" w:hint="eastAsia"/>
          <w:lang w:eastAsia="zh-CN"/>
        </w:rPr>
        <w:t>能力</w:t>
      </w:r>
      <w:r w:rsidR="00585D56" w:rsidRPr="002B76DD">
        <w:rPr>
          <w:rFonts w:ascii="Calibri" w:hAnsi="Calibri" w:hint="eastAsia"/>
          <w:lang w:eastAsia="zh-CN"/>
        </w:rPr>
        <w:t>和行为</w:t>
      </w:r>
      <w:r w:rsidRPr="002B76DD">
        <w:rPr>
          <w:rFonts w:ascii="Calibri" w:hAnsi="Calibri" w:hint="eastAsia"/>
          <w:lang w:eastAsia="zh-CN"/>
        </w:rPr>
        <w:t>的变化；</w:t>
      </w:r>
    </w:p>
    <w:p w14:paraId="7196CD97" w14:textId="37594DC5" w:rsidR="00E432AD" w:rsidRPr="00407B93" w:rsidRDefault="005B4615" w:rsidP="008E5BDF">
      <w:pPr>
        <w:numPr>
          <w:ilvl w:val="0"/>
          <w:numId w:val="7"/>
        </w:numPr>
        <w:tabs>
          <w:tab w:val="clear" w:pos="1871"/>
          <w:tab w:val="clear" w:pos="2268"/>
          <w:tab w:val="left" w:pos="1191"/>
          <w:tab w:val="left" w:pos="1588"/>
          <w:tab w:val="left" w:pos="1985"/>
        </w:tabs>
        <w:spacing w:before="80"/>
        <w:ind w:left="1134" w:hanging="1134"/>
        <w:rPr>
          <w:rFonts w:cstheme="minorHAnsi"/>
          <w:szCs w:val="24"/>
          <w:lang w:eastAsia="zh-CN"/>
        </w:rPr>
      </w:pPr>
      <w:r w:rsidRPr="002B76DD">
        <w:rPr>
          <w:rFonts w:ascii="Calibri" w:hAnsi="Calibri" w:hint="eastAsia"/>
          <w:lang w:eastAsia="zh-CN"/>
        </w:rPr>
        <w:t>根本</w:t>
      </w:r>
      <w:r w:rsidRPr="002B76DD">
        <w:rPr>
          <w:rFonts w:ascii="STKaiti" w:eastAsia="STKaiti" w:hAnsi="STKaiti" w:hint="eastAsia"/>
          <w:b/>
          <w:bCs/>
          <w:lang w:eastAsia="zh-CN"/>
        </w:rPr>
        <w:t>假设和运作风险</w:t>
      </w:r>
      <w:r w:rsidR="00585D56" w:rsidRPr="002B76DD">
        <w:rPr>
          <w:rFonts w:ascii="Calibri" w:hAnsi="Calibri" w:hint="eastAsia"/>
          <w:lang w:val="en-US" w:eastAsia="zh-CN"/>
        </w:rPr>
        <w:t>可系统</w:t>
      </w:r>
      <w:r w:rsidRPr="002B76DD">
        <w:rPr>
          <w:rFonts w:ascii="Calibri" w:hAnsi="Calibri" w:hint="eastAsia"/>
          <w:lang w:eastAsia="zh-CN"/>
        </w:rPr>
        <w:t>监测</w:t>
      </w:r>
      <w:r w:rsidR="00585D56" w:rsidRPr="002B76DD">
        <w:rPr>
          <w:rFonts w:ascii="Calibri" w:hAnsi="Calibri" w:hint="eastAsia"/>
          <w:lang w:eastAsia="zh-CN"/>
        </w:rPr>
        <w:t>保持相关的程度</w:t>
      </w:r>
      <w:r w:rsidRPr="002B76DD">
        <w:rPr>
          <w:rFonts w:ascii="Calibri" w:hAnsi="Calibri" w:hint="eastAsia"/>
          <w:lang w:eastAsia="zh-CN"/>
        </w:rPr>
        <w:t>，并迅速了解和调整工作计划的初始规划假设，使</w:t>
      </w:r>
      <w:r w:rsidR="00585D56" w:rsidRPr="002B76DD">
        <w:rPr>
          <w:rFonts w:ascii="Calibri" w:hAnsi="Calibri" w:hint="eastAsia"/>
          <w:lang w:eastAsia="zh-CN"/>
        </w:rPr>
        <w:t>按需求</w:t>
      </w:r>
      <w:r w:rsidRPr="002B76DD">
        <w:rPr>
          <w:rFonts w:ascii="Calibri" w:hAnsi="Calibri" w:hint="eastAsia"/>
          <w:lang w:eastAsia="zh-CN"/>
        </w:rPr>
        <w:t>它重</w:t>
      </w:r>
      <w:r w:rsidRPr="00232A31">
        <w:rPr>
          <w:rFonts w:ascii="Calibri" w:hAnsi="Calibri" w:hint="eastAsia"/>
          <w:lang w:eastAsia="zh-CN"/>
        </w:rPr>
        <w:t>回正轨；</w:t>
      </w:r>
    </w:p>
    <w:p w14:paraId="415A13C4" w14:textId="651B8752" w:rsidR="00E432AD" w:rsidRPr="004352B7" w:rsidRDefault="005B4615" w:rsidP="008E5BDF">
      <w:pPr>
        <w:numPr>
          <w:ilvl w:val="0"/>
          <w:numId w:val="7"/>
        </w:numPr>
        <w:tabs>
          <w:tab w:val="clear" w:pos="1871"/>
          <w:tab w:val="clear" w:pos="2268"/>
          <w:tab w:val="left" w:pos="1191"/>
          <w:tab w:val="left" w:pos="1588"/>
          <w:tab w:val="left" w:pos="1985"/>
        </w:tabs>
        <w:spacing w:before="80"/>
        <w:ind w:left="1134" w:hanging="1134"/>
        <w:rPr>
          <w:rFonts w:cstheme="minorHAnsi"/>
          <w:szCs w:val="24"/>
          <w:lang w:eastAsia="zh-CN"/>
        </w:rPr>
      </w:pPr>
      <w:r w:rsidRPr="00232A31">
        <w:rPr>
          <w:rFonts w:ascii="Calibri" w:hAnsi="Calibri" w:hint="eastAsia"/>
          <w:lang w:eastAsia="zh-CN"/>
        </w:rPr>
        <w:lastRenderedPageBreak/>
        <w:t>阐述每个</w:t>
      </w:r>
      <w:r w:rsidR="00585D56">
        <w:rPr>
          <w:rFonts w:ascii="Calibri" w:hAnsi="Calibri" w:hint="eastAsia"/>
          <w:lang w:eastAsia="zh-CN"/>
        </w:rPr>
        <w:t>优先主题</w:t>
      </w:r>
      <w:r w:rsidRPr="00232A31">
        <w:rPr>
          <w:rFonts w:ascii="Calibri" w:hAnsi="Calibri" w:hint="eastAsia"/>
          <w:lang w:eastAsia="zh-CN"/>
        </w:rPr>
        <w:t>（即</w:t>
      </w:r>
      <w:r w:rsidRPr="00232A31">
        <w:rPr>
          <w:rFonts w:ascii="Calibri" w:hAnsi="Calibri" w:hint="eastAsia"/>
          <w:lang w:eastAsia="zh-CN"/>
        </w:rPr>
        <w:t>WTDC</w:t>
      </w:r>
      <w:r w:rsidRPr="00232A31">
        <w:rPr>
          <w:rFonts w:ascii="Calibri" w:hAnsi="Calibri" w:hint="eastAsia"/>
          <w:lang w:eastAsia="zh-CN"/>
        </w:rPr>
        <w:t>项目）与相关</w:t>
      </w:r>
      <w:r w:rsidRPr="00232A31">
        <w:rPr>
          <w:rFonts w:ascii="Calibri" w:hAnsi="Calibri" w:hint="eastAsia"/>
          <w:lang w:eastAsia="zh-CN"/>
        </w:rPr>
        <w:t>ITU-D</w:t>
      </w:r>
      <w:r w:rsidRPr="00232A31">
        <w:rPr>
          <w:rFonts w:ascii="Calibri" w:hAnsi="Calibri" w:hint="eastAsia"/>
          <w:lang w:eastAsia="zh-CN"/>
        </w:rPr>
        <w:t>研究组</w:t>
      </w:r>
      <w:r w:rsidRPr="00232A31">
        <w:rPr>
          <w:rFonts w:ascii="Calibri" w:hAnsi="Calibri" w:hint="eastAsia"/>
          <w:lang w:val="en-US" w:eastAsia="zh-CN"/>
        </w:rPr>
        <w:t>及</w:t>
      </w:r>
      <w:r w:rsidRPr="00232A31">
        <w:rPr>
          <w:rFonts w:ascii="Calibri" w:hAnsi="Calibri" w:hint="eastAsia"/>
          <w:lang w:eastAsia="zh-CN"/>
        </w:rPr>
        <w:t>国际电联其他部门（</w:t>
      </w:r>
      <w:r w:rsidRPr="00232A31">
        <w:rPr>
          <w:rFonts w:ascii="Calibri" w:hAnsi="Calibri" w:hint="eastAsia"/>
          <w:lang w:eastAsia="zh-CN"/>
        </w:rPr>
        <w:t>ITU-T</w:t>
      </w:r>
      <w:r w:rsidRPr="00232A31">
        <w:rPr>
          <w:rFonts w:ascii="Calibri" w:hAnsi="Calibri" w:hint="eastAsia"/>
          <w:lang w:eastAsia="zh-CN"/>
        </w:rPr>
        <w:t>和</w:t>
      </w:r>
      <w:r w:rsidRPr="00232A31">
        <w:rPr>
          <w:rFonts w:ascii="Calibri" w:hAnsi="Calibri" w:hint="eastAsia"/>
          <w:lang w:eastAsia="zh-CN"/>
        </w:rPr>
        <w:t>ITU-R</w:t>
      </w:r>
      <w:r w:rsidRPr="00232A31">
        <w:rPr>
          <w:rFonts w:ascii="Calibri" w:hAnsi="Calibri" w:hint="eastAsia"/>
          <w:lang w:eastAsia="zh-CN"/>
        </w:rPr>
        <w:t>）之间的联系；</w:t>
      </w:r>
    </w:p>
    <w:p w14:paraId="37B50E0F" w14:textId="0EF7A13E" w:rsidR="00E432AD" w:rsidRDefault="005B4615" w:rsidP="008E5BDF">
      <w:pPr>
        <w:numPr>
          <w:ilvl w:val="0"/>
          <w:numId w:val="7"/>
        </w:numPr>
        <w:tabs>
          <w:tab w:val="clear" w:pos="1871"/>
          <w:tab w:val="clear" w:pos="2268"/>
          <w:tab w:val="left" w:pos="1191"/>
          <w:tab w:val="left" w:pos="1588"/>
          <w:tab w:val="left" w:pos="1985"/>
        </w:tabs>
        <w:spacing w:before="80"/>
        <w:ind w:left="1134" w:hanging="1134"/>
        <w:rPr>
          <w:rFonts w:cstheme="minorHAnsi"/>
          <w:szCs w:val="24"/>
          <w:lang w:eastAsia="zh-CN"/>
        </w:rPr>
      </w:pPr>
      <w:r w:rsidRPr="00232A31">
        <w:rPr>
          <w:rFonts w:ascii="Calibri" w:hAnsi="Calibri" w:hint="eastAsia"/>
          <w:lang w:eastAsia="zh-CN"/>
        </w:rPr>
        <w:t>智慧</w:t>
      </w:r>
      <w:r w:rsidRPr="00B52E2B">
        <w:rPr>
          <w:rFonts w:ascii="STKaiti" w:eastAsia="STKaiti" w:hAnsi="STKaiti" w:hint="eastAsia"/>
          <w:b/>
          <w:bCs/>
          <w:lang w:eastAsia="zh-CN"/>
        </w:rPr>
        <w:t>关键绩效指标</w:t>
      </w:r>
      <w:r w:rsidRPr="00232A31">
        <w:rPr>
          <w:rFonts w:ascii="Calibri" w:hAnsi="Calibri" w:hint="eastAsia"/>
          <w:lang w:eastAsia="zh-CN"/>
        </w:rPr>
        <w:t>（</w:t>
      </w:r>
      <w:r w:rsidRPr="00232A31">
        <w:rPr>
          <w:rFonts w:ascii="Calibri" w:hAnsi="Calibri" w:hint="eastAsia"/>
          <w:lang w:eastAsia="zh-CN"/>
        </w:rPr>
        <w:t>KPI</w:t>
      </w:r>
      <w:r w:rsidRPr="00232A31">
        <w:rPr>
          <w:rFonts w:ascii="Calibri" w:hAnsi="Calibri" w:hint="eastAsia"/>
          <w:lang w:eastAsia="zh-CN"/>
        </w:rPr>
        <w:t>），提供质化或量化工具，不断衡量和记录为实现</w:t>
      </w:r>
      <w:r w:rsidR="00585D56">
        <w:rPr>
          <w:rFonts w:ascii="Calibri" w:hAnsi="Calibri" w:hint="eastAsia"/>
          <w:lang w:eastAsia="zh-CN"/>
        </w:rPr>
        <w:t>主题</w:t>
      </w:r>
      <w:r w:rsidRPr="00232A31">
        <w:rPr>
          <w:rFonts w:ascii="Calibri" w:hAnsi="Calibri" w:hint="eastAsia"/>
          <w:lang w:eastAsia="zh-CN"/>
        </w:rPr>
        <w:t>目标所取得的成果。</w:t>
      </w:r>
    </w:p>
    <w:p w14:paraId="37E936B5" w14:textId="6A3B6477" w:rsidR="00022F94" w:rsidRPr="00D75F64" w:rsidRDefault="005B4615" w:rsidP="00392C5F">
      <w:pPr>
        <w:tabs>
          <w:tab w:val="clear" w:pos="1134"/>
          <w:tab w:val="clear" w:pos="1871"/>
          <w:tab w:val="clear" w:pos="2268"/>
          <w:tab w:val="left" w:pos="794"/>
          <w:tab w:val="left" w:pos="1191"/>
          <w:tab w:val="left" w:pos="1588"/>
          <w:tab w:val="left" w:pos="1985"/>
        </w:tabs>
        <w:spacing w:before="60"/>
        <w:ind w:firstLineChars="200" w:firstLine="480"/>
        <w:rPr>
          <w:rFonts w:ascii="Calibri" w:hAnsi="Calibri" w:cs="Calibri"/>
          <w:b/>
          <w:color w:val="800000"/>
          <w:sz w:val="22"/>
          <w:szCs w:val="24"/>
          <w:lang w:eastAsia="zh-CN"/>
        </w:rPr>
      </w:pPr>
      <w:r w:rsidRPr="005B4615">
        <w:rPr>
          <w:rFonts w:cstheme="minorHAnsi" w:hint="eastAsia"/>
          <w:szCs w:val="24"/>
          <w:lang w:eastAsia="zh-CN"/>
        </w:rPr>
        <w:t>每一个</w:t>
      </w:r>
      <w:r w:rsidR="00585D56">
        <w:rPr>
          <w:rFonts w:cstheme="minorHAnsi" w:hint="eastAsia"/>
          <w:szCs w:val="24"/>
          <w:lang w:eastAsia="zh-CN"/>
        </w:rPr>
        <w:t>优先主题</w:t>
      </w:r>
      <w:r w:rsidRPr="005B4615">
        <w:rPr>
          <w:rFonts w:cstheme="minorHAnsi" w:hint="eastAsia"/>
          <w:szCs w:val="24"/>
          <w:lang w:eastAsia="zh-CN"/>
        </w:rPr>
        <w:t>均已制定</w:t>
      </w:r>
      <w:r w:rsidR="002B76DD">
        <w:rPr>
          <w:rFonts w:cstheme="minorHAnsi" w:hint="eastAsia"/>
          <w:szCs w:val="24"/>
          <w:lang w:eastAsia="zh-CN"/>
        </w:rPr>
        <w:t>基于</w:t>
      </w:r>
      <w:r w:rsidRPr="005B4615">
        <w:rPr>
          <w:rFonts w:cstheme="minorHAnsi" w:hint="eastAsia"/>
          <w:szCs w:val="24"/>
          <w:lang w:eastAsia="zh-CN"/>
        </w:rPr>
        <w:t>RBM</w:t>
      </w:r>
      <w:r w:rsidR="002B76DD">
        <w:rPr>
          <w:rFonts w:cstheme="minorHAnsi" w:hint="eastAsia"/>
          <w:szCs w:val="24"/>
          <w:lang w:eastAsia="zh-CN"/>
        </w:rPr>
        <w:t>的</w:t>
      </w:r>
      <w:r w:rsidRPr="005B4615">
        <w:rPr>
          <w:rFonts w:cstheme="minorHAnsi" w:hint="eastAsia"/>
          <w:szCs w:val="24"/>
          <w:lang w:eastAsia="zh-CN"/>
        </w:rPr>
        <w:t>变革理论</w:t>
      </w:r>
      <w:r w:rsidR="002B76DD">
        <w:rPr>
          <w:rFonts w:cstheme="minorHAnsi" w:hint="eastAsia"/>
          <w:szCs w:val="24"/>
          <w:lang w:eastAsia="zh-CN"/>
        </w:rPr>
        <w:t>（</w:t>
      </w:r>
      <w:r w:rsidR="002B76DD" w:rsidRPr="002B76DD">
        <w:rPr>
          <w:rFonts w:cstheme="minorHAnsi"/>
          <w:szCs w:val="24"/>
          <w:lang w:eastAsia="zh-CN"/>
        </w:rPr>
        <w:t>ToC</w:t>
      </w:r>
      <w:r w:rsidR="002B76DD">
        <w:rPr>
          <w:rFonts w:cstheme="minorHAnsi" w:hint="eastAsia"/>
          <w:szCs w:val="24"/>
          <w:lang w:eastAsia="zh-CN"/>
        </w:rPr>
        <w:t>）</w:t>
      </w:r>
      <w:r w:rsidRPr="005B4615">
        <w:rPr>
          <w:rFonts w:cstheme="minorHAnsi" w:hint="eastAsia"/>
          <w:szCs w:val="24"/>
          <w:lang w:eastAsia="zh-CN"/>
        </w:rPr>
        <w:t>，以</w:t>
      </w:r>
      <w:r w:rsidR="002B76DD">
        <w:rPr>
          <w:rFonts w:cstheme="minorHAnsi" w:hint="eastAsia"/>
          <w:szCs w:val="24"/>
          <w:lang w:eastAsia="zh-CN"/>
        </w:rPr>
        <w:t>综合全面的方式</w:t>
      </w:r>
      <w:r w:rsidRPr="005B4615">
        <w:rPr>
          <w:rFonts w:cstheme="minorHAnsi" w:hint="eastAsia"/>
          <w:szCs w:val="24"/>
          <w:lang w:eastAsia="zh-CN"/>
        </w:rPr>
        <w:t>反映</w:t>
      </w:r>
      <w:r w:rsidR="002B76DD">
        <w:rPr>
          <w:rFonts w:cstheme="minorHAnsi" w:hint="eastAsia"/>
          <w:szCs w:val="24"/>
          <w:lang w:eastAsia="zh-CN"/>
        </w:rPr>
        <w:t>全球</w:t>
      </w:r>
      <w:r w:rsidRPr="005B4615">
        <w:rPr>
          <w:rFonts w:cstheme="minorHAnsi" w:hint="eastAsia"/>
          <w:szCs w:val="24"/>
          <w:lang w:eastAsia="zh-CN"/>
        </w:rPr>
        <w:t>和区域特点，其中包括上述所有重要</w:t>
      </w:r>
      <w:r w:rsidR="002B76DD">
        <w:rPr>
          <w:rFonts w:cstheme="minorHAnsi" w:hint="eastAsia"/>
          <w:szCs w:val="24"/>
          <w:lang w:eastAsia="zh-CN"/>
        </w:rPr>
        <w:t>组成部分</w:t>
      </w:r>
      <w:r w:rsidRPr="005B4615">
        <w:rPr>
          <w:rFonts w:cstheme="minorHAnsi" w:hint="eastAsia"/>
          <w:szCs w:val="24"/>
          <w:lang w:eastAsia="zh-CN"/>
        </w:rPr>
        <w:t>，</w:t>
      </w:r>
      <w:r w:rsidR="002B76DD">
        <w:rPr>
          <w:rFonts w:cstheme="minorHAnsi" w:hint="eastAsia"/>
          <w:szCs w:val="24"/>
          <w:lang w:eastAsia="zh-CN"/>
        </w:rPr>
        <w:t>并</w:t>
      </w:r>
      <w:r w:rsidRPr="005B4615">
        <w:rPr>
          <w:rFonts w:cstheme="minorHAnsi" w:hint="eastAsia"/>
          <w:szCs w:val="24"/>
          <w:lang w:eastAsia="zh-CN"/>
        </w:rPr>
        <w:t>与《布宜诺斯艾利斯行动计划》完全一致。</w:t>
      </w:r>
    </w:p>
    <w:p w14:paraId="08E48EC1" w14:textId="2A9A8A0E" w:rsidR="003831C9" w:rsidRPr="002B76DD" w:rsidRDefault="00392C5F" w:rsidP="00392C5F">
      <w:pPr>
        <w:pStyle w:val="Heading1"/>
        <w:rPr>
          <w:lang w:eastAsia="zh-CN"/>
        </w:rPr>
      </w:pPr>
      <w:r>
        <w:rPr>
          <w:rFonts w:hint="eastAsia"/>
          <w:lang w:eastAsia="zh-CN"/>
        </w:rPr>
        <w:t>3</w:t>
      </w:r>
      <w:r>
        <w:rPr>
          <w:lang w:eastAsia="zh-CN"/>
        </w:rPr>
        <w:tab/>
      </w:r>
      <w:r w:rsidR="002B76DD" w:rsidRPr="002B76DD">
        <w:rPr>
          <w:rFonts w:hint="eastAsia"/>
          <w:lang w:eastAsia="zh-CN"/>
        </w:rPr>
        <w:t>变革</w:t>
      </w:r>
    </w:p>
    <w:p w14:paraId="43454327" w14:textId="34CA51DB" w:rsidR="003831C9" w:rsidRPr="00A9087D" w:rsidRDefault="005B4615" w:rsidP="00392C5F">
      <w:pPr>
        <w:ind w:firstLineChars="200" w:firstLine="480"/>
        <w:rPr>
          <w:rFonts w:ascii="Calibri" w:hAnsi="Calibri" w:cs="Calibri"/>
          <w:b/>
          <w:color w:val="800000"/>
          <w:sz w:val="22"/>
          <w:szCs w:val="24"/>
          <w:lang w:eastAsia="zh-CN"/>
        </w:rPr>
      </w:pPr>
      <w:r>
        <w:rPr>
          <w:rFonts w:ascii="Calibri" w:hAnsi="Calibri" w:cs="Calibri" w:hint="eastAsia"/>
          <w:szCs w:val="24"/>
          <w:lang w:eastAsia="zh-CN"/>
        </w:rPr>
        <w:t>将</w:t>
      </w:r>
      <w:r w:rsidRPr="002307B4">
        <w:rPr>
          <w:rFonts w:ascii="Calibri" w:hAnsi="Calibri" w:cs="Calibri" w:hint="eastAsia"/>
          <w:szCs w:val="24"/>
          <w:lang w:eastAsia="zh-CN"/>
        </w:rPr>
        <w:t>RBM</w:t>
      </w:r>
      <w:r>
        <w:rPr>
          <w:rFonts w:ascii="Calibri" w:hAnsi="Calibri" w:cs="Calibri" w:hint="eastAsia"/>
          <w:szCs w:val="24"/>
          <w:lang w:eastAsia="zh-CN"/>
        </w:rPr>
        <w:t>用作</w:t>
      </w:r>
      <w:r w:rsidRPr="002307B4">
        <w:rPr>
          <w:rFonts w:ascii="Calibri" w:hAnsi="Calibri" w:cs="Calibri" w:hint="eastAsia"/>
          <w:szCs w:val="24"/>
          <w:lang w:eastAsia="zh-CN"/>
        </w:rPr>
        <w:t>管理决策工具</w:t>
      </w:r>
      <w:r>
        <w:rPr>
          <w:rFonts w:ascii="Calibri" w:hAnsi="Calibri" w:cs="Calibri" w:hint="eastAsia"/>
          <w:szCs w:val="24"/>
          <w:lang w:eastAsia="zh-CN"/>
        </w:rPr>
        <w:t>落实</w:t>
      </w:r>
      <w:r w:rsidRPr="002307B4">
        <w:rPr>
          <w:rFonts w:ascii="Calibri" w:hAnsi="Calibri" w:cs="Calibri" w:hint="eastAsia"/>
          <w:szCs w:val="24"/>
          <w:lang w:eastAsia="zh-CN"/>
        </w:rPr>
        <w:t>电信发展局</w:t>
      </w:r>
      <w:r>
        <w:rPr>
          <w:rFonts w:ascii="Calibri" w:hAnsi="Calibri" w:cs="Calibri" w:hint="eastAsia"/>
          <w:szCs w:val="24"/>
          <w:lang w:eastAsia="zh-CN"/>
        </w:rPr>
        <w:t>的工作计划</w:t>
      </w:r>
      <w:r w:rsidRPr="002307B4">
        <w:rPr>
          <w:rFonts w:ascii="Calibri" w:hAnsi="Calibri" w:cs="Calibri" w:hint="eastAsia"/>
          <w:szCs w:val="24"/>
          <w:lang w:eastAsia="zh-CN"/>
        </w:rPr>
        <w:t>，为有效、高效且“有的放矢，胜任其职”的电信发展局奠定基础：</w:t>
      </w:r>
    </w:p>
    <w:p w14:paraId="077AA63E" w14:textId="175F5F40" w:rsidR="00FB2328" w:rsidRPr="00FB2328" w:rsidRDefault="00FB2328" w:rsidP="008E5BDF">
      <w:pPr>
        <w:pStyle w:val="ListParagraph"/>
        <w:numPr>
          <w:ilvl w:val="0"/>
          <w:numId w:val="9"/>
        </w:numPr>
        <w:spacing w:before="80"/>
        <w:ind w:left="1134" w:hanging="1134"/>
        <w:rPr>
          <w:rFonts w:cstheme="minorHAnsi"/>
          <w:szCs w:val="24"/>
          <w:lang w:eastAsia="zh-CN"/>
        </w:rPr>
      </w:pPr>
      <w:r w:rsidRPr="00FB2328">
        <w:rPr>
          <w:rFonts w:cstheme="minorHAnsi" w:hint="eastAsia"/>
          <w:szCs w:val="24"/>
          <w:lang w:eastAsia="zh-CN"/>
        </w:rPr>
        <w:t>经过广泛讨论后通过的</w:t>
      </w:r>
      <w:r>
        <w:rPr>
          <w:rFonts w:cstheme="minorHAnsi" w:hint="eastAsia"/>
          <w:szCs w:val="24"/>
          <w:lang w:eastAsia="zh-CN"/>
        </w:rPr>
        <w:t>“分权”（</w:t>
      </w:r>
      <w:r>
        <w:rPr>
          <w:rFonts w:cstheme="minorHAnsi"/>
          <w:szCs w:val="24"/>
          <w:lang w:eastAsia="zh-CN"/>
        </w:rPr>
        <w:t>DoA</w:t>
      </w:r>
      <w:r>
        <w:rPr>
          <w:rFonts w:cstheme="minorHAnsi" w:hint="eastAsia"/>
          <w:szCs w:val="24"/>
          <w:lang w:eastAsia="zh-CN"/>
        </w:rPr>
        <w:t>）</w:t>
      </w:r>
      <w:r w:rsidRPr="00FB2328">
        <w:rPr>
          <w:rFonts w:cstheme="minorHAnsi" w:hint="eastAsia"/>
          <w:szCs w:val="24"/>
          <w:lang w:eastAsia="zh-CN"/>
        </w:rPr>
        <w:t>框架是一个不那么集中的、基于主题网络运作模式的关键组成部分；</w:t>
      </w:r>
      <w:r w:rsidRPr="00FB2328">
        <w:rPr>
          <w:rFonts w:cstheme="minorHAnsi" w:hint="eastAsia"/>
          <w:szCs w:val="24"/>
          <w:lang w:eastAsia="zh-CN"/>
        </w:rPr>
        <w:t>DoA</w:t>
      </w:r>
      <w:r w:rsidRPr="00FB2328">
        <w:rPr>
          <w:rFonts w:cstheme="minorHAnsi" w:hint="eastAsia"/>
          <w:szCs w:val="24"/>
          <w:lang w:eastAsia="zh-CN"/>
        </w:rPr>
        <w:t>阐明了所有</w:t>
      </w:r>
      <w:r>
        <w:rPr>
          <w:rFonts w:cstheme="minorHAnsi" w:hint="eastAsia"/>
          <w:szCs w:val="24"/>
          <w:lang w:eastAsia="zh-CN"/>
        </w:rPr>
        <w:t>电信发展局</w:t>
      </w:r>
      <w:r w:rsidRPr="00FB2328">
        <w:rPr>
          <w:rFonts w:cstheme="minorHAnsi" w:hint="eastAsia"/>
          <w:szCs w:val="24"/>
          <w:lang w:eastAsia="zh-CN"/>
        </w:rPr>
        <w:t>单位的资源授权和相应的问责制；它可以跟踪对复杂</w:t>
      </w:r>
      <w:r w:rsidR="00CD60D7">
        <w:rPr>
          <w:rFonts w:cstheme="minorHAnsi" w:hint="eastAsia"/>
          <w:szCs w:val="24"/>
          <w:lang w:eastAsia="zh-CN"/>
        </w:rPr>
        <w:t>项目</w:t>
      </w:r>
      <w:r w:rsidRPr="00FB2328">
        <w:rPr>
          <w:rFonts w:cstheme="minorHAnsi" w:hint="eastAsia"/>
          <w:szCs w:val="24"/>
          <w:lang w:eastAsia="zh-CN"/>
        </w:rPr>
        <w:t>的多项</w:t>
      </w:r>
      <w:r w:rsidR="00CD60D7">
        <w:rPr>
          <w:rFonts w:cstheme="minorHAnsi" w:hint="eastAsia"/>
          <w:szCs w:val="24"/>
          <w:lang w:eastAsia="zh-CN"/>
        </w:rPr>
        <w:t>捐助</w:t>
      </w:r>
      <w:r w:rsidRPr="00FB2328">
        <w:rPr>
          <w:rFonts w:cstheme="minorHAnsi" w:hint="eastAsia"/>
          <w:szCs w:val="24"/>
          <w:lang w:eastAsia="zh-CN"/>
        </w:rPr>
        <w:t>，涉及跨部门总部</w:t>
      </w:r>
      <w:r w:rsidR="00CD60D7">
        <w:rPr>
          <w:rFonts w:cstheme="minorHAnsi" w:hint="eastAsia"/>
          <w:szCs w:val="24"/>
          <w:lang w:eastAsia="zh-CN"/>
        </w:rPr>
        <w:t>团队</w:t>
      </w:r>
      <w:r w:rsidRPr="00FB2328">
        <w:rPr>
          <w:rFonts w:cstheme="minorHAnsi" w:hint="eastAsia"/>
          <w:szCs w:val="24"/>
          <w:lang w:eastAsia="zh-CN"/>
        </w:rPr>
        <w:t>、区域</w:t>
      </w:r>
      <w:r w:rsidR="00CD60D7">
        <w:rPr>
          <w:rFonts w:cstheme="minorHAnsi" w:hint="eastAsia"/>
          <w:szCs w:val="24"/>
          <w:lang w:eastAsia="zh-CN"/>
        </w:rPr>
        <w:t>代表处</w:t>
      </w:r>
      <w:r w:rsidRPr="00FB2328">
        <w:rPr>
          <w:rFonts w:cstheme="minorHAnsi" w:hint="eastAsia"/>
          <w:szCs w:val="24"/>
          <w:lang w:eastAsia="zh-CN"/>
        </w:rPr>
        <w:t>和其他单位。</w:t>
      </w:r>
    </w:p>
    <w:p w14:paraId="262DF9A5" w14:textId="05AF1202" w:rsidR="003831C9" w:rsidRDefault="00FB2328" w:rsidP="008E5BDF">
      <w:pPr>
        <w:pStyle w:val="ListParagraph"/>
        <w:numPr>
          <w:ilvl w:val="0"/>
          <w:numId w:val="9"/>
        </w:numPr>
        <w:spacing w:before="80"/>
        <w:ind w:left="1134" w:hanging="1134"/>
        <w:contextualSpacing w:val="0"/>
        <w:rPr>
          <w:rFonts w:cstheme="minorHAnsi"/>
          <w:szCs w:val="24"/>
          <w:lang w:eastAsia="zh-CN"/>
        </w:rPr>
      </w:pPr>
      <w:r w:rsidRPr="00FB2328">
        <w:rPr>
          <w:rFonts w:cstheme="minorHAnsi" w:hint="eastAsia"/>
          <w:szCs w:val="24"/>
          <w:lang w:eastAsia="zh-CN"/>
        </w:rPr>
        <w:t>包括区域</w:t>
      </w:r>
      <w:r w:rsidR="00CD60D7">
        <w:rPr>
          <w:rFonts w:cstheme="minorHAnsi" w:hint="eastAsia"/>
          <w:szCs w:val="24"/>
          <w:lang w:eastAsia="zh-CN"/>
        </w:rPr>
        <w:t>代表</w:t>
      </w:r>
      <w:r w:rsidRPr="00FB2328">
        <w:rPr>
          <w:rFonts w:cstheme="minorHAnsi" w:hint="eastAsia"/>
          <w:szCs w:val="24"/>
          <w:lang w:eastAsia="zh-CN"/>
        </w:rPr>
        <w:t>处在内的优先</w:t>
      </w:r>
      <w:r w:rsidR="00CD60D7">
        <w:rPr>
          <w:rFonts w:cstheme="minorHAnsi" w:hint="eastAsia"/>
          <w:szCs w:val="24"/>
          <w:lang w:eastAsia="zh-CN"/>
        </w:rPr>
        <w:t>主题</w:t>
      </w:r>
      <w:r w:rsidRPr="00FB2328">
        <w:rPr>
          <w:rFonts w:cstheme="minorHAnsi" w:hint="eastAsia"/>
          <w:szCs w:val="24"/>
          <w:lang w:eastAsia="zh-CN"/>
        </w:rPr>
        <w:t>工作季度审查会议，并在必要时呼吁进行调整。与</w:t>
      </w:r>
      <w:r w:rsidR="00CD60D7">
        <w:rPr>
          <w:rFonts w:cstheme="minorHAnsi" w:hint="eastAsia"/>
          <w:szCs w:val="24"/>
          <w:lang w:eastAsia="zh-CN"/>
        </w:rPr>
        <w:t>电信发展局</w:t>
      </w:r>
      <w:r w:rsidRPr="00FB2328">
        <w:rPr>
          <w:rFonts w:cstheme="minorHAnsi" w:hint="eastAsia"/>
          <w:szCs w:val="24"/>
          <w:lang w:eastAsia="zh-CN"/>
        </w:rPr>
        <w:t>的规划方法类似，季度审查采用了同样的整体观点，汇集了</w:t>
      </w:r>
      <w:r w:rsidR="00CD60D7">
        <w:rPr>
          <w:rFonts w:cstheme="minorHAnsi" w:hint="eastAsia"/>
          <w:szCs w:val="24"/>
          <w:lang w:eastAsia="zh-CN"/>
        </w:rPr>
        <w:t>运作规划－</w:t>
      </w:r>
      <w:r w:rsidRPr="00FB2328">
        <w:rPr>
          <w:rFonts w:cstheme="minorHAnsi" w:hint="eastAsia"/>
          <w:szCs w:val="24"/>
          <w:lang w:eastAsia="zh-CN"/>
        </w:rPr>
        <w:t>预算、项目、区域</w:t>
      </w:r>
      <w:r w:rsidR="00CD60D7">
        <w:rPr>
          <w:rFonts w:cstheme="minorHAnsi" w:hint="eastAsia"/>
          <w:szCs w:val="24"/>
          <w:lang w:eastAsia="zh-CN"/>
        </w:rPr>
        <w:t>性举措</w:t>
      </w:r>
      <w:r w:rsidRPr="00FB2328">
        <w:rPr>
          <w:rFonts w:cstheme="minorHAnsi" w:hint="eastAsia"/>
          <w:szCs w:val="24"/>
          <w:lang w:eastAsia="zh-CN"/>
        </w:rPr>
        <w:t>和其他资助行动的所有可用资源</w:t>
      </w:r>
      <w:r w:rsidR="00CD60D7">
        <w:rPr>
          <w:rFonts w:cstheme="minorHAnsi" w:hint="eastAsia"/>
          <w:szCs w:val="24"/>
          <w:lang w:eastAsia="zh-CN"/>
        </w:rPr>
        <w:t>（</w:t>
      </w:r>
      <w:r w:rsidRPr="00FB2328">
        <w:rPr>
          <w:rFonts w:cstheme="minorHAnsi" w:hint="eastAsia"/>
          <w:szCs w:val="24"/>
          <w:lang w:eastAsia="zh-CN"/>
        </w:rPr>
        <w:t>人力、</w:t>
      </w:r>
      <w:r w:rsidR="00CD60D7">
        <w:rPr>
          <w:rFonts w:cstheme="minorHAnsi" w:hint="eastAsia"/>
          <w:szCs w:val="24"/>
          <w:lang w:eastAsia="zh-CN"/>
        </w:rPr>
        <w:t>财务）</w:t>
      </w:r>
      <w:r w:rsidRPr="00FB2328">
        <w:rPr>
          <w:rFonts w:cstheme="minorHAnsi" w:hint="eastAsia"/>
          <w:szCs w:val="24"/>
          <w:lang w:eastAsia="zh-CN"/>
        </w:rPr>
        <w:t>。</w:t>
      </w:r>
    </w:p>
    <w:p w14:paraId="28527ED1" w14:textId="1F49E2A9" w:rsidR="00392C5F" w:rsidRPr="00CD60D7" w:rsidRDefault="00392C5F" w:rsidP="008E5BDF">
      <w:pPr>
        <w:pStyle w:val="ListParagraph"/>
        <w:numPr>
          <w:ilvl w:val="0"/>
          <w:numId w:val="9"/>
        </w:numPr>
        <w:spacing w:before="80"/>
        <w:ind w:left="1134" w:hanging="1134"/>
        <w:contextualSpacing w:val="0"/>
        <w:rPr>
          <w:rFonts w:cstheme="minorHAnsi"/>
          <w:szCs w:val="24"/>
          <w:lang w:eastAsia="zh-CN"/>
        </w:rPr>
      </w:pPr>
      <w:r w:rsidRPr="005B4615">
        <w:rPr>
          <w:rFonts w:cstheme="minorHAnsi" w:hint="eastAsia"/>
          <w:szCs w:val="24"/>
          <w:lang w:eastAsia="zh-CN"/>
        </w:rPr>
        <w:t>运作风险评估将被记录在各单位的风险登记册上，随后汇总至电信发展局；这样可以快速发现问题，以解决悬而未决的计划问题并</w:t>
      </w:r>
      <w:r>
        <w:rPr>
          <w:rFonts w:cstheme="minorHAnsi" w:hint="eastAsia"/>
          <w:szCs w:val="24"/>
          <w:lang w:eastAsia="zh-CN"/>
        </w:rPr>
        <w:t>加快和</w:t>
      </w:r>
      <w:r w:rsidRPr="005B4615">
        <w:rPr>
          <w:rFonts w:cstheme="minorHAnsi" w:hint="eastAsia"/>
          <w:szCs w:val="24"/>
          <w:lang w:eastAsia="zh-CN"/>
        </w:rPr>
        <w:t>提升决策制定</w:t>
      </w:r>
      <w:r>
        <w:rPr>
          <w:rFonts w:cstheme="minorHAnsi" w:hint="eastAsia"/>
          <w:szCs w:val="24"/>
          <w:lang w:eastAsia="zh-CN"/>
        </w:rPr>
        <w:t>。</w:t>
      </w:r>
    </w:p>
    <w:p w14:paraId="3A7D15C4" w14:textId="2AB40B04" w:rsidR="003831C9" w:rsidRDefault="005B4615" w:rsidP="008E5BDF">
      <w:pPr>
        <w:pStyle w:val="ListParagraph"/>
        <w:numPr>
          <w:ilvl w:val="0"/>
          <w:numId w:val="10"/>
        </w:numPr>
        <w:spacing w:before="80"/>
        <w:ind w:left="1134" w:hanging="1134"/>
        <w:contextualSpacing w:val="0"/>
        <w:rPr>
          <w:rFonts w:cstheme="minorHAnsi"/>
          <w:szCs w:val="24"/>
          <w:lang w:eastAsia="zh-CN"/>
        </w:rPr>
      </w:pPr>
      <w:r w:rsidRPr="00232A31">
        <w:rPr>
          <w:rFonts w:ascii="Calibri" w:hAnsi="Calibri" w:hint="eastAsia"/>
          <w:lang w:eastAsia="zh-CN"/>
        </w:rPr>
        <w:t>将在电信发展局的信息概览中不断更新关键绩效指标的进展，并且定期汇报。</w:t>
      </w:r>
    </w:p>
    <w:p w14:paraId="64B3CE13" w14:textId="378B1C0D" w:rsidR="00CD60D7" w:rsidRPr="00CD60D7" w:rsidRDefault="00CD60D7" w:rsidP="0092429F">
      <w:pPr>
        <w:pStyle w:val="ListParagraph"/>
        <w:numPr>
          <w:ilvl w:val="0"/>
          <w:numId w:val="9"/>
        </w:numPr>
        <w:spacing w:before="80"/>
        <w:ind w:left="1134" w:hanging="1134"/>
        <w:contextualSpacing w:val="0"/>
        <w:rPr>
          <w:rFonts w:cstheme="minorHAnsi"/>
          <w:szCs w:val="24"/>
          <w:lang w:eastAsia="zh-CN"/>
        </w:rPr>
      </w:pPr>
      <w:r w:rsidRPr="00CD60D7">
        <w:rPr>
          <w:rFonts w:cstheme="minorHAnsi" w:hint="eastAsia"/>
          <w:szCs w:val="24"/>
          <w:lang w:eastAsia="zh-CN"/>
        </w:rPr>
        <w:t>为筹备</w:t>
      </w:r>
      <w:r w:rsidRPr="00CD60D7">
        <w:rPr>
          <w:rFonts w:cstheme="minorHAnsi" w:hint="eastAsia"/>
          <w:szCs w:val="24"/>
          <w:lang w:eastAsia="zh-CN"/>
        </w:rPr>
        <w:t>2021</w:t>
      </w:r>
      <w:r w:rsidRPr="00CD60D7">
        <w:rPr>
          <w:rFonts w:cstheme="minorHAnsi" w:hint="eastAsia"/>
          <w:szCs w:val="24"/>
          <w:lang w:eastAsia="zh-CN"/>
        </w:rPr>
        <w:t>年</w:t>
      </w:r>
      <w:r>
        <w:rPr>
          <w:rFonts w:cstheme="minorHAnsi" w:hint="eastAsia"/>
          <w:szCs w:val="24"/>
          <w:lang w:eastAsia="zh-CN"/>
        </w:rPr>
        <w:t>的工作</w:t>
      </w:r>
      <w:r w:rsidRPr="00CD60D7">
        <w:rPr>
          <w:rFonts w:cstheme="minorHAnsi" w:hint="eastAsia"/>
          <w:szCs w:val="24"/>
          <w:lang w:eastAsia="zh-CN"/>
        </w:rPr>
        <w:t>，</w:t>
      </w:r>
      <w:r>
        <w:rPr>
          <w:rFonts w:cstheme="minorHAnsi" w:hint="eastAsia"/>
          <w:szCs w:val="24"/>
          <w:lang w:eastAsia="zh-CN"/>
        </w:rPr>
        <w:t>电信发展局</w:t>
      </w:r>
      <w:r w:rsidRPr="00CD60D7">
        <w:rPr>
          <w:rFonts w:cstheme="minorHAnsi" w:hint="eastAsia"/>
          <w:szCs w:val="24"/>
          <w:lang w:eastAsia="zh-CN"/>
        </w:rPr>
        <w:t>对其年度规划流程进行了改革，对每个优先</w:t>
      </w:r>
      <w:r>
        <w:rPr>
          <w:rFonts w:cstheme="minorHAnsi" w:hint="eastAsia"/>
          <w:szCs w:val="24"/>
          <w:lang w:eastAsia="zh-CN"/>
        </w:rPr>
        <w:t>主题</w:t>
      </w:r>
      <w:r w:rsidRPr="00CD60D7">
        <w:rPr>
          <w:rFonts w:cstheme="minorHAnsi" w:hint="eastAsia"/>
          <w:szCs w:val="24"/>
          <w:lang w:eastAsia="zh-CN"/>
        </w:rPr>
        <w:t>的计划进行了多轮评估，专家们从多个角度对计划进行了评估，包括资源配置、关键绩效指标、风险、地理包容性、战略优化和潜在影响</w:t>
      </w:r>
      <w:r>
        <w:rPr>
          <w:rFonts w:cstheme="minorHAnsi" w:hint="eastAsia"/>
          <w:szCs w:val="24"/>
          <w:lang w:eastAsia="zh-CN"/>
        </w:rPr>
        <w:t>；</w:t>
      </w:r>
    </w:p>
    <w:p w14:paraId="60F5A224" w14:textId="765E000E" w:rsidR="00CD60D7" w:rsidRPr="00CD60D7" w:rsidRDefault="00CD60D7" w:rsidP="008E5BDF">
      <w:pPr>
        <w:pStyle w:val="ListParagraph"/>
        <w:numPr>
          <w:ilvl w:val="0"/>
          <w:numId w:val="10"/>
        </w:numPr>
        <w:spacing w:before="80"/>
        <w:ind w:left="1134" w:hanging="1134"/>
        <w:rPr>
          <w:rFonts w:cstheme="minorHAnsi"/>
          <w:szCs w:val="24"/>
          <w:lang w:eastAsia="zh-CN"/>
        </w:rPr>
      </w:pPr>
      <w:r w:rsidRPr="00CD60D7">
        <w:rPr>
          <w:rFonts w:cstheme="minorHAnsi" w:hint="eastAsia"/>
          <w:szCs w:val="24"/>
          <w:lang w:eastAsia="zh-CN"/>
        </w:rPr>
        <w:t>成功项目、</w:t>
      </w:r>
      <w:r w:rsidR="0092429F">
        <w:rPr>
          <w:rFonts w:cstheme="minorHAnsi" w:hint="eastAsia"/>
          <w:szCs w:val="24"/>
          <w:lang w:eastAsia="zh-CN"/>
        </w:rPr>
        <w:t>“</w:t>
      </w:r>
      <w:r w:rsidRPr="00CD60D7">
        <w:rPr>
          <w:rFonts w:cstheme="minorHAnsi" w:hint="eastAsia"/>
          <w:szCs w:val="24"/>
          <w:lang w:eastAsia="zh-CN"/>
        </w:rPr>
        <w:t>旗舰方案</w:t>
      </w:r>
      <w:r w:rsidR="0092429F">
        <w:rPr>
          <w:rFonts w:cstheme="minorHAnsi" w:hint="eastAsia"/>
          <w:szCs w:val="24"/>
          <w:lang w:eastAsia="zh-CN"/>
        </w:rPr>
        <w:t>”</w:t>
      </w:r>
      <w:r w:rsidRPr="00CD60D7">
        <w:rPr>
          <w:rFonts w:cstheme="minorHAnsi" w:hint="eastAsia"/>
          <w:szCs w:val="24"/>
          <w:lang w:eastAsia="zh-CN"/>
        </w:rPr>
        <w:t>和区域</w:t>
      </w:r>
      <w:r>
        <w:rPr>
          <w:rFonts w:cstheme="minorHAnsi" w:hint="eastAsia"/>
          <w:szCs w:val="24"/>
          <w:lang w:eastAsia="zh-CN"/>
        </w:rPr>
        <w:t>性举措</w:t>
      </w:r>
      <w:r w:rsidRPr="00CD60D7">
        <w:rPr>
          <w:rFonts w:cstheme="minorHAnsi" w:hint="eastAsia"/>
          <w:szCs w:val="24"/>
          <w:lang w:eastAsia="zh-CN"/>
        </w:rPr>
        <w:t>的</w:t>
      </w:r>
      <w:r>
        <w:rPr>
          <w:rFonts w:cstheme="minorHAnsi" w:hint="eastAsia"/>
          <w:szCs w:val="24"/>
          <w:lang w:eastAsia="zh-CN"/>
        </w:rPr>
        <w:t>增加</w:t>
      </w:r>
      <w:r w:rsidRPr="00CD60D7">
        <w:rPr>
          <w:rFonts w:cstheme="minorHAnsi" w:hint="eastAsia"/>
          <w:szCs w:val="24"/>
          <w:lang w:eastAsia="zh-CN"/>
        </w:rPr>
        <w:t>。这些作为计划</w:t>
      </w:r>
      <w:r>
        <w:rPr>
          <w:rFonts w:cstheme="minorHAnsi" w:hint="eastAsia"/>
          <w:szCs w:val="24"/>
          <w:lang w:eastAsia="zh-CN"/>
        </w:rPr>
        <w:t>产生</w:t>
      </w:r>
      <w:r w:rsidRPr="00CD60D7">
        <w:rPr>
          <w:rFonts w:cstheme="minorHAnsi" w:hint="eastAsia"/>
          <w:szCs w:val="24"/>
          <w:lang w:eastAsia="zh-CN"/>
        </w:rPr>
        <w:t>影响的关键成功因素</w:t>
      </w:r>
      <w:r>
        <w:rPr>
          <w:rFonts w:cstheme="minorHAnsi" w:hint="eastAsia"/>
          <w:szCs w:val="24"/>
          <w:lang w:eastAsia="zh-CN"/>
        </w:rPr>
        <w:t>得</w:t>
      </w:r>
      <w:r w:rsidRPr="00CD60D7">
        <w:rPr>
          <w:rFonts w:cstheme="minorHAnsi" w:hint="eastAsia"/>
          <w:szCs w:val="24"/>
          <w:lang w:eastAsia="zh-CN"/>
        </w:rPr>
        <w:t>到定期监控，合作伙伴和成员的关切</w:t>
      </w:r>
      <w:r>
        <w:rPr>
          <w:rFonts w:cstheme="minorHAnsi" w:hint="eastAsia"/>
          <w:szCs w:val="24"/>
          <w:lang w:eastAsia="zh-CN"/>
        </w:rPr>
        <w:t>获得</w:t>
      </w:r>
      <w:r w:rsidRPr="00CD60D7">
        <w:rPr>
          <w:rFonts w:cstheme="minorHAnsi" w:hint="eastAsia"/>
          <w:szCs w:val="24"/>
          <w:lang w:eastAsia="zh-CN"/>
        </w:rPr>
        <w:t>集中的</w:t>
      </w:r>
      <w:r>
        <w:rPr>
          <w:rFonts w:cstheme="minorHAnsi" w:hint="eastAsia"/>
          <w:szCs w:val="24"/>
          <w:lang w:eastAsia="zh-CN"/>
        </w:rPr>
        <w:t>关注</w:t>
      </w:r>
      <w:r w:rsidRPr="00CD60D7">
        <w:rPr>
          <w:rFonts w:cstheme="minorHAnsi" w:hint="eastAsia"/>
          <w:szCs w:val="24"/>
          <w:lang w:eastAsia="zh-CN"/>
        </w:rPr>
        <w:t>；</w:t>
      </w:r>
    </w:p>
    <w:p w14:paraId="46BC6F06" w14:textId="17E30BDC" w:rsidR="003831C9" w:rsidRPr="00CD60D7" w:rsidRDefault="00CD60D7" w:rsidP="008E5BDF">
      <w:pPr>
        <w:pStyle w:val="ListParagraph"/>
        <w:numPr>
          <w:ilvl w:val="0"/>
          <w:numId w:val="10"/>
        </w:numPr>
        <w:spacing w:before="80"/>
        <w:ind w:left="1134" w:hanging="1134"/>
        <w:contextualSpacing w:val="0"/>
        <w:rPr>
          <w:rFonts w:cstheme="minorHAnsi"/>
          <w:szCs w:val="24"/>
          <w:lang w:eastAsia="zh-CN"/>
        </w:rPr>
      </w:pPr>
      <w:r w:rsidRPr="00CD60D7">
        <w:rPr>
          <w:rFonts w:cstheme="minorHAnsi" w:hint="eastAsia"/>
          <w:szCs w:val="24"/>
          <w:lang w:eastAsia="zh-CN"/>
        </w:rPr>
        <w:t>同样重要的是，</w:t>
      </w:r>
      <w:r w:rsidRPr="00CD60D7">
        <w:rPr>
          <w:rFonts w:cstheme="minorHAnsi" w:hint="eastAsia"/>
          <w:szCs w:val="24"/>
          <w:lang w:eastAsia="zh-CN"/>
        </w:rPr>
        <w:t>RBM</w:t>
      </w:r>
      <w:r w:rsidRPr="00CD60D7">
        <w:rPr>
          <w:rFonts w:cstheme="minorHAnsi" w:hint="eastAsia"/>
          <w:szCs w:val="24"/>
          <w:lang w:eastAsia="zh-CN"/>
        </w:rPr>
        <w:t>将促进外部和内部沟通，因为我们工作</w:t>
      </w:r>
      <w:r>
        <w:rPr>
          <w:rFonts w:cstheme="minorHAnsi" w:hint="eastAsia"/>
          <w:szCs w:val="24"/>
          <w:lang w:eastAsia="zh-CN"/>
        </w:rPr>
        <w:t>项目</w:t>
      </w:r>
      <w:r w:rsidRPr="00CD60D7">
        <w:rPr>
          <w:rFonts w:cstheme="minorHAnsi" w:hint="eastAsia"/>
          <w:szCs w:val="24"/>
          <w:lang w:eastAsia="zh-CN"/>
        </w:rPr>
        <w:t>影响</w:t>
      </w:r>
      <w:r>
        <w:rPr>
          <w:rFonts w:cstheme="minorHAnsi" w:hint="eastAsia"/>
          <w:szCs w:val="24"/>
          <w:lang w:eastAsia="zh-CN"/>
        </w:rPr>
        <w:t>的阐述</w:t>
      </w:r>
      <w:r w:rsidRPr="00CD60D7">
        <w:rPr>
          <w:rFonts w:cstheme="minorHAnsi" w:hint="eastAsia"/>
          <w:szCs w:val="24"/>
          <w:lang w:eastAsia="zh-CN"/>
        </w:rPr>
        <w:t>更容易理解和遵循。</w:t>
      </w:r>
    </w:p>
    <w:p w14:paraId="45FC198A" w14:textId="5D6EACA6" w:rsidR="003831C9" w:rsidRDefault="005B4615" w:rsidP="00392C5F">
      <w:pPr>
        <w:ind w:firstLineChars="200" w:firstLine="480"/>
        <w:rPr>
          <w:rFonts w:cstheme="minorHAnsi"/>
          <w:szCs w:val="24"/>
          <w:lang w:eastAsia="zh-CN"/>
        </w:rPr>
      </w:pPr>
      <w:r w:rsidRPr="002307B4">
        <w:rPr>
          <w:rFonts w:ascii="Calibri" w:hAnsi="Calibri" w:cs="Calibri" w:hint="eastAsia"/>
          <w:szCs w:val="24"/>
          <w:lang w:eastAsia="zh-CN"/>
        </w:rPr>
        <w:t>上述措施将</w:t>
      </w:r>
      <w:r>
        <w:rPr>
          <w:rFonts w:ascii="Calibri" w:hAnsi="Calibri" w:cs="Calibri" w:hint="eastAsia"/>
          <w:szCs w:val="24"/>
          <w:lang w:eastAsia="zh-CN"/>
        </w:rPr>
        <w:t>产生</w:t>
      </w:r>
      <w:r w:rsidRPr="002307B4">
        <w:rPr>
          <w:rFonts w:ascii="Calibri" w:hAnsi="Calibri" w:cs="Calibri" w:hint="eastAsia"/>
          <w:szCs w:val="24"/>
          <w:lang w:eastAsia="zh-CN"/>
        </w:rPr>
        <w:t>显著影响，我们已</w:t>
      </w:r>
      <w:r>
        <w:rPr>
          <w:rFonts w:ascii="Calibri" w:hAnsi="Calibri" w:cs="Calibri" w:hint="eastAsia"/>
          <w:szCs w:val="24"/>
          <w:lang w:eastAsia="zh-CN"/>
        </w:rPr>
        <w:t>经可以看到初步迹象并</w:t>
      </w:r>
      <w:r w:rsidRPr="002307B4">
        <w:rPr>
          <w:rFonts w:ascii="Calibri" w:hAnsi="Calibri" w:cs="Calibri" w:hint="eastAsia"/>
          <w:szCs w:val="24"/>
          <w:lang w:eastAsia="zh-CN"/>
        </w:rPr>
        <w:t>将系统化地</w:t>
      </w:r>
      <w:r>
        <w:rPr>
          <w:rFonts w:ascii="Calibri" w:hAnsi="Calibri" w:cs="Calibri" w:hint="eastAsia"/>
          <w:szCs w:val="24"/>
          <w:lang w:eastAsia="zh-CN"/>
        </w:rPr>
        <w:t>对这些影响的证据进行</w:t>
      </w:r>
      <w:r w:rsidRPr="002307B4">
        <w:rPr>
          <w:rFonts w:ascii="Calibri" w:hAnsi="Calibri" w:cs="Calibri" w:hint="eastAsia"/>
          <w:szCs w:val="24"/>
          <w:lang w:eastAsia="zh-CN"/>
        </w:rPr>
        <w:t>跟踪</w:t>
      </w:r>
      <w:r w:rsidR="003D3AAE">
        <w:rPr>
          <w:rStyle w:val="FootnoteReference"/>
          <w:rFonts w:cstheme="minorHAnsi"/>
          <w:szCs w:val="24"/>
        </w:rPr>
        <w:footnoteReference w:id="3"/>
      </w:r>
      <w:r w:rsidRPr="002307B4">
        <w:rPr>
          <w:rFonts w:ascii="Calibri" w:hAnsi="Calibri" w:cs="Calibri" w:hint="eastAsia"/>
          <w:szCs w:val="24"/>
          <w:lang w:eastAsia="zh-CN"/>
        </w:rPr>
        <w:t>。</w:t>
      </w:r>
    </w:p>
    <w:p w14:paraId="736C8D3C" w14:textId="1180667E" w:rsidR="00F77372" w:rsidRDefault="004A799E" w:rsidP="00392C5F">
      <w:pPr>
        <w:ind w:firstLineChars="200" w:firstLine="480"/>
        <w:rPr>
          <w:rFonts w:cstheme="minorHAnsi"/>
          <w:szCs w:val="24"/>
          <w:lang w:eastAsia="zh-CN"/>
        </w:rPr>
      </w:pPr>
      <w:r w:rsidRPr="004A799E">
        <w:rPr>
          <w:rFonts w:cstheme="minorHAnsi" w:hint="eastAsia"/>
          <w:szCs w:val="24"/>
          <w:lang w:eastAsia="zh-CN"/>
        </w:rPr>
        <w:t>附件</w:t>
      </w:r>
      <w:r w:rsidRPr="004A799E">
        <w:rPr>
          <w:rFonts w:cstheme="minorHAnsi" w:hint="eastAsia"/>
          <w:szCs w:val="24"/>
          <w:lang w:eastAsia="zh-CN"/>
        </w:rPr>
        <w:t>1</w:t>
      </w:r>
      <w:r w:rsidRPr="004A799E">
        <w:rPr>
          <w:rFonts w:cstheme="minorHAnsi" w:hint="eastAsia"/>
          <w:szCs w:val="24"/>
          <w:lang w:eastAsia="zh-CN"/>
        </w:rPr>
        <w:t>概述了</w:t>
      </w:r>
      <w:r w:rsidRPr="004A799E">
        <w:rPr>
          <w:rFonts w:cstheme="minorHAnsi" w:hint="eastAsia"/>
          <w:szCs w:val="24"/>
          <w:lang w:eastAsia="zh-CN"/>
        </w:rPr>
        <w:t>10</w:t>
      </w:r>
      <w:r w:rsidRPr="004A799E">
        <w:rPr>
          <w:rFonts w:cstheme="minorHAnsi" w:hint="eastAsia"/>
          <w:szCs w:val="24"/>
          <w:lang w:eastAsia="zh-CN"/>
        </w:rPr>
        <w:t>个</w:t>
      </w:r>
      <w:r>
        <w:rPr>
          <w:rFonts w:cstheme="minorHAnsi" w:hint="eastAsia"/>
          <w:szCs w:val="24"/>
          <w:lang w:eastAsia="zh-CN"/>
        </w:rPr>
        <w:t>电信发展局优先主题</w:t>
      </w:r>
      <w:r w:rsidRPr="004A799E">
        <w:rPr>
          <w:rFonts w:cstheme="minorHAnsi" w:hint="eastAsia"/>
          <w:szCs w:val="24"/>
          <w:lang w:eastAsia="zh-CN"/>
        </w:rPr>
        <w:t>，包括要应对的主要挑战，以及以</w:t>
      </w:r>
      <w:r w:rsidRPr="004A799E">
        <w:rPr>
          <w:rFonts w:cstheme="minorHAnsi" w:hint="eastAsia"/>
          <w:szCs w:val="24"/>
          <w:lang w:eastAsia="zh-CN"/>
        </w:rPr>
        <w:t>RBM</w:t>
      </w:r>
      <w:r w:rsidRPr="004A799E">
        <w:rPr>
          <w:rFonts w:cstheme="minorHAnsi" w:hint="eastAsia"/>
          <w:szCs w:val="24"/>
          <w:lang w:eastAsia="zh-CN"/>
        </w:rPr>
        <w:t>为</w:t>
      </w:r>
      <w:r>
        <w:rPr>
          <w:rFonts w:cstheme="minorHAnsi" w:hint="eastAsia"/>
          <w:szCs w:val="24"/>
          <w:lang w:eastAsia="zh-CN"/>
        </w:rPr>
        <w:t>运作</w:t>
      </w:r>
      <w:r w:rsidRPr="004A799E">
        <w:rPr>
          <w:rFonts w:cstheme="minorHAnsi" w:hint="eastAsia"/>
          <w:szCs w:val="24"/>
          <w:lang w:eastAsia="zh-CN"/>
        </w:rPr>
        <w:t>框架应对这些挑战的拟议解决方案。</w:t>
      </w:r>
    </w:p>
    <w:p w14:paraId="2673294A" w14:textId="0143B9BC" w:rsidR="00A15693" w:rsidRDefault="00392C5F" w:rsidP="008E5BDF">
      <w:pPr>
        <w:pStyle w:val="Heading1"/>
        <w:rPr>
          <w:lang w:eastAsia="zh-CN"/>
        </w:rPr>
      </w:pPr>
      <w:r>
        <w:rPr>
          <w:rFonts w:hint="eastAsia"/>
          <w:lang w:eastAsia="zh-CN"/>
        </w:rPr>
        <w:lastRenderedPageBreak/>
        <w:t>4</w:t>
      </w:r>
      <w:r>
        <w:rPr>
          <w:lang w:eastAsia="zh-CN"/>
        </w:rPr>
        <w:tab/>
      </w:r>
      <w:r w:rsidR="004A799E">
        <w:rPr>
          <w:rFonts w:hint="eastAsia"/>
          <w:lang w:eastAsia="zh-CN"/>
        </w:rPr>
        <w:t>在电信发展局全面实现变革理论</w:t>
      </w:r>
    </w:p>
    <w:p w14:paraId="391749EF" w14:textId="18792CF0" w:rsidR="00AA3BA9" w:rsidRPr="00AA3BA9" w:rsidRDefault="00AA3BA9" w:rsidP="008E5BDF">
      <w:pPr>
        <w:keepNext/>
        <w:keepLines/>
        <w:ind w:firstLineChars="200" w:firstLine="480"/>
        <w:rPr>
          <w:rFonts w:cstheme="minorHAnsi"/>
          <w:szCs w:val="24"/>
          <w:lang w:eastAsia="zh-CN"/>
        </w:rPr>
      </w:pPr>
      <w:r w:rsidRPr="00AA3BA9">
        <w:rPr>
          <w:rFonts w:cstheme="minorHAnsi" w:hint="eastAsia"/>
          <w:szCs w:val="24"/>
          <w:lang w:eastAsia="zh-CN"/>
        </w:rPr>
        <w:t>为充分发挥</w:t>
      </w:r>
      <w:r w:rsidRPr="00AA3BA9">
        <w:rPr>
          <w:rFonts w:cstheme="minorHAnsi" w:hint="eastAsia"/>
          <w:szCs w:val="24"/>
          <w:lang w:eastAsia="zh-CN"/>
        </w:rPr>
        <w:t>RBM</w:t>
      </w:r>
      <w:r w:rsidRPr="00AA3BA9">
        <w:rPr>
          <w:rFonts w:cstheme="minorHAnsi" w:hint="eastAsia"/>
          <w:szCs w:val="24"/>
          <w:lang w:eastAsia="zh-CN"/>
        </w:rPr>
        <w:t>的潜力，应采取</w:t>
      </w:r>
      <w:r w:rsidR="00C562A1">
        <w:rPr>
          <w:rFonts w:cstheme="minorHAnsi" w:hint="eastAsia"/>
          <w:szCs w:val="24"/>
          <w:lang w:eastAsia="zh-CN"/>
        </w:rPr>
        <w:t>进一步措施</w:t>
      </w:r>
      <w:r w:rsidRPr="00AA3BA9">
        <w:rPr>
          <w:rFonts w:cstheme="minorHAnsi" w:hint="eastAsia"/>
          <w:szCs w:val="24"/>
          <w:lang w:eastAsia="zh-CN"/>
        </w:rPr>
        <w:t>，</w:t>
      </w:r>
      <w:r w:rsidR="00C562A1" w:rsidRPr="00AA3BA9">
        <w:rPr>
          <w:rFonts w:cstheme="minorHAnsi" w:hint="eastAsia"/>
          <w:szCs w:val="24"/>
          <w:lang w:eastAsia="zh-CN"/>
        </w:rPr>
        <w:t>使</w:t>
      </w:r>
      <w:r w:rsidR="00C562A1">
        <w:rPr>
          <w:rFonts w:cstheme="minorHAnsi"/>
          <w:szCs w:val="24"/>
          <w:lang w:eastAsia="zh-CN"/>
        </w:rPr>
        <w:t>ITU-D</w:t>
      </w:r>
      <w:r w:rsidR="00C562A1">
        <w:rPr>
          <w:rFonts w:cstheme="minorHAnsi" w:hint="eastAsia"/>
          <w:szCs w:val="24"/>
          <w:lang w:eastAsia="zh-CN"/>
        </w:rPr>
        <w:t>（</w:t>
      </w:r>
      <w:r w:rsidRPr="00AA3BA9">
        <w:rPr>
          <w:rFonts w:cstheme="minorHAnsi" w:hint="eastAsia"/>
          <w:szCs w:val="24"/>
          <w:lang w:eastAsia="zh-CN"/>
        </w:rPr>
        <w:t>以及</w:t>
      </w:r>
      <w:r w:rsidR="00C562A1">
        <w:rPr>
          <w:rFonts w:cstheme="minorHAnsi" w:hint="eastAsia"/>
          <w:szCs w:val="24"/>
          <w:lang w:eastAsia="zh-CN"/>
        </w:rPr>
        <w:t>电信发展局）</w:t>
      </w:r>
      <w:r w:rsidRPr="00AA3BA9">
        <w:rPr>
          <w:rFonts w:cstheme="minorHAnsi" w:hint="eastAsia"/>
          <w:szCs w:val="24"/>
          <w:lang w:eastAsia="zh-CN"/>
        </w:rPr>
        <w:t>的愿景和使命与旨在实现这一愿景和使命的</w:t>
      </w:r>
      <w:r w:rsidR="00C562A1">
        <w:rPr>
          <w:rFonts w:cstheme="minorHAnsi" w:hint="eastAsia"/>
          <w:szCs w:val="24"/>
          <w:lang w:eastAsia="zh-CN"/>
        </w:rPr>
        <w:t>电信发展局</w:t>
      </w:r>
      <w:r w:rsidRPr="00AA3BA9">
        <w:rPr>
          <w:rFonts w:cstheme="minorHAnsi" w:hint="eastAsia"/>
          <w:szCs w:val="24"/>
          <w:lang w:eastAsia="zh-CN"/>
        </w:rPr>
        <w:t>总体工作</w:t>
      </w:r>
      <w:r w:rsidR="00C562A1">
        <w:rPr>
          <w:rFonts w:cstheme="minorHAnsi" w:hint="eastAsia"/>
          <w:szCs w:val="24"/>
          <w:lang w:eastAsia="zh-CN"/>
        </w:rPr>
        <w:t>计划</w:t>
      </w:r>
      <w:r w:rsidRPr="00AA3BA9">
        <w:rPr>
          <w:rFonts w:cstheme="minorHAnsi" w:hint="eastAsia"/>
          <w:szCs w:val="24"/>
          <w:lang w:eastAsia="zh-CN"/>
        </w:rPr>
        <w:t>紧密</w:t>
      </w:r>
      <w:r w:rsidR="00C562A1">
        <w:rPr>
          <w:rFonts w:cstheme="minorHAnsi" w:hint="eastAsia"/>
          <w:szCs w:val="24"/>
          <w:lang w:eastAsia="zh-CN"/>
        </w:rPr>
        <w:t>相</w:t>
      </w:r>
      <w:r w:rsidRPr="00AA3BA9">
        <w:rPr>
          <w:rFonts w:cstheme="minorHAnsi" w:hint="eastAsia"/>
          <w:szCs w:val="24"/>
          <w:lang w:eastAsia="zh-CN"/>
        </w:rPr>
        <w:t>结合。</w:t>
      </w:r>
    </w:p>
    <w:p w14:paraId="4D7C1D4E" w14:textId="0EBAA954" w:rsidR="00AA3BA9" w:rsidRPr="00AA3BA9" w:rsidRDefault="00AA3BA9" w:rsidP="00392C5F">
      <w:pPr>
        <w:ind w:firstLineChars="200" w:firstLine="480"/>
        <w:rPr>
          <w:rFonts w:cstheme="minorHAnsi"/>
          <w:szCs w:val="24"/>
          <w:lang w:eastAsia="zh-CN"/>
        </w:rPr>
      </w:pPr>
      <w:r w:rsidRPr="00AA3BA9">
        <w:rPr>
          <w:rFonts w:cstheme="minorHAnsi" w:hint="eastAsia"/>
          <w:szCs w:val="24"/>
          <w:lang w:eastAsia="zh-CN"/>
        </w:rPr>
        <w:t>为此，应考虑进一步精简和巩固现有的</w:t>
      </w:r>
      <w:r w:rsidR="00C562A1" w:rsidRPr="00AA3BA9">
        <w:rPr>
          <w:rFonts w:cstheme="minorHAnsi" w:hint="eastAsia"/>
          <w:szCs w:val="24"/>
          <w:lang w:eastAsia="zh-CN"/>
        </w:rPr>
        <w:t>优先</w:t>
      </w:r>
      <w:r w:rsidR="00C562A1">
        <w:rPr>
          <w:rFonts w:cstheme="minorHAnsi" w:hint="eastAsia"/>
          <w:szCs w:val="24"/>
          <w:lang w:eastAsia="zh-CN"/>
        </w:rPr>
        <w:t>主题</w:t>
      </w:r>
      <w:r w:rsidRPr="00AA3BA9">
        <w:rPr>
          <w:rFonts w:cstheme="minorHAnsi" w:hint="eastAsia"/>
          <w:szCs w:val="24"/>
          <w:lang w:eastAsia="zh-CN"/>
        </w:rPr>
        <w:t>，以</w:t>
      </w:r>
      <w:r w:rsidR="00C562A1">
        <w:rPr>
          <w:rFonts w:cstheme="minorHAnsi" w:hint="eastAsia"/>
          <w:szCs w:val="24"/>
          <w:lang w:eastAsia="zh-CN"/>
        </w:rPr>
        <w:t>落实在电信发展局全面实现</w:t>
      </w:r>
      <w:r w:rsidRPr="00AA3BA9">
        <w:rPr>
          <w:rFonts w:cstheme="minorHAnsi" w:hint="eastAsia"/>
          <w:szCs w:val="24"/>
          <w:lang w:eastAsia="zh-CN"/>
        </w:rPr>
        <w:t>变革理论的概念。这将有助于更有效地</w:t>
      </w:r>
      <w:r w:rsidR="00C562A1">
        <w:rPr>
          <w:rFonts w:cstheme="minorHAnsi" w:hint="eastAsia"/>
          <w:szCs w:val="24"/>
          <w:lang w:eastAsia="zh-CN"/>
        </w:rPr>
        <w:t>履行电信发展局的职责</w:t>
      </w:r>
      <w:r w:rsidRPr="00AA3BA9">
        <w:rPr>
          <w:rFonts w:cstheme="minorHAnsi" w:hint="eastAsia"/>
          <w:szCs w:val="24"/>
          <w:lang w:eastAsia="zh-CN"/>
        </w:rPr>
        <w:t>，更有效地利用现有资源。</w:t>
      </w:r>
    </w:p>
    <w:p w14:paraId="2D7D1E1E" w14:textId="7BBDC11C" w:rsidR="00AA3BA9" w:rsidRPr="00AA3BA9" w:rsidRDefault="00AA3BA9" w:rsidP="00392C5F">
      <w:pPr>
        <w:ind w:firstLineChars="200" w:firstLine="480"/>
        <w:rPr>
          <w:rFonts w:cstheme="minorHAnsi"/>
          <w:szCs w:val="24"/>
          <w:lang w:eastAsia="zh-CN"/>
        </w:rPr>
      </w:pPr>
      <w:r w:rsidRPr="00AA3BA9">
        <w:rPr>
          <w:rFonts w:cstheme="minorHAnsi" w:hint="eastAsia"/>
          <w:szCs w:val="24"/>
          <w:lang w:eastAsia="zh-CN"/>
        </w:rPr>
        <w:t>在</w:t>
      </w:r>
      <w:r w:rsidR="00C562A1">
        <w:rPr>
          <w:rFonts w:cstheme="minorHAnsi" w:hint="eastAsia"/>
          <w:szCs w:val="24"/>
          <w:lang w:eastAsia="zh-CN"/>
        </w:rPr>
        <w:t>电信发展局</w:t>
      </w:r>
      <w:r w:rsidRPr="00AA3BA9">
        <w:rPr>
          <w:rFonts w:cstheme="minorHAnsi" w:hint="eastAsia"/>
          <w:szCs w:val="24"/>
          <w:lang w:eastAsia="zh-CN"/>
        </w:rPr>
        <w:t>开展了一项活动，调查发展更广泛、主题更统一和更集中的变革理论的备选方案，以根据</w:t>
      </w:r>
      <w:r w:rsidR="00C562A1">
        <w:rPr>
          <w:rFonts w:cstheme="minorHAnsi" w:hint="eastAsia"/>
          <w:szCs w:val="24"/>
          <w:lang w:eastAsia="zh-CN"/>
        </w:rPr>
        <w:t>国际电联</w:t>
      </w:r>
      <w:r w:rsidRPr="00AA3BA9">
        <w:rPr>
          <w:rFonts w:cstheme="minorHAnsi" w:hint="eastAsia"/>
          <w:szCs w:val="24"/>
          <w:lang w:eastAsia="zh-CN"/>
        </w:rPr>
        <w:t>现行战略计划抓住</w:t>
      </w:r>
      <w:r w:rsidR="008341E6">
        <w:rPr>
          <w:rFonts w:cstheme="minorHAnsi"/>
          <w:szCs w:val="24"/>
          <w:lang w:eastAsia="zh-CN"/>
        </w:rPr>
        <w:t>ITU-D</w:t>
      </w:r>
      <w:r w:rsidRPr="00AA3BA9">
        <w:rPr>
          <w:rFonts w:cstheme="minorHAnsi" w:hint="eastAsia"/>
          <w:szCs w:val="24"/>
          <w:lang w:eastAsia="zh-CN"/>
        </w:rPr>
        <w:t>发展目标的实质。</w:t>
      </w:r>
    </w:p>
    <w:p w14:paraId="16FBFAD6" w14:textId="4631257A" w:rsidR="00BF2F51" w:rsidRPr="008341E6" w:rsidRDefault="00AA3BA9" w:rsidP="00392C5F">
      <w:pPr>
        <w:ind w:firstLineChars="200" w:firstLine="480"/>
        <w:rPr>
          <w:rFonts w:cstheme="minorHAnsi"/>
          <w:szCs w:val="24"/>
          <w:lang w:val="en-US" w:eastAsia="zh-CN"/>
        </w:rPr>
      </w:pPr>
      <w:r w:rsidRPr="00AA3BA9">
        <w:rPr>
          <w:rFonts w:cstheme="minorHAnsi" w:hint="eastAsia"/>
          <w:szCs w:val="24"/>
          <w:lang w:eastAsia="zh-CN"/>
        </w:rPr>
        <w:t>下图总结了讨论的结果</w:t>
      </w:r>
      <w:r w:rsidR="008341E6">
        <w:rPr>
          <w:rFonts w:cstheme="minorHAnsi" w:hint="eastAsia"/>
          <w:szCs w:val="24"/>
          <w:lang w:eastAsia="zh-CN"/>
        </w:rPr>
        <w:t>。</w:t>
      </w:r>
    </w:p>
    <w:p w14:paraId="18136BCC" w14:textId="2E1A3FBA" w:rsidR="0092429F" w:rsidRDefault="0092429F" w:rsidP="0092429F">
      <w:pPr>
        <w:keepNext/>
        <w:rPr>
          <w:rFonts w:cstheme="minorHAnsi"/>
          <w:szCs w:val="24"/>
          <w:lang w:eastAsia="zh-CN"/>
        </w:rPr>
      </w:pPr>
      <w:r>
        <w:rPr>
          <w:rFonts w:cstheme="minorHAnsi"/>
          <w:noProof/>
          <w:szCs w:val="24"/>
          <w:lang w:eastAsia="zh-CN"/>
        </w:rPr>
        <w:drawing>
          <wp:inline distT="0" distB="0" distL="0" distR="0" wp14:anchorId="0558936A" wp14:editId="6C269232">
            <wp:extent cx="6108700" cy="3044385"/>
            <wp:effectExtent l="0" t="0" r="635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009" cy="3069458"/>
                    </a:xfrm>
                    <a:prstGeom prst="rect">
                      <a:avLst/>
                    </a:prstGeom>
                    <a:noFill/>
                  </pic:spPr>
                </pic:pic>
              </a:graphicData>
            </a:graphic>
          </wp:inline>
        </w:drawing>
      </w:r>
    </w:p>
    <w:p w14:paraId="3A2D233A" w14:textId="05047BF0" w:rsidR="008341E6" w:rsidRPr="008341E6" w:rsidRDefault="008341E6" w:rsidP="00392C5F">
      <w:pPr>
        <w:keepNext/>
        <w:ind w:firstLineChars="200" w:firstLine="480"/>
        <w:rPr>
          <w:rFonts w:cstheme="minorHAnsi"/>
          <w:szCs w:val="24"/>
          <w:lang w:eastAsia="zh-CN"/>
        </w:rPr>
      </w:pPr>
      <w:r w:rsidRPr="008341E6">
        <w:rPr>
          <w:rFonts w:cstheme="minorHAnsi" w:hint="eastAsia"/>
          <w:szCs w:val="24"/>
          <w:lang w:eastAsia="zh-CN"/>
        </w:rPr>
        <w:t>所采用的逻辑将</w:t>
      </w:r>
      <w:r>
        <w:rPr>
          <w:rFonts w:cstheme="minorHAnsi"/>
          <w:szCs w:val="24"/>
          <w:lang w:eastAsia="zh-CN"/>
        </w:rPr>
        <w:t>ITU-D</w:t>
      </w:r>
      <w:r>
        <w:rPr>
          <w:rFonts w:cstheme="minorHAnsi" w:hint="eastAsia"/>
          <w:szCs w:val="24"/>
          <w:lang w:eastAsia="zh-CN"/>
        </w:rPr>
        <w:t>的使命</w:t>
      </w:r>
      <w:r w:rsidRPr="008341E6">
        <w:rPr>
          <w:rFonts w:cstheme="minorHAnsi" w:hint="eastAsia"/>
          <w:szCs w:val="24"/>
          <w:lang w:eastAsia="zh-CN"/>
        </w:rPr>
        <w:t>说明</w:t>
      </w:r>
      <w:r>
        <w:rPr>
          <w:rFonts w:cstheme="minorHAnsi" w:hint="eastAsia"/>
          <w:szCs w:val="24"/>
          <w:lang w:val="en-US" w:eastAsia="zh-CN"/>
        </w:rPr>
        <w:t>（</w:t>
      </w:r>
      <w:r w:rsidRPr="008341E6">
        <w:rPr>
          <w:rFonts w:cstheme="minorHAnsi" w:hint="eastAsia"/>
          <w:szCs w:val="24"/>
          <w:lang w:eastAsia="zh-CN"/>
        </w:rPr>
        <w:t>上文</w:t>
      </w:r>
      <w:r>
        <w:rPr>
          <w:rFonts w:cstheme="minorHAnsi" w:hint="eastAsia"/>
          <w:szCs w:val="24"/>
          <w:lang w:eastAsia="zh-CN"/>
        </w:rPr>
        <w:t>）</w:t>
      </w:r>
      <w:r w:rsidRPr="008341E6">
        <w:rPr>
          <w:rFonts w:cstheme="minorHAnsi" w:hint="eastAsia"/>
          <w:szCs w:val="24"/>
          <w:lang w:eastAsia="zh-CN"/>
        </w:rPr>
        <w:t>中阐述的两个主题转化为</w:t>
      </w:r>
      <w:r>
        <w:rPr>
          <w:rFonts w:cstheme="minorHAnsi"/>
          <w:szCs w:val="24"/>
          <w:lang w:eastAsia="zh-CN"/>
        </w:rPr>
        <w:t>ITU-D</w:t>
      </w:r>
      <w:r w:rsidRPr="008341E6">
        <w:rPr>
          <w:rFonts w:cstheme="minorHAnsi" w:hint="eastAsia"/>
          <w:szCs w:val="24"/>
          <w:lang w:eastAsia="zh-CN"/>
        </w:rPr>
        <w:t>工作核心的两个广泛的主题成果支柱，具体如下</w:t>
      </w:r>
      <w:r w:rsidR="00392C5F">
        <w:rPr>
          <w:rFonts w:cstheme="minorHAnsi" w:hint="eastAsia"/>
          <w:szCs w:val="24"/>
          <w:lang w:eastAsia="zh-CN"/>
        </w:rPr>
        <w:t>：</w:t>
      </w:r>
    </w:p>
    <w:p w14:paraId="67282A7B" w14:textId="28C60CE9" w:rsidR="00885779" w:rsidRPr="00DF059C" w:rsidRDefault="00392C5F" w:rsidP="00392C5F">
      <w:pPr>
        <w:pStyle w:val="enumlev1"/>
        <w:rPr>
          <w:lang w:eastAsia="zh-CN"/>
        </w:rPr>
      </w:pPr>
      <w:bookmarkStart w:id="3" w:name="lt_pId075"/>
      <w:r>
        <w:rPr>
          <w:lang w:eastAsia="zh-CN"/>
        </w:rPr>
        <w:t>•</w:t>
      </w:r>
      <w:r>
        <w:rPr>
          <w:lang w:eastAsia="zh-CN"/>
        </w:rPr>
        <w:tab/>
      </w:r>
      <w:r w:rsidR="008341E6" w:rsidRPr="008341E6">
        <w:rPr>
          <w:rFonts w:hint="eastAsia"/>
          <w:lang w:eastAsia="zh-CN"/>
        </w:rPr>
        <w:t>有意义的连接</w:t>
      </w:r>
      <w:bookmarkEnd w:id="3"/>
    </w:p>
    <w:p w14:paraId="0AF28EB9" w14:textId="3DF2660B" w:rsidR="00892F05" w:rsidRPr="00DF059C" w:rsidRDefault="00392C5F" w:rsidP="00392C5F">
      <w:pPr>
        <w:pStyle w:val="enumlev1"/>
        <w:rPr>
          <w:lang w:eastAsia="zh-CN"/>
        </w:rPr>
      </w:pPr>
      <w:r>
        <w:rPr>
          <w:lang w:eastAsia="zh-CN"/>
        </w:rPr>
        <w:t>•</w:t>
      </w:r>
      <w:r>
        <w:rPr>
          <w:lang w:eastAsia="zh-CN"/>
        </w:rPr>
        <w:tab/>
      </w:r>
      <w:r w:rsidR="008341E6" w:rsidRPr="008341E6">
        <w:rPr>
          <w:rFonts w:hint="eastAsia"/>
          <w:lang w:eastAsia="zh-CN"/>
        </w:rPr>
        <w:t>数字社会</w:t>
      </w:r>
    </w:p>
    <w:p w14:paraId="268ABD4A" w14:textId="4D71C45E" w:rsidR="008341E6" w:rsidRPr="008341E6" w:rsidRDefault="008341E6" w:rsidP="00392C5F">
      <w:pPr>
        <w:ind w:firstLineChars="200" w:firstLine="480"/>
        <w:rPr>
          <w:rFonts w:cstheme="minorHAnsi"/>
          <w:szCs w:val="24"/>
          <w:lang w:eastAsia="zh-CN"/>
        </w:rPr>
      </w:pPr>
      <w:bookmarkStart w:id="4" w:name="lt_pId077"/>
      <w:r w:rsidRPr="008341E6">
        <w:rPr>
          <w:rFonts w:cstheme="minorHAnsi" w:hint="eastAsia"/>
          <w:szCs w:val="24"/>
          <w:lang w:eastAsia="zh-CN"/>
        </w:rPr>
        <w:t>《布宜诺斯艾利斯行动计划》中阐述的几个优先主题目标将直接有助于这两个核心成果支柱，即</w:t>
      </w:r>
      <w:r w:rsidR="008E5BDF">
        <w:rPr>
          <w:rFonts w:cstheme="minorHAnsi" w:hint="eastAsia"/>
          <w:szCs w:val="24"/>
          <w:lang w:eastAsia="zh-CN"/>
        </w:rPr>
        <w:t>：</w:t>
      </w:r>
      <w:r w:rsidRPr="008341E6">
        <w:rPr>
          <w:rFonts w:cstheme="minorHAnsi" w:hint="eastAsia"/>
          <w:szCs w:val="24"/>
          <w:lang w:eastAsia="zh-CN"/>
        </w:rPr>
        <w:t>基础设施、网络安全和应急电信，这是关于</w:t>
      </w:r>
      <w:r w:rsidRPr="008341E6">
        <w:rPr>
          <w:rFonts w:cstheme="minorHAnsi" w:hint="eastAsia"/>
          <w:szCs w:val="24"/>
          <w:lang w:eastAsia="zh-CN"/>
        </w:rPr>
        <w:t>"</w:t>
      </w:r>
      <w:r w:rsidRPr="008341E6">
        <w:rPr>
          <w:rFonts w:cstheme="minorHAnsi" w:hint="eastAsia"/>
          <w:szCs w:val="24"/>
          <w:lang w:eastAsia="zh-CN"/>
        </w:rPr>
        <w:t>有意义的连接</w:t>
      </w:r>
      <w:r w:rsidRPr="008341E6">
        <w:rPr>
          <w:rFonts w:cstheme="minorHAnsi" w:hint="eastAsia"/>
          <w:szCs w:val="24"/>
          <w:lang w:eastAsia="zh-CN"/>
        </w:rPr>
        <w:t>"</w:t>
      </w:r>
      <w:r w:rsidRPr="008341E6">
        <w:rPr>
          <w:rFonts w:cstheme="minorHAnsi" w:hint="eastAsia"/>
          <w:szCs w:val="24"/>
          <w:lang w:eastAsia="zh-CN"/>
        </w:rPr>
        <w:t>的第一个成果支柱；而数字包容、数字服务和环境则在“数字社会”的第二个核心成果支柱下提供变革性的数字服务。</w:t>
      </w:r>
    </w:p>
    <w:p w14:paraId="338C9394" w14:textId="77777777" w:rsidR="008341E6" w:rsidRPr="008341E6" w:rsidRDefault="008341E6" w:rsidP="00392C5F">
      <w:pPr>
        <w:ind w:firstLineChars="200" w:firstLine="480"/>
        <w:rPr>
          <w:rFonts w:cstheme="minorHAnsi"/>
          <w:szCs w:val="24"/>
          <w:lang w:eastAsia="zh-CN"/>
        </w:rPr>
      </w:pPr>
      <w:r w:rsidRPr="008341E6">
        <w:rPr>
          <w:rFonts w:cstheme="minorHAnsi" w:hint="eastAsia"/>
          <w:szCs w:val="24"/>
          <w:lang w:eastAsia="zh-CN"/>
        </w:rPr>
        <w:t>这两个成果支柱得到第三个支柱（“有利环境”）的有利服务的支持；政策与监管、数字生态系统、能力建设和统计等优先主题领域的交叉职能正在促成和支持两个核心成果支柱产生的影响。</w:t>
      </w:r>
    </w:p>
    <w:p w14:paraId="33066A7C" w14:textId="77777777" w:rsidR="008341E6" w:rsidRPr="008341E6" w:rsidRDefault="008341E6" w:rsidP="00392C5F">
      <w:pPr>
        <w:ind w:firstLineChars="200" w:firstLine="480"/>
        <w:rPr>
          <w:rFonts w:cstheme="minorHAnsi"/>
          <w:szCs w:val="24"/>
          <w:lang w:eastAsia="zh-CN"/>
        </w:rPr>
      </w:pPr>
      <w:r w:rsidRPr="008341E6">
        <w:rPr>
          <w:rFonts w:cstheme="minorHAnsi" w:hint="eastAsia"/>
          <w:szCs w:val="24"/>
          <w:lang w:eastAsia="zh-CN"/>
        </w:rPr>
        <w:t>此外，为确保适当参与和项目执行，并支持运作和相关治理，另外两个跨领域支柱将继续支持电信发展局主题运作的交付（协调和组织治理）。</w:t>
      </w:r>
    </w:p>
    <w:p w14:paraId="182FE919" w14:textId="77777777" w:rsidR="008341E6" w:rsidRPr="008341E6" w:rsidRDefault="008341E6" w:rsidP="0092429F">
      <w:pPr>
        <w:keepNext/>
        <w:keepLines/>
        <w:ind w:firstLineChars="200" w:firstLine="480"/>
        <w:rPr>
          <w:rFonts w:cstheme="minorHAnsi"/>
          <w:szCs w:val="24"/>
          <w:lang w:eastAsia="zh-CN"/>
        </w:rPr>
      </w:pPr>
      <w:r w:rsidRPr="008341E6">
        <w:rPr>
          <w:rFonts w:cstheme="minorHAnsi" w:hint="eastAsia"/>
          <w:szCs w:val="24"/>
          <w:lang w:eastAsia="zh-CN"/>
        </w:rPr>
        <w:lastRenderedPageBreak/>
        <w:t>成功实施由此产生的</w:t>
      </w:r>
      <w:r w:rsidRPr="008341E6">
        <w:rPr>
          <w:rFonts w:cstheme="minorHAnsi" w:hint="eastAsia"/>
          <w:szCs w:val="24"/>
          <w:lang w:eastAsia="zh-CN"/>
        </w:rPr>
        <w:t>"</w:t>
      </w:r>
      <w:r w:rsidRPr="008341E6">
        <w:rPr>
          <w:rFonts w:cstheme="minorHAnsi" w:hint="eastAsia"/>
          <w:szCs w:val="24"/>
          <w:lang w:eastAsia="zh-CN"/>
        </w:rPr>
        <w:t>全电信发展局</w:t>
      </w:r>
      <w:r w:rsidRPr="008341E6">
        <w:rPr>
          <w:rFonts w:cstheme="minorHAnsi" w:hint="eastAsia"/>
          <w:szCs w:val="24"/>
          <w:lang w:eastAsia="zh-CN"/>
        </w:rPr>
        <w:t>"</w:t>
      </w:r>
      <w:r w:rsidRPr="008341E6">
        <w:rPr>
          <w:rFonts w:cstheme="minorHAnsi" w:hint="eastAsia"/>
          <w:szCs w:val="24"/>
          <w:lang w:eastAsia="zh-CN"/>
        </w:rPr>
        <w:t>成果架构不需要对电信发展局的组织结构进行任何重组；而是依靠行为的改变，在不同的优先主题和支撑职能之间进行更深入的合作和协同增效。</w:t>
      </w:r>
    </w:p>
    <w:p w14:paraId="21133DD2" w14:textId="17417DF4" w:rsidR="00CC6351" w:rsidRDefault="008341E6" w:rsidP="00392C5F">
      <w:pPr>
        <w:ind w:firstLineChars="200" w:firstLine="480"/>
        <w:rPr>
          <w:rFonts w:cstheme="minorHAnsi"/>
          <w:szCs w:val="24"/>
          <w:lang w:eastAsia="zh-CN"/>
        </w:rPr>
      </w:pPr>
      <w:r w:rsidRPr="008341E6">
        <w:rPr>
          <w:rFonts w:cstheme="minorHAnsi" w:hint="eastAsia"/>
          <w:szCs w:val="24"/>
          <w:lang w:eastAsia="zh-CN"/>
        </w:rPr>
        <w:t>这种文化和行为的改变将建立在明确“分权”和“绩效协议”的基础之上，这是整个电信发展局需要的，以确保参与伙伴的有效相互承诺，并为更大的项目和计划提供多项贡献。所有这些组成部分（</w:t>
      </w:r>
      <w:r w:rsidRPr="008341E6">
        <w:rPr>
          <w:rFonts w:cstheme="minorHAnsi" w:hint="eastAsia"/>
          <w:szCs w:val="24"/>
          <w:lang w:eastAsia="zh-CN"/>
        </w:rPr>
        <w:t>DoA</w:t>
      </w:r>
      <w:r w:rsidRPr="008341E6">
        <w:rPr>
          <w:rFonts w:cstheme="minorHAnsi" w:hint="eastAsia"/>
          <w:szCs w:val="24"/>
          <w:lang w:eastAsia="zh-CN"/>
        </w:rPr>
        <w:t>、</w:t>
      </w:r>
      <w:r w:rsidRPr="008341E6">
        <w:rPr>
          <w:rFonts w:cstheme="minorHAnsi" w:hint="eastAsia"/>
          <w:szCs w:val="24"/>
          <w:lang w:eastAsia="zh-CN"/>
        </w:rPr>
        <w:t>PA</w:t>
      </w:r>
      <w:r w:rsidRPr="008341E6">
        <w:rPr>
          <w:rFonts w:cstheme="minorHAnsi" w:hint="eastAsia"/>
          <w:szCs w:val="24"/>
          <w:lang w:eastAsia="zh-CN"/>
        </w:rPr>
        <w:t>）都已经过广泛讨论，现已到位。</w:t>
      </w:r>
      <w:bookmarkEnd w:id="4"/>
    </w:p>
    <w:p w14:paraId="7A3777FA" w14:textId="77777777" w:rsidR="00892F05" w:rsidRDefault="00892F05" w:rsidP="00854635">
      <w:pPr>
        <w:rPr>
          <w:rFonts w:cstheme="minorHAnsi"/>
          <w:szCs w:val="24"/>
          <w:lang w:eastAsia="zh-CN"/>
        </w:rPr>
      </w:pPr>
    </w:p>
    <w:p w14:paraId="3D02B818" w14:textId="77777777" w:rsidR="00D83BF5" w:rsidRPr="0084734D" w:rsidRDefault="006D7042" w:rsidP="00D83BF5">
      <w:pPr>
        <w:jc w:val="center"/>
        <w:rPr>
          <w:szCs w:val="24"/>
        </w:rPr>
      </w:pPr>
      <w:r>
        <w:rPr>
          <w:szCs w:val="24"/>
        </w:rPr>
        <w:t>_______________</w:t>
      </w:r>
    </w:p>
    <w:sectPr w:rsidR="00D83BF5" w:rsidRPr="0084734D" w:rsidSect="0067495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1DDE6" w14:textId="77777777" w:rsidR="00025ED1" w:rsidRDefault="006D7042">
      <w:pPr>
        <w:spacing w:before="0"/>
      </w:pPr>
      <w:r>
        <w:separator/>
      </w:r>
    </w:p>
  </w:endnote>
  <w:endnote w:type="continuationSeparator" w:id="0">
    <w:p w14:paraId="49E28E40" w14:textId="77777777" w:rsidR="00025ED1" w:rsidRDefault="006D70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2EA7" w14:textId="77777777" w:rsidR="00A91062" w:rsidRDefault="00A91062">
    <w:pPr>
      <w:framePr w:wrap="around" w:vAnchor="text" w:hAnchor="margin" w:xAlign="right" w:y="1"/>
    </w:pPr>
    <w:r>
      <w:fldChar w:fldCharType="begin"/>
    </w:r>
    <w:r>
      <w:instrText xml:space="preserve">PAGE  </w:instrText>
    </w:r>
    <w:r>
      <w:fldChar w:fldCharType="end"/>
    </w:r>
  </w:p>
  <w:p w14:paraId="419BB680" w14:textId="09D16AFA" w:rsidR="00A91062" w:rsidRPr="0041348E" w:rsidRDefault="00A91062">
    <w:pPr>
      <w:ind w:right="360"/>
      <w:rPr>
        <w:lang w:val="en-US"/>
      </w:rPr>
    </w:pPr>
    <w:r>
      <w:fldChar w:fldCharType="begin"/>
    </w:r>
    <w:r w:rsidRPr="0041348E">
      <w:rPr>
        <w:lang w:val="en-US"/>
      </w:rPr>
      <w:instrText xml:space="preserve"> FILENAME \p  \* MERGEFORMAT </w:instrText>
    </w:r>
    <w:r>
      <w:fldChar w:fldCharType="separate"/>
    </w:r>
    <w:r w:rsidR="00BF2F51">
      <w:rPr>
        <w:noProof/>
        <w:lang w:val="en-US"/>
      </w:rPr>
      <w:t>Y:\APP\CONF\RefDocs\481797\eRef481797.docx</w:t>
    </w:r>
    <w:r>
      <w:fldChar w:fldCharType="end"/>
    </w:r>
    <w:r w:rsidRPr="0041348E">
      <w:rPr>
        <w:lang w:val="en-US"/>
      </w:rPr>
      <w:tab/>
    </w:r>
    <w:r>
      <w:fldChar w:fldCharType="begin"/>
    </w:r>
    <w:r>
      <w:instrText xml:space="preserve"> SAVEDATE \@ DD.MM.YY </w:instrText>
    </w:r>
    <w:r>
      <w:fldChar w:fldCharType="separate"/>
    </w:r>
    <w:r w:rsidR="00C27456">
      <w:rPr>
        <w:noProof/>
      </w:rPr>
      <w:t>12.01.21</w:t>
    </w:r>
    <w:r>
      <w:fldChar w:fldCharType="end"/>
    </w:r>
    <w:r w:rsidRPr="0041348E">
      <w:rPr>
        <w:lang w:val="en-US"/>
      </w:rPr>
      <w:tab/>
    </w:r>
    <w:r>
      <w:fldChar w:fldCharType="begin"/>
    </w:r>
    <w:r>
      <w:instrText xml:space="preserve"> PRINTDATE \@ DD.MM.YY </w:instrText>
    </w:r>
    <w:r>
      <w:fldChar w:fldCharType="separate"/>
    </w:r>
    <w:r w:rsidR="00BF2F51">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23F8" w14:textId="05E982E8" w:rsidR="00A91062" w:rsidRDefault="00C27456" w:rsidP="00EF558F">
    <w:pPr>
      <w:pStyle w:val="Footer"/>
    </w:pPr>
    <w:r>
      <w:fldChar w:fldCharType="begin"/>
    </w:r>
    <w:r>
      <w:instrText xml:space="preserve"> FILENAME \p  \* MERGEFORMAT </w:instrText>
    </w:r>
    <w:r>
      <w:fldChar w:fldCharType="separate"/>
    </w:r>
    <w:r w:rsidR="00515EF0">
      <w:t>P:\CHI\ITU-D\CONF-D\RPMS\ASP\000\003C.docx</w:t>
    </w:r>
    <w:r>
      <w:fldChar w:fldCharType="end"/>
    </w:r>
    <w:r w:rsidR="00EF558F">
      <w:t xml:space="preserve"> (481797)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BD549A" w14:paraId="287FF064" w14:textId="77777777" w:rsidTr="0070310A">
      <w:tc>
        <w:tcPr>
          <w:tcW w:w="1432" w:type="dxa"/>
          <w:tcBorders>
            <w:top w:val="single" w:sz="4" w:space="0" w:color="000000"/>
          </w:tcBorders>
          <w:shd w:val="clear" w:color="auto" w:fill="auto"/>
        </w:tcPr>
        <w:p w14:paraId="3299F6AD" w14:textId="7073ED8B" w:rsidR="00BD549A" w:rsidRPr="004D495C" w:rsidRDefault="00BD549A" w:rsidP="00BD549A">
          <w:pPr>
            <w:pStyle w:val="FirstFooter"/>
            <w:tabs>
              <w:tab w:val="left" w:pos="1559"/>
              <w:tab w:val="left" w:pos="3828"/>
            </w:tabs>
            <w:rPr>
              <w:sz w:val="18"/>
              <w:szCs w:val="18"/>
            </w:rPr>
          </w:pPr>
          <w:r>
            <w:rPr>
              <w:rFonts w:hint="eastAsia"/>
              <w:sz w:val="18"/>
              <w:szCs w:val="18"/>
              <w:lang w:val="en-US" w:eastAsia="zh-CN"/>
            </w:rPr>
            <w:t>联系人：</w:t>
          </w:r>
        </w:p>
      </w:tc>
      <w:tc>
        <w:tcPr>
          <w:tcW w:w="2250" w:type="dxa"/>
          <w:tcBorders>
            <w:top w:val="single" w:sz="4" w:space="0" w:color="000000"/>
          </w:tcBorders>
          <w:shd w:val="clear" w:color="auto" w:fill="auto"/>
        </w:tcPr>
        <w:p w14:paraId="5799085D" w14:textId="2D35DCD0" w:rsidR="00BD549A" w:rsidRPr="004D495C" w:rsidRDefault="00BD549A" w:rsidP="00BD549A">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5959" w:type="dxa"/>
          <w:tcBorders>
            <w:top w:val="single" w:sz="4" w:space="0" w:color="000000"/>
          </w:tcBorders>
        </w:tcPr>
        <w:p w14:paraId="24E2B67F" w14:textId="5D3674F1" w:rsidR="00BD549A" w:rsidRDefault="00BD549A" w:rsidP="00BD549A">
          <w:pPr>
            <w:pStyle w:val="FirstFooter"/>
            <w:tabs>
              <w:tab w:val="left" w:pos="2302"/>
            </w:tabs>
            <w:rPr>
              <w:sz w:val="18"/>
              <w:szCs w:val="18"/>
              <w:highlight w:val="yellow"/>
              <w:lang w:val="en-US"/>
            </w:rPr>
          </w:pPr>
          <w:r w:rsidRPr="00BD549A">
            <w:rPr>
              <w:rFonts w:hint="eastAsia"/>
              <w:sz w:val="18"/>
              <w:szCs w:val="18"/>
            </w:rPr>
            <w:t>电信发展局副主任</w:t>
          </w:r>
          <w:r w:rsidRPr="00BD549A">
            <w:rPr>
              <w:rFonts w:hint="eastAsia"/>
              <w:sz w:val="18"/>
              <w:szCs w:val="18"/>
            </w:rPr>
            <w:t>Stephen Bereaux</w:t>
          </w:r>
          <w:r w:rsidRPr="00BD549A">
            <w:rPr>
              <w:rFonts w:hint="eastAsia"/>
              <w:sz w:val="18"/>
              <w:szCs w:val="18"/>
            </w:rPr>
            <w:t>先生</w:t>
          </w:r>
        </w:p>
      </w:tc>
    </w:tr>
    <w:tr w:rsidR="00BD549A" w14:paraId="3A62E30D" w14:textId="77777777" w:rsidTr="0070310A">
      <w:tc>
        <w:tcPr>
          <w:tcW w:w="1432" w:type="dxa"/>
          <w:shd w:val="clear" w:color="auto" w:fill="auto"/>
        </w:tcPr>
        <w:p w14:paraId="4F360664" w14:textId="77777777" w:rsidR="00BD549A" w:rsidRPr="004D495C" w:rsidRDefault="00BD549A" w:rsidP="00BD549A">
          <w:pPr>
            <w:pStyle w:val="FirstFooter"/>
            <w:tabs>
              <w:tab w:val="left" w:pos="1559"/>
              <w:tab w:val="left" w:pos="3828"/>
            </w:tabs>
            <w:rPr>
              <w:sz w:val="20"/>
              <w:lang w:val="en-US"/>
            </w:rPr>
          </w:pPr>
        </w:p>
      </w:tc>
      <w:tc>
        <w:tcPr>
          <w:tcW w:w="2250" w:type="dxa"/>
          <w:shd w:val="clear" w:color="auto" w:fill="auto"/>
        </w:tcPr>
        <w:p w14:paraId="66A010E7" w14:textId="6945F152" w:rsidR="00BD549A" w:rsidRPr="004D495C" w:rsidRDefault="00BD549A" w:rsidP="00BD549A">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59" w:type="dxa"/>
        </w:tcPr>
        <w:p w14:paraId="25B5614F" w14:textId="77777777" w:rsidR="00BD549A" w:rsidRPr="004D495C" w:rsidRDefault="00BD549A" w:rsidP="00BD549A">
          <w:pPr>
            <w:pStyle w:val="FirstFooter"/>
            <w:tabs>
              <w:tab w:val="left" w:pos="2302"/>
            </w:tabs>
            <w:rPr>
              <w:sz w:val="18"/>
              <w:szCs w:val="18"/>
              <w:highlight w:val="yellow"/>
              <w:lang w:val="en-US"/>
            </w:rPr>
          </w:pPr>
          <w:r w:rsidRPr="00D934D7">
            <w:rPr>
              <w:sz w:val="18"/>
              <w:szCs w:val="18"/>
              <w:lang w:val="en-US"/>
            </w:rPr>
            <w:t>+41 22 730 5131</w:t>
          </w:r>
        </w:p>
      </w:tc>
    </w:tr>
    <w:tr w:rsidR="00BD549A" w14:paraId="5EF7DA92" w14:textId="77777777" w:rsidTr="0070310A">
      <w:tc>
        <w:tcPr>
          <w:tcW w:w="1432" w:type="dxa"/>
          <w:shd w:val="clear" w:color="auto" w:fill="auto"/>
        </w:tcPr>
        <w:p w14:paraId="7EAD2AE8" w14:textId="77777777" w:rsidR="00BD549A" w:rsidRPr="004D495C" w:rsidRDefault="00BD549A" w:rsidP="00BD549A">
          <w:pPr>
            <w:pStyle w:val="FirstFooter"/>
            <w:tabs>
              <w:tab w:val="left" w:pos="1559"/>
              <w:tab w:val="left" w:pos="3828"/>
            </w:tabs>
            <w:rPr>
              <w:sz w:val="20"/>
              <w:lang w:val="en-US"/>
            </w:rPr>
          </w:pPr>
        </w:p>
      </w:tc>
      <w:tc>
        <w:tcPr>
          <w:tcW w:w="2250" w:type="dxa"/>
          <w:shd w:val="clear" w:color="auto" w:fill="auto"/>
        </w:tcPr>
        <w:p w14:paraId="54540788" w14:textId="4C2F958B" w:rsidR="00BD549A" w:rsidRPr="004D495C" w:rsidRDefault="00BD549A" w:rsidP="00BD549A">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9" w:type="dxa"/>
        </w:tcPr>
        <w:p w14:paraId="36B1D2FC" w14:textId="77777777" w:rsidR="00BD549A" w:rsidRPr="004D495C" w:rsidRDefault="00C27456" w:rsidP="00BD549A">
          <w:pPr>
            <w:pStyle w:val="FirstFooter"/>
            <w:tabs>
              <w:tab w:val="left" w:pos="2302"/>
            </w:tabs>
            <w:rPr>
              <w:sz w:val="18"/>
              <w:szCs w:val="18"/>
              <w:highlight w:val="yellow"/>
              <w:lang w:val="en-US"/>
            </w:rPr>
          </w:pPr>
          <w:hyperlink r:id="rId1" w:history="1">
            <w:r w:rsidR="00BD549A" w:rsidRPr="00D934D7">
              <w:rPr>
                <w:rStyle w:val="Hyperlink"/>
                <w:sz w:val="18"/>
                <w:szCs w:val="22"/>
              </w:rPr>
              <w:t>stephen.bereaux@itu.int</w:t>
            </w:r>
          </w:hyperlink>
          <w:r w:rsidR="00BD549A" w:rsidRPr="00D934D7">
            <w:rPr>
              <w:sz w:val="18"/>
              <w:szCs w:val="22"/>
            </w:rPr>
            <w:t xml:space="preserve"> </w:t>
          </w:r>
        </w:p>
      </w:tc>
    </w:tr>
  </w:tbl>
  <w:p w14:paraId="658908C0" w14:textId="77777777" w:rsidR="00A91062" w:rsidRPr="0070310A" w:rsidRDefault="00C27456" w:rsidP="0070310A">
    <w:pPr>
      <w:jc w:val="center"/>
      <w:rPr>
        <w:rFonts w:ascii="Calibri" w:hAnsi="Calibri"/>
        <w:sz w:val="20"/>
        <w:szCs w:val="16"/>
      </w:rPr>
    </w:pPr>
    <w:hyperlink r:id="rId2" w:history="1">
      <w:r w:rsidR="00A91062">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388A" w14:textId="77777777" w:rsidR="00F33F7E" w:rsidRDefault="006D7042">
      <w:r>
        <w:rPr>
          <w:b/>
        </w:rPr>
        <w:t>_______________</w:t>
      </w:r>
    </w:p>
  </w:footnote>
  <w:footnote w:type="continuationSeparator" w:id="0">
    <w:p w14:paraId="6EBCD450" w14:textId="77777777" w:rsidR="00F33F7E" w:rsidRDefault="006D7042">
      <w:r>
        <w:continuationSeparator/>
      </w:r>
    </w:p>
  </w:footnote>
  <w:footnote w:id="1">
    <w:p w14:paraId="0B4CED0F" w14:textId="6A4FBB0C" w:rsidR="007062B6" w:rsidRPr="00D75F64" w:rsidRDefault="007062B6" w:rsidP="007062B6">
      <w:pPr>
        <w:pStyle w:val="FootnoteText"/>
        <w:spacing w:before="0"/>
        <w:ind w:left="259" w:hanging="259"/>
        <w:rPr>
          <w:rFonts w:ascii="Calibri" w:hAnsi="Calibri" w:cs="Calibri"/>
          <w:b/>
          <w:color w:val="800000"/>
          <w:sz w:val="22"/>
          <w:lang w:val="en-US" w:eastAsia="zh-CN"/>
        </w:rPr>
      </w:pPr>
      <w:r>
        <w:rPr>
          <w:rStyle w:val="FootnoteReference"/>
        </w:rPr>
        <w:footnoteRef/>
      </w:r>
      <w:r>
        <w:rPr>
          <w:lang w:eastAsia="zh-CN"/>
        </w:rPr>
        <w:t xml:space="preserve"> </w:t>
      </w:r>
      <w:r>
        <w:rPr>
          <w:lang w:eastAsia="zh-CN"/>
        </w:rPr>
        <w:tab/>
      </w:r>
      <w:bookmarkStart w:id="1" w:name="lt_pId089"/>
      <w:r w:rsidRPr="005B4615">
        <w:rPr>
          <w:rFonts w:hint="eastAsia"/>
          <w:sz w:val="22"/>
          <w:szCs w:val="22"/>
          <w:lang w:eastAsia="zh-CN"/>
        </w:rPr>
        <w:t>具体见呼吁实施基于结果的管理方式的第</w:t>
      </w:r>
      <w:r w:rsidRPr="005B4615">
        <w:rPr>
          <w:rFonts w:hint="eastAsia"/>
          <w:sz w:val="22"/>
          <w:szCs w:val="22"/>
          <w:lang w:eastAsia="zh-CN"/>
        </w:rPr>
        <w:t>151</w:t>
      </w:r>
      <w:r w:rsidRPr="005B4615">
        <w:rPr>
          <w:rFonts w:hint="eastAsia"/>
          <w:sz w:val="22"/>
          <w:szCs w:val="22"/>
          <w:lang w:eastAsia="zh-CN"/>
        </w:rPr>
        <w:t>号决议（</w:t>
      </w:r>
      <w:r w:rsidRPr="005B4615">
        <w:rPr>
          <w:rFonts w:hint="eastAsia"/>
          <w:sz w:val="22"/>
          <w:szCs w:val="22"/>
          <w:lang w:eastAsia="zh-CN"/>
        </w:rPr>
        <w:t>2018</w:t>
      </w:r>
      <w:r w:rsidRPr="005B4615">
        <w:rPr>
          <w:rFonts w:hint="eastAsia"/>
          <w:sz w:val="22"/>
          <w:szCs w:val="22"/>
          <w:lang w:eastAsia="zh-CN"/>
        </w:rPr>
        <w:t>年，迪拜，修订版）、呼吁协调落实国际电联战略规划的第</w:t>
      </w:r>
      <w:r w:rsidRPr="005B4615">
        <w:rPr>
          <w:rFonts w:hint="eastAsia"/>
          <w:sz w:val="22"/>
          <w:szCs w:val="22"/>
          <w:lang w:eastAsia="zh-CN"/>
        </w:rPr>
        <w:t>71</w:t>
      </w:r>
      <w:r w:rsidRPr="005B4615">
        <w:rPr>
          <w:rFonts w:hint="eastAsia"/>
          <w:sz w:val="22"/>
          <w:szCs w:val="22"/>
          <w:lang w:eastAsia="zh-CN"/>
        </w:rPr>
        <w:t>号决议（</w:t>
      </w:r>
      <w:r w:rsidRPr="005B4615">
        <w:rPr>
          <w:rFonts w:hint="eastAsia"/>
          <w:sz w:val="22"/>
          <w:szCs w:val="22"/>
          <w:lang w:eastAsia="zh-CN"/>
        </w:rPr>
        <w:t>2018</w:t>
      </w:r>
      <w:r w:rsidRPr="005B4615">
        <w:rPr>
          <w:rFonts w:hint="eastAsia"/>
          <w:sz w:val="22"/>
          <w:szCs w:val="22"/>
          <w:lang w:eastAsia="zh-CN"/>
        </w:rPr>
        <w:t>年，迪拜，修订版）和呼吁加强国际电联电信发展部门的执行机构作用的</w:t>
      </w:r>
      <w:r w:rsidRPr="005B4615">
        <w:rPr>
          <w:rFonts w:hint="eastAsia"/>
          <w:sz w:val="22"/>
          <w:szCs w:val="22"/>
          <w:lang w:eastAsia="zh-CN"/>
        </w:rPr>
        <w:t>WTDC</w:t>
      </w:r>
      <w:r w:rsidRPr="005B4615">
        <w:rPr>
          <w:rFonts w:hint="eastAsia"/>
          <w:sz w:val="22"/>
          <w:szCs w:val="22"/>
          <w:lang w:eastAsia="zh-CN"/>
        </w:rPr>
        <w:t>第</w:t>
      </w:r>
      <w:r w:rsidRPr="005B4615">
        <w:rPr>
          <w:rFonts w:hint="eastAsia"/>
          <w:sz w:val="22"/>
          <w:szCs w:val="22"/>
          <w:lang w:eastAsia="zh-CN"/>
        </w:rPr>
        <w:t>52</w:t>
      </w:r>
      <w:r w:rsidRPr="005B4615">
        <w:rPr>
          <w:rFonts w:hint="eastAsia"/>
          <w:sz w:val="22"/>
          <w:szCs w:val="22"/>
          <w:lang w:eastAsia="zh-CN"/>
        </w:rPr>
        <w:t>号决议（</w:t>
      </w:r>
      <w:r w:rsidRPr="005B4615">
        <w:rPr>
          <w:rFonts w:hint="eastAsia"/>
          <w:sz w:val="22"/>
          <w:szCs w:val="22"/>
          <w:lang w:eastAsia="zh-CN"/>
        </w:rPr>
        <w:t>2014</w:t>
      </w:r>
      <w:r w:rsidRPr="005B4615">
        <w:rPr>
          <w:rFonts w:hint="eastAsia"/>
          <w:sz w:val="22"/>
          <w:szCs w:val="22"/>
          <w:lang w:eastAsia="zh-CN"/>
        </w:rPr>
        <w:t>年，迪拜，修订版）。</w:t>
      </w:r>
      <w:bookmarkEnd w:id="1"/>
    </w:p>
  </w:footnote>
  <w:footnote w:id="2">
    <w:p w14:paraId="7C3E400A" w14:textId="77777777" w:rsidR="007062B6" w:rsidRPr="009D3F27" w:rsidRDefault="007062B6" w:rsidP="007062B6">
      <w:pPr>
        <w:pStyle w:val="FootnoteText"/>
        <w:spacing w:before="0"/>
        <w:ind w:left="259" w:hanging="259"/>
        <w:rPr>
          <w:sz w:val="20"/>
          <w:lang w:val="en-US" w:eastAsia="zh-CN"/>
        </w:rPr>
      </w:pPr>
      <w:r w:rsidRPr="009D3F27">
        <w:rPr>
          <w:rStyle w:val="FootnoteReference"/>
          <w:sz w:val="20"/>
        </w:rPr>
        <w:footnoteRef/>
      </w:r>
      <w:r>
        <w:rPr>
          <w:sz w:val="20"/>
          <w:lang w:eastAsia="zh-CN"/>
        </w:rPr>
        <w:t xml:space="preserve"> </w:t>
      </w:r>
      <w:r>
        <w:rPr>
          <w:sz w:val="20"/>
          <w:lang w:eastAsia="zh-CN"/>
        </w:rPr>
        <w:tab/>
      </w:r>
      <w:bookmarkStart w:id="2" w:name="lt_pId090"/>
      <w:r w:rsidRPr="005B4615">
        <w:rPr>
          <w:rFonts w:hint="eastAsia"/>
          <w:sz w:val="22"/>
          <w:szCs w:val="22"/>
          <w:lang w:eastAsia="zh-CN"/>
        </w:rPr>
        <w:t>具体见呼吁加强区域代表处作用的第</w:t>
      </w:r>
      <w:r w:rsidRPr="005B4615">
        <w:rPr>
          <w:rFonts w:hint="eastAsia"/>
          <w:sz w:val="22"/>
          <w:szCs w:val="22"/>
          <w:lang w:eastAsia="zh-CN"/>
        </w:rPr>
        <w:t>25</w:t>
      </w:r>
      <w:r w:rsidRPr="005B4615">
        <w:rPr>
          <w:rFonts w:hint="eastAsia"/>
          <w:sz w:val="22"/>
          <w:szCs w:val="22"/>
          <w:lang w:eastAsia="zh-CN"/>
        </w:rPr>
        <w:t>号决议（</w:t>
      </w:r>
      <w:r w:rsidRPr="005B4615">
        <w:rPr>
          <w:rFonts w:hint="eastAsia"/>
          <w:sz w:val="22"/>
          <w:szCs w:val="22"/>
          <w:lang w:eastAsia="zh-CN"/>
        </w:rPr>
        <w:t>2018</w:t>
      </w:r>
      <w:r w:rsidRPr="005B4615">
        <w:rPr>
          <w:rFonts w:hint="eastAsia"/>
          <w:sz w:val="22"/>
          <w:szCs w:val="22"/>
          <w:lang w:eastAsia="zh-CN"/>
        </w:rPr>
        <w:t>年，迪拜，修订版）和要求制定和落实《迪拜行动计划》的战略和财务框架的</w:t>
      </w:r>
      <w:r w:rsidRPr="005B4615">
        <w:rPr>
          <w:rFonts w:hint="eastAsia"/>
          <w:sz w:val="22"/>
          <w:szCs w:val="22"/>
          <w:lang w:eastAsia="zh-CN"/>
        </w:rPr>
        <w:t>WTDC</w:t>
      </w:r>
      <w:r w:rsidRPr="005B4615">
        <w:rPr>
          <w:rFonts w:hint="eastAsia"/>
          <w:sz w:val="22"/>
          <w:szCs w:val="22"/>
          <w:lang w:eastAsia="zh-CN"/>
        </w:rPr>
        <w:t>第</w:t>
      </w:r>
      <w:r w:rsidRPr="005B4615">
        <w:rPr>
          <w:rFonts w:hint="eastAsia"/>
          <w:sz w:val="22"/>
          <w:szCs w:val="22"/>
          <w:lang w:eastAsia="zh-CN"/>
        </w:rPr>
        <w:t>53</w:t>
      </w:r>
      <w:r w:rsidRPr="005B4615">
        <w:rPr>
          <w:rFonts w:hint="eastAsia"/>
          <w:sz w:val="22"/>
          <w:szCs w:val="22"/>
          <w:lang w:eastAsia="zh-CN"/>
        </w:rPr>
        <w:t>号决议（</w:t>
      </w:r>
      <w:r w:rsidRPr="005B4615">
        <w:rPr>
          <w:rFonts w:hint="eastAsia"/>
          <w:sz w:val="22"/>
          <w:szCs w:val="22"/>
          <w:lang w:eastAsia="zh-CN"/>
        </w:rPr>
        <w:t>2014</w:t>
      </w:r>
      <w:r w:rsidRPr="005B4615">
        <w:rPr>
          <w:rFonts w:hint="eastAsia"/>
          <w:sz w:val="22"/>
          <w:szCs w:val="22"/>
          <w:lang w:eastAsia="zh-CN"/>
        </w:rPr>
        <w:t>年，迪拜，修订版）。</w:t>
      </w:r>
      <w:bookmarkEnd w:id="2"/>
    </w:p>
  </w:footnote>
  <w:footnote w:id="3">
    <w:p w14:paraId="6D24233C" w14:textId="2E65D384" w:rsidR="003D3AAE" w:rsidRPr="00DF059C" w:rsidRDefault="003D3AAE" w:rsidP="008E5BDF">
      <w:pPr>
        <w:pStyle w:val="FootnoteText"/>
        <w:spacing w:before="0"/>
        <w:ind w:left="259" w:hanging="259"/>
        <w:rPr>
          <w:rFonts w:ascii="Calibri" w:hAnsi="Calibri" w:cs="Calibri"/>
          <w:b/>
          <w:color w:val="800000"/>
          <w:sz w:val="22"/>
          <w:lang w:eastAsia="zh-CN"/>
        </w:rPr>
      </w:pPr>
      <w:r>
        <w:rPr>
          <w:rStyle w:val="FootnoteReference"/>
        </w:rPr>
        <w:footnoteRef/>
      </w:r>
      <w:r w:rsidR="008E5BDF">
        <w:rPr>
          <w:lang w:eastAsia="zh-CN"/>
        </w:rPr>
        <w:tab/>
      </w:r>
      <w:r>
        <w:rPr>
          <w:rFonts w:hint="eastAsia"/>
          <w:lang w:eastAsia="zh-CN"/>
        </w:rPr>
        <w:t>然而，</w:t>
      </w:r>
      <w:r w:rsidRPr="005B4615">
        <w:rPr>
          <w:rFonts w:hint="eastAsia"/>
          <w:sz w:val="22"/>
          <w:szCs w:val="18"/>
          <w:lang w:eastAsia="zh-CN"/>
        </w:rPr>
        <w:t>这一全面综合的方式除了需要对活动进行跟踪外，还需要建立新的系统跟踪实施进展，汇报</w:t>
      </w:r>
      <w:r w:rsidRPr="005B4615">
        <w:rPr>
          <w:rFonts w:hint="eastAsia"/>
          <w:sz w:val="22"/>
          <w:szCs w:val="18"/>
          <w:lang w:eastAsia="zh-CN"/>
        </w:rPr>
        <w:t>KPI</w:t>
      </w:r>
      <w:r>
        <w:rPr>
          <w:rFonts w:hint="eastAsia"/>
          <w:sz w:val="22"/>
          <w:szCs w:val="18"/>
          <w:lang w:eastAsia="zh-CN"/>
        </w:rPr>
        <w:t>、运作风险</w:t>
      </w:r>
      <w:r w:rsidRPr="005B4615">
        <w:rPr>
          <w:rFonts w:hint="eastAsia"/>
          <w:sz w:val="22"/>
          <w:szCs w:val="18"/>
          <w:lang w:eastAsia="zh-CN"/>
        </w:rPr>
        <w:t>和实际成果产生的支出。在</w:t>
      </w:r>
      <w:r w:rsidRPr="005B4615">
        <w:rPr>
          <w:rFonts w:hint="eastAsia"/>
          <w:sz w:val="22"/>
          <w:szCs w:val="18"/>
          <w:lang w:eastAsia="zh-CN"/>
        </w:rPr>
        <w:t>IT</w:t>
      </w:r>
      <w:r w:rsidRPr="005B4615">
        <w:rPr>
          <w:rFonts w:hint="eastAsia"/>
          <w:sz w:val="22"/>
          <w:szCs w:val="18"/>
          <w:lang w:eastAsia="zh-CN"/>
        </w:rPr>
        <w:t>系统更新完成</w:t>
      </w:r>
      <w:r>
        <w:rPr>
          <w:rFonts w:hint="eastAsia"/>
          <w:sz w:val="22"/>
          <w:szCs w:val="18"/>
          <w:lang w:eastAsia="zh-CN"/>
        </w:rPr>
        <w:t>之前</w:t>
      </w:r>
      <w:r w:rsidRPr="005B4615">
        <w:rPr>
          <w:rFonts w:hint="eastAsia"/>
          <w:sz w:val="22"/>
          <w:szCs w:val="18"/>
          <w:lang w:eastAsia="zh-CN"/>
        </w:rPr>
        <w:t>，这将在我们的预算和支出与工作计划优先重点之间建立直接联系。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9F18" w14:textId="506B1DD9" w:rsidR="00A91062" w:rsidRPr="00D83BF5" w:rsidRDefault="00A91062"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ITU-D/RPM-ASP21/3-</w:t>
    </w:r>
    <w:r w:rsidR="00BD549A">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C83E935E">
      <w:numFmt w:val="bullet"/>
      <w:lvlText w:val="-"/>
      <w:lvlJc w:val="left"/>
      <w:pPr>
        <w:ind w:left="644" w:hanging="360"/>
      </w:pPr>
      <w:rPr>
        <w:rFonts w:ascii="Calibri" w:eastAsia="Times New Roman" w:hAnsi="Calibri" w:cs="Times New Roman" w:hint="default"/>
      </w:rPr>
    </w:lvl>
    <w:lvl w:ilvl="1" w:tplc="1C8C9DCA" w:tentative="1">
      <w:start w:val="1"/>
      <w:numFmt w:val="bullet"/>
      <w:lvlText w:val="o"/>
      <w:lvlJc w:val="left"/>
      <w:pPr>
        <w:ind w:left="1364" w:hanging="360"/>
      </w:pPr>
      <w:rPr>
        <w:rFonts w:ascii="Courier New" w:hAnsi="Courier New" w:cs="Courier New" w:hint="default"/>
      </w:rPr>
    </w:lvl>
    <w:lvl w:ilvl="2" w:tplc="DFBEF54E" w:tentative="1">
      <w:start w:val="1"/>
      <w:numFmt w:val="bullet"/>
      <w:lvlText w:val=""/>
      <w:lvlJc w:val="left"/>
      <w:pPr>
        <w:ind w:left="2084" w:hanging="360"/>
      </w:pPr>
      <w:rPr>
        <w:rFonts w:ascii="Wingdings" w:hAnsi="Wingdings" w:hint="default"/>
      </w:rPr>
    </w:lvl>
    <w:lvl w:ilvl="3" w:tplc="5A8874DA" w:tentative="1">
      <w:start w:val="1"/>
      <w:numFmt w:val="bullet"/>
      <w:lvlText w:val=""/>
      <w:lvlJc w:val="left"/>
      <w:pPr>
        <w:ind w:left="2804" w:hanging="360"/>
      </w:pPr>
      <w:rPr>
        <w:rFonts w:ascii="Symbol" w:hAnsi="Symbol" w:hint="default"/>
      </w:rPr>
    </w:lvl>
    <w:lvl w:ilvl="4" w:tplc="40C2AB58" w:tentative="1">
      <w:start w:val="1"/>
      <w:numFmt w:val="bullet"/>
      <w:lvlText w:val="o"/>
      <w:lvlJc w:val="left"/>
      <w:pPr>
        <w:ind w:left="3524" w:hanging="360"/>
      </w:pPr>
      <w:rPr>
        <w:rFonts w:ascii="Courier New" w:hAnsi="Courier New" w:cs="Courier New" w:hint="default"/>
      </w:rPr>
    </w:lvl>
    <w:lvl w:ilvl="5" w:tplc="CA8602CC" w:tentative="1">
      <w:start w:val="1"/>
      <w:numFmt w:val="bullet"/>
      <w:lvlText w:val=""/>
      <w:lvlJc w:val="left"/>
      <w:pPr>
        <w:ind w:left="4244" w:hanging="360"/>
      </w:pPr>
      <w:rPr>
        <w:rFonts w:ascii="Wingdings" w:hAnsi="Wingdings" w:hint="default"/>
      </w:rPr>
    </w:lvl>
    <w:lvl w:ilvl="6" w:tplc="CB6ED182" w:tentative="1">
      <w:start w:val="1"/>
      <w:numFmt w:val="bullet"/>
      <w:lvlText w:val=""/>
      <w:lvlJc w:val="left"/>
      <w:pPr>
        <w:ind w:left="4964" w:hanging="360"/>
      </w:pPr>
      <w:rPr>
        <w:rFonts w:ascii="Symbol" w:hAnsi="Symbol" w:hint="default"/>
      </w:rPr>
    </w:lvl>
    <w:lvl w:ilvl="7" w:tplc="147A02AE" w:tentative="1">
      <w:start w:val="1"/>
      <w:numFmt w:val="bullet"/>
      <w:lvlText w:val="o"/>
      <w:lvlJc w:val="left"/>
      <w:pPr>
        <w:ind w:left="5684" w:hanging="360"/>
      </w:pPr>
      <w:rPr>
        <w:rFonts w:ascii="Courier New" w:hAnsi="Courier New" w:cs="Courier New" w:hint="default"/>
      </w:rPr>
    </w:lvl>
    <w:lvl w:ilvl="8" w:tplc="3842974E"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8708C058">
      <w:start w:val="1"/>
      <w:numFmt w:val="bullet"/>
      <w:lvlText w:val=""/>
      <w:lvlJc w:val="left"/>
      <w:pPr>
        <w:ind w:left="360" w:hanging="360"/>
      </w:pPr>
      <w:rPr>
        <w:rFonts w:ascii="Symbol" w:hAnsi="Symbol" w:hint="default"/>
      </w:rPr>
    </w:lvl>
    <w:lvl w:ilvl="1" w:tplc="61B4A8C8" w:tentative="1">
      <w:start w:val="1"/>
      <w:numFmt w:val="bullet"/>
      <w:lvlText w:val="o"/>
      <w:lvlJc w:val="left"/>
      <w:pPr>
        <w:ind w:left="1080" w:hanging="360"/>
      </w:pPr>
      <w:rPr>
        <w:rFonts w:ascii="Courier New" w:hAnsi="Courier New" w:cs="Courier New" w:hint="default"/>
      </w:rPr>
    </w:lvl>
    <w:lvl w:ilvl="2" w:tplc="B2365DBC" w:tentative="1">
      <w:start w:val="1"/>
      <w:numFmt w:val="bullet"/>
      <w:lvlText w:val=""/>
      <w:lvlJc w:val="left"/>
      <w:pPr>
        <w:ind w:left="1800" w:hanging="360"/>
      </w:pPr>
      <w:rPr>
        <w:rFonts w:ascii="Wingdings" w:hAnsi="Wingdings" w:hint="default"/>
      </w:rPr>
    </w:lvl>
    <w:lvl w:ilvl="3" w:tplc="66148FC4" w:tentative="1">
      <w:start w:val="1"/>
      <w:numFmt w:val="bullet"/>
      <w:lvlText w:val=""/>
      <w:lvlJc w:val="left"/>
      <w:pPr>
        <w:ind w:left="2520" w:hanging="360"/>
      </w:pPr>
      <w:rPr>
        <w:rFonts w:ascii="Symbol" w:hAnsi="Symbol" w:hint="default"/>
      </w:rPr>
    </w:lvl>
    <w:lvl w:ilvl="4" w:tplc="ED707DC8" w:tentative="1">
      <w:start w:val="1"/>
      <w:numFmt w:val="bullet"/>
      <w:lvlText w:val="o"/>
      <w:lvlJc w:val="left"/>
      <w:pPr>
        <w:ind w:left="3240" w:hanging="360"/>
      </w:pPr>
      <w:rPr>
        <w:rFonts w:ascii="Courier New" w:hAnsi="Courier New" w:cs="Courier New" w:hint="default"/>
      </w:rPr>
    </w:lvl>
    <w:lvl w:ilvl="5" w:tplc="05C6DAE0" w:tentative="1">
      <w:start w:val="1"/>
      <w:numFmt w:val="bullet"/>
      <w:lvlText w:val=""/>
      <w:lvlJc w:val="left"/>
      <w:pPr>
        <w:ind w:left="3960" w:hanging="360"/>
      </w:pPr>
      <w:rPr>
        <w:rFonts w:ascii="Wingdings" w:hAnsi="Wingdings" w:hint="default"/>
      </w:rPr>
    </w:lvl>
    <w:lvl w:ilvl="6" w:tplc="463A89BC" w:tentative="1">
      <w:start w:val="1"/>
      <w:numFmt w:val="bullet"/>
      <w:lvlText w:val=""/>
      <w:lvlJc w:val="left"/>
      <w:pPr>
        <w:ind w:left="4680" w:hanging="360"/>
      </w:pPr>
      <w:rPr>
        <w:rFonts w:ascii="Symbol" w:hAnsi="Symbol" w:hint="default"/>
      </w:rPr>
    </w:lvl>
    <w:lvl w:ilvl="7" w:tplc="6804B736" w:tentative="1">
      <w:start w:val="1"/>
      <w:numFmt w:val="bullet"/>
      <w:lvlText w:val="o"/>
      <w:lvlJc w:val="left"/>
      <w:pPr>
        <w:ind w:left="5400" w:hanging="360"/>
      </w:pPr>
      <w:rPr>
        <w:rFonts w:ascii="Courier New" w:hAnsi="Courier New" w:cs="Courier New" w:hint="default"/>
      </w:rPr>
    </w:lvl>
    <w:lvl w:ilvl="8" w:tplc="410A865E"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96C8E4F8">
      <w:start w:val="1"/>
      <w:numFmt w:val="bullet"/>
      <w:lvlText w:val="o"/>
      <w:lvlJc w:val="left"/>
      <w:pPr>
        <w:ind w:left="720" w:hanging="360"/>
      </w:pPr>
      <w:rPr>
        <w:rFonts w:ascii="Courier New" w:hAnsi="Courier New" w:cs="Courier New" w:hint="default"/>
      </w:rPr>
    </w:lvl>
    <w:lvl w:ilvl="1" w:tplc="99A03BBC" w:tentative="1">
      <w:start w:val="1"/>
      <w:numFmt w:val="lowerLetter"/>
      <w:lvlText w:val="%2."/>
      <w:lvlJc w:val="left"/>
      <w:pPr>
        <w:ind w:left="1800" w:hanging="360"/>
      </w:pPr>
    </w:lvl>
    <w:lvl w:ilvl="2" w:tplc="09008D70" w:tentative="1">
      <w:start w:val="1"/>
      <w:numFmt w:val="lowerRoman"/>
      <w:lvlText w:val="%3."/>
      <w:lvlJc w:val="right"/>
      <w:pPr>
        <w:ind w:left="2520" w:hanging="180"/>
      </w:pPr>
    </w:lvl>
    <w:lvl w:ilvl="3" w:tplc="A476EC96" w:tentative="1">
      <w:start w:val="1"/>
      <w:numFmt w:val="decimal"/>
      <w:lvlText w:val="%4."/>
      <w:lvlJc w:val="left"/>
      <w:pPr>
        <w:ind w:left="3240" w:hanging="360"/>
      </w:pPr>
    </w:lvl>
    <w:lvl w:ilvl="4" w:tplc="CFB618F8" w:tentative="1">
      <w:start w:val="1"/>
      <w:numFmt w:val="lowerLetter"/>
      <w:lvlText w:val="%5."/>
      <w:lvlJc w:val="left"/>
      <w:pPr>
        <w:ind w:left="3960" w:hanging="360"/>
      </w:pPr>
    </w:lvl>
    <w:lvl w:ilvl="5" w:tplc="243C82EC" w:tentative="1">
      <w:start w:val="1"/>
      <w:numFmt w:val="lowerRoman"/>
      <w:lvlText w:val="%6."/>
      <w:lvlJc w:val="right"/>
      <w:pPr>
        <w:ind w:left="4680" w:hanging="180"/>
      </w:pPr>
    </w:lvl>
    <w:lvl w:ilvl="6" w:tplc="FFCAABFA" w:tentative="1">
      <w:start w:val="1"/>
      <w:numFmt w:val="decimal"/>
      <w:lvlText w:val="%7."/>
      <w:lvlJc w:val="left"/>
      <w:pPr>
        <w:ind w:left="5400" w:hanging="360"/>
      </w:pPr>
    </w:lvl>
    <w:lvl w:ilvl="7" w:tplc="2EF273DC" w:tentative="1">
      <w:start w:val="1"/>
      <w:numFmt w:val="lowerLetter"/>
      <w:lvlText w:val="%8."/>
      <w:lvlJc w:val="left"/>
      <w:pPr>
        <w:ind w:left="6120" w:hanging="360"/>
      </w:pPr>
    </w:lvl>
    <w:lvl w:ilvl="8" w:tplc="22C06292"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A64EFC0">
      <w:start w:val="1"/>
      <w:numFmt w:val="bullet"/>
      <w:lvlText w:val="o"/>
      <w:lvlJc w:val="left"/>
      <w:pPr>
        <w:ind w:left="720" w:hanging="360"/>
      </w:pPr>
      <w:rPr>
        <w:rFonts w:ascii="Courier New" w:hAnsi="Courier New" w:cs="Courier New" w:hint="default"/>
      </w:rPr>
    </w:lvl>
    <w:lvl w:ilvl="1" w:tplc="192AB3EE" w:tentative="1">
      <w:start w:val="1"/>
      <w:numFmt w:val="bullet"/>
      <w:lvlText w:val="o"/>
      <w:lvlJc w:val="left"/>
      <w:pPr>
        <w:ind w:left="1440" w:hanging="360"/>
      </w:pPr>
      <w:rPr>
        <w:rFonts w:ascii="Courier New" w:hAnsi="Courier New" w:cs="Courier New" w:hint="default"/>
      </w:rPr>
    </w:lvl>
    <w:lvl w:ilvl="2" w:tplc="402E9296" w:tentative="1">
      <w:start w:val="1"/>
      <w:numFmt w:val="bullet"/>
      <w:lvlText w:val=""/>
      <w:lvlJc w:val="left"/>
      <w:pPr>
        <w:ind w:left="2160" w:hanging="360"/>
      </w:pPr>
      <w:rPr>
        <w:rFonts w:ascii="Wingdings" w:hAnsi="Wingdings" w:hint="default"/>
      </w:rPr>
    </w:lvl>
    <w:lvl w:ilvl="3" w:tplc="08B69BD4" w:tentative="1">
      <w:start w:val="1"/>
      <w:numFmt w:val="bullet"/>
      <w:lvlText w:val=""/>
      <w:lvlJc w:val="left"/>
      <w:pPr>
        <w:ind w:left="2880" w:hanging="360"/>
      </w:pPr>
      <w:rPr>
        <w:rFonts w:ascii="Symbol" w:hAnsi="Symbol" w:hint="default"/>
      </w:rPr>
    </w:lvl>
    <w:lvl w:ilvl="4" w:tplc="BDEECC86" w:tentative="1">
      <w:start w:val="1"/>
      <w:numFmt w:val="bullet"/>
      <w:lvlText w:val="o"/>
      <w:lvlJc w:val="left"/>
      <w:pPr>
        <w:ind w:left="3600" w:hanging="360"/>
      </w:pPr>
      <w:rPr>
        <w:rFonts w:ascii="Courier New" w:hAnsi="Courier New" w:cs="Courier New" w:hint="default"/>
      </w:rPr>
    </w:lvl>
    <w:lvl w:ilvl="5" w:tplc="B964DA64" w:tentative="1">
      <w:start w:val="1"/>
      <w:numFmt w:val="bullet"/>
      <w:lvlText w:val=""/>
      <w:lvlJc w:val="left"/>
      <w:pPr>
        <w:ind w:left="4320" w:hanging="360"/>
      </w:pPr>
      <w:rPr>
        <w:rFonts w:ascii="Wingdings" w:hAnsi="Wingdings" w:hint="default"/>
      </w:rPr>
    </w:lvl>
    <w:lvl w:ilvl="6" w:tplc="C2920238" w:tentative="1">
      <w:start w:val="1"/>
      <w:numFmt w:val="bullet"/>
      <w:lvlText w:val=""/>
      <w:lvlJc w:val="left"/>
      <w:pPr>
        <w:ind w:left="5040" w:hanging="360"/>
      </w:pPr>
      <w:rPr>
        <w:rFonts w:ascii="Symbol" w:hAnsi="Symbol" w:hint="default"/>
      </w:rPr>
    </w:lvl>
    <w:lvl w:ilvl="7" w:tplc="770C9F84" w:tentative="1">
      <w:start w:val="1"/>
      <w:numFmt w:val="bullet"/>
      <w:lvlText w:val="o"/>
      <w:lvlJc w:val="left"/>
      <w:pPr>
        <w:ind w:left="5760" w:hanging="360"/>
      </w:pPr>
      <w:rPr>
        <w:rFonts w:ascii="Courier New" w:hAnsi="Courier New" w:cs="Courier New" w:hint="default"/>
      </w:rPr>
    </w:lvl>
    <w:lvl w:ilvl="8" w:tplc="1558572E"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813084E0">
      <w:start w:val="1"/>
      <w:numFmt w:val="bullet"/>
      <w:lvlText w:val="o"/>
      <w:lvlJc w:val="left"/>
      <w:pPr>
        <w:ind w:left="720" w:hanging="360"/>
      </w:pPr>
      <w:rPr>
        <w:rFonts w:ascii="Courier New" w:hAnsi="Courier New" w:cs="Courier New" w:hint="default"/>
      </w:rPr>
    </w:lvl>
    <w:lvl w:ilvl="1" w:tplc="287A16DE" w:tentative="1">
      <w:start w:val="1"/>
      <w:numFmt w:val="bullet"/>
      <w:lvlText w:val="o"/>
      <w:lvlJc w:val="left"/>
      <w:pPr>
        <w:ind w:left="1440" w:hanging="360"/>
      </w:pPr>
      <w:rPr>
        <w:rFonts w:ascii="Courier New" w:hAnsi="Courier New" w:cs="Courier New" w:hint="default"/>
      </w:rPr>
    </w:lvl>
    <w:lvl w:ilvl="2" w:tplc="BE44C928" w:tentative="1">
      <w:start w:val="1"/>
      <w:numFmt w:val="bullet"/>
      <w:lvlText w:val=""/>
      <w:lvlJc w:val="left"/>
      <w:pPr>
        <w:ind w:left="2160" w:hanging="360"/>
      </w:pPr>
      <w:rPr>
        <w:rFonts w:ascii="Wingdings" w:hAnsi="Wingdings" w:hint="default"/>
      </w:rPr>
    </w:lvl>
    <w:lvl w:ilvl="3" w:tplc="903E0DEA" w:tentative="1">
      <w:start w:val="1"/>
      <w:numFmt w:val="bullet"/>
      <w:lvlText w:val=""/>
      <w:lvlJc w:val="left"/>
      <w:pPr>
        <w:ind w:left="2880" w:hanging="360"/>
      </w:pPr>
      <w:rPr>
        <w:rFonts w:ascii="Symbol" w:hAnsi="Symbol" w:hint="default"/>
      </w:rPr>
    </w:lvl>
    <w:lvl w:ilvl="4" w:tplc="07C8FD6A" w:tentative="1">
      <w:start w:val="1"/>
      <w:numFmt w:val="bullet"/>
      <w:lvlText w:val="o"/>
      <w:lvlJc w:val="left"/>
      <w:pPr>
        <w:ind w:left="3600" w:hanging="360"/>
      </w:pPr>
      <w:rPr>
        <w:rFonts w:ascii="Courier New" w:hAnsi="Courier New" w:cs="Courier New" w:hint="default"/>
      </w:rPr>
    </w:lvl>
    <w:lvl w:ilvl="5" w:tplc="5ADC353A" w:tentative="1">
      <w:start w:val="1"/>
      <w:numFmt w:val="bullet"/>
      <w:lvlText w:val=""/>
      <w:lvlJc w:val="left"/>
      <w:pPr>
        <w:ind w:left="4320" w:hanging="360"/>
      </w:pPr>
      <w:rPr>
        <w:rFonts w:ascii="Wingdings" w:hAnsi="Wingdings" w:hint="default"/>
      </w:rPr>
    </w:lvl>
    <w:lvl w:ilvl="6" w:tplc="5C06D456" w:tentative="1">
      <w:start w:val="1"/>
      <w:numFmt w:val="bullet"/>
      <w:lvlText w:val=""/>
      <w:lvlJc w:val="left"/>
      <w:pPr>
        <w:ind w:left="5040" w:hanging="360"/>
      </w:pPr>
      <w:rPr>
        <w:rFonts w:ascii="Symbol" w:hAnsi="Symbol" w:hint="default"/>
      </w:rPr>
    </w:lvl>
    <w:lvl w:ilvl="7" w:tplc="849A75B6" w:tentative="1">
      <w:start w:val="1"/>
      <w:numFmt w:val="bullet"/>
      <w:lvlText w:val="o"/>
      <w:lvlJc w:val="left"/>
      <w:pPr>
        <w:ind w:left="5760" w:hanging="360"/>
      </w:pPr>
      <w:rPr>
        <w:rFonts w:ascii="Courier New" w:hAnsi="Courier New" w:cs="Courier New" w:hint="default"/>
      </w:rPr>
    </w:lvl>
    <w:lvl w:ilvl="8" w:tplc="24008576" w:tentative="1">
      <w:start w:val="1"/>
      <w:numFmt w:val="bullet"/>
      <w:lvlText w:val=""/>
      <w:lvlJc w:val="left"/>
      <w:pPr>
        <w:ind w:left="6480" w:hanging="360"/>
      </w:pPr>
      <w:rPr>
        <w:rFonts w:ascii="Wingdings" w:hAnsi="Wingdings" w:hint="default"/>
      </w:rPr>
    </w:lvl>
  </w:abstractNum>
  <w:abstractNum w:abstractNumId="7" w15:restartNumberingAfterBreak="0">
    <w:nsid w:val="2E2E5908"/>
    <w:multiLevelType w:val="hybridMultilevel"/>
    <w:tmpl w:val="97ECBC08"/>
    <w:lvl w:ilvl="0" w:tplc="C66473C2">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2BF3292"/>
    <w:multiLevelType w:val="hybridMultilevel"/>
    <w:tmpl w:val="732CC87C"/>
    <w:lvl w:ilvl="0" w:tplc="6A7444FE">
      <w:start w:val="1"/>
      <w:numFmt w:val="decimal"/>
      <w:lvlText w:val="%1."/>
      <w:lvlJc w:val="left"/>
      <w:pPr>
        <w:ind w:left="360" w:hanging="360"/>
      </w:pPr>
      <w:rPr>
        <w:rFonts w:hint="default"/>
      </w:rPr>
    </w:lvl>
    <w:lvl w:ilvl="1" w:tplc="1236F8B8" w:tentative="1">
      <w:start w:val="1"/>
      <w:numFmt w:val="lowerLetter"/>
      <w:lvlText w:val="%2."/>
      <w:lvlJc w:val="left"/>
      <w:pPr>
        <w:ind w:left="1080" w:hanging="360"/>
      </w:pPr>
    </w:lvl>
    <w:lvl w:ilvl="2" w:tplc="52C4BB38" w:tentative="1">
      <w:start w:val="1"/>
      <w:numFmt w:val="lowerRoman"/>
      <w:lvlText w:val="%3."/>
      <w:lvlJc w:val="right"/>
      <w:pPr>
        <w:ind w:left="1800" w:hanging="180"/>
      </w:pPr>
    </w:lvl>
    <w:lvl w:ilvl="3" w:tplc="CE0E83E4" w:tentative="1">
      <w:start w:val="1"/>
      <w:numFmt w:val="decimal"/>
      <w:lvlText w:val="%4."/>
      <w:lvlJc w:val="left"/>
      <w:pPr>
        <w:ind w:left="2520" w:hanging="360"/>
      </w:pPr>
    </w:lvl>
    <w:lvl w:ilvl="4" w:tplc="3E3E4160" w:tentative="1">
      <w:start w:val="1"/>
      <w:numFmt w:val="lowerLetter"/>
      <w:lvlText w:val="%5."/>
      <w:lvlJc w:val="left"/>
      <w:pPr>
        <w:ind w:left="3240" w:hanging="360"/>
      </w:pPr>
    </w:lvl>
    <w:lvl w:ilvl="5" w:tplc="92AC5696" w:tentative="1">
      <w:start w:val="1"/>
      <w:numFmt w:val="lowerRoman"/>
      <w:lvlText w:val="%6."/>
      <w:lvlJc w:val="right"/>
      <w:pPr>
        <w:ind w:left="3960" w:hanging="180"/>
      </w:pPr>
    </w:lvl>
    <w:lvl w:ilvl="6" w:tplc="153E38BE" w:tentative="1">
      <w:start w:val="1"/>
      <w:numFmt w:val="decimal"/>
      <w:lvlText w:val="%7."/>
      <w:lvlJc w:val="left"/>
      <w:pPr>
        <w:ind w:left="4680" w:hanging="360"/>
      </w:pPr>
    </w:lvl>
    <w:lvl w:ilvl="7" w:tplc="517462E2" w:tentative="1">
      <w:start w:val="1"/>
      <w:numFmt w:val="lowerLetter"/>
      <w:lvlText w:val="%8."/>
      <w:lvlJc w:val="left"/>
      <w:pPr>
        <w:ind w:left="5400" w:hanging="360"/>
      </w:pPr>
    </w:lvl>
    <w:lvl w:ilvl="8" w:tplc="D578EEB8" w:tentative="1">
      <w:start w:val="1"/>
      <w:numFmt w:val="lowerRoman"/>
      <w:lvlText w:val="%9."/>
      <w:lvlJc w:val="right"/>
      <w:pPr>
        <w:ind w:left="6120" w:hanging="180"/>
      </w:pPr>
    </w:lvl>
  </w:abstractNum>
  <w:abstractNum w:abstractNumId="9" w15:restartNumberingAfterBreak="0">
    <w:nsid w:val="56F250F6"/>
    <w:multiLevelType w:val="hybridMultilevel"/>
    <w:tmpl w:val="9B602022"/>
    <w:lvl w:ilvl="0" w:tplc="E30CC38E">
      <w:start w:val="1"/>
      <w:numFmt w:val="bullet"/>
      <w:lvlText w:val="o"/>
      <w:lvlJc w:val="left"/>
      <w:pPr>
        <w:ind w:left="360" w:hanging="360"/>
      </w:pPr>
      <w:rPr>
        <w:rFonts w:ascii="Courier New" w:hAnsi="Courier New" w:cs="Courier New" w:hint="default"/>
      </w:rPr>
    </w:lvl>
    <w:lvl w:ilvl="1" w:tplc="D0587BB0" w:tentative="1">
      <w:start w:val="1"/>
      <w:numFmt w:val="bullet"/>
      <w:lvlText w:val="o"/>
      <w:lvlJc w:val="left"/>
      <w:pPr>
        <w:ind w:left="1080" w:hanging="360"/>
      </w:pPr>
      <w:rPr>
        <w:rFonts w:ascii="Courier New" w:hAnsi="Courier New" w:cs="Courier New" w:hint="default"/>
      </w:rPr>
    </w:lvl>
    <w:lvl w:ilvl="2" w:tplc="A90237B2" w:tentative="1">
      <w:start w:val="1"/>
      <w:numFmt w:val="bullet"/>
      <w:lvlText w:val=""/>
      <w:lvlJc w:val="left"/>
      <w:pPr>
        <w:ind w:left="1800" w:hanging="360"/>
      </w:pPr>
      <w:rPr>
        <w:rFonts w:ascii="Wingdings" w:hAnsi="Wingdings" w:hint="default"/>
      </w:rPr>
    </w:lvl>
    <w:lvl w:ilvl="3" w:tplc="029A0894" w:tentative="1">
      <w:start w:val="1"/>
      <w:numFmt w:val="bullet"/>
      <w:lvlText w:val=""/>
      <w:lvlJc w:val="left"/>
      <w:pPr>
        <w:ind w:left="2520" w:hanging="360"/>
      </w:pPr>
      <w:rPr>
        <w:rFonts w:ascii="Symbol" w:hAnsi="Symbol" w:hint="default"/>
      </w:rPr>
    </w:lvl>
    <w:lvl w:ilvl="4" w:tplc="81065678" w:tentative="1">
      <w:start w:val="1"/>
      <w:numFmt w:val="bullet"/>
      <w:lvlText w:val="o"/>
      <w:lvlJc w:val="left"/>
      <w:pPr>
        <w:ind w:left="3240" w:hanging="360"/>
      </w:pPr>
      <w:rPr>
        <w:rFonts w:ascii="Courier New" w:hAnsi="Courier New" w:cs="Courier New" w:hint="default"/>
      </w:rPr>
    </w:lvl>
    <w:lvl w:ilvl="5" w:tplc="B3EAA766" w:tentative="1">
      <w:start w:val="1"/>
      <w:numFmt w:val="bullet"/>
      <w:lvlText w:val=""/>
      <w:lvlJc w:val="left"/>
      <w:pPr>
        <w:ind w:left="3960" w:hanging="360"/>
      </w:pPr>
      <w:rPr>
        <w:rFonts w:ascii="Wingdings" w:hAnsi="Wingdings" w:hint="default"/>
      </w:rPr>
    </w:lvl>
    <w:lvl w:ilvl="6" w:tplc="8738DE82" w:tentative="1">
      <w:start w:val="1"/>
      <w:numFmt w:val="bullet"/>
      <w:lvlText w:val=""/>
      <w:lvlJc w:val="left"/>
      <w:pPr>
        <w:ind w:left="4680" w:hanging="360"/>
      </w:pPr>
      <w:rPr>
        <w:rFonts w:ascii="Symbol" w:hAnsi="Symbol" w:hint="default"/>
      </w:rPr>
    </w:lvl>
    <w:lvl w:ilvl="7" w:tplc="A5CC3056" w:tentative="1">
      <w:start w:val="1"/>
      <w:numFmt w:val="bullet"/>
      <w:lvlText w:val="o"/>
      <w:lvlJc w:val="left"/>
      <w:pPr>
        <w:ind w:left="5400" w:hanging="360"/>
      </w:pPr>
      <w:rPr>
        <w:rFonts w:ascii="Courier New" w:hAnsi="Courier New" w:cs="Courier New" w:hint="default"/>
      </w:rPr>
    </w:lvl>
    <w:lvl w:ilvl="8" w:tplc="B27EF862" w:tentative="1">
      <w:start w:val="1"/>
      <w:numFmt w:val="bullet"/>
      <w:lvlText w:val=""/>
      <w:lvlJc w:val="left"/>
      <w:pPr>
        <w:ind w:left="6120" w:hanging="360"/>
      </w:pPr>
      <w:rPr>
        <w:rFonts w:ascii="Wingdings" w:hAnsi="Wingdings" w:hint="default"/>
      </w:rPr>
    </w:lvl>
  </w:abstractNum>
  <w:abstractNum w:abstractNumId="10" w15:restartNumberingAfterBreak="0">
    <w:nsid w:val="58E62CCC"/>
    <w:multiLevelType w:val="hybridMultilevel"/>
    <w:tmpl w:val="0F14F1B6"/>
    <w:lvl w:ilvl="0" w:tplc="52C0E8B4">
      <w:start w:val="1"/>
      <w:numFmt w:val="bullet"/>
      <w:lvlText w:val="o"/>
      <w:lvlJc w:val="left"/>
      <w:pPr>
        <w:ind w:left="360" w:hanging="360"/>
      </w:pPr>
      <w:rPr>
        <w:rFonts w:ascii="Courier New" w:hAnsi="Courier New" w:cs="Courier New" w:hint="default"/>
      </w:rPr>
    </w:lvl>
    <w:lvl w:ilvl="1" w:tplc="F3AEFC04" w:tentative="1">
      <w:start w:val="1"/>
      <w:numFmt w:val="bullet"/>
      <w:lvlText w:val="o"/>
      <w:lvlJc w:val="left"/>
      <w:pPr>
        <w:ind w:left="1080" w:hanging="360"/>
      </w:pPr>
      <w:rPr>
        <w:rFonts w:ascii="Courier New" w:hAnsi="Courier New" w:cs="Courier New" w:hint="default"/>
      </w:rPr>
    </w:lvl>
    <w:lvl w:ilvl="2" w:tplc="D9A061B8" w:tentative="1">
      <w:start w:val="1"/>
      <w:numFmt w:val="bullet"/>
      <w:lvlText w:val=""/>
      <w:lvlJc w:val="left"/>
      <w:pPr>
        <w:ind w:left="1800" w:hanging="360"/>
      </w:pPr>
      <w:rPr>
        <w:rFonts w:ascii="Wingdings" w:hAnsi="Wingdings" w:hint="default"/>
      </w:rPr>
    </w:lvl>
    <w:lvl w:ilvl="3" w:tplc="3782CE0C" w:tentative="1">
      <w:start w:val="1"/>
      <w:numFmt w:val="bullet"/>
      <w:lvlText w:val=""/>
      <w:lvlJc w:val="left"/>
      <w:pPr>
        <w:ind w:left="2520" w:hanging="360"/>
      </w:pPr>
      <w:rPr>
        <w:rFonts w:ascii="Symbol" w:hAnsi="Symbol" w:hint="default"/>
      </w:rPr>
    </w:lvl>
    <w:lvl w:ilvl="4" w:tplc="564618CC" w:tentative="1">
      <w:start w:val="1"/>
      <w:numFmt w:val="bullet"/>
      <w:lvlText w:val="o"/>
      <w:lvlJc w:val="left"/>
      <w:pPr>
        <w:ind w:left="3240" w:hanging="360"/>
      </w:pPr>
      <w:rPr>
        <w:rFonts w:ascii="Courier New" w:hAnsi="Courier New" w:cs="Courier New" w:hint="default"/>
      </w:rPr>
    </w:lvl>
    <w:lvl w:ilvl="5" w:tplc="AA7A74F0" w:tentative="1">
      <w:start w:val="1"/>
      <w:numFmt w:val="bullet"/>
      <w:lvlText w:val=""/>
      <w:lvlJc w:val="left"/>
      <w:pPr>
        <w:ind w:left="3960" w:hanging="360"/>
      </w:pPr>
      <w:rPr>
        <w:rFonts w:ascii="Wingdings" w:hAnsi="Wingdings" w:hint="default"/>
      </w:rPr>
    </w:lvl>
    <w:lvl w:ilvl="6" w:tplc="8E6AE604" w:tentative="1">
      <w:start w:val="1"/>
      <w:numFmt w:val="bullet"/>
      <w:lvlText w:val=""/>
      <w:lvlJc w:val="left"/>
      <w:pPr>
        <w:ind w:left="4680" w:hanging="360"/>
      </w:pPr>
      <w:rPr>
        <w:rFonts w:ascii="Symbol" w:hAnsi="Symbol" w:hint="default"/>
      </w:rPr>
    </w:lvl>
    <w:lvl w:ilvl="7" w:tplc="A4D2BF1E" w:tentative="1">
      <w:start w:val="1"/>
      <w:numFmt w:val="bullet"/>
      <w:lvlText w:val="o"/>
      <w:lvlJc w:val="left"/>
      <w:pPr>
        <w:ind w:left="5400" w:hanging="360"/>
      </w:pPr>
      <w:rPr>
        <w:rFonts w:ascii="Courier New" w:hAnsi="Courier New" w:cs="Courier New" w:hint="default"/>
      </w:rPr>
    </w:lvl>
    <w:lvl w:ilvl="8" w:tplc="53B0F6F2" w:tentative="1">
      <w:start w:val="1"/>
      <w:numFmt w:val="bullet"/>
      <w:lvlText w:val=""/>
      <w:lvlJc w:val="left"/>
      <w:pPr>
        <w:ind w:left="6120" w:hanging="360"/>
      </w:pPr>
      <w:rPr>
        <w:rFonts w:ascii="Wingdings" w:hAnsi="Wingdings" w:hint="default"/>
      </w:rPr>
    </w:lvl>
  </w:abstractNum>
  <w:abstractNum w:abstractNumId="11" w15:restartNumberingAfterBreak="0">
    <w:nsid w:val="70D7479A"/>
    <w:multiLevelType w:val="hybridMultilevel"/>
    <w:tmpl w:val="5FEC3B92"/>
    <w:lvl w:ilvl="0" w:tplc="A260BF50">
      <w:start w:val="1"/>
      <w:numFmt w:val="bullet"/>
      <w:lvlText w:val=""/>
      <w:lvlJc w:val="left"/>
      <w:pPr>
        <w:ind w:left="720" w:hanging="360"/>
      </w:pPr>
      <w:rPr>
        <w:rFonts w:ascii="Symbol" w:hAnsi="Symbol" w:hint="default"/>
      </w:rPr>
    </w:lvl>
    <w:lvl w:ilvl="1" w:tplc="ED9E5832">
      <w:start w:val="1"/>
      <w:numFmt w:val="bullet"/>
      <w:lvlText w:val="o"/>
      <w:lvlJc w:val="left"/>
      <w:pPr>
        <w:ind w:left="1440" w:hanging="360"/>
      </w:pPr>
      <w:rPr>
        <w:rFonts w:ascii="Courier New" w:hAnsi="Courier New" w:cs="Courier New" w:hint="default"/>
      </w:rPr>
    </w:lvl>
    <w:lvl w:ilvl="2" w:tplc="DCDC8E16" w:tentative="1">
      <w:start w:val="1"/>
      <w:numFmt w:val="bullet"/>
      <w:lvlText w:val=""/>
      <w:lvlJc w:val="left"/>
      <w:pPr>
        <w:ind w:left="2160" w:hanging="360"/>
      </w:pPr>
      <w:rPr>
        <w:rFonts w:ascii="Wingdings" w:hAnsi="Wingdings" w:hint="default"/>
      </w:rPr>
    </w:lvl>
    <w:lvl w:ilvl="3" w:tplc="5650BA38" w:tentative="1">
      <w:start w:val="1"/>
      <w:numFmt w:val="bullet"/>
      <w:lvlText w:val=""/>
      <w:lvlJc w:val="left"/>
      <w:pPr>
        <w:ind w:left="2880" w:hanging="360"/>
      </w:pPr>
      <w:rPr>
        <w:rFonts w:ascii="Symbol" w:hAnsi="Symbol" w:hint="default"/>
      </w:rPr>
    </w:lvl>
    <w:lvl w:ilvl="4" w:tplc="841A815E" w:tentative="1">
      <w:start w:val="1"/>
      <w:numFmt w:val="bullet"/>
      <w:lvlText w:val="o"/>
      <w:lvlJc w:val="left"/>
      <w:pPr>
        <w:ind w:left="3600" w:hanging="360"/>
      </w:pPr>
      <w:rPr>
        <w:rFonts w:ascii="Courier New" w:hAnsi="Courier New" w:cs="Courier New" w:hint="default"/>
      </w:rPr>
    </w:lvl>
    <w:lvl w:ilvl="5" w:tplc="80500026" w:tentative="1">
      <w:start w:val="1"/>
      <w:numFmt w:val="bullet"/>
      <w:lvlText w:val=""/>
      <w:lvlJc w:val="left"/>
      <w:pPr>
        <w:ind w:left="4320" w:hanging="360"/>
      </w:pPr>
      <w:rPr>
        <w:rFonts w:ascii="Wingdings" w:hAnsi="Wingdings" w:hint="default"/>
      </w:rPr>
    </w:lvl>
    <w:lvl w:ilvl="6" w:tplc="2C20108C" w:tentative="1">
      <w:start w:val="1"/>
      <w:numFmt w:val="bullet"/>
      <w:lvlText w:val=""/>
      <w:lvlJc w:val="left"/>
      <w:pPr>
        <w:ind w:left="5040" w:hanging="360"/>
      </w:pPr>
      <w:rPr>
        <w:rFonts w:ascii="Symbol" w:hAnsi="Symbol" w:hint="default"/>
      </w:rPr>
    </w:lvl>
    <w:lvl w:ilvl="7" w:tplc="516290CA" w:tentative="1">
      <w:start w:val="1"/>
      <w:numFmt w:val="bullet"/>
      <w:lvlText w:val="o"/>
      <w:lvlJc w:val="left"/>
      <w:pPr>
        <w:ind w:left="5760" w:hanging="360"/>
      </w:pPr>
      <w:rPr>
        <w:rFonts w:ascii="Courier New" w:hAnsi="Courier New" w:cs="Courier New" w:hint="default"/>
      </w:rPr>
    </w:lvl>
    <w:lvl w:ilvl="8" w:tplc="0806297A"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2"/>
  </w:num>
  <w:num w:numId="5">
    <w:abstractNumId w:val="9"/>
  </w:num>
  <w:num w:numId="6">
    <w:abstractNumId w:val="8"/>
  </w:num>
  <w:num w:numId="7">
    <w:abstractNumId w:val="4"/>
  </w:num>
  <w:num w:numId="8">
    <w:abstractNumId w:val="10"/>
  </w:num>
  <w:num w:numId="9">
    <w:abstractNumId w:val="5"/>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126C8"/>
    <w:rsid w:val="000224E5"/>
    <w:rsid w:val="00022A29"/>
    <w:rsid w:val="00022F94"/>
    <w:rsid w:val="00025ED1"/>
    <w:rsid w:val="000355FD"/>
    <w:rsid w:val="00051E39"/>
    <w:rsid w:val="00057BF9"/>
    <w:rsid w:val="00060860"/>
    <w:rsid w:val="00075C63"/>
    <w:rsid w:val="00077239"/>
    <w:rsid w:val="000822BE"/>
    <w:rsid w:val="00086491"/>
    <w:rsid w:val="00091346"/>
    <w:rsid w:val="000A74E7"/>
    <w:rsid w:val="000D41C5"/>
    <w:rsid w:val="000E4354"/>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B76DD"/>
    <w:rsid w:val="002C1030"/>
    <w:rsid w:val="002D58BE"/>
    <w:rsid w:val="002F3E54"/>
    <w:rsid w:val="003013EE"/>
    <w:rsid w:val="00302A6F"/>
    <w:rsid w:val="00317B00"/>
    <w:rsid w:val="003254E4"/>
    <w:rsid w:val="00330F7A"/>
    <w:rsid w:val="003455FD"/>
    <w:rsid w:val="00357F34"/>
    <w:rsid w:val="003631CE"/>
    <w:rsid w:val="00377BD3"/>
    <w:rsid w:val="003831C9"/>
    <w:rsid w:val="00384088"/>
    <w:rsid w:val="0039169B"/>
    <w:rsid w:val="00392C5F"/>
    <w:rsid w:val="003A20D5"/>
    <w:rsid w:val="003A7F8C"/>
    <w:rsid w:val="003B532E"/>
    <w:rsid w:val="003B6F14"/>
    <w:rsid w:val="003D0F8B"/>
    <w:rsid w:val="003D3AAE"/>
    <w:rsid w:val="003D5EED"/>
    <w:rsid w:val="00407B93"/>
    <w:rsid w:val="004131D4"/>
    <w:rsid w:val="0041348E"/>
    <w:rsid w:val="00415E61"/>
    <w:rsid w:val="004352B7"/>
    <w:rsid w:val="00447308"/>
    <w:rsid w:val="004518D3"/>
    <w:rsid w:val="004535AA"/>
    <w:rsid w:val="004765FF"/>
    <w:rsid w:val="004900CA"/>
    <w:rsid w:val="00492075"/>
    <w:rsid w:val="004969AD"/>
    <w:rsid w:val="004A799E"/>
    <w:rsid w:val="004B13CB"/>
    <w:rsid w:val="004B4FDF"/>
    <w:rsid w:val="004D495C"/>
    <w:rsid w:val="004D5D5C"/>
    <w:rsid w:val="0050139F"/>
    <w:rsid w:val="00515E90"/>
    <w:rsid w:val="00515EF0"/>
    <w:rsid w:val="00521223"/>
    <w:rsid w:val="0052241C"/>
    <w:rsid w:val="0055118B"/>
    <w:rsid w:val="0055140B"/>
    <w:rsid w:val="00556141"/>
    <w:rsid w:val="00580CA8"/>
    <w:rsid w:val="00585D56"/>
    <w:rsid w:val="005903A4"/>
    <w:rsid w:val="005964AB"/>
    <w:rsid w:val="005B4615"/>
    <w:rsid w:val="005C099A"/>
    <w:rsid w:val="005C1889"/>
    <w:rsid w:val="005C31A5"/>
    <w:rsid w:val="005E10C9"/>
    <w:rsid w:val="005E4E7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D7042"/>
    <w:rsid w:val="006E3D45"/>
    <w:rsid w:val="006F3509"/>
    <w:rsid w:val="0070310A"/>
    <w:rsid w:val="007062B6"/>
    <w:rsid w:val="007149F9"/>
    <w:rsid w:val="0072428F"/>
    <w:rsid w:val="00733A30"/>
    <w:rsid w:val="00736D8A"/>
    <w:rsid w:val="00745AEE"/>
    <w:rsid w:val="007479EA"/>
    <w:rsid w:val="00750F10"/>
    <w:rsid w:val="00753CAE"/>
    <w:rsid w:val="007742CA"/>
    <w:rsid w:val="007977D7"/>
    <w:rsid w:val="007D06F0"/>
    <w:rsid w:val="007D45E3"/>
    <w:rsid w:val="007D5320"/>
    <w:rsid w:val="00800972"/>
    <w:rsid w:val="00804475"/>
    <w:rsid w:val="00811633"/>
    <w:rsid w:val="00811925"/>
    <w:rsid w:val="00820F37"/>
    <w:rsid w:val="00821CEF"/>
    <w:rsid w:val="00821F10"/>
    <w:rsid w:val="00830473"/>
    <w:rsid w:val="00832828"/>
    <w:rsid w:val="008341E6"/>
    <w:rsid w:val="0083645A"/>
    <w:rsid w:val="008436EB"/>
    <w:rsid w:val="0084734D"/>
    <w:rsid w:val="00854635"/>
    <w:rsid w:val="00856663"/>
    <w:rsid w:val="00872FC8"/>
    <w:rsid w:val="008801D3"/>
    <w:rsid w:val="008845D0"/>
    <w:rsid w:val="00885779"/>
    <w:rsid w:val="00892F05"/>
    <w:rsid w:val="008A0496"/>
    <w:rsid w:val="008B43F2"/>
    <w:rsid w:val="008B473F"/>
    <w:rsid w:val="008B6CFF"/>
    <w:rsid w:val="008E1A06"/>
    <w:rsid w:val="008E5BDF"/>
    <w:rsid w:val="00903047"/>
    <w:rsid w:val="00903ECB"/>
    <w:rsid w:val="00910B26"/>
    <w:rsid w:val="0092429F"/>
    <w:rsid w:val="009274B4"/>
    <w:rsid w:val="00930E4B"/>
    <w:rsid w:val="00934EA2"/>
    <w:rsid w:val="00944A5C"/>
    <w:rsid w:val="00952A66"/>
    <w:rsid w:val="00973389"/>
    <w:rsid w:val="009A7641"/>
    <w:rsid w:val="009C56E5"/>
    <w:rsid w:val="009D3F27"/>
    <w:rsid w:val="009E5FC8"/>
    <w:rsid w:val="009E687A"/>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087D"/>
    <w:rsid w:val="00A91062"/>
    <w:rsid w:val="00A93B85"/>
    <w:rsid w:val="00A96DFE"/>
    <w:rsid w:val="00AA0B18"/>
    <w:rsid w:val="00AA2B39"/>
    <w:rsid w:val="00AA3BA9"/>
    <w:rsid w:val="00AA666F"/>
    <w:rsid w:val="00AB2274"/>
    <w:rsid w:val="00AC4375"/>
    <w:rsid w:val="00AD4F58"/>
    <w:rsid w:val="00AE44B6"/>
    <w:rsid w:val="00AF0590"/>
    <w:rsid w:val="00B004E5"/>
    <w:rsid w:val="00B639E9"/>
    <w:rsid w:val="00B817CD"/>
    <w:rsid w:val="00B82B1A"/>
    <w:rsid w:val="00BA65F3"/>
    <w:rsid w:val="00BB29C8"/>
    <w:rsid w:val="00BB3A95"/>
    <w:rsid w:val="00BC7459"/>
    <w:rsid w:val="00BD4498"/>
    <w:rsid w:val="00BD549A"/>
    <w:rsid w:val="00BF2F51"/>
    <w:rsid w:val="00C0018F"/>
    <w:rsid w:val="00C20466"/>
    <w:rsid w:val="00C214ED"/>
    <w:rsid w:val="00C234E6"/>
    <w:rsid w:val="00C264DA"/>
    <w:rsid w:val="00C27456"/>
    <w:rsid w:val="00C3005A"/>
    <w:rsid w:val="00C31918"/>
    <w:rsid w:val="00C324A8"/>
    <w:rsid w:val="00C42440"/>
    <w:rsid w:val="00C54517"/>
    <w:rsid w:val="00C55A32"/>
    <w:rsid w:val="00C562A1"/>
    <w:rsid w:val="00C64B30"/>
    <w:rsid w:val="00C64CD8"/>
    <w:rsid w:val="00C8720F"/>
    <w:rsid w:val="00C911C4"/>
    <w:rsid w:val="00C97C68"/>
    <w:rsid w:val="00CA1A47"/>
    <w:rsid w:val="00CC247A"/>
    <w:rsid w:val="00CC6351"/>
    <w:rsid w:val="00CD60D7"/>
    <w:rsid w:val="00CE04FD"/>
    <w:rsid w:val="00CE5E47"/>
    <w:rsid w:val="00CF020F"/>
    <w:rsid w:val="00CF2B5B"/>
    <w:rsid w:val="00D14CE0"/>
    <w:rsid w:val="00D17242"/>
    <w:rsid w:val="00D23F64"/>
    <w:rsid w:val="00D5651D"/>
    <w:rsid w:val="00D74898"/>
    <w:rsid w:val="00D75F64"/>
    <w:rsid w:val="00D801ED"/>
    <w:rsid w:val="00D8064E"/>
    <w:rsid w:val="00D83BF5"/>
    <w:rsid w:val="00D925C2"/>
    <w:rsid w:val="00D934D7"/>
    <w:rsid w:val="00D936BC"/>
    <w:rsid w:val="00D96530"/>
    <w:rsid w:val="00D96B4B"/>
    <w:rsid w:val="00DA7078"/>
    <w:rsid w:val="00DB13E0"/>
    <w:rsid w:val="00DD08B4"/>
    <w:rsid w:val="00DD44AF"/>
    <w:rsid w:val="00DE2AC3"/>
    <w:rsid w:val="00DE434C"/>
    <w:rsid w:val="00DE5692"/>
    <w:rsid w:val="00DF059C"/>
    <w:rsid w:val="00DF1E95"/>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EE4B4E"/>
    <w:rsid w:val="00EF3EB1"/>
    <w:rsid w:val="00EF558F"/>
    <w:rsid w:val="00F02766"/>
    <w:rsid w:val="00F04067"/>
    <w:rsid w:val="00F05BD4"/>
    <w:rsid w:val="00F21A1D"/>
    <w:rsid w:val="00F2390F"/>
    <w:rsid w:val="00F33F7E"/>
    <w:rsid w:val="00F364F6"/>
    <w:rsid w:val="00F55876"/>
    <w:rsid w:val="00F64D43"/>
    <w:rsid w:val="00F65C19"/>
    <w:rsid w:val="00F717D3"/>
    <w:rsid w:val="00F77372"/>
    <w:rsid w:val="00F9304A"/>
    <w:rsid w:val="00FB2328"/>
    <w:rsid w:val="00FD2546"/>
    <w:rsid w:val="00FD772E"/>
    <w:rsid w:val="00FE33A8"/>
    <w:rsid w:val="00FE78C7"/>
    <w:rsid w:val="00FF0648"/>
    <w:rsid w:val="00FF089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D30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9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character" w:styleId="UnresolvedMention">
    <w:name w:val="Unresolved Mention"/>
    <w:basedOn w:val="DefaultParagraphFont"/>
    <w:rsid w:val="00A91062"/>
    <w:rPr>
      <w:color w:val="605E5C"/>
      <w:shd w:val="clear" w:color="auto" w:fill="E1DFDD"/>
    </w:rPr>
  </w:style>
  <w:style w:type="table" w:styleId="GridTable1Light-Accent1">
    <w:name w:val="Grid Table 1 Light Accent 1"/>
    <w:basedOn w:val="TableNormal"/>
    <w:uiPriority w:val="46"/>
    <w:rsid w:val="00A910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c101bbcd-4607-4127-b732-e8f57ee1d9f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B8E5FF2F-99E9-4EB2-A86A-0287F24F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2796</Words>
  <Characters>247</Characters>
  <Application>Microsoft Office Word</Application>
  <DocSecurity>0</DocSecurity>
  <Lines>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5</cp:revision>
  <cp:lastPrinted>2011-08-24T07:41:00Z</cp:lastPrinted>
  <dcterms:created xsi:type="dcterms:W3CDTF">2021-01-11T14:09:00Z</dcterms:created>
  <dcterms:modified xsi:type="dcterms:W3CDTF">2021-01-26T08:20:00Z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0x0101001D3F3B8D2DFE274DB69D0B705DFB6042</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PE_WRC07.dotm</vt:lpwstr>
  </property>
  <property fmtid="{D5CDD505-2E9C-101B-9397-08002B2CF9AE}" pid="8" name="Docorlang">
    <vt:lpwstr/>
  </property>
  <property fmtid="{D5CDD505-2E9C-101B-9397-08002B2CF9AE}" pid="9" name="Header">
    <vt:lpwstr>RR</vt:lpwstr>
  </property>
  <property fmtid="{D5CDD505-2E9C-101B-9397-08002B2CF9AE}" pid="10" name="_dlc_DocIdItemGuid">
    <vt:lpwstr>1277586e-23f4-4a9c-8b22-c68c4fc349db</vt:lpwstr>
  </property>
</Properties>
</file>