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843"/>
        <w:gridCol w:w="1417"/>
      </w:tblGrid>
      <w:tr w:rsidR="00ED64CE" w:rsidRPr="00674952" w14:paraId="5A4FDABF" w14:textId="77777777" w:rsidTr="005E7F1C">
        <w:trPr>
          <w:cantSplit/>
        </w:trPr>
        <w:tc>
          <w:tcPr>
            <w:tcW w:w="2127" w:type="dxa"/>
          </w:tcPr>
          <w:p w14:paraId="2FEB3411" w14:textId="14BC68CA" w:rsidR="00ED64CE" w:rsidRPr="00A96DFE" w:rsidRDefault="00ED64CE" w:rsidP="0055118B">
            <w:pPr>
              <w:spacing w:after="120"/>
              <w:rPr>
                <w:rFonts w:cstheme="minorHAnsi"/>
                <w:b/>
                <w:bCs/>
                <w:sz w:val="32"/>
                <w:szCs w:val="32"/>
              </w:rPr>
            </w:pPr>
            <w:r>
              <w:rPr>
                <w:rFonts w:cstheme="minorHAnsi"/>
                <w:noProof/>
                <w:lang w:eastAsia="zh-CN"/>
              </w:rPr>
              <w:drawing>
                <wp:inline distT="0" distB="0" distL="0" distR="0" wp14:anchorId="1B0CD3D1" wp14:editId="64431F27">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2"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2C5307A5" w14:textId="05A2286B" w:rsidR="00ED64CE" w:rsidRPr="00A96DFE" w:rsidRDefault="00ED64CE" w:rsidP="00D61E5D">
            <w:pPr>
              <w:spacing w:before="360" w:after="120"/>
              <w:rPr>
                <w:rFonts w:cstheme="minorHAnsi"/>
                <w:b/>
                <w:bCs/>
                <w:sz w:val="32"/>
                <w:szCs w:val="32"/>
              </w:rPr>
            </w:pPr>
            <w:r w:rsidRPr="0055118B">
              <w:rPr>
                <w:rFonts w:cstheme="minorHAnsi"/>
                <w:b/>
                <w:bCs/>
                <w:sz w:val="32"/>
                <w:szCs w:val="32"/>
              </w:rPr>
              <w:t xml:space="preserve">Regional Preparatory Meeting </w:t>
            </w:r>
            <w:r>
              <w:rPr>
                <w:rFonts w:cstheme="minorHAnsi"/>
                <w:b/>
                <w:bCs/>
                <w:sz w:val="32"/>
                <w:szCs w:val="32"/>
              </w:rPr>
              <w:br/>
            </w:r>
            <w:r w:rsidRPr="0055118B">
              <w:rPr>
                <w:rFonts w:cstheme="minorHAnsi"/>
                <w:b/>
                <w:bCs/>
                <w:sz w:val="32"/>
                <w:szCs w:val="32"/>
              </w:rPr>
              <w:t>for WTDC-</w:t>
            </w:r>
            <w:r>
              <w:rPr>
                <w:rFonts w:cstheme="minorHAnsi"/>
                <w:b/>
                <w:bCs/>
                <w:sz w:val="32"/>
                <w:szCs w:val="32"/>
              </w:rPr>
              <w:t>21</w:t>
            </w:r>
            <w:r w:rsidRPr="0055118B">
              <w:rPr>
                <w:rFonts w:cstheme="minorHAnsi"/>
                <w:b/>
                <w:bCs/>
                <w:sz w:val="32"/>
                <w:szCs w:val="32"/>
              </w:rPr>
              <w:t xml:space="preserve"> for </w:t>
            </w:r>
            <w:r w:rsidR="00D61E5D">
              <w:rPr>
                <w:rFonts w:cstheme="minorHAnsi"/>
                <w:b/>
                <w:bCs/>
                <w:sz w:val="32"/>
                <w:szCs w:val="32"/>
              </w:rPr>
              <w:t>Americas</w:t>
            </w:r>
            <w:r w:rsidRPr="0055118B">
              <w:rPr>
                <w:rFonts w:cstheme="minorHAnsi"/>
                <w:b/>
                <w:bCs/>
                <w:sz w:val="32"/>
                <w:szCs w:val="32"/>
              </w:rPr>
              <w:t xml:space="preserve"> (RPM-</w:t>
            </w:r>
            <w:r w:rsidR="00D61E5D">
              <w:rPr>
                <w:rFonts w:cstheme="minorHAnsi"/>
                <w:b/>
                <w:bCs/>
                <w:sz w:val="32"/>
                <w:szCs w:val="32"/>
              </w:rPr>
              <w:t>AMS</w:t>
            </w:r>
            <w:r w:rsidRPr="0055118B">
              <w:rPr>
                <w:rFonts w:cstheme="minorHAnsi"/>
                <w:b/>
                <w:bCs/>
                <w:sz w:val="32"/>
                <w:szCs w:val="32"/>
              </w:rPr>
              <w:t>)</w:t>
            </w:r>
            <w:r w:rsidRPr="00AA2B39">
              <w:rPr>
                <w:rFonts w:cstheme="minorHAnsi"/>
                <w:b/>
                <w:bCs/>
                <w:szCs w:val="24"/>
              </w:rPr>
              <w:t xml:space="preserve"> </w:t>
            </w:r>
            <w:r>
              <w:rPr>
                <w:rFonts w:cstheme="minorHAnsi"/>
                <w:b/>
                <w:bCs/>
                <w:szCs w:val="24"/>
              </w:rPr>
              <w:br/>
            </w:r>
            <w:r w:rsidRPr="00AA2B39">
              <w:rPr>
                <w:rFonts w:cstheme="minorHAnsi"/>
                <w:b/>
                <w:bCs/>
                <w:szCs w:val="24"/>
              </w:rPr>
              <w:t xml:space="preserve">Virtual, </w:t>
            </w:r>
            <w:r w:rsidR="00D61E5D">
              <w:rPr>
                <w:rFonts w:cstheme="minorHAnsi"/>
                <w:b/>
                <w:bCs/>
                <w:szCs w:val="24"/>
              </w:rPr>
              <w:t>24</w:t>
            </w:r>
            <w:r>
              <w:rPr>
                <w:rFonts w:cstheme="minorHAnsi"/>
                <w:b/>
                <w:bCs/>
                <w:szCs w:val="24"/>
              </w:rPr>
              <w:t>-</w:t>
            </w:r>
            <w:r w:rsidR="00D61E5D">
              <w:rPr>
                <w:rFonts w:cstheme="minorHAnsi"/>
                <w:b/>
                <w:bCs/>
                <w:szCs w:val="24"/>
              </w:rPr>
              <w:t>26</w:t>
            </w:r>
            <w:r>
              <w:rPr>
                <w:rFonts w:cstheme="minorHAnsi"/>
                <w:b/>
                <w:bCs/>
                <w:szCs w:val="24"/>
              </w:rPr>
              <w:t xml:space="preserve"> </w:t>
            </w:r>
            <w:r w:rsidR="00D61E5D">
              <w:rPr>
                <w:rFonts w:cstheme="minorHAnsi"/>
                <w:b/>
                <w:bCs/>
                <w:szCs w:val="24"/>
              </w:rPr>
              <w:t>April</w:t>
            </w:r>
            <w:r w:rsidRPr="00AA2B39">
              <w:rPr>
                <w:rFonts w:cstheme="minorHAnsi"/>
                <w:b/>
                <w:bCs/>
                <w:szCs w:val="24"/>
              </w:rPr>
              <w:t xml:space="preserve"> 2021</w:t>
            </w:r>
          </w:p>
        </w:tc>
        <w:tc>
          <w:tcPr>
            <w:tcW w:w="1417" w:type="dxa"/>
          </w:tcPr>
          <w:p w14:paraId="08590635" w14:textId="3E0052EE" w:rsidR="00ED64CE" w:rsidRPr="00674952" w:rsidRDefault="00ED64CE" w:rsidP="005E7F1C">
            <w:pPr>
              <w:spacing w:before="240" w:line="240" w:lineRule="atLeast"/>
              <w:jc w:val="right"/>
              <w:rPr>
                <w:rFonts w:cstheme="minorHAnsi"/>
              </w:rPr>
            </w:pPr>
            <w:bookmarkStart w:id="0" w:name="ditulogo"/>
            <w:bookmarkEnd w:id="0"/>
            <w:r>
              <w:rPr>
                <w:noProof/>
                <w:lang w:eastAsia="zh-CN"/>
              </w:rPr>
              <w:drawing>
                <wp:inline distT="0" distB="0" distL="0" distR="0" wp14:anchorId="2D7A4503" wp14:editId="46B641A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674952" w14:paraId="49A9DD1C" w14:textId="77777777" w:rsidTr="00A96DFE">
        <w:trPr>
          <w:cantSplit/>
        </w:trPr>
        <w:tc>
          <w:tcPr>
            <w:tcW w:w="6379" w:type="dxa"/>
            <w:gridSpan w:val="2"/>
            <w:tcBorders>
              <w:top w:val="single" w:sz="12" w:space="0" w:color="auto"/>
            </w:tcBorders>
          </w:tcPr>
          <w:p w14:paraId="7B629AD8" w14:textId="77777777" w:rsidR="00C64B30" w:rsidRPr="00674952" w:rsidRDefault="00C64B30" w:rsidP="00C64B30">
            <w:pPr>
              <w:spacing w:before="0" w:after="48" w:line="240" w:lineRule="atLeast"/>
              <w:rPr>
                <w:rFonts w:cstheme="minorHAnsi"/>
                <w:b/>
                <w:smallCaps/>
                <w:sz w:val="20"/>
              </w:rPr>
            </w:pPr>
            <w:bookmarkStart w:id="1" w:name="dhead"/>
          </w:p>
        </w:tc>
        <w:tc>
          <w:tcPr>
            <w:tcW w:w="3260" w:type="dxa"/>
            <w:gridSpan w:val="2"/>
            <w:tcBorders>
              <w:top w:val="single" w:sz="12" w:space="0" w:color="auto"/>
            </w:tcBorders>
          </w:tcPr>
          <w:p w14:paraId="10DB571E" w14:textId="77777777" w:rsidR="00C64B30" w:rsidRPr="00674952" w:rsidRDefault="00C64B30" w:rsidP="00C64B30">
            <w:pPr>
              <w:spacing w:before="0" w:line="240" w:lineRule="atLeast"/>
              <w:rPr>
                <w:rFonts w:cstheme="minorHAnsi"/>
                <w:sz w:val="20"/>
              </w:rPr>
            </w:pPr>
          </w:p>
        </w:tc>
      </w:tr>
      <w:tr w:rsidR="00C64B30" w:rsidRPr="00674952" w14:paraId="69AB090E" w14:textId="77777777" w:rsidTr="00A96DFE">
        <w:trPr>
          <w:cantSplit/>
          <w:trHeight w:val="23"/>
        </w:trPr>
        <w:tc>
          <w:tcPr>
            <w:tcW w:w="6379" w:type="dxa"/>
            <w:gridSpan w:val="2"/>
            <w:shd w:val="clear" w:color="auto" w:fill="auto"/>
          </w:tcPr>
          <w:p w14:paraId="14945264" w14:textId="77777777" w:rsidR="00C64B30" w:rsidRPr="00674952" w:rsidRDefault="00C64B30" w:rsidP="00C64B30">
            <w:pPr>
              <w:pStyle w:val="Committee"/>
              <w:framePr w:hSpace="0" w:wrap="auto" w:hAnchor="text" w:yAlign="inline"/>
            </w:pPr>
            <w:bookmarkStart w:id="2" w:name="dnum" w:colFirst="1" w:colLast="1"/>
            <w:bookmarkStart w:id="3" w:name="dmeeting" w:colFirst="0" w:colLast="0"/>
            <w:bookmarkEnd w:id="1"/>
          </w:p>
        </w:tc>
        <w:tc>
          <w:tcPr>
            <w:tcW w:w="3260" w:type="dxa"/>
            <w:gridSpan w:val="2"/>
          </w:tcPr>
          <w:p w14:paraId="19298A4A" w14:textId="46F1FC1B" w:rsidR="00C64B30" w:rsidRPr="00674952" w:rsidRDefault="00C64B30" w:rsidP="00D61E5D">
            <w:pPr>
              <w:tabs>
                <w:tab w:val="left" w:pos="851"/>
              </w:tabs>
              <w:spacing w:before="0" w:line="240" w:lineRule="atLeast"/>
              <w:rPr>
                <w:rFonts w:cstheme="minorHAnsi"/>
                <w:szCs w:val="24"/>
                <w:lang w:val="es-ES_tradnl"/>
              </w:rPr>
            </w:pPr>
            <w:r w:rsidRPr="00674952">
              <w:rPr>
                <w:rFonts w:cstheme="minorHAnsi"/>
                <w:b/>
                <w:bCs/>
                <w:szCs w:val="24"/>
                <w:lang w:val="es-ES_tradnl"/>
              </w:rPr>
              <w:t xml:space="preserve">Document </w:t>
            </w:r>
            <w:bookmarkStart w:id="4" w:name="DocRef1"/>
            <w:bookmarkEnd w:id="4"/>
            <w:r w:rsidRPr="00674952">
              <w:rPr>
                <w:rFonts w:cstheme="minorHAnsi"/>
                <w:b/>
                <w:bCs/>
                <w:szCs w:val="24"/>
                <w:lang w:val="es-ES_tradnl"/>
              </w:rPr>
              <w:t>RPM-</w:t>
            </w:r>
            <w:r w:rsidR="00D61E5D">
              <w:rPr>
                <w:rFonts w:cstheme="minorHAnsi"/>
                <w:b/>
                <w:bCs/>
                <w:szCs w:val="24"/>
                <w:lang w:val="es-ES_tradnl"/>
              </w:rPr>
              <w:t>AMS</w:t>
            </w:r>
            <w:r w:rsidR="0055118B">
              <w:rPr>
                <w:rFonts w:cstheme="minorHAnsi"/>
                <w:b/>
                <w:bCs/>
                <w:szCs w:val="24"/>
                <w:lang w:val="es-ES_tradnl"/>
              </w:rPr>
              <w:t>2</w:t>
            </w:r>
            <w:r>
              <w:rPr>
                <w:rFonts w:cstheme="minorHAnsi"/>
                <w:b/>
                <w:bCs/>
                <w:szCs w:val="24"/>
                <w:lang w:val="es-ES_tradnl"/>
              </w:rPr>
              <w:t>1</w:t>
            </w:r>
            <w:r w:rsidRPr="00674952">
              <w:rPr>
                <w:rFonts w:cstheme="minorHAnsi"/>
                <w:b/>
                <w:bCs/>
                <w:szCs w:val="24"/>
                <w:lang w:val="es-ES_tradnl"/>
              </w:rPr>
              <w:t>/</w:t>
            </w:r>
            <w:r w:rsidR="00DE0C73">
              <w:rPr>
                <w:rFonts w:cstheme="minorHAnsi"/>
                <w:b/>
                <w:bCs/>
                <w:szCs w:val="24"/>
                <w:lang w:val="es-ES_tradnl"/>
              </w:rPr>
              <w:t>12-E</w:t>
            </w:r>
          </w:p>
        </w:tc>
      </w:tr>
      <w:tr w:rsidR="00C64B30" w:rsidRPr="00674952" w14:paraId="7E2BB70E" w14:textId="77777777" w:rsidTr="00A96DFE">
        <w:trPr>
          <w:cantSplit/>
          <w:trHeight w:val="23"/>
        </w:trPr>
        <w:tc>
          <w:tcPr>
            <w:tcW w:w="6379" w:type="dxa"/>
            <w:gridSpan w:val="2"/>
            <w:shd w:val="clear" w:color="auto" w:fill="auto"/>
          </w:tcPr>
          <w:p w14:paraId="6187458F" w14:textId="77777777" w:rsidR="00C64B30" w:rsidRPr="00674952" w:rsidRDefault="00C64B30" w:rsidP="00C64B3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60" w:type="dxa"/>
            <w:gridSpan w:val="2"/>
          </w:tcPr>
          <w:p w14:paraId="1D84793C" w14:textId="3233A0A7" w:rsidR="00C64B30" w:rsidRPr="00674952" w:rsidRDefault="00DE0C73" w:rsidP="00D61E5D">
            <w:pPr>
              <w:spacing w:before="0" w:line="240" w:lineRule="atLeast"/>
              <w:rPr>
                <w:rFonts w:cstheme="minorHAnsi"/>
                <w:szCs w:val="24"/>
              </w:rPr>
            </w:pPr>
            <w:r>
              <w:rPr>
                <w:rFonts w:cstheme="minorHAnsi"/>
                <w:b/>
                <w:bCs/>
                <w:szCs w:val="24"/>
                <w:lang w:val="fr-FR"/>
              </w:rPr>
              <w:t>15</w:t>
            </w:r>
            <w:r w:rsidR="00B360B8">
              <w:rPr>
                <w:rFonts w:cstheme="minorHAnsi"/>
                <w:b/>
                <w:bCs/>
                <w:szCs w:val="24"/>
                <w:lang w:val="fr-FR"/>
              </w:rPr>
              <w:t xml:space="preserve"> </w:t>
            </w:r>
            <w:r w:rsidR="00D61E5D">
              <w:rPr>
                <w:rFonts w:cstheme="minorHAnsi"/>
                <w:b/>
                <w:bCs/>
                <w:szCs w:val="24"/>
                <w:lang w:val="fr-FR"/>
              </w:rPr>
              <w:t>April</w:t>
            </w:r>
            <w:r w:rsidR="00B360B8">
              <w:rPr>
                <w:rFonts w:cstheme="minorHAnsi"/>
                <w:b/>
                <w:bCs/>
                <w:szCs w:val="24"/>
                <w:lang w:val="fr-FR"/>
              </w:rPr>
              <w:t xml:space="preserve"> 2021</w:t>
            </w:r>
          </w:p>
        </w:tc>
      </w:tr>
      <w:tr w:rsidR="00C64B30" w:rsidRPr="00674952" w14:paraId="1D6C1835" w14:textId="77777777" w:rsidTr="00A96DFE">
        <w:trPr>
          <w:cantSplit/>
          <w:trHeight w:val="23"/>
        </w:trPr>
        <w:tc>
          <w:tcPr>
            <w:tcW w:w="6379" w:type="dxa"/>
            <w:gridSpan w:val="2"/>
            <w:shd w:val="clear" w:color="auto" w:fill="auto"/>
          </w:tcPr>
          <w:p w14:paraId="6E1A8021" w14:textId="77777777" w:rsidR="00C64B30" w:rsidRPr="00674952" w:rsidRDefault="00C64B30" w:rsidP="00C64B3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60" w:type="dxa"/>
            <w:gridSpan w:val="2"/>
          </w:tcPr>
          <w:p w14:paraId="09B26F7F" w14:textId="0BFF8224" w:rsidR="00C64B30" w:rsidRPr="0069075C" w:rsidRDefault="00DE0C73" w:rsidP="00C64B30">
            <w:pPr>
              <w:tabs>
                <w:tab w:val="left" w:pos="993"/>
              </w:tabs>
              <w:spacing w:before="0"/>
              <w:rPr>
                <w:rFonts w:cstheme="minorHAnsi"/>
                <w:b/>
                <w:szCs w:val="24"/>
              </w:rPr>
            </w:pPr>
            <w:proofErr w:type="gramStart"/>
            <w:r>
              <w:rPr>
                <w:rFonts w:cstheme="minorHAnsi"/>
                <w:b/>
                <w:bCs/>
                <w:szCs w:val="24"/>
                <w:lang w:val="fr-FR"/>
              </w:rPr>
              <w:t>Original:</w:t>
            </w:r>
            <w:proofErr w:type="gramEnd"/>
            <w:r>
              <w:rPr>
                <w:rFonts w:cstheme="minorHAnsi"/>
                <w:b/>
                <w:bCs/>
                <w:szCs w:val="24"/>
                <w:lang w:val="fr-FR"/>
              </w:rPr>
              <w:t xml:space="preserve"> </w:t>
            </w:r>
            <w:r w:rsidR="00C64B30" w:rsidRPr="0069075C">
              <w:rPr>
                <w:rFonts w:cstheme="minorHAnsi"/>
                <w:b/>
                <w:bCs/>
                <w:szCs w:val="24"/>
                <w:lang w:val="fr-FR"/>
              </w:rPr>
              <w:t>English</w:t>
            </w:r>
          </w:p>
        </w:tc>
      </w:tr>
      <w:tr w:rsidR="00C64B30" w:rsidRPr="00674952" w14:paraId="51CDE126" w14:textId="77777777" w:rsidTr="00251C8B">
        <w:trPr>
          <w:cantSplit/>
          <w:trHeight w:val="870"/>
        </w:trPr>
        <w:tc>
          <w:tcPr>
            <w:tcW w:w="9639" w:type="dxa"/>
            <w:gridSpan w:val="4"/>
            <w:shd w:val="clear" w:color="auto" w:fill="auto"/>
          </w:tcPr>
          <w:p w14:paraId="56E95E27" w14:textId="1164FD20" w:rsidR="00C64B30" w:rsidRPr="00D22795" w:rsidRDefault="00D83B5B" w:rsidP="00DE0C73">
            <w:pPr>
              <w:pStyle w:val="Source"/>
              <w:spacing w:before="240" w:after="240"/>
              <w:rPr>
                <w:rFonts w:cstheme="minorHAnsi"/>
                <w:b w:val="0"/>
                <w:bCs/>
                <w:sz w:val="22"/>
                <w:szCs w:val="16"/>
              </w:rPr>
            </w:pPr>
            <w:r w:rsidRPr="00D83B5B">
              <w:rPr>
                <w:rFonts w:cstheme="minorHAnsi"/>
              </w:rPr>
              <w:t>Director</w:t>
            </w:r>
            <w:r>
              <w:rPr>
                <w:rFonts w:cstheme="minorHAnsi"/>
              </w:rPr>
              <w:t xml:space="preserve">, </w:t>
            </w:r>
            <w:r w:rsidRPr="00D83B5B">
              <w:rPr>
                <w:rFonts w:cstheme="minorHAnsi"/>
              </w:rPr>
              <w:t>Telecommunicat</w:t>
            </w:r>
            <w:r>
              <w:rPr>
                <w:rFonts w:cstheme="minorHAnsi"/>
              </w:rPr>
              <w:t>ion Development Bureau</w:t>
            </w:r>
            <w:r w:rsidR="000B7A43">
              <w:rPr>
                <w:rFonts w:cstheme="minorHAnsi"/>
              </w:rPr>
              <w:t xml:space="preserve"> </w:t>
            </w:r>
            <w:r w:rsidR="000B7A43">
              <w:rPr>
                <w:rFonts w:cstheme="minorHAnsi"/>
              </w:rPr>
              <w:br/>
              <w:t xml:space="preserve">on behalf of the Generation Connect - </w:t>
            </w:r>
            <w:r w:rsidR="00D61E5D">
              <w:rPr>
                <w:rFonts w:cstheme="minorHAnsi"/>
              </w:rPr>
              <w:t>Americas</w:t>
            </w:r>
            <w:r w:rsidR="000B7A43">
              <w:rPr>
                <w:rFonts w:cstheme="minorHAnsi"/>
              </w:rPr>
              <w:t xml:space="preserve"> Youth Group</w:t>
            </w:r>
          </w:p>
        </w:tc>
      </w:tr>
      <w:tr w:rsidR="00251C8B" w:rsidRPr="00674952" w14:paraId="647C4BCD" w14:textId="77777777" w:rsidTr="00A96DFE">
        <w:trPr>
          <w:cantSplit/>
          <w:trHeight w:val="870"/>
        </w:trPr>
        <w:tc>
          <w:tcPr>
            <w:tcW w:w="9639" w:type="dxa"/>
            <w:gridSpan w:val="4"/>
            <w:shd w:val="clear" w:color="auto" w:fill="auto"/>
          </w:tcPr>
          <w:p w14:paraId="1C2221ED" w14:textId="5C6AC767" w:rsidR="00251C8B" w:rsidRPr="00D83B5B" w:rsidRDefault="00251C8B" w:rsidP="00DE0C73">
            <w:pPr>
              <w:pStyle w:val="Source"/>
              <w:spacing w:before="120" w:after="120"/>
              <w:rPr>
                <w:rFonts w:cstheme="minorHAnsi"/>
              </w:rPr>
            </w:pPr>
            <w:r w:rsidRPr="00482421">
              <w:rPr>
                <w:rFonts w:cstheme="minorHAnsi"/>
                <w:b w:val="0"/>
                <w:bCs/>
              </w:rPr>
              <w:t xml:space="preserve">Generation Connect - </w:t>
            </w:r>
            <w:r w:rsidR="00D61E5D" w:rsidRPr="00482421">
              <w:rPr>
                <w:rFonts w:cstheme="minorHAnsi"/>
                <w:b w:val="0"/>
                <w:bCs/>
              </w:rPr>
              <w:t>Americas</w:t>
            </w:r>
            <w:r w:rsidRPr="00482421">
              <w:rPr>
                <w:rFonts w:cstheme="minorHAnsi"/>
                <w:b w:val="0"/>
                <w:bCs/>
              </w:rPr>
              <w:t xml:space="preserve"> Youth Group</w:t>
            </w:r>
            <w:r w:rsidR="00DE0C73">
              <w:rPr>
                <w:rFonts w:cstheme="minorHAnsi"/>
                <w:b w:val="0"/>
                <w:bCs/>
              </w:rPr>
              <w:t>:</w:t>
            </w:r>
            <w:r w:rsidR="00DE0C73">
              <w:rPr>
                <w:rFonts w:cstheme="minorHAnsi"/>
                <w:b w:val="0"/>
                <w:bCs/>
              </w:rPr>
              <w:br/>
            </w:r>
            <w:r>
              <w:rPr>
                <w:rFonts w:cstheme="minorHAnsi"/>
                <w:b w:val="0"/>
                <w:bCs/>
              </w:rPr>
              <w:t>“</w:t>
            </w:r>
            <w:r w:rsidR="00D61E5D" w:rsidRPr="00EB7EFB">
              <w:rPr>
                <w:rFonts w:cstheme="minorHAnsi"/>
                <w:b w:val="0"/>
                <w:bCs/>
              </w:rPr>
              <w:t xml:space="preserve">Call </w:t>
            </w:r>
            <w:r w:rsidR="00BB5F6E" w:rsidRPr="00EB7EFB">
              <w:rPr>
                <w:rFonts w:cstheme="minorHAnsi"/>
                <w:b w:val="0"/>
                <w:bCs/>
              </w:rPr>
              <w:t>to</w:t>
            </w:r>
            <w:r w:rsidR="00D61E5D" w:rsidRPr="00EB7EFB">
              <w:rPr>
                <w:rFonts w:cstheme="minorHAnsi"/>
                <w:b w:val="0"/>
                <w:bCs/>
              </w:rPr>
              <w:t xml:space="preserve"> Action for </w:t>
            </w:r>
            <w:r w:rsidR="00FC163E" w:rsidRPr="00EB7EFB">
              <w:rPr>
                <w:rFonts w:cstheme="minorHAnsi"/>
                <w:b w:val="0"/>
                <w:bCs/>
              </w:rPr>
              <w:t>ICT</w:t>
            </w:r>
            <w:r w:rsidR="00D61E5D" w:rsidRPr="00EB7EFB">
              <w:rPr>
                <w:rFonts w:cstheme="minorHAnsi"/>
                <w:b w:val="0"/>
                <w:bCs/>
              </w:rPr>
              <w:t xml:space="preserve"> Development </w:t>
            </w:r>
            <w:r w:rsidR="00FC163E" w:rsidRPr="00EB7EFB">
              <w:rPr>
                <w:rFonts w:cstheme="minorHAnsi"/>
                <w:b w:val="0"/>
                <w:bCs/>
              </w:rPr>
              <w:t>in</w:t>
            </w:r>
            <w:r w:rsidR="00D61E5D" w:rsidRPr="00EB7EFB">
              <w:rPr>
                <w:rFonts w:cstheme="minorHAnsi"/>
                <w:b w:val="0"/>
                <w:bCs/>
              </w:rPr>
              <w:t xml:space="preserve"> the Americas</w:t>
            </w:r>
            <w:r w:rsidR="00FD6CDD" w:rsidRPr="00EB7EFB">
              <w:rPr>
                <w:rFonts w:cstheme="minorHAnsi"/>
                <w:b w:val="0"/>
                <w:bCs/>
              </w:rPr>
              <w:t xml:space="preserve"> region</w:t>
            </w:r>
            <w:r w:rsidRPr="00EB7EFB">
              <w:rPr>
                <w:rFonts w:cstheme="minorHAnsi"/>
                <w:b w:val="0"/>
                <w:bCs/>
              </w:rPr>
              <w:t xml:space="preserve"> Towards 2025</w:t>
            </w:r>
            <w:r>
              <w:rPr>
                <w:rFonts w:cstheme="minorHAnsi"/>
                <w:b w:val="0"/>
                <w:bCs/>
              </w:rPr>
              <w:t>”</w:t>
            </w:r>
          </w:p>
        </w:tc>
      </w:tr>
      <w:tr w:rsidR="00C64B30" w:rsidRPr="00674952" w14:paraId="7D545550" w14:textId="77777777" w:rsidTr="00A96DFE">
        <w:trPr>
          <w:cantSplit/>
          <w:trHeight w:val="2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17A64985" w14:textId="5761CC2A" w:rsidR="00C64B30" w:rsidRPr="00DE0C73" w:rsidRDefault="00515E90" w:rsidP="00A76DFF">
            <w:pPr>
              <w:pStyle w:val="Title1"/>
              <w:spacing w:before="120"/>
              <w:jc w:val="both"/>
              <w:rPr>
                <w:rFonts w:cstheme="minorHAnsi"/>
                <w:b/>
                <w:bCs/>
                <w:caps w:val="0"/>
                <w:sz w:val="24"/>
                <w:szCs w:val="24"/>
              </w:rPr>
            </w:pPr>
            <w:r w:rsidRPr="00DE0C73">
              <w:rPr>
                <w:rFonts w:cstheme="minorHAnsi"/>
                <w:b/>
                <w:bCs/>
                <w:caps w:val="0"/>
                <w:sz w:val="24"/>
                <w:szCs w:val="24"/>
              </w:rPr>
              <w:t>Agenda item</w:t>
            </w:r>
            <w:r w:rsidR="00C64B30" w:rsidRPr="00DE0C73">
              <w:rPr>
                <w:rFonts w:cstheme="minorHAnsi"/>
                <w:b/>
                <w:bCs/>
                <w:caps w:val="0"/>
                <w:sz w:val="24"/>
                <w:szCs w:val="24"/>
              </w:rPr>
              <w:t xml:space="preserve">: </w:t>
            </w:r>
          </w:p>
          <w:p w14:paraId="661637F0" w14:textId="5F1C2F25" w:rsidR="00B360B8" w:rsidRPr="00DE0C73" w:rsidRDefault="004F483B" w:rsidP="00A76DFF">
            <w:pPr>
              <w:pStyle w:val="Title1"/>
              <w:spacing w:before="80"/>
              <w:jc w:val="both"/>
              <w:rPr>
                <w:rFonts w:cstheme="minorHAnsi"/>
                <w:caps w:val="0"/>
                <w:sz w:val="24"/>
                <w:szCs w:val="24"/>
              </w:rPr>
            </w:pPr>
            <w:r w:rsidRPr="00DE0C73">
              <w:rPr>
                <w:rFonts w:cstheme="minorHAnsi"/>
                <w:caps w:val="0"/>
                <w:sz w:val="24"/>
                <w:szCs w:val="24"/>
              </w:rPr>
              <w:t xml:space="preserve">Item </w:t>
            </w:r>
            <w:r w:rsidR="00355E65">
              <w:rPr>
                <w:rFonts w:cstheme="minorHAnsi"/>
                <w:caps w:val="0"/>
                <w:sz w:val="24"/>
                <w:szCs w:val="24"/>
              </w:rPr>
              <w:t>8</w:t>
            </w:r>
          </w:p>
          <w:p w14:paraId="1C3A5615" w14:textId="0F292CBB" w:rsidR="00C64B30" w:rsidRPr="00DE0C73" w:rsidRDefault="00C64B30" w:rsidP="00A76DFF">
            <w:pPr>
              <w:pStyle w:val="Title1"/>
              <w:spacing w:before="120"/>
              <w:jc w:val="both"/>
              <w:rPr>
                <w:rFonts w:cstheme="minorHAnsi"/>
                <w:b/>
                <w:bCs/>
                <w:caps w:val="0"/>
                <w:sz w:val="24"/>
                <w:szCs w:val="24"/>
              </w:rPr>
            </w:pPr>
            <w:r w:rsidRPr="00DE0C73">
              <w:rPr>
                <w:rFonts w:cstheme="minorHAnsi"/>
                <w:b/>
                <w:bCs/>
                <w:caps w:val="0"/>
                <w:sz w:val="24"/>
                <w:szCs w:val="24"/>
              </w:rPr>
              <w:t xml:space="preserve">Summary: </w:t>
            </w:r>
          </w:p>
          <w:p w14:paraId="3E4FE135" w14:textId="3B2E57C5" w:rsidR="00D61E5D" w:rsidRPr="00DE0C73" w:rsidRDefault="00C758C0" w:rsidP="00DE0C73">
            <w:pPr>
              <w:pStyle w:val="Title1"/>
              <w:spacing w:before="120"/>
              <w:jc w:val="left"/>
              <w:rPr>
                <w:rFonts w:cstheme="minorHAnsi"/>
                <w:b/>
                <w:bCs/>
                <w:caps w:val="0"/>
                <w:sz w:val="24"/>
                <w:szCs w:val="24"/>
              </w:rPr>
            </w:pPr>
            <w:r w:rsidRPr="00DE0C73">
              <w:rPr>
                <w:rFonts w:cstheme="minorHAnsi"/>
                <w:caps w:val="0"/>
                <w:color w:val="000000"/>
                <w:sz w:val="24"/>
                <w:szCs w:val="24"/>
              </w:rPr>
              <w:t>In line with the ITU Youth Strategy and within the framework of the Generation Connect global initiative, Americas youth have been called upon to form the Generation Connect – Americas Youth Group (GC-AMS).</w:t>
            </w:r>
            <w:r w:rsidRPr="00DE0C73">
              <w:rPr>
                <w:sz w:val="24"/>
                <w:szCs w:val="24"/>
              </w:rPr>
              <w:t xml:space="preserve"> </w:t>
            </w:r>
            <w:proofErr w:type="gramStart"/>
            <w:r w:rsidRPr="00DE0C73">
              <w:rPr>
                <w:rFonts w:cstheme="minorHAnsi"/>
                <w:caps w:val="0"/>
                <w:color w:val="000000"/>
                <w:sz w:val="24"/>
                <w:szCs w:val="24"/>
              </w:rPr>
              <w:t>Taking into account</w:t>
            </w:r>
            <w:proofErr w:type="gramEnd"/>
            <w:r w:rsidRPr="00DE0C73">
              <w:rPr>
                <w:rFonts w:cstheme="minorHAnsi"/>
                <w:caps w:val="0"/>
                <w:color w:val="000000"/>
                <w:sz w:val="24"/>
                <w:szCs w:val="24"/>
              </w:rPr>
              <w:t xml:space="preserve"> the opportunities presented and challenges posed by ICT development in the Americas region, GC- AMS presents this Call to Action for ICT Development in the Americas region Towards 2025.</w:t>
            </w:r>
          </w:p>
          <w:p w14:paraId="30D84706" w14:textId="50C2053D" w:rsidR="00C64B30" w:rsidRPr="00DE0C73" w:rsidRDefault="00C64B30" w:rsidP="008110E8">
            <w:pPr>
              <w:pStyle w:val="Title1"/>
              <w:spacing w:before="120"/>
              <w:jc w:val="both"/>
              <w:rPr>
                <w:rFonts w:cstheme="minorHAnsi"/>
                <w:b/>
                <w:bCs/>
                <w:caps w:val="0"/>
                <w:sz w:val="24"/>
                <w:szCs w:val="24"/>
              </w:rPr>
            </w:pPr>
            <w:r w:rsidRPr="00DE0C73">
              <w:rPr>
                <w:rFonts w:cstheme="minorHAnsi"/>
                <w:b/>
                <w:bCs/>
                <w:caps w:val="0"/>
                <w:sz w:val="24"/>
                <w:szCs w:val="24"/>
              </w:rPr>
              <w:t>Expected results:</w:t>
            </w:r>
          </w:p>
          <w:p w14:paraId="314182E3" w14:textId="5A3279B6" w:rsidR="00D61E5D" w:rsidRPr="00DE0C73" w:rsidRDefault="009C093A" w:rsidP="00D61E5D">
            <w:pPr>
              <w:rPr>
                <w:szCs w:val="24"/>
              </w:rPr>
            </w:pPr>
            <w:r w:rsidRPr="00DE0C73">
              <w:rPr>
                <w:szCs w:val="24"/>
              </w:rPr>
              <w:t>RPM-AMS is invited to examine this document and the proposal</w:t>
            </w:r>
            <w:r w:rsidR="00C758C0" w:rsidRPr="00DE0C73">
              <w:rPr>
                <w:szCs w:val="24"/>
              </w:rPr>
              <w:t>s</w:t>
            </w:r>
            <w:r w:rsidRPr="00DE0C73">
              <w:rPr>
                <w:szCs w:val="24"/>
              </w:rPr>
              <w:t xml:space="preserve"> contained therein.</w:t>
            </w:r>
          </w:p>
          <w:p w14:paraId="75D3127F" w14:textId="52DA155A" w:rsidR="00C64B30" w:rsidRPr="00DE0C73" w:rsidRDefault="00C64B30" w:rsidP="008110E8">
            <w:pPr>
              <w:pStyle w:val="Title1"/>
              <w:spacing w:before="120"/>
              <w:jc w:val="both"/>
              <w:rPr>
                <w:rFonts w:cstheme="minorHAnsi"/>
                <w:b/>
                <w:bCs/>
                <w:caps w:val="0"/>
                <w:sz w:val="24"/>
                <w:szCs w:val="24"/>
              </w:rPr>
            </w:pPr>
            <w:r w:rsidRPr="00DE0C73">
              <w:rPr>
                <w:rFonts w:cstheme="minorHAnsi"/>
                <w:b/>
                <w:bCs/>
                <w:caps w:val="0"/>
                <w:sz w:val="24"/>
                <w:szCs w:val="24"/>
              </w:rPr>
              <w:t>References:</w:t>
            </w:r>
          </w:p>
          <w:p w14:paraId="409CC2BB" w14:textId="77777777" w:rsidR="00EB7EFB" w:rsidRPr="00DE0C73" w:rsidRDefault="00EB7EFB" w:rsidP="00DE0C73">
            <w:pPr>
              <w:pStyle w:val="ListParagraph"/>
              <w:numPr>
                <w:ilvl w:val="0"/>
                <w:numId w:val="6"/>
              </w:numPr>
              <w:spacing w:before="60" w:after="60"/>
              <w:contextualSpacing w:val="0"/>
              <w:rPr>
                <w:szCs w:val="24"/>
              </w:rPr>
            </w:pPr>
            <w:r w:rsidRPr="00DE0C73">
              <w:rPr>
                <w:szCs w:val="24"/>
              </w:rPr>
              <w:t xml:space="preserve">ITU Youth Strategy: Roadmap to 2021 and beyond. Retrieved from:  </w:t>
            </w:r>
            <w:hyperlink r:id="rId14" w:history="1">
              <w:r w:rsidRPr="00DE0C73">
                <w:rPr>
                  <w:rStyle w:val="Hyperlink"/>
                  <w:szCs w:val="24"/>
                </w:rPr>
                <w:t>https://www.itu.int/generationconnect/wp-content/uploads/2020/11/ITU_Youth_Strategy.pdf</w:t>
              </w:r>
            </w:hyperlink>
          </w:p>
          <w:p w14:paraId="6D6B20CE" w14:textId="77777777" w:rsidR="005049DD" w:rsidRPr="00DE0C73" w:rsidRDefault="005049DD" w:rsidP="00DE0C73">
            <w:pPr>
              <w:pStyle w:val="ListParagraph"/>
              <w:numPr>
                <w:ilvl w:val="0"/>
                <w:numId w:val="6"/>
              </w:numPr>
              <w:spacing w:before="60" w:after="60"/>
              <w:contextualSpacing w:val="0"/>
              <w:rPr>
                <w:szCs w:val="24"/>
              </w:rPr>
            </w:pPr>
            <w:r w:rsidRPr="00DE0C73">
              <w:rPr>
                <w:szCs w:val="24"/>
              </w:rPr>
              <w:t xml:space="preserve">ITU (2020) Measuring digital development: Facts and figures 2020. Retrieved from: </w:t>
            </w:r>
            <w:hyperlink r:id="rId15" w:history="1">
              <w:r w:rsidRPr="00DE0C73">
                <w:rPr>
                  <w:rStyle w:val="Hyperlink"/>
                  <w:szCs w:val="24"/>
                </w:rPr>
                <w:t>https://www.itu.int/en/itu-d/statistics/pages/facts/default.aspx</w:t>
              </w:r>
            </w:hyperlink>
            <w:r w:rsidRPr="00DE0C73">
              <w:rPr>
                <w:szCs w:val="24"/>
              </w:rPr>
              <w:t xml:space="preserve">   </w:t>
            </w:r>
          </w:p>
          <w:p w14:paraId="04A979C3" w14:textId="41B378E0" w:rsidR="00903A9E" w:rsidRPr="00DE0C73" w:rsidRDefault="00903A9E" w:rsidP="00DE0C73">
            <w:pPr>
              <w:pStyle w:val="ListParagraph"/>
              <w:numPr>
                <w:ilvl w:val="0"/>
                <w:numId w:val="6"/>
              </w:numPr>
              <w:spacing w:before="60" w:after="60"/>
              <w:contextualSpacing w:val="0"/>
              <w:rPr>
                <w:szCs w:val="24"/>
              </w:rPr>
            </w:pPr>
            <w:r w:rsidRPr="00DE0C73">
              <w:rPr>
                <w:szCs w:val="24"/>
              </w:rPr>
              <w:t>UN Secretary-General António Guterres’ remarks to the General Assembly on taking the oath of office</w:t>
            </w:r>
            <w:r w:rsidR="00EB7EFB" w:rsidRPr="00DE0C73">
              <w:rPr>
                <w:szCs w:val="24"/>
              </w:rPr>
              <w:t xml:space="preserve"> (2016)</w:t>
            </w:r>
            <w:r w:rsidR="00C758C0" w:rsidRPr="00DE0C73">
              <w:rPr>
                <w:szCs w:val="24"/>
              </w:rPr>
              <w:t>.</w:t>
            </w:r>
            <w:r w:rsidRPr="00DE0C73">
              <w:rPr>
                <w:szCs w:val="24"/>
              </w:rPr>
              <w:t xml:space="preserve"> Retrieved from: </w:t>
            </w:r>
            <w:hyperlink r:id="rId16" w:history="1">
              <w:r w:rsidR="008F1CDF" w:rsidRPr="00DE0C73">
                <w:rPr>
                  <w:rStyle w:val="Hyperlink"/>
                  <w:szCs w:val="24"/>
                </w:rPr>
                <w:t>https://www.un.org/youthenvoy/2017/01/secretary-general-antonio-guterres-remarks-to-the-general-assembly-on-taking-the-oath-of-office/</w:t>
              </w:r>
            </w:hyperlink>
            <w:r w:rsidR="008F1CDF" w:rsidRPr="00DE0C73">
              <w:rPr>
                <w:szCs w:val="24"/>
              </w:rPr>
              <w:t xml:space="preserve"> </w:t>
            </w:r>
            <w:r w:rsidRPr="00DE0C73">
              <w:rPr>
                <w:szCs w:val="24"/>
              </w:rPr>
              <w:t xml:space="preserve"> </w:t>
            </w:r>
          </w:p>
          <w:p w14:paraId="22757D7D" w14:textId="0A35E929" w:rsidR="00903A9E" w:rsidRPr="00DE0C73" w:rsidRDefault="00903A9E" w:rsidP="00DE0C73">
            <w:pPr>
              <w:pStyle w:val="ListParagraph"/>
              <w:numPr>
                <w:ilvl w:val="0"/>
                <w:numId w:val="6"/>
              </w:numPr>
              <w:spacing w:before="60" w:after="60"/>
              <w:contextualSpacing w:val="0"/>
              <w:rPr>
                <w:szCs w:val="24"/>
                <w:lang w:val="en-US"/>
              </w:rPr>
            </w:pPr>
            <w:r w:rsidRPr="00DE0C73">
              <w:rPr>
                <w:szCs w:val="24"/>
                <w:lang w:val="es-AR"/>
              </w:rPr>
              <w:t>Comisión Económica para América Latina y el Caribe/Organización de Estados Iberoamericanos para la Educación, la Ciencia y la Cultura</w:t>
            </w:r>
            <w:r w:rsidR="00C758C0" w:rsidRPr="00DE0C73">
              <w:rPr>
                <w:szCs w:val="24"/>
                <w:lang w:val="es-AR"/>
              </w:rPr>
              <w:t xml:space="preserve"> (2020)</w:t>
            </w:r>
            <w:r w:rsidRPr="00DE0C73">
              <w:rPr>
                <w:szCs w:val="24"/>
                <w:lang w:val="es-AR"/>
              </w:rPr>
              <w:t xml:space="preserve"> Educación, juventud y trabajo: habilidades y competencias necesarias en un contexto cambiante.</w:t>
            </w:r>
            <w:r w:rsidR="00C758C0" w:rsidRPr="00DE0C73">
              <w:rPr>
                <w:szCs w:val="24"/>
                <w:lang w:val="es-AR"/>
              </w:rPr>
              <w:t xml:space="preserve"> </w:t>
            </w:r>
            <w:r w:rsidR="00C758C0" w:rsidRPr="00DE0C73">
              <w:rPr>
                <w:szCs w:val="24"/>
                <w:lang w:val="en-US"/>
              </w:rPr>
              <w:t xml:space="preserve">Retrieved from: </w:t>
            </w:r>
            <w:r w:rsidR="00C758C0" w:rsidRPr="00DE0C73">
              <w:rPr>
                <w:szCs w:val="24"/>
              </w:rPr>
              <w:t xml:space="preserve"> </w:t>
            </w:r>
            <w:hyperlink r:id="rId17" w:history="1">
              <w:r w:rsidR="00C758C0" w:rsidRPr="00DE0C73">
                <w:rPr>
                  <w:rStyle w:val="Hyperlink"/>
                  <w:szCs w:val="24"/>
                  <w:lang w:val="en-US"/>
                </w:rPr>
                <w:t>https://www.cepal.org/es/publicaciones/46066-educacion-juventud-trabajo-habilidades-competencias-necesarias-un-contexto</w:t>
              </w:r>
            </w:hyperlink>
            <w:r w:rsidR="00C758C0" w:rsidRPr="00DE0C73">
              <w:rPr>
                <w:szCs w:val="24"/>
                <w:lang w:val="en-US"/>
              </w:rPr>
              <w:t xml:space="preserve"> </w:t>
            </w:r>
          </w:p>
          <w:p w14:paraId="2AED7693" w14:textId="513E714E" w:rsidR="00A212AB" w:rsidRPr="00DE0C73" w:rsidRDefault="00513C6B" w:rsidP="00DE0C73">
            <w:pPr>
              <w:pStyle w:val="ListParagraph"/>
              <w:numPr>
                <w:ilvl w:val="0"/>
                <w:numId w:val="6"/>
              </w:numPr>
              <w:spacing w:before="60" w:after="60"/>
              <w:contextualSpacing w:val="0"/>
              <w:rPr>
                <w:szCs w:val="24"/>
              </w:rPr>
            </w:pPr>
            <w:r w:rsidRPr="00DE0C73">
              <w:rPr>
                <w:szCs w:val="24"/>
              </w:rPr>
              <w:t>Alliance for Affordable Internet (2019). Regional Snapshot: Americas. Affordability Report. Retrieved from</w:t>
            </w:r>
            <w:r w:rsidR="00C758C0" w:rsidRPr="00DE0C73">
              <w:rPr>
                <w:szCs w:val="24"/>
              </w:rPr>
              <w:t>:</w:t>
            </w:r>
            <w:r w:rsidRPr="00DE0C73">
              <w:rPr>
                <w:szCs w:val="24"/>
              </w:rPr>
              <w:t xml:space="preserve"> </w:t>
            </w:r>
            <w:hyperlink r:id="rId18" w:history="1">
              <w:r w:rsidRPr="00DE0C73">
                <w:rPr>
                  <w:rStyle w:val="Hyperlink"/>
                  <w:szCs w:val="24"/>
                </w:rPr>
                <w:t>https://1e8q3q16vyc81g8l3h3md6q5f5e-wpengine.netdna-ssl.com/wp-content/uploads/2019/12/AR2019_Americas-Regional_Screen_AW2.pdf</w:t>
              </w:r>
            </w:hyperlink>
            <w:r w:rsidRPr="00DE0C73">
              <w:rPr>
                <w:szCs w:val="24"/>
              </w:rPr>
              <w:t xml:space="preserve"> </w:t>
            </w:r>
          </w:p>
          <w:p w14:paraId="3D799BA1" w14:textId="7722FF1B" w:rsidR="00D61E5D" w:rsidRPr="00DE0C73" w:rsidRDefault="00EB7EFB" w:rsidP="00DE0C73">
            <w:pPr>
              <w:pStyle w:val="ListParagraph"/>
              <w:numPr>
                <w:ilvl w:val="0"/>
                <w:numId w:val="6"/>
              </w:numPr>
              <w:spacing w:before="60" w:after="120"/>
              <w:ind w:left="714" w:hanging="357"/>
              <w:contextualSpacing w:val="0"/>
              <w:rPr>
                <w:szCs w:val="24"/>
              </w:rPr>
            </w:pPr>
            <w:r w:rsidRPr="00DE0C73">
              <w:rPr>
                <w:szCs w:val="24"/>
              </w:rPr>
              <w:t>Digital Rural Gender Divide in Latin America and the Caribbean</w:t>
            </w:r>
            <w:r w:rsidR="005049DD" w:rsidRPr="00DE0C73">
              <w:rPr>
                <w:szCs w:val="24"/>
              </w:rPr>
              <w:t xml:space="preserve"> (2020)</w:t>
            </w:r>
            <w:r w:rsidRPr="00DE0C73">
              <w:rPr>
                <w:szCs w:val="24"/>
              </w:rPr>
              <w:t xml:space="preserve">. Retrieved from: </w:t>
            </w:r>
            <w:hyperlink r:id="rId19" w:history="1">
              <w:r w:rsidRPr="00DE0C73">
                <w:rPr>
                  <w:rStyle w:val="Hyperlink"/>
                  <w:rFonts w:ascii="Calibri" w:hAnsi="Calibri" w:cs="Calibri"/>
                  <w:szCs w:val="24"/>
                  <w:shd w:val="clear" w:color="auto" w:fill="FFFFFF"/>
                </w:rPr>
                <w:t>https://blog.iica.int/sites/default/files/2020-10/study%20digital%20rural%20gender%20divide%20%20BVE20108184.pdf</w:t>
              </w:r>
            </w:hyperlink>
          </w:p>
        </w:tc>
      </w:tr>
      <w:bookmarkEnd w:id="7"/>
      <w:bookmarkEnd w:id="8"/>
    </w:tbl>
    <w:p w14:paraId="64CC20DB" w14:textId="70DCC989" w:rsidR="00D22D26" w:rsidRDefault="00D22D26" w:rsidP="004A34AE">
      <w:pPr>
        <w:tabs>
          <w:tab w:val="clear" w:pos="1871"/>
          <w:tab w:val="clear" w:pos="2268"/>
          <w:tab w:val="left" w:pos="567"/>
        </w:tabs>
        <w:spacing w:before="0"/>
        <w:jc w:val="center"/>
        <w:rPr>
          <w:b/>
        </w:rPr>
      </w:pPr>
    </w:p>
    <w:p w14:paraId="0D48F5EB" w14:textId="3FBEE043"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color w:val="000000"/>
        </w:rPr>
      </w:pPr>
      <w:r w:rsidRPr="005049DD">
        <w:rPr>
          <w:rFonts w:cstheme="minorHAnsi"/>
          <w:color w:val="000000"/>
        </w:rPr>
        <w:t xml:space="preserve">The UN Secretary General, </w:t>
      </w:r>
      <w:r w:rsidR="00355E65">
        <w:rPr>
          <w:rFonts w:cstheme="minorHAnsi"/>
          <w:color w:val="000000"/>
        </w:rPr>
        <w:t>Mr</w:t>
      </w:r>
      <w:r w:rsidRPr="005049DD">
        <w:rPr>
          <w:rFonts w:cstheme="minorHAnsi"/>
          <w:color w:val="000000"/>
        </w:rPr>
        <w:t xml:space="preserve"> António Guterres, in his swearing-in ceremony in December 2016, reinforced the UN’s commitment to empowering young people in society, as well as increasing their access to education, training and jobs. Moreover, he said that “this cannot be an initiative by old people discussing the younger generation”.</w:t>
      </w:r>
    </w:p>
    <w:p w14:paraId="430EDFB5"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color w:val="000000"/>
        </w:rPr>
      </w:pPr>
      <w:r w:rsidRPr="005049DD">
        <w:rPr>
          <w:rFonts w:cstheme="minorHAnsi"/>
          <w:color w:val="000000"/>
        </w:rPr>
        <w:t xml:space="preserve">The world today is home to around 1.8 billion young people between the ages of 10 and 24, with close to 90 per cent of them living in developing countries. In the Americas region, approximately 33% of population is still unconnected and a widening digital divide </w:t>
      </w:r>
      <w:proofErr w:type="spellStart"/>
      <w:r w:rsidRPr="005049DD">
        <w:rPr>
          <w:rFonts w:cstheme="minorHAnsi"/>
          <w:color w:val="000000"/>
        </w:rPr>
        <w:t>exarcebates</w:t>
      </w:r>
      <w:proofErr w:type="spellEnd"/>
      <w:r w:rsidRPr="005049DD">
        <w:rPr>
          <w:rFonts w:cstheme="minorHAnsi"/>
          <w:color w:val="000000"/>
        </w:rPr>
        <w:t xml:space="preserve"> the deep social inequality within the region. Keeping in mind that two main pillars of inclusive social development are education and the world of work, data from the December 2020 ECLAC report that states that, in the context of the COVID-19 pandemic, more than 50% of students have not been able to continue their educational journeys through virtual systems of teaching due to lack of connectivity and technological devices, as well as the lack of teachers' digital skills. This clearly demonstrates the urgency of closing the digital gap in the region, which has devastating educational and social effects. </w:t>
      </w:r>
    </w:p>
    <w:p w14:paraId="2CA90A75"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color w:val="000000"/>
        </w:rPr>
      </w:pPr>
      <w:r w:rsidRPr="005049DD">
        <w:rPr>
          <w:rFonts w:cstheme="minorHAnsi"/>
          <w:color w:val="000000"/>
        </w:rPr>
        <w:t>The International Telecommunication Union (ITU) has a clear mandate to contribute to the inclusion and empowerment of youth in the digital society. Information and Communication Technologies (ICTs) have the great potential to enhance education, reduce youth unemployment and promote social and economic development. But for young people to truly leverage and enjoy the vast array of benefits of these technologies, they must be a part of the global discussions that define the course that the development of these technologies are taking today and will take tomorrow.</w:t>
      </w:r>
    </w:p>
    <w:p w14:paraId="6C02ECF7" w14:textId="12484948"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color w:val="000000"/>
        </w:rPr>
      </w:pPr>
      <w:r w:rsidRPr="005049DD">
        <w:rPr>
          <w:rFonts w:cstheme="minorHAnsi"/>
          <w:color w:val="000000"/>
        </w:rPr>
        <w:t>The Generation Connect – Americas Youth Group (GC-AMS) join together in representation of the young people of the Americas region and accept the challenge of stepping up to the role of contributors to the present and</w:t>
      </w:r>
      <w:r w:rsidR="00C64D45" w:rsidRPr="005049DD">
        <w:rPr>
          <w:rFonts w:cstheme="minorHAnsi"/>
          <w:color w:val="000000"/>
        </w:rPr>
        <w:t xml:space="preserve"> future of ICT development in the</w:t>
      </w:r>
      <w:r w:rsidRPr="005049DD">
        <w:rPr>
          <w:rFonts w:cstheme="minorHAnsi"/>
          <w:color w:val="000000"/>
        </w:rPr>
        <w:t xml:space="preserve"> region. </w:t>
      </w:r>
      <w:proofErr w:type="gramStart"/>
      <w:r w:rsidRPr="005049DD">
        <w:rPr>
          <w:rFonts w:cstheme="minorHAnsi"/>
          <w:color w:val="000000"/>
        </w:rPr>
        <w:t>Taking into account</w:t>
      </w:r>
      <w:proofErr w:type="gramEnd"/>
      <w:r w:rsidRPr="005049DD">
        <w:rPr>
          <w:rFonts w:cstheme="minorHAnsi"/>
          <w:color w:val="000000"/>
        </w:rPr>
        <w:t xml:space="preserve"> the opportunities presented and challenges posed by ICT development in the Americas region, GC- AMS presents this </w:t>
      </w:r>
      <w:r w:rsidRPr="005049DD">
        <w:rPr>
          <w:rFonts w:cstheme="minorHAnsi"/>
          <w:i/>
          <w:iCs/>
          <w:color w:val="000000"/>
        </w:rPr>
        <w:t>Call to Action for ICT Development in the Americas region Towards 2025</w:t>
      </w:r>
      <w:r w:rsidRPr="005049DD">
        <w:rPr>
          <w:rFonts w:cstheme="minorHAnsi"/>
          <w:color w:val="000000"/>
        </w:rPr>
        <w:t xml:space="preserve">. Through this document, GC-AMS is motivated to contribute with their </w:t>
      </w:r>
      <w:r w:rsidR="00C64D45" w:rsidRPr="005049DD">
        <w:rPr>
          <w:rFonts w:cstheme="minorHAnsi"/>
          <w:color w:val="000000"/>
        </w:rPr>
        <w:t xml:space="preserve">views </w:t>
      </w:r>
      <w:r w:rsidRPr="005049DD">
        <w:rPr>
          <w:rFonts w:cstheme="minorHAnsi"/>
          <w:color w:val="000000"/>
        </w:rPr>
        <w:t xml:space="preserve"> to build on the work of the Member States, together with the ITU Development Bureau and its membership, </w:t>
      </w:r>
      <w:r w:rsidR="0044121D" w:rsidRPr="005049DD">
        <w:rPr>
          <w:rFonts w:cstheme="minorHAnsi"/>
          <w:color w:val="000000"/>
        </w:rPr>
        <w:t xml:space="preserve">under the </w:t>
      </w:r>
      <w:r w:rsidRPr="005049DD">
        <w:rPr>
          <w:rFonts w:cstheme="minorHAnsi"/>
          <w:color w:val="000000"/>
        </w:rPr>
        <w:t>Thematic Priorities</w:t>
      </w:r>
      <w:r w:rsidR="0044121D" w:rsidRPr="005049DD">
        <w:rPr>
          <w:rFonts w:cstheme="minorHAnsi"/>
          <w:color w:val="000000"/>
        </w:rPr>
        <w:t xml:space="preserve"> resulting from their discussions</w:t>
      </w:r>
      <w:r w:rsidRPr="005049DD">
        <w:rPr>
          <w:rFonts w:cstheme="minorHAnsi"/>
          <w:color w:val="000000"/>
        </w:rPr>
        <w:t xml:space="preserve">: Capacity Development, Digital Inclusion, Digital Innovation Ecosystems, Digital Services and Applications and Network and Digital Infrastructure. </w:t>
      </w:r>
    </w:p>
    <w:p w14:paraId="47499DFD" w14:textId="0D120DE8" w:rsidR="00903A9E" w:rsidRDefault="00903A9E" w:rsidP="00DE0C73">
      <w:pPr>
        <w:tabs>
          <w:tab w:val="clear" w:pos="1134"/>
          <w:tab w:val="clear" w:pos="1871"/>
          <w:tab w:val="clear" w:pos="2268"/>
        </w:tabs>
        <w:overflowPunct/>
        <w:autoSpaceDE/>
        <w:autoSpaceDN/>
        <w:adjustRightInd/>
        <w:spacing w:after="120"/>
        <w:textAlignment w:val="auto"/>
        <w:rPr>
          <w:rFonts w:cstheme="minorHAnsi"/>
          <w:color w:val="000000"/>
        </w:rPr>
      </w:pPr>
      <w:r w:rsidRPr="005049DD">
        <w:rPr>
          <w:rFonts w:cstheme="minorHAnsi"/>
          <w:color w:val="000000"/>
        </w:rPr>
        <w:t>The Generation Connect – Americas Youth Group is eager about leveraging this opportunity and empowering other youth in the region to be agents of change in their communities.</w:t>
      </w:r>
      <w:r w:rsidR="005A3D78">
        <w:rPr>
          <w:rFonts w:cstheme="minorHAnsi"/>
          <w:color w:val="000000"/>
        </w:rPr>
        <w:t xml:space="preserve"> </w:t>
      </w:r>
      <w:r w:rsidRPr="005049DD">
        <w:rPr>
          <w:rFonts w:cstheme="minorHAnsi"/>
          <w:color w:val="000000"/>
        </w:rPr>
        <w:t xml:space="preserve">GC-AMS members are equipped to actively participate in ITU’s efforts in the region, fostering youth dialogue and engaging in relevant decision-making processes. Finally, they are motivated to use </w:t>
      </w:r>
      <w:r w:rsidRPr="005049DD">
        <w:rPr>
          <w:rFonts w:cstheme="minorHAnsi"/>
          <w:color w:val="000000"/>
        </w:rPr>
        <w:lastRenderedPageBreak/>
        <w:t>their unique experiences, diversified knowledge and innovative creativity to share their perspectives and propose new solutions to connect the yet unconnected in the Americas region.</w:t>
      </w:r>
    </w:p>
    <w:tbl>
      <w:tblPr>
        <w:tblStyle w:val="TableGrid"/>
        <w:tblW w:w="0" w:type="auto"/>
        <w:tblLook w:val="04A0" w:firstRow="1" w:lastRow="0" w:firstColumn="1" w:lastColumn="0" w:noHBand="0" w:noVBand="1"/>
      </w:tblPr>
      <w:tblGrid>
        <w:gridCol w:w="9629"/>
      </w:tblGrid>
      <w:tr w:rsidR="00DE0C73" w14:paraId="299D2716" w14:textId="77777777" w:rsidTr="00DE0C73">
        <w:tc>
          <w:tcPr>
            <w:tcW w:w="9629" w:type="dxa"/>
          </w:tcPr>
          <w:p w14:paraId="79E2FEE2" w14:textId="77777777" w:rsidR="00DE0C73" w:rsidRPr="00DE0C73" w:rsidRDefault="00DE0C73" w:rsidP="00DE0C73">
            <w:pPr>
              <w:tabs>
                <w:tab w:val="clear" w:pos="1134"/>
                <w:tab w:val="clear" w:pos="1871"/>
                <w:tab w:val="clear" w:pos="2268"/>
              </w:tabs>
              <w:overflowPunct/>
              <w:autoSpaceDE/>
              <w:autoSpaceDN/>
              <w:adjustRightInd/>
              <w:spacing w:after="120"/>
              <w:textAlignment w:val="auto"/>
              <w:rPr>
                <w:rFonts w:cstheme="minorHAnsi"/>
                <w:b/>
                <w:bCs/>
                <w:i/>
                <w:iCs/>
                <w:color w:val="000000"/>
              </w:rPr>
            </w:pPr>
            <w:r w:rsidRPr="00DE0C73">
              <w:rPr>
                <w:rFonts w:cstheme="minorHAnsi"/>
                <w:b/>
                <w:bCs/>
                <w:i/>
                <w:iCs/>
                <w:color w:val="000000"/>
              </w:rPr>
              <w:t>Guiding principles</w:t>
            </w:r>
          </w:p>
          <w:p w14:paraId="14591D4D" w14:textId="6753CEB3"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 xml:space="preserve">Generation Connect aims to engage global youth and encourage their participation as equal partners alongside the leaders of today’s digital change, empowering young people with the skills and opportunities to advance their vision of a connected future. </w:t>
            </w:r>
          </w:p>
          <w:p w14:paraId="39C5D223" w14:textId="131B559C"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Generation Connect is the overarching initiative of the ITU Youth Strategy on the journey to World Telecommunication Development Conference 2021 (WTDC-21) and the WTDC-21 Generation Connect Global Youth Summit.</w:t>
            </w:r>
          </w:p>
          <w:p w14:paraId="751B6745" w14:textId="6C9E75FD"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WTDC-21 is a unique opportunity to develop innovative approaches and new models of collaboration for connectivity and digital solutions in this final Decade of Action to achieve the SDGs. The theme of WTDC-21 is “Connecting the unconnected to achieve sustainable development”.</w:t>
            </w:r>
          </w:p>
          <w:p w14:paraId="3755CB1C" w14:textId="1AD7CC21"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In line with the ITU Youth Strategy and within the framework of the Generation Connect global initiative, Americas youth have been called upon to form the Generation Connect – Americas Youth Group (GC-AMS). After a competitive selection process, 15 young people from across the Americas region were selected by a Review Committee to contribute to ICT development in the region leading up to WTDC-21.</w:t>
            </w:r>
          </w:p>
          <w:p w14:paraId="715DD38D" w14:textId="2B218099"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Youth with access to ICTs are coming of age as digital natives. As early adopters of ICTs, they are uniquely placed to harness the power of digital technologies in new and imaginative ways.</w:t>
            </w:r>
          </w:p>
          <w:p w14:paraId="587F6045" w14:textId="5D828247" w:rsidR="00DE0C73" w:rsidRPr="00DE0C73" w:rsidRDefault="00DE0C73" w:rsidP="00DE0C73">
            <w:pPr>
              <w:pStyle w:val="ListParagraph"/>
              <w:numPr>
                <w:ilvl w:val="0"/>
                <w:numId w:val="2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color w:val="000000"/>
              </w:rPr>
            </w:pPr>
            <w:r w:rsidRPr="00DE0C73">
              <w:rPr>
                <w:rFonts w:cstheme="minorHAnsi"/>
                <w:color w:val="000000"/>
              </w:rPr>
              <w:t>Youth have the right to achieve full economic, social and digital inclusion. ICTs are tools through which both young women and men can substantively contribute to, participate in and leverage their social and economic development.</w:t>
            </w:r>
          </w:p>
        </w:tc>
      </w:tr>
    </w:tbl>
    <w:p w14:paraId="39A2164A" w14:textId="216FF576" w:rsidR="00903A9E" w:rsidRPr="005049DD" w:rsidRDefault="00903A9E" w:rsidP="00903A9E">
      <w:pPr>
        <w:pStyle w:val="ListParagraph"/>
        <w:tabs>
          <w:tab w:val="clear" w:pos="1134"/>
          <w:tab w:val="clear" w:pos="1871"/>
          <w:tab w:val="clear" w:pos="2268"/>
        </w:tabs>
        <w:overflowPunct/>
        <w:autoSpaceDE/>
        <w:autoSpaceDN/>
        <w:adjustRightInd/>
        <w:spacing w:before="0" w:after="60"/>
        <w:ind w:left="714"/>
        <w:contextualSpacing w:val="0"/>
        <w:jc w:val="both"/>
        <w:textAlignment w:val="auto"/>
        <w:rPr>
          <w:rFonts w:cstheme="minorHAnsi"/>
          <w:color w:val="000000"/>
        </w:rPr>
      </w:pPr>
    </w:p>
    <w:p w14:paraId="569CCE20" w14:textId="6615E80B" w:rsidR="00903A9E" w:rsidRPr="00DE0C73" w:rsidRDefault="00903A9E" w:rsidP="00903A9E">
      <w:pPr>
        <w:overflowPunct/>
        <w:autoSpaceDE/>
        <w:autoSpaceDN/>
        <w:adjustRightInd/>
        <w:spacing w:before="0" w:after="240"/>
        <w:jc w:val="center"/>
        <w:textAlignment w:val="auto"/>
        <w:rPr>
          <w:rFonts w:cstheme="minorHAnsi"/>
          <w:b/>
          <w:bCs/>
          <w:color w:val="000000"/>
          <w:u w:val="single"/>
        </w:rPr>
      </w:pPr>
      <w:r w:rsidRPr="00DE0C73">
        <w:rPr>
          <w:rFonts w:cstheme="minorHAnsi"/>
          <w:b/>
          <w:bCs/>
          <w:color w:val="000000"/>
          <w:u w:val="single"/>
        </w:rPr>
        <w:t>COMPOSITION OF THE GENERATION CONNECT – AMERICAS YOUTH GROUP</w:t>
      </w:r>
    </w:p>
    <w:p w14:paraId="589C8B46" w14:textId="6EAC5340" w:rsidR="00903A9E"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 xml:space="preserve">Antonio </w:t>
      </w:r>
      <w:proofErr w:type="spellStart"/>
      <w:r w:rsidRPr="005049DD">
        <w:rPr>
          <w:rFonts w:cstheme="minorHAnsi"/>
          <w:color w:val="000000"/>
        </w:rPr>
        <w:t>Deterville</w:t>
      </w:r>
      <w:proofErr w:type="spellEnd"/>
      <w:r w:rsidRPr="005049DD">
        <w:rPr>
          <w:rFonts w:cstheme="minorHAnsi"/>
          <w:color w:val="000000"/>
        </w:rPr>
        <w:t>, 24, Saint Lucia</w:t>
      </w:r>
    </w:p>
    <w:p w14:paraId="0897DA9E" w14:textId="1F2FCB54" w:rsidR="00903A9E"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Arthur Araújo de Menezes, 23, Brazil</w:t>
      </w:r>
    </w:p>
    <w:p w14:paraId="44AA9F3D" w14:textId="5C761150" w:rsidR="00903A9E"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 xml:space="preserve">Camila </w:t>
      </w:r>
      <w:proofErr w:type="spellStart"/>
      <w:r w:rsidRPr="005049DD">
        <w:rPr>
          <w:rFonts w:cstheme="minorHAnsi"/>
          <w:color w:val="000000"/>
        </w:rPr>
        <w:t>Baello</w:t>
      </w:r>
      <w:proofErr w:type="spellEnd"/>
      <w:r w:rsidRPr="005049DD">
        <w:rPr>
          <w:rFonts w:cstheme="minorHAnsi"/>
          <w:color w:val="000000"/>
        </w:rPr>
        <w:t>, 21, Argentina</w:t>
      </w:r>
    </w:p>
    <w:p w14:paraId="60ABB7B5" w14:textId="67378C77" w:rsidR="00903A9E"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Canice James, 21, Antigua &amp; Barbuda</w:t>
      </w:r>
    </w:p>
    <w:p w14:paraId="7CE56A3A"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Federica Morici, 22, Argentina</w:t>
      </w:r>
    </w:p>
    <w:p w14:paraId="2235BE79"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German Enrique Castro Sanchez, 20, Colombia</w:t>
      </w:r>
    </w:p>
    <w:p w14:paraId="443B5D54"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proofErr w:type="spellStart"/>
      <w:r w:rsidRPr="005049DD">
        <w:rPr>
          <w:rFonts w:cstheme="minorHAnsi"/>
          <w:color w:val="000000"/>
        </w:rPr>
        <w:t>Lautaro</w:t>
      </w:r>
      <w:proofErr w:type="spellEnd"/>
      <w:r w:rsidRPr="005049DD">
        <w:rPr>
          <w:rFonts w:cstheme="minorHAnsi"/>
          <w:color w:val="000000"/>
        </w:rPr>
        <w:t xml:space="preserve"> Lorenzen, 24, Argentina</w:t>
      </w:r>
    </w:p>
    <w:p w14:paraId="6CAFCCCF"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Melissa Muñoz, 23, Dominican Republic</w:t>
      </w:r>
    </w:p>
    <w:p w14:paraId="30BA525D"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Milagro Suira, 20, Panama</w:t>
      </w:r>
    </w:p>
    <w:p w14:paraId="47D98900"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 xml:space="preserve">Riaz </w:t>
      </w:r>
      <w:proofErr w:type="spellStart"/>
      <w:r w:rsidRPr="005049DD">
        <w:rPr>
          <w:rFonts w:cstheme="minorHAnsi"/>
          <w:color w:val="000000"/>
        </w:rPr>
        <w:t>Boodram</w:t>
      </w:r>
      <w:proofErr w:type="spellEnd"/>
      <w:r w:rsidRPr="005049DD">
        <w:rPr>
          <w:rFonts w:cstheme="minorHAnsi"/>
          <w:color w:val="000000"/>
        </w:rPr>
        <w:t>, 24, Trinidad &amp; Tobago</w:t>
      </w:r>
    </w:p>
    <w:p w14:paraId="0E8F9EE9"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proofErr w:type="spellStart"/>
      <w:r w:rsidRPr="005049DD">
        <w:rPr>
          <w:rFonts w:cstheme="minorHAnsi"/>
          <w:color w:val="000000"/>
        </w:rPr>
        <w:t>Shergaun</w:t>
      </w:r>
      <w:proofErr w:type="spellEnd"/>
      <w:r w:rsidRPr="005049DD">
        <w:rPr>
          <w:rFonts w:cstheme="minorHAnsi"/>
          <w:color w:val="000000"/>
        </w:rPr>
        <w:t xml:space="preserve"> </w:t>
      </w:r>
      <w:proofErr w:type="spellStart"/>
      <w:r w:rsidRPr="005049DD">
        <w:rPr>
          <w:rFonts w:cstheme="minorHAnsi"/>
          <w:color w:val="000000"/>
        </w:rPr>
        <w:t>Roserie</w:t>
      </w:r>
      <w:proofErr w:type="spellEnd"/>
      <w:r w:rsidRPr="005049DD">
        <w:rPr>
          <w:rFonts w:cstheme="minorHAnsi"/>
          <w:color w:val="000000"/>
        </w:rPr>
        <w:t>, 21, Saint Lucia</w:t>
      </w:r>
    </w:p>
    <w:p w14:paraId="6D64A575"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Sofia Valle, 22, Brazil</w:t>
      </w:r>
    </w:p>
    <w:p w14:paraId="282299EC"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Tariq Mohammed, 22, Trinidad &amp; Tobago</w:t>
      </w:r>
    </w:p>
    <w:p w14:paraId="4C1C244F" w14:textId="77777777" w:rsidR="00330335"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r w:rsidRPr="005049DD">
        <w:rPr>
          <w:rFonts w:cstheme="minorHAnsi"/>
          <w:color w:val="000000"/>
        </w:rPr>
        <w:t>Whitney Griffith, 24, Trinidad &amp; Tobago</w:t>
      </w:r>
    </w:p>
    <w:p w14:paraId="0EEF683D" w14:textId="42BF9DF9" w:rsidR="003671ED" w:rsidRPr="005049DD" w:rsidRDefault="00903A9E" w:rsidP="004D6CD3">
      <w:pPr>
        <w:pStyle w:val="ListParagraph"/>
        <w:numPr>
          <w:ilvl w:val="0"/>
          <w:numId w:val="20"/>
        </w:numPr>
        <w:overflowPunct/>
        <w:autoSpaceDE/>
        <w:autoSpaceDN/>
        <w:adjustRightInd/>
        <w:spacing w:before="60" w:after="60"/>
        <w:ind w:left="3192" w:hanging="357"/>
        <w:contextualSpacing w:val="0"/>
        <w:jc w:val="both"/>
        <w:textAlignment w:val="auto"/>
        <w:rPr>
          <w:rFonts w:cstheme="minorHAnsi"/>
          <w:color w:val="000000"/>
        </w:rPr>
      </w:pPr>
      <w:proofErr w:type="spellStart"/>
      <w:r w:rsidRPr="005049DD">
        <w:rPr>
          <w:rFonts w:cstheme="minorHAnsi"/>
          <w:color w:val="000000"/>
        </w:rPr>
        <w:t>Yawri</w:t>
      </w:r>
      <w:proofErr w:type="spellEnd"/>
      <w:r w:rsidRPr="005049DD">
        <w:rPr>
          <w:rFonts w:cstheme="minorHAnsi"/>
          <w:color w:val="000000"/>
        </w:rPr>
        <w:t xml:space="preserve"> </w:t>
      </w:r>
      <w:proofErr w:type="spellStart"/>
      <w:r w:rsidRPr="005049DD">
        <w:rPr>
          <w:rFonts w:cstheme="minorHAnsi"/>
          <w:color w:val="000000"/>
        </w:rPr>
        <w:t>Carr</w:t>
      </w:r>
      <w:proofErr w:type="spellEnd"/>
      <w:r w:rsidRPr="005049DD">
        <w:rPr>
          <w:rFonts w:cstheme="minorHAnsi"/>
          <w:color w:val="000000"/>
        </w:rPr>
        <w:t>, 23, Costa Rica</w:t>
      </w:r>
      <w:r w:rsidR="001907D7" w:rsidRPr="005049DD">
        <w:rPr>
          <w:rFonts w:cstheme="minorHAnsi"/>
          <w:b/>
          <w:bCs/>
          <w:color w:val="000000"/>
          <w:szCs w:val="24"/>
          <w:lang w:eastAsia="en-GB"/>
        </w:rPr>
        <w:br w:type="page"/>
      </w:r>
    </w:p>
    <w:p w14:paraId="23EB0CE7" w14:textId="1C24672F" w:rsidR="004B404D" w:rsidRPr="005049DD" w:rsidRDefault="003671ED" w:rsidP="00DE0C73">
      <w:pPr>
        <w:pStyle w:val="NormalWeb"/>
        <w:keepNext/>
        <w:numPr>
          <w:ilvl w:val="0"/>
          <w:numId w:val="24"/>
        </w:numPr>
        <w:tabs>
          <w:tab w:val="left" w:pos="567"/>
          <w:tab w:val="left" w:pos="1134"/>
          <w:tab w:val="left" w:pos="1701"/>
          <w:tab w:val="left" w:pos="2268"/>
        </w:tabs>
        <w:spacing w:before="120" w:beforeAutospacing="0" w:after="120" w:afterAutospacing="0"/>
        <w:outlineLvl w:val="1"/>
        <w:rPr>
          <w:rFonts w:asciiTheme="minorHAnsi" w:hAnsiTheme="minorHAnsi" w:cstheme="minorHAnsi"/>
          <w:b/>
          <w:bCs/>
          <w:color w:val="000000"/>
        </w:rPr>
      </w:pPr>
      <w:r w:rsidRPr="005049DD">
        <w:rPr>
          <w:rFonts w:asciiTheme="minorHAnsi" w:hAnsiTheme="minorHAnsi" w:cstheme="minorHAnsi"/>
          <w:b/>
          <w:bCs/>
          <w:color w:val="000000"/>
        </w:rPr>
        <w:lastRenderedPageBreak/>
        <w:t>CAPACITY DEVELOPMENT</w:t>
      </w:r>
    </w:p>
    <w:p w14:paraId="5CC6101B" w14:textId="77777777" w:rsidR="002E1C7F" w:rsidRPr="005049DD" w:rsidRDefault="002E1C7F" w:rsidP="00DE0C73">
      <w:pPr>
        <w:pStyle w:val="NormalWeb"/>
        <w:tabs>
          <w:tab w:val="left" w:pos="567"/>
          <w:tab w:val="left" w:pos="1701"/>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Considering that…</w:t>
      </w:r>
    </w:p>
    <w:p w14:paraId="3564B127" w14:textId="77777777" w:rsidR="002E1C7F" w:rsidRPr="005049DD" w:rsidRDefault="002E1C7F" w:rsidP="00DE0C73">
      <w:pPr>
        <w:pStyle w:val="NormalWeb"/>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 xml:space="preserve">ICTs can help connect countries to the global network and capacity development is a key element for creating opportunities for young people. It is therefore relevant to support countries to overcome barriers caused by a digitally unskilled society. Challenges for digital skills development have been even more exacerbated because of the COVID-19 pandemic, emphasising the importance of ITU providing support for the development of individual and institutional capacity to fulfil the needs of the ICT sector.  </w:t>
      </w:r>
    </w:p>
    <w:p w14:paraId="72ECFABC" w14:textId="06D1D737" w:rsidR="002E1C7F" w:rsidRPr="005049DD" w:rsidRDefault="002E1C7F" w:rsidP="00DE0C73">
      <w:pPr>
        <w:pStyle w:val="NormalWeb"/>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The lack of digital skills has a dramatic impact on social inclusion and young people are particularly concerned about unemployment, education and their lack of preparedness to fulfil jobs in the ICT sector. Another concern is related to the lack of sustainable program</w:t>
      </w:r>
      <w:r w:rsidR="00330335" w:rsidRPr="005049DD">
        <w:rPr>
          <w:rFonts w:asciiTheme="minorHAnsi" w:hAnsiTheme="minorHAnsi" w:cstheme="minorHAnsi"/>
          <w:color w:val="000000"/>
        </w:rPr>
        <w:t>me</w:t>
      </w:r>
      <w:r w:rsidRPr="005049DD">
        <w:rPr>
          <w:rFonts w:asciiTheme="minorHAnsi" w:hAnsiTheme="minorHAnsi" w:cstheme="minorHAnsi"/>
          <w:color w:val="000000"/>
        </w:rPr>
        <w:t>s that allow users to engage in long-term learning processes. For most workers, especially young professionals, to benefit from the transformative power of ICTs, they must be equipped with adequate digital skills. Youth empowerment brings unique benefits to young people by equipping them with key competences, especially if encouraged from childhood. It is important to highlight that ICTs can boost economic development, enhance education and reduce unemployment and the digital divide.</w:t>
      </w:r>
    </w:p>
    <w:p w14:paraId="085BE8C6" w14:textId="77777777" w:rsidR="002E1C7F" w:rsidRPr="005049DD" w:rsidRDefault="002E1C7F" w:rsidP="00DE0C73">
      <w:pPr>
        <w:pStyle w:val="NormalWeb"/>
        <w:tabs>
          <w:tab w:val="left" w:pos="567"/>
          <w:tab w:val="left" w:pos="1701"/>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The GC-AMS members identified the following challenges and opportunities:</w:t>
      </w:r>
    </w:p>
    <w:p w14:paraId="48FDABC0" w14:textId="77777777" w:rsidR="002E1C7F" w:rsidRPr="005049DD" w:rsidRDefault="002E1C7F" w:rsidP="00DE0C73">
      <w:pPr>
        <w:pStyle w:val="NormalWeb"/>
        <w:tabs>
          <w:tab w:val="left" w:pos="567"/>
          <w:tab w:val="left" w:pos="1701"/>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t>Challenges:</w:t>
      </w:r>
    </w:p>
    <w:p w14:paraId="46B2CAF4" w14:textId="3EC8A17C"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 xml:space="preserve">Lack of sustainable capacity development </w:t>
      </w:r>
      <w:proofErr w:type="spellStart"/>
      <w:r w:rsidRPr="005049DD">
        <w:rPr>
          <w:rFonts w:cstheme="minorHAnsi"/>
          <w:color w:val="000000"/>
          <w:szCs w:val="24"/>
          <w:lang w:val="en-US" w:eastAsia="en-GB"/>
        </w:rPr>
        <w:t>program</w:t>
      </w:r>
      <w:r w:rsidR="00330335" w:rsidRPr="005049DD">
        <w:rPr>
          <w:rFonts w:cstheme="minorHAnsi"/>
          <w:color w:val="000000"/>
          <w:szCs w:val="24"/>
          <w:lang w:val="en-US" w:eastAsia="en-GB"/>
        </w:rPr>
        <w:t>me</w:t>
      </w:r>
      <w:r w:rsidRPr="005049DD">
        <w:rPr>
          <w:rFonts w:cstheme="minorHAnsi"/>
          <w:color w:val="000000"/>
          <w:szCs w:val="24"/>
          <w:lang w:val="en-US" w:eastAsia="en-GB"/>
        </w:rPr>
        <w:t>s</w:t>
      </w:r>
      <w:proofErr w:type="spellEnd"/>
      <w:r w:rsidRPr="005049DD">
        <w:rPr>
          <w:rFonts w:cstheme="minorHAnsi"/>
          <w:color w:val="000000"/>
          <w:szCs w:val="24"/>
          <w:lang w:val="en-US" w:eastAsia="en-GB"/>
        </w:rPr>
        <w:t xml:space="preserve"> and educational artefacts, particularly training courses and long-term </w:t>
      </w:r>
      <w:proofErr w:type="spellStart"/>
      <w:r w:rsidRPr="005049DD">
        <w:rPr>
          <w:rFonts w:cstheme="minorHAnsi"/>
          <w:color w:val="000000"/>
          <w:szCs w:val="24"/>
          <w:lang w:val="en-US" w:eastAsia="en-GB"/>
        </w:rPr>
        <w:t>programmes</w:t>
      </w:r>
      <w:proofErr w:type="spellEnd"/>
      <w:r w:rsidRPr="005049DD">
        <w:rPr>
          <w:rFonts w:cstheme="minorHAnsi"/>
          <w:color w:val="000000"/>
          <w:szCs w:val="24"/>
          <w:lang w:val="en-US" w:eastAsia="en-GB"/>
        </w:rPr>
        <w:t xml:space="preserve"> for proper digital skills development, including consciousness on internet safety</w:t>
      </w:r>
      <w:r w:rsidRPr="005049DD">
        <w:rPr>
          <w:rFonts w:cstheme="minorHAnsi"/>
          <w:lang w:val="en-US"/>
        </w:rPr>
        <w:t xml:space="preserve"> </w:t>
      </w:r>
      <w:r w:rsidRPr="005049DD">
        <w:rPr>
          <w:rFonts w:cstheme="minorHAnsi"/>
          <w:color w:val="000000"/>
          <w:szCs w:val="24"/>
          <w:lang w:val="en-US" w:eastAsia="en-GB"/>
        </w:rPr>
        <w:t>and good practices for better device use.</w:t>
      </w:r>
    </w:p>
    <w:p w14:paraId="5420C330" w14:textId="3F6B096F" w:rsidR="002E1C7F" w:rsidRPr="00282E20"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 xml:space="preserve">Limited availability of high-speed broadband </w:t>
      </w:r>
      <w:r w:rsidR="00282E20">
        <w:rPr>
          <w:rFonts w:cstheme="minorHAnsi"/>
          <w:color w:val="000000"/>
          <w:szCs w:val="24"/>
          <w:lang w:val="en-US" w:eastAsia="en-GB"/>
        </w:rPr>
        <w:t>i</w:t>
      </w:r>
      <w:r w:rsidRPr="00282E20">
        <w:rPr>
          <w:rFonts w:cstheme="minorHAnsi"/>
          <w:color w:val="000000"/>
          <w:szCs w:val="24"/>
          <w:lang w:val="en-US" w:eastAsia="en-GB"/>
        </w:rPr>
        <w:t xml:space="preserve">nternet access and investment and special subsidy </w:t>
      </w:r>
      <w:proofErr w:type="spellStart"/>
      <w:r w:rsidRPr="00282E20">
        <w:rPr>
          <w:rFonts w:cstheme="minorHAnsi"/>
          <w:color w:val="000000"/>
          <w:szCs w:val="24"/>
          <w:lang w:val="en-US" w:eastAsia="en-GB"/>
        </w:rPr>
        <w:t>program</w:t>
      </w:r>
      <w:r w:rsidR="00330335" w:rsidRPr="00282E20">
        <w:rPr>
          <w:rFonts w:cstheme="minorHAnsi"/>
          <w:color w:val="000000"/>
          <w:szCs w:val="24"/>
          <w:lang w:val="en-US" w:eastAsia="en-GB"/>
        </w:rPr>
        <w:t>me</w:t>
      </w:r>
      <w:r w:rsidRPr="00282E20">
        <w:rPr>
          <w:rFonts w:cstheme="minorHAnsi"/>
          <w:color w:val="000000"/>
          <w:szCs w:val="24"/>
          <w:lang w:val="en-US" w:eastAsia="en-GB"/>
        </w:rPr>
        <w:t>s</w:t>
      </w:r>
      <w:proofErr w:type="spellEnd"/>
      <w:r w:rsidRPr="00282E20">
        <w:rPr>
          <w:rFonts w:cstheme="minorHAnsi"/>
          <w:color w:val="000000"/>
          <w:szCs w:val="24"/>
          <w:lang w:val="en-US" w:eastAsia="en-GB"/>
        </w:rPr>
        <w:t xml:space="preserve"> that allows people in vulnerable situations and those living in underserved areas to have basic access to capacity development resources.</w:t>
      </w:r>
    </w:p>
    <w:p w14:paraId="07ECEC65" w14:textId="77777777"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 xml:space="preserve">Few </w:t>
      </w:r>
      <w:proofErr w:type="spellStart"/>
      <w:r w:rsidRPr="005049DD">
        <w:rPr>
          <w:rFonts w:cstheme="minorHAnsi"/>
          <w:color w:val="000000"/>
          <w:szCs w:val="24"/>
          <w:lang w:val="en-US" w:eastAsia="en-GB"/>
        </w:rPr>
        <w:t>programmes</w:t>
      </w:r>
      <w:proofErr w:type="spellEnd"/>
      <w:r w:rsidRPr="005049DD">
        <w:rPr>
          <w:rFonts w:cstheme="minorHAnsi"/>
          <w:color w:val="000000"/>
          <w:szCs w:val="24"/>
          <w:lang w:val="en-US" w:eastAsia="en-GB"/>
        </w:rPr>
        <w:t xml:space="preserve"> for raising awareness and breaking barriers related to resistance to change in the adoption of ICTs, mainly for educational purposes in the public and private sectors. </w:t>
      </w:r>
    </w:p>
    <w:p w14:paraId="27359E02" w14:textId="3FAF3A5A"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 xml:space="preserve">Limited capacity development </w:t>
      </w:r>
      <w:proofErr w:type="spellStart"/>
      <w:r w:rsidRPr="005049DD">
        <w:rPr>
          <w:rFonts w:cstheme="minorHAnsi"/>
          <w:color w:val="000000"/>
          <w:szCs w:val="24"/>
          <w:lang w:val="en-US" w:eastAsia="en-GB"/>
        </w:rPr>
        <w:t>program</w:t>
      </w:r>
      <w:r w:rsidR="00330335" w:rsidRPr="005049DD">
        <w:rPr>
          <w:rFonts w:cstheme="minorHAnsi"/>
          <w:color w:val="000000"/>
          <w:szCs w:val="24"/>
          <w:lang w:val="en-US" w:eastAsia="en-GB"/>
        </w:rPr>
        <w:t>me</w:t>
      </w:r>
      <w:r w:rsidRPr="005049DD">
        <w:rPr>
          <w:rFonts w:cstheme="minorHAnsi"/>
          <w:color w:val="000000"/>
          <w:szCs w:val="24"/>
          <w:lang w:val="en-US" w:eastAsia="en-GB"/>
        </w:rPr>
        <w:t>s</w:t>
      </w:r>
      <w:proofErr w:type="spellEnd"/>
      <w:r w:rsidRPr="005049DD">
        <w:rPr>
          <w:rFonts w:cstheme="minorHAnsi"/>
          <w:color w:val="000000"/>
          <w:szCs w:val="24"/>
          <w:lang w:val="en-US" w:eastAsia="en-GB"/>
        </w:rPr>
        <w:t xml:space="preserve"> for building technical skills for the increase of employment and entrepreneurship opportunities.</w:t>
      </w:r>
    </w:p>
    <w:p w14:paraId="4EFB78DC" w14:textId="00D761B4"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 xml:space="preserve">Limited international collaborative platforms for sharing ideas and interchanging experiences in the field of capacity building for the co-creation of </w:t>
      </w:r>
      <w:proofErr w:type="spellStart"/>
      <w:r w:rsidRPr="005049DD">
        <w:rPr>
          <w:rFonts w:cstheme="minorHAnsi"/>
          <w:color w:val="000000"/>
          <w:szCs w:val="24"/>
          <w:lang w:val="en-US" w:eastAsia="en-GB"/>
        </w:rPr>
        <w:t>program</w:t>
      </w:r>
      <w:r w:rsidR="00330335" w:rsidRPr="005049DD">
        <w:rPr>
          <w:rFonts w:cstheme="minorHAnsi"/>
          <w:color w:val="000000"/>
          <w:szCs w:val="24"/>
          <w:lang w:val="en-US" w:eastAsia="en-GB"/>
        </w:rPr>
        <w:t>me</w:t>
      </w:r>
      <w:r w:rsidRPr="005049DD">
        <w:rPr>
          <w:rFonts w:cstheme="minorHAnsi"/>
          <w:color w:val="000000"/>
          <w:szCs w:val="24"/>
          <w:lang w:val="en-US" w:eastAsia="en-GB"/>
        </w:rPr>
        <w:t>s</w:t>
      </w:r>
      <w:proofErr w:type="spellEnd"/>
      <w:r w:rsidRPr="005049DD">
        <w:rPr>
          <w:rFonts w:cstheme="minorHAnsi"/>
          <w:color w:val="000000"/>
          <w:szCs w:val="24"/>
          <w:lang w:val="en-US" w:eastAsia="en-GB"/>
        </w:rPr>
        <w:t xml:space="preserve"> and initiatives.</w:t>
      </w:r>
    </w:p>
    <w:p w14:paraId="20586A5D" w14:textId="77777777"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szCs w:val="24"/>
          <w:lang w:val="en-US" w:eastAsia="en-GB"/>
        </w:rPr>
        <w:t>Limited investment in computer education and digital culture development, especially in benefit of young people living in rural and isolated areas.</w:t>
      </w:r>
    </w:p>
    <w:p w14:paraId="7AF52E79" w14:textId="6802ADDF"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val="en-US" w:eastAsia="en-GB"/>
        </w:rPr>
      </w:pPr>
      <w:r w:rsidRPr="005049DD">
        <w:rPr>
          <w:rFonts w:cstheme="minorHAnsi"/>
          <w:color w:val="000000"/>
          <w:lang w:val="en-US"/>
        </w:rPr>
        <w:t xml:space="preserve">Limited availability of appropriate </w:t>
      </w:r>
      <w:r w:rsidRPr="005049DD">
        <w:rPr>
          <w:rFonts w:cstheme="minorHAnsi"/>
          <w:lang w:val="en-US"/>
        </w:rPr>
        <w:t xml:space="preserve">financial and technical resources for the implementation of connected schools and community ICT centers for the development of digital skills </w:t>
      </w:r>
      <w:proofErr w:type="spellStart"/>
      <w:r w:rsidRPr="005049DD">
        <w:rPr>
          <w:rFonts w:cstheme="minorHAnsi"/>
          <w:lang w:val="en-US"/>
        </w:rPr>
        <w:t>program</w:t>
      </w:r>
      <w:r w:rsidR="00330335" w:rsidRPr="005049DD">
        <w:rPr>
          <w:rFonts w:cstheme="minorHAnsi"/>
          <w:lang w:val="en-US"/>
        </w:rPr>
        <w:t>me</w:t>
      </w:r>
      <w:r w:rsidRPr="005049DD">
        <w:rPr>
          <w:rFonts w:cstheme="minorHAnsi"/>
          <w:lang w:val="en-US"/>
        </w:rPr>
        <w:t>s</w:t>
      </w:r>
      <w:proofErr w:type="spellEnd"/>
      <w:r w:rsidRPr="005049DD">
        <w:rPr>
          <w:rFonts w:cstheme="minorHAnsi"/>
          <w:lang w:val="en-US"/>
        </w:rPr>
        <w:t xml:space="preserve">. </w:t>
      </w:r>
    </w:p>
    <w:p w14:paraId="2B04DD1B" w14:textId="77777777"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Coding is introduced too late in education when it should be introduced from a young age, at the practical level, to support building analytical &amp; problem-solving skills.</w:t>
      </w:r>
    </w:p>
    <w:p w14:paraId="31F9B6B9" w14:textId="77777777" w:rsidR="002E1C7F" w:rsidRPr="005049DD" w:rsidRDefault="002E1C7F" w:rsidP="00DE0C73">
      <w:pPr>
        <w:pStyle w:val="NormalWeb"/>
        <w:keepNext/>
        <w:tabs>
          <w:tab w:val="left" w:pos="567"/>
          <w:tab w:val="left" w:pos="1134"/>
          <w:tab w:val="left" w:pos="1701"/>
          <w:tab w:val="left" w:pos="2268"/>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lastRenderedPageBreak/>
        <w:t>Opportunities:</w:t>
      </w:r>
    </w:p>
    <w:p w14:paraId="53E393AC" w14:textId="5EE2C2C7"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 xml:space="preserve">Introducing ICT education programmes including </w:t>
      </w:r>
      <w:r w:rsidRPr="005049DD">
        <w:rPr>
          <w:rFonts w:cstheme="minorHAnsi"/>
          <w:color w:val="000000"/>
          <w:szCs w:val="24"/>
          <w:lang w:val="en-US" w:eastAsia="en-GB"/>
        </w:rPr>
        <w:t>consciousness</w:t>
      </w:r>
      <w:r w:rsidRPr="005049DD">
        <w:rPr>
          <w:rFonts w:cstheme="minorHAnsi"/>
          <w:color w:val="000000"/>
          <w:szCs w:val="24"/>
          <w:lang w:eastAsia="en-GB"/>
        </w:rPr>
        <w:t xml:space="preserve"> on </w:t>
      </w:r>
      <w:r w:rsidR="00282E20">
        <w:rPr>
          <w:rFonts w:cstheme="minorHAnsi"/>
          <w:color w:val="000000"/>
          <w:szCs w:val="24"/>
          <w:lang w:eastAsia="en-GB"/>
        </w:rPr>
        <w:t>i</w:t>
      </w:r>
      <w:r w:rsidRPr="005049DD">
        <w:rPr>
          <w:rFonts w:cstheme="minorHAnsi"/>
          <w:color w:val="000000"/>
          <w:szCs w:val="24"/>
          <w:lang w:eastAsia="en-GB"/>
        </w:rPr>
        <w:t>nternet safety practices from childhood, promoting responsible device use.</w:t>
      </w:r>
    </w:p>
    <w:p w14:paraId="5CA51DBA" w14:textId="1B1DCA45"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Funding availab</w:t>
      </w:r>
      <w:r w:rsidR="008F348A" w:rsidRPr="005049DD">
        <w:rPr>
          <w:rFonts w:cstheme="minorHAnsi"/>
          <w:color w:val="000000"/>
          <w:szCs w:val="24"/>
          <w:lang w:eastAsia="en-GB"/>
        </w:rPr>
        <w:t xml:space="preserve">ility for </w:t>
      </w:r>
      <w:r w:rsidR="001E354F">
        <w:rPr>
          <w:rFonts w:cstheme="minorHAnsi"/>
          <w:color w:val="000000"/>
          <w:szCs w:val="24"/>
          <w:lang w:eastAsia="en-GB"/>
        </w:rPr>
        <w:t>M</w:t>
      </w:r>
      <w:r w:rsidRPr="005049DD">
        <w:rPr>
          <w:rFonts w:cstheme="minorHAnsi"/>
          <w:color w:val="000000"/>
          <w:szCs w:val="24"/>
          <w:lang w:eastAsia="en-GB"/>
        </w:rPr>
        <w:t xml:space="preserve">ember </w:t>
      </w:r>
      <w:r w:rsidR="001E354F">
        <w:rPr>
          <w:rFonts w:cstheme="minorHAnsi"/>
          <w:color w:val="000000"/>
          <w:szCs w:val="24"/>
          <w:lang w:eastAsia="en-GB"/>
        </w:rPr>
        <w:t>S</w:t>
      </w:r>
      <w:r w:rsidRPr="005049DD">
        <w:rPr>
          <w:rFonts w:cstheme="minorHAnsi"/>
          <w:color w:val="000000"/>
          <w:szCs w:val="24"/>
          <w:lang w:eastAsia="en-GB"/>
        </w:rPr>
        <w:t>tates within the Americas region is important to support people in vulnerable situations to assist with device acquisition and digital skills development.</w:t>
      </w:r>
    </w:p>
    <w:p w14:paraId="45724628" w14:textId="7DC6545B"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 xml:space="preserve">Workshops, seminars and events in general are important to promote collaboration between </w:t>
      </w:r>
      <w:r w:rsidR="008F348A" w:rsidRPr="005049DD">
        <w:rPr>
          <w:rFonts w:cstheme="minorHAnsi"/>
          <w:color w:val="000000"/>
          <w:szCs w:val="24"/>
          <w:lang w:eastAsia="en-GB"/>
        </w:rPr>
        <w:t>ITU m</w:t>
      </w:r>
      <w:r w:rsidRPr="005049DD">
        <w:rPr>
          <w:rFonts w:cstheme="minorHAnsi"/>
          <w:color w:val="000000"/>
          <w:szCs w:val="24"/>
          <w:lang w:eastAsia="en-GB"/>
        </w:rPr>
        <w:t xml:space="preserve">embers </w:t>
      </w:r>
      <w:r w:rsidR="008F348A" w:rsidRPr="005049DD">
        <w:rPr>
          <w:rFonts w:cstheme="minorHAnsi"/>
          <w:color w:val="000000"/>
          <w:szCs w:val="24"/>
          <w:lang w:eastAsia="en-GB"/>
        </w:rPr>
        <w:t>s</w:t>
      </w:r>
      <w:r w:rsidRPr="005049DD">
        <w:rPr>
          <w:rFonts w:cstheme="minorHAnsi"/>
          <w:color w:val="000000"/>
          <w:szCs w:val="24"/>
          <w:lang w:eastAsia="en-GB"/>
        </w:rPr>
        <w:t>tates from the Americas region, in order to build good practices and knowledge sharing platforms for supporting countries to adopt new technologies for the improvement of digital capacity and literacy within the region.</w:t>
      </w:r>
    </w:p>
    <w:p w14:paraId="5AA9E4D9" w14:textId="77777777"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The promotion of a continuous learning process that considers the use of emerging technologies is crucial to meet the evolving education and industry standards in both the public and private sectors.</w:t>
      </w:r>
    </w:p>
    <w:p w14:paraId="705ED5DE" w14:textId="10909E3D" w:rsidR="002E1C7F" w:rsidRPr="005049DD" w:rsidRDefault="002E1C7F"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The active participation of youth in ICT capacity development activities and program</w:t>
      </w:r>
      <w:r w:rsidR="00330335" w:rsidRPr="005049DD">
        <w:rPr>
          <w:rFonts w:cstheme="minorHAnsi"/>
          <w:color w:val="000000"/>
          <w:szCs w:val="24"/>
          <w:lang w:eastAsia="en-GB"/>
        </w:rPr>
        <w:t>me</w:t>
      </w:r>
      <w:r w:rsidRPr="005049DD">
        <w:rPr>
          <w:rFonts w:cstheme="minorHAnsi"/>
          <w:color w:val="000000"/>
          <w:szCs w:val="24"/>
          <w:lang w:eastAsia="en-GB"/>
        </w:rPr>
        <w:t xml:space="preserve">s can create opportunities to </w:t>
      </w:r>
      <w:r w:rsidRPr="005049DD">
        <w:rPr>
          <w:rFonts w:cstheme="minorHAnsi"/>
          <w:color w:val="000000"/>
          <w:szCs w:val="24"/>
          <w:lang w:val="en-US" w:eastAsia="en-GB"/>
        </w:rPr>
        <w:t xml:space="preserve">increase employment and entrepreneurship </w:t>
      </w:r>
      <w:r w:rsidRPr="005049DD">
        <w:rPr>
          <w:rFonts w:cstheme="minorHAnsi"/>
          <w:color w:val="000000"/>
          <w:szCs w:val="24"/>
          <w:lang w:eastAsia="en-GB"/>
        </w:rPr>
        <w:t xml:space="preserve">for the region. </w:t>
      </w:r>
      <w:proofErr w:type="gramStart"/>
      <w:r w:rsidRPr="005049DD">
        <w:rPr>
          <w:rFonts w:cstheme="minorHAnsi"/>
          <w:color w:val="000000"/>
          <w:szCs w:val="24"/>
          <w:lang w:eastAsia="en-GB"/>
        </w:rPr>
        <w:t>In light of</w:t>
      </w:r>
      <w:proofErr w:type="gramEnd"/>
      <w:r w:rsidRPr="005049DD">
        <w:rPr>
          <w:rFonts w:cstheme="minorHAnsi"/>
          <w:color w:val="000000"/>
          <w:szCs w:val="24"/>
          <w:lang w:eastAsia="en-GB"/>
        </w:rPr>
        <w:t xml:space="preserve"> the COVID-19 pandemic, to convert challenges into opportunities it is important to rapidly develop young professionals with digital skills.</w:t>
      </w:r>
    </w:p>
    <w:p w14:paraId="013F9D8A" w14:textId="77777777" w:rsidR="002E1C7F" w:rsidRPr="005049DD" w:rsidRDefault="002E1C7F" w:rsidP="00DE0C73">
      <w:pPr>
        <w:pStyle w:val="NormalWeb"/>
        <w:tabs>
          <w:tab w:val="left" w:pos="567"/>
          <w:tab w:val="left" w:pos="1134"/>
          <w:tab w:val="left" w:pos="1701"/>
          <w:tab w:val="left" w:pos="2268"/>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 xml:space="preserve">Based on the above, the GC-AMS recommends the following </w:t>
      </w:r>
      <w:r w:rsidRPr="005049DD">
        <w:rPr>
          <w:rFonts w:asciiTheme="minorHAnsi" w:hAnsiTheme="minorHAnsi" w:cstheme="minorHAnsi"/>
          <w:b/>
          <w:bCs/>
          <w:i/>
          <w:iCs/>
          <w:color w:val="000000"/>
          <w:u w:val="single"/>
        </w:rPr>
        <w:t>Actions</w:t>
      </w:r>
      <w:r w:rsidRPr="005049DD">
        <w:rPr>
          <w:rFonts w:asciiTheme="minorHAnsi" w:hAnsiTheme="minorHAnsi" w:cstheme="minorHAnsi"/>
          <w:b/>
          <w:bCs/>
          <w:i/>
          <w:iCs/>
          <w:color w:val="000000"/>
        </w:rPr>
        <w:t>:</w:t>
      </w:r>
    </w:p>
    <w:p w14:paraId="008B5C3A" w14:textId="77777777" w:rsidR="002E1C7F" w:rsidRPr="005049DD" w:rsidRDefault="002E1C7F" w:rsidP="00DE0C73">
      <w:pPr>
        <w:pStyle w:val="NormalWeb"/>
        <w:numPr>
          <w:ilvl w:val="0"/>
          <w:numId w:val="4"/>
        </w:numPr>
        <w:tabs>
          <w:tab w:val="left" w:pos="567"/>
          <w:tab w:val="left" w:pos="1701"/>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Create regional communities or knowledge-sharing platforms that promote continuous digital skills development through collaborative efforts between young people and ICT industries.</w:t>
      </w:r>
    </w:p>
    <w:p w14:paraId="7D5DCD2C" w14:textId="5BED9CD2" w:rsidR="002E1C7F" w:rsidRPr="005049DD" w:rsidRDefault="002E1C7F" w:rsidP="00DE0C73">
      <w:pPr>
        <w:pStyle w:val="NormalWeb"/>
        <w:numPr>
          <w:ilvl w:val="0"/>
          <w:numId w:val="4"/>
        </w:numPr>
        <w:tabs>
          <w:tab w:val="left" w:pos="567"/>
          <w:tab w:val="left" w:pos="1134"/>
          <w:tab w:val="left" w:pos="1701"/>
          <w:tab w:val="left" w:pos="2268"/>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Encourage countries to develop mentorship program</w:t>
      </w:r>
      <w:r w:rsidR="00330335" w:rsidRPr="005049DD">
        <w:rPr>
          <w:rFonts w:asciiTheme="minorHAnsi" w:hAnsiTheme="minorHAnsi" w:cstheme="minorHAnsi"/>
          <w:color w:val="000000"/>
        </w:rPr>
        <w:t>me</w:t>
      </w:r>
      <w:r w:rsidRPr="005049DD">
        <w:rPr>
          <w:rFonts w:asciiTheme="minorHAnsi" w:hAnsiTheme="minorHAnsi" w:cstheme="minorHAnsi"/>
          <w:color w:val="000000"/>
        </w:rPr>
        <w:t xml:space="preserve">s and networking opportunities for young people.  </w:t>
      </w:r>
    </w:p>
    <w:p w14:paraId="12950DDA" w14:textId="77777777" w:rsidR="002E1C7F" w:rsidRPr="005049DD" w:rsidRDefault="002E1C7F" w:rsidP="00DE0C73">
      <w:pPr>
        <w:pStyle w:val="NormalWeb"/>
        <w:numPr>
          <w:ilvl w:val="0"/>
          <w:numId w:val="4"/>
        </w:numPr>
        <w:tabs>
          <w:tab w:val="left" w:pos="567"/>
          <w:tab w:val="left" w:pos="1134"/>
          <w:tab w:val="left" w:pos="1701"/>
          <w:tab w:val="left" w:pos="2268"/>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Create more opportunities in the region to enhance the quality and recognition of the work of youth through virtual workshops and common knowledge-sharing platforms.</w:t>
      </w:r>
    </w:p>
    <w:p w14:paraId="7B412EE5" w14:textId="3C9F1222" w:rsidR="002E1C7F" w:rsidRPr="005049DD" w:rsidRDefault="002E1C7F" w:rsidP="00DE0C73">
      <w:pPr>
        <w:pStyle w:val="NormalWeb"/>
        <w:numPr>
          <w:ilvl w:val="0"/>
          <w:numId w:val="4"/>
        </w:numPr>
        <w:tabs>
          <w:tab w:val="left" w:pos="567"/>
          <w:tab w:val="left" w:pos="1134"/>
          <w:tab w:val="left" w:pos="1701"/>
          <w:tab w:val="left" w:pos="2268"/>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 xml:space="preserve">Facilitate the development of </w:t>
      </w:r>
      <w:proofErr w:type="gramStart"/>
      <w:r w:rsidRPr="005049DD">
        <w:rPr>
          <w:rFonts w:asciiTheme="minorHAnsi" w:hAnsiTheme="minorHAnsi" w:cstheme="minorHAnsi"/>
          <w:color w:val="000000"/>
        </w:rPr>
        <w:t>a</w:t>
      </w:r>
      <w:proofErr w:type="gramEnd"/>
      <w:r w:rsidRPr="005049DD">
        <w:rPr>
          <w:rFonts w:asciiTheme="minorHAnsi" w:hAnsiTheme="minorHAnsi" w:cstheme="minorHAnsi"/>
          <w:color w:val="000000"/>
        </w:rPr>
        <w:t xml:space="preserve"> SDG-compliant curriculum, geared towards educating persons of varying ages and background on the responsible use of ICTs, promoting basic and advanced digital literacy program</w:t>
      </w:r>
      <w:r w:rsidR="00330335" w:rsidRPr="005049DD">
        <w:rPr>
          <w:rFonts w:asciiTheme="minorHAnsi" w:hAnsiTheme="minorHAnsi" w:cstheme="minorHAnsi"/>
          <w:color w:val="000000"/>
        </w:rPr>
        <w:t>me</w:t>
      </w:r>
      <w:r w:rsidRPr="005049DD">
        <w:rPr>
          <w:rFonts w:asciiTheme="minorHAnsi" w:hAnsiTheme="minorHAnsi" w:cstheme="minorHAnsi"/>
          <w:color w:val="000000"/>
        </w:rPr>
        <w:t xml:space="preserve">s for the creation of employment opportunities. </w:t>
      </w:r>
    </w:p>
    <w:p w14:paraId="0EB10B12" w14:textId="77777777" w:rsidR="002E1C7F" w:rsidRPr="005049DD" w:rsidRDefault="002E1C7F" w:rsidP="00DE0C73">
      <w:pPr>
        <w:pStyle w:val="NormalWeb"/>
        <w:numPr>
          <w:ilvl w:val="0"/>
          <w:numId w:val="4"/>
        </w:numPr>
        <w:tabs>
          <w:tab w:val="left" w:pos="567"/>
          <w:tab w:val="left" w:pos="1701"/>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 xml:space="preserve">Strengthen cooperation among countries of the region to adapt curricula and training methods to improve the adoption and appropriation of ICTs. </w:t>
      </w:r>
    </w:p>
    <w:p w14:paraId="39025907" w14:textId="77777777" w:rsidR="002E1C7F" w:rsidRPr="005049DD" w:rsidRDefault="002E1C7F" w:rsidP="00DE0C73">
      <w:pPr>
        <w:pStyle w:val="ListParagraph"/>
        <w:numPr>
          <w:ilvl w:val="0"/>
          <w:numId w:val="4"/>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Encourage countries to cooperate and build good practices and knowledge-sharing platforms for the adoption of new technologies aiming at the improvement of digital capacity and literacy within the region.</w:t>
      </w:r>
    </w:p>
    <w:p w14:paraId="2A1E30D2" w14:textId="503EC0C0" w:rsidR="002E1C7F" w:rsidRPr="005049DD" w:rsidRDefault="002E1C7F" w:rsidP="00DE0C73">
      <w:pPr>
        <w:pStyle w:val="NormalWeb"/>
        <w:numPr>
          <w:ilvl w:val="0"/>
          <w:numId w:val="4"/>
        </w:numPr>
        <w:tabs>
          <w:tab w:val="left" w:pos="567"/>
          <w:tab w:val="left" w:pos="1701"/>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Encourage countries within the region to promote entrepreneurial program</w:t>
      </w:r>
      <w:r w:rsidR="00330335" w:rsidRPr="005049DD">
        <w:rPr>
          <w:rFonts w:asciiTheme="minorHAnsi" w:hAnsiTheme="minorHAnsi" w:cstheme="minorHAnsi"/>
          <w:color w:val="000000"/>
        </w:rPr>
        <w:t>me</w:t>
      </w:r>
      <w:r w:rsidRPr="005049DD">
        <w:rPr>
          <w:rFonts w:asciiTheme="minorHAnsi" w:hAnsiTheme="minorHAnsi" w:cstheme="minorHAnsi"/>
          <w:color w:val="000000"/>
        </w:rPr>
        <w:t>s and initiatives that allow youth to generate their own opportunities.</w:t>
      </w:r>
    </w:p>
    <w:p w14:paraId="71D5BABB" w14:textId="455C000E" w:rsidR="002E1B4E" w:rsidRPr="005049DD" w:rsidRDefault="002E1B4E" w:rsidP="00DE0C73">
      <w:pPr>
        <w:pStyle w:val="NormalWeb"/>
        <w:keepNext/>
        <w:numPr>
          <w:ilvl w:val="0"/>
          <w:numId w:val="24"/>
        </w:numPr>
        <w:tabs>
          <w:tab w:val="left" w:pos="567"/>
          <w:tab w:val="left" w:pos="1134"/>
          <w:tab w:val="left" w:pos="1701"/>
          <w:tab w:val="left" w:pos="2268"/>
        </w:tabs>
        <w:spacing w:before="120" w:beforeAutospacing="0" w:after="120" w:afterAutospacing="0"/>
        <w:outlineLvl w:val="1"/>
        <w:rPr>
          <w:rFonts w:asciiTheme="minorHAnsi" w:hAnsiTheme="minorHAnsi" w:cstheme="minorHAnsi"/>
          <w:b/>
          <w:bCs/>
          <w:color w:val="000000"/>
        </w:rPr>
      </w:pPr>
      <w:r w:rsidRPr="005049DD">
        <w:rPr>
          <w:rFonts w:asciiTheme="minorHAnsi" w:hAnsiTheme="minorHAnsi" w:cstheme="minorHAnsi"/>
          <w:b/>
          <w:bCs/>
          <w:color w:val="000000"/>
        </w:rPr>
        <w:t>DIGITAL INC</w:t>
      </w:r>
      <w:r w:rsidR="00B8717A" w:rsidRPr="005049DD">
        <w:rPr>
          <w:rFonts w:asciiTheme="minorHAnsi" w:hAnsiTheme="minorHAnsi" w:cstheme="minorHAnsi"/>
          <w:b/>
          <w:bCs/>
          <w:color w:val="000000"/>
        </w:rPr>
        <w:t>L</w:t>
      </w:r>
      <w:r w:rsidRPr="005049DD">
        <w:rPr>
          <w:rFonts w:asciiTheme="minorHAnsi" w:hAnsiTheme="minorHAnsi" w:cstheme="minorHAnsi"/>
          <w:b/>
          <w:bCs/>
          <w:color w:val="000000"/>
        </w:rPr>
        <w:t>USION</w:t>
      </w:r>
      <w:bookmarkStart w:id="9" w:name="_Hlk67730800"/>
    </w:p>
    <w:p w14:paraId="144A6BAA" w14:textId="09D4C629" w:rsidR="004604F7" w:rsidRPr="005049DD" w:rsidRDefault="004604F7" w:rsidP="00DE0C73">
      <w:pPr>
        <w:pStyle w:val="NormalWeb"/>
        <w:tabs>
          <w:tab w:val="left" w:pos="567"/>
          <w:tab w:val="left" w:pos="1701"/>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Considering that…</w:t>
      </w:r>
    </w:p>
    <w:bookmarkEnd w:id="9"/>
    <w:p w14:paraId="0611268A" w14:textId="1D96C75A" w:rsidR="004604F7" w:rsidRPr="005049DD" w:rsidRDefault="004604F7" w:rsidP="00DE0C73">
      <w:pPr>
        <w:pStyle w:val="NormalWeb"/>
        <w:keepNext/>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 xml:space="preserve">Digital inclusion represents achieving equal access, use and appropriation of technologies by everyone with no distinction of age, gender, language, geographical location, ethnic group or socioeconomic status. In many countries of the Americas region, poverty and inequality are </w:t>
      </w:r>
      <w:r w:rsidRPr="005049DD">
        <w:rPr>
          <w:rFonts w:asciiTheme="minorHAnsi" w:hAnsiTheme="minorHAnsi" w:cstheme="minorHAnsi"/>
          <w:color w:val="000000"/>
        </w:rPr>
        <w:lastRenderedPageBreak/>
        <w:t xml:space="preserve">recognized as structural problems, which constitute an obstacle for the promotion of digital inclusion since these issues restrict access to ICTs and impact equitable sustainable development.  </w:t>
      </w:r>
    </w:p>
    <w:p w14:paraId="5B001E13" w14:textId="76DAB439" w:rsidR="004604F7" w:rsidRPr="005049DD" w:rsidRDefault="004604F7" w:rsidP="00DE0C73">
      <w:pPr>
        <w:pStyle w:val="NormalWeb"/>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In order to connect the unconnected and leave no one behind, the region needs to go further and promote digital inclusion by considering actions that are mainly in benefit of vulnerable groups</w:t>
      </w:r>
      <w:r w:rsidR="00100233">
        <w:rPr>
          <w:rFonts w:asciiTheme="minorHAnsi" w:hAnsiTheme="minorHAnsi" w:cstheme="minorHAnsi"/>
          <w:color w:val="000000"/>
        </w:rPr>
        <w:t>,</w:t>
      </w:r>
      <w:r w:rsidRPr="005049DD">
        <w:rPr>
          <w:rFonts w:asciiTheme="minorHAnsi" w:hAnsiTheme="minorHAnsi" w:cstheme="minorHAnsi"/>
          <w:color w:val="000000"/>
        </w:rPr>
        <w:t xml:space="preserve"> such as girls and women, youth, children, indigenous people, the elderly and persons with disabilities. It is relevant to identify the groups most affected by the digital divide. A holistic view is required for success</w:t>
      </w:r>
      <w:r w:rsidR="00100233">
        <w:rPr>
          <w:rFonts w:asciiTheme="minorHAnsi" w:hAnsiTheme="minorHAnsi" w:cstheme="minorHAnsi"/>
          <w:color w:val="000000"/>
        </w:rPr>
        <w:t>ful</w:t>
      </w:r>
      <w:r w:rsidRPr="005049DD">
        <w:rPr>
          <w:rFonts w:asciiTheme="minorHAnsi" w:hAnsiTheme="minorHAnsi" w:cstheme="minorHAnsi"/>
          <w:color w:val="000000"/>
        </w:rPr>
        <w:t xml:space="preserve"> implementation of digital inclusion </w:t>
      </w:r>
      <w:r w:rsidR="00F520A7">
        <w:rPr>
          <w:rFonts w:asciiTheme="minorHAnsi" w:hAnsiTheme="minorHAnsi" w:cstheme="minorHAnsi"/>
          <w:color w:val="000000"/>
        </w:rPr>
        <w:t>due to the</w:t>
      </w:r>
      <w:r w:rsidRPr="005049DD">
        <w:rPr>
          <w:rFonts w:asciiTheme="minorHAnsi" w:hAnsiTheme="minorHAnsi" w:cstheme="minorHAnsi"/>
          <w:color w:val="000000"/>
        </w:rPr>
        <w:t xml:space="preserve"> importan</w:t>
      </w:r>
      <w:r w:rsidR="00F520A7">
        <w:rPr>
          <w:rFonts w:asciiTheme="minorHAnsi" w:hAnsiTheme="minorHAnsi" w:cstheme="minorHAnsi"/>
          <w:color w:val="000000"/>
        </w:rPr>
        <w:t>ce of</w:t>
      </w:r>
      <w:r w:rsidRPr="005049DD">
        <w:rPr>
          <w:rFonts w:asciiTheme="minorHAnsi" w:hAnsiTheme="minorHAnsi" w:cstheme="minorHAnsi"/>
          <w:color w:val="000000"/>
        </w:rPr>
        <w:t xml:space="preserve"> </w:t>
      </w:r>
      <w:r w:rsidR="00F520A7">
        <w:rPr>
          <w:rFonts w:asciiTheme="minorHAnsi" w:hAnsiTheme="minorHAnsi" w:cstheme="minorHAnsi"/>
          <w:color w:val="000000"/>
        </w:rPr>
        <w:t>considering country</w:t>
      </w:r>
      <w:r w:rsidRPr="005049DD">
        <w:rPr>
          <w:rFonts w:asciiTheme="minorHAnsi" w:hAnsiTheme="minorHAnsi" w:cstheme="minorHAnsi"/>
          <w:color w:val="000000"/>
        </w:rPr>
        <w:t xml:space="preserve"> particularit</w:t>
      </w:r>
      <w:r w:rsidR="00F520A7">
        <w:rPr>
          <w:rFonts w:asciiTheme="minorHAnsi" w:hAnsiTheme="minorHAnsi" w:cstheme="minorHAnsi"/>
          <w:color w:val="000000"/>
        </w:rPr>
        <w:t>ies</w:t>
      </w:r>
      <w:r w:rsidRPr="005049DD">
        <w:rPr>
          <w:rFonts w:asciiTheme="minorHAnsi" w:hAnsiTheme="minorHAnsi" w:cstheme="minorHAnsi"/>
          <w:color w:val="000000"/>
        </w:rPr>
        <w:t xml:space="preserve"> such as culture, language, and social and economic contexts. In this sense, the development of policies and strategies for the promotion of digital inclusion should be in strong alignment with the 2030 Agenda</w:t>
      </w:r>
      <w:r w:rsidR="002E4BB0" w:rsidRPr="005049DD">
        <w:rPr>
          <w:rFonts w:asciiTheme="minorHAnsi" w:hAnsiTheme="minorHAnsi" w:cstheme="minorHAnsi"/>
          <w:color w:val="000000"/>
        </w:rPr>
        <w:t>.</w:t>
      </w:r>
    </w:p>
    <w:p w14:paraId="2E8EA39B" w14:textId="77777777" w:rsidR="004604F7" w:rsidRPr="005049DD" w:rsidRDefault="004604F7" w:rsidP="00DE0C73">
      <w:pPr>
        <w:pStyle w:val="NormalWeb"/>
        <w:tabs>
          <w:tab w:val="left" w:pos="567"/>
          <w:tab w:val="left" w:pos="1701"/>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The GC-AMS members identified the following challenges and opportunities:</w:t>
      </w:r>
    </w:p>
    <w:p w14:paraId="31274FF2" w14:textId="77777777" w:rsidR="004604F7" w:rsidRPr="005049DD" w:rsidRDefault="004604F7" w:rsidP="00DE0C73">
      <w:pPr>
        <w:pStyle w:val="NormalWeb"/>
        <w:tabs>
          <w:tab w:val="left" w:pos="567"/>
          <w:tab w:val="left" w:pos="1701"/>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t>Challenges:</w:t>
      </w:r>
    </w:p>
    <w:p w14:paraId="4C32BA33" w14:textId="2BFAA8BC" w:rsidR="004604F7" w:rsidRPr="005049DD" w:rsidRDefault="004604F7"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 xml:space="preserve">Lack of accurate national or regional data that </w:t>
      </w:r>
      <w:r w:rsidR="000C379A">
        <w:rPr>
          <w:rFonts w:cstheme="minorHAnsi"/>
          <w:color w:val="000000"/>
          <w:szCs w:val="24"/>
          <w:lang w:eastAsia="en-GB"/>
        </w:rPr>
        <w:t>permits</w:t>
      </w:r>
      <w:r w:rsidRPr="005049DD">
        <w:rPr>
          <w:rFonts w:cstheme="minorHAnsi"/>
          <w:color w:val="000000"/>
          <w:szCs w:val="24"/>
          <w:lang w:eastAsia="en-GB"/>
        </w:rPr>
        <w:t xml:space="preserve"> the identification of local groups/communities affected by the digital divide. This represents a major challenge in the region, </w:t>
      </w:r>
      <w:r w:rsidR="00AB3569">
        <w:rPr>
          <w:rFonts w:cstheme="minorHAnsi"/>
          <w:color w:val="000000"/>
          <w:szCs w:val="24"/>
          <w:lang w:eastAsia="en-GB"/>
        </w:rPr>
        <w:t>especially</w:t>
      </w:r>
      <w:r w:rsidRPr="005049DD">
        <w:rPr>
          <w:rFonts w:cstheme="minorHAnsi"/>
          <w:color w:val="000000"/>
          <w:szCs w:val="24"/>
          <w:lang w:eastAsia="en-GB"/>
        </w:rPr>
        <w:t xml:space="preserve"> considering </w:t>
      </w:r>
      <w:r w:rsidR="00AB3569">
        <w:rPr>
          <w:rFonts w:cstheme="minorHAnsi"/>
          <w:color w:val="000000"/>
          <w:szCs w:val="24"/>
          <w:lang w:eastAsia="en-GB"/>
        </w:rPr>
        <w:t>the</w:t>
      </w:r>
      <w:r w:rsidRPr="005049DD">
        <w:rPr>
          <w:rFonts w:cstheme="minorHAnsi"/>
          <w:color w:val="000000"/>
          <w:szCs w:val="24"/>
          <w:lang w:eastAsia="en-GB"/>
        </w:rPr>
        <w:t xml:space="preserve"> many forms of inequality. </w:t>
      </w:r>
    </w:p>
    <w:p w14:paraId="03F1254D" w14:textId="062A5AF0" w:rsidR="002E4BB0" w:rsidRPr="005049DD" w:rsidRDefault="002E4BB0"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proofErr w:type="spellStart"/>
      <w:r w:rsidRPr="005049DD">
        <w:rPr>
          <w:rFonts w:cstheme="minorHAnsi"/>
          <w:color w:val="000000"/>
          <w:szCs w:val="24"/>
          <w:lang w:eastAsia="en-GB"/>
        </w:rPr>
        <w:t>Altough</w:t>
      </w:r>
      <w:proofErr w:type="spellEnd"/>
      <w:r w:rsidRPr="005049DD">
        <w:rPr>
          <w:rFonts w:cstheme="minorHAnsi"/>
          <w:color w:val="000000"/>
          <w:szCs w:val="24"/>
          <w:lang w:eastAsia="en-GB"/>
        </w:rPr>
        <w:t xml:space="preserve"> the gender gap in</w:t>
      </w:r>
      <w:r w:rsidR="00D53DA9">
        <w:rPr>
          <w:rFonts w:cstheme="minorHAnsi"/>
          <w:color w:val="000000"/>
          <w:szCs w:val="24"/>
          <w:lang w:eastAsia="en-GB"/>
        </w:rPr>
        <w:t xml:space="preserve"> internet </w:t>
      </w:r>
      <w:r w:rsidR="000D66A9">
        <w:rPr>
          <w:rFonts w:cstheme="minorHAnsi"/>
          <w:color w:val="000000"/>
          <w:szCs w:val="24"/>
          <w:lang w:eastAsia="en-GB"/>
        </w:rPr>
        <w:t>access and use</w:t>
      </w:r>
      <w:r w:rsidR="00D53DA9">
        <w:rPr>
          <w:rFonts w:cstheme="minorHAnsi"/>
          <w:color w:val="000000"/>
          <w:szCs w:val="24"/>
          <w:lang w:eastAsia="en-GB"/>
        </w:rPr>
        <w:t xml:space="preserve"> in</w:t>
      </w:r>
      <w:r w:rsidRPr="005049DD">
        <w:rPr>
          <w:rFonts w:cstheme="minorHAnsi"/>
          <w:color w:val="000000"/>
          <w:szCs w:val="24"/>
          <w:lang w:eastAsia="en-GB"/>
        </w:rPr>
        <w:t xml:space="preserve"> the Americas </w:t>
      </w:r>
      <w:r w:rsidR="007C27FD">
        <w:rPr>
          <w:rFonts w:cstheme="minorHAnsi"/>
          <w:color w:val="000000"/>
          <w:szCs w:val="24"/>
          <w:lang w:eastAsia="en-GB"/>
        </w:rPr>
        <w:t xml:space="preserve">region </w:t>
      </w:r>
      <w:r w:rsidRPr="005049DD">
        <w:rPr>
          <w:rFonts w:cstheme="minorHAnsi"/>
          <w:color w:val="000000"/>
          <w:szCs w:val="24"/>
          <w:lang w:eastAsia="en-GB"/>
        </w:rPr>
        <w:t xml:space="preserve">has </w:t>
      </w:r>
      <w:proofErr w:type="spellStart"/>
      <w:r w:rsidRPr="005049DD">
        <w:rPr>
          <w:rFonts w:cstheme="minorHAnsi"/>
          <w:color w:val="000000"/>
          <w:szCs w:val="24"/>
          <w:lang w:eastAsia="en-GB"/>
        </w:rPr>
        <w:t>shrinked</w:t>
      </w:r>
      <w:proofErr w:type="spellEnd"/>
      <w:r w:rsidRPr="005049DD">
        <w:rPr>
          <w:rFonts w:cstheme="minorHAnsi"/>
          <w:color w:val="000000"/>
          <w:szCs w:val="24"/>
          <w:lang w:eastAsia="en-GB"/>
        </w:rPr>
        <w:t xml:space="preserve"> throughout the years, there is still a significant </w:t>
      </w:r>
      <w:r w:rsidR="000224F8">
        <w:rPr>
          <w:rFonts w:cstheme="minorHAnsi"/>
          <w:color w:val="000000"/>
          <w:szCs w:val="24"/>
          <w:lang w:eastAsia="en-GB"/>
        </w:rPr>
        <w:t xml:space="preserve">digital </w:t>
      </w:r>
      <w:r w:rsidRPr="005049DD">
        <w:rPr>
          <w:rFonts w:cstheme="minorHAnsi"/>
          <w:color w:val="000000"/>
          <w:szCs w:val="24"/>
          <w:lang w:eastAsia="en-GB"/>
        </w:rPr>
        <w:t>gender gap in Latin America and the Caribbean, which becomes more accentuated in rural areas.</w:t>
      </w:r>
    </w:p>
    <w:p w14:paraId="0A0D7053" w14:textId="16F606DA"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 xml:space="preserve">One of the main challenges in the region is lack of digital literacy. People who are significantly affected by the digital divide are those lacking the required skills to benefit from the power of ICTs, keeping them far from work and educational opportunities. </w:t>
      </w:r>
    </w:p>
    <w:p w14:paraId="409ACA56" w14:textId="4815381A"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 xml:space="preserve">Language can constitute a major barrier </w:t>
      </w:r>
      <w:r w:rsidR="007E3978">
        <w:rPr>
          <w:rFonts w:cstheme="minorHAnsi"/>
          <w:color w:val="000000"/>
          <w:szCs w:val="24"/>
          <w:lang w:eastAsia="en-GB"/>
        </w:rPr>
        <w:t>for</w:t>
      </w:r>
      <w:r w:rsidRPr="005049DD">
        <w:rPr>
          <w:rFonts w:cstheme="minorHAnsi"/>
          <w:color w:val="000000"/>
          <w:szCs w:val="24"/>
          <w:lang w:eastAsia="en-GB"/>
        </w:rPr>
        <w:t xml:space="preserve"> the effective promotion of digital inclusion </w:t>
      </w:r>
      <w:r w:rsidR="007E3978">
        <w:rPr>
          <w:rFonts w:cstheme="minorHAnsi"/>
          <w:color w:val="000000"/>
          <w:szCs w:val="24"/>
          <w:lang w:eastAsia="en-GB"/>
        </w:rPr>
        <w:t>in</w:t>
      </w:r>
      <w:r w:rsidRPr="005049DD">
        <w:rPr>
          <w:rFonts w:cstheme="minorHAnsi"/>
          <w:color w:val="000000"/>
          <w:szCs w:val="24"/>
          <w:lang w:eastAsia="en-GB"/>
        </w:rPr>
        <w:t xml:space="preserve"> indigenous communities. </w:t>
      </w:r>
    </w:p>
    <w:p w14:paraId="0D512933" w14:textId="77777777"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Lack of appropriate network infrastructure and affordable access to broadband represents one of the main barriers to digital inclusion.</w:t>
      </w:r>
    </w:p>
    <w:p w14:paraId="35231FAA" w14:textId="6B8DE959" w:rsidR="002E4BB0" w:rsidRPr="005049DD" w:rsidRDefault="002E4BB0"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Youth is often left out of consultation and communication process</w:t>
      </w:r>
      <w:r w:rsidR="009737C4" w:rsidRPr="005049DD">
        <w:rPr>
          <w:rFonts w:cstheme="minorHAnsi"/>
          <w:color w:val="000000"/>
          <w:szCs w:val="24"/>
          <w:lang w:eastAsia="en-GB"/>
        </w:rPr>
        <w:t>es</w:t>
      </w:r>
      <w:r w:rsidRPr="005049DD">
        <w:rPr>
          <w:rFonts w:cstheme="minorHAnsi"/>
          <w:color w:val="000000"/>
          <w:szCs w:val="24"/>
          <w:lang w:eastAsia="en-GB"/>
        </w:rPr>
        <w:t xml:space="preserve">, and providing that digital inclusion policies will affect their future, there are still consultation opportunities that haven't been explored to address </w:t>
      </w:r>
      <w:r w:rsidR="009737C4" w:rsidRPr="005049DD">
        <w:rPr>
          <w:rFonts w:cstheme="minorHAnsi"/>
          <w:color w:val="000000"/>
          <w:szCs w:val="24"/>
          <w:lang w:eastAsia="en-GB"/>
        </w:rPr>
        <w:t xml:space="preserve">the </w:t>
      </w:r>
      <w:r w:rsidRPr="005049DD">
        <w:rPr>
          <w:rFonts w:cstheme="minorHAnsi"/>
          <w:color w:val="000000"/>
          <w:szCs w:val="24"/>
          <w:lang w:eastAsia="en-GB"/>
        </w:rPr>
        <w:t xml:space="preserve">youth perspective. </w:t>
      </w:r>
    </w:p>
    <w:p w14:paraId="3180F3A6" w14:textId="77777777" w:rsidR="00DE0C73" w:rsidRPr="00DE0C73" w:rsidRDefault="004604F7" w:rsidP="005F6E4C">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b/>
          <w:bCs/>
          <w:color w:val="000000"/>
          <w:u w:val="single"/>
        </w:rPr>
      </w:pPr>
      <w:r w:rsidRPr="00DE0C73">
        <w:rPr>
          <w:rFonts w:cstheme="minorHAnsi"/>
          <w:color w:val="000000"/>
          <w:szCs w:val="24"/>
          <w:lang w:eastAsia="en-GB"/>
        </w:rPr>
        <w:t xml:space="preserve">A major challenge of bridging the digital divide is ensuring that ICTs are accessible </w:t>
      </w:r>
      <w:r w:rsidR="00454537" w:rsidRPr="00DE0C73">
        <w:rPr>
          <w:rFonts w:cstheme="minorHAnsi"/>
          <w:color w:val="000000"/>
          <w:szCs w:val="24"/>
          <w:lang w:eastAsia="en-GB"/>
        </w:rPr>
        <w:t xml:space="preserve">and </w:t>
      </w:r>
      <w:r w:rsidRPr="00DE0C73">
        <w:rPr>
          <w:rFonts w:cstheme="minorHAnsi"/>
          <w:color w:val="000000"/>
          <w:szCs w:val="24"/>
          <w:lang w:eastAsia="en-GB"/>
        </w:rPr>
        <w:t>promote the inclusiveness of person with disabilities.</w:t>
      </w:r>
    </w:p>
    <w:p w14:paraId="50988A62" w14:textId="362CD451" w:rsidR="004604F7" w:rsidRPr="00DE0C73" w:rsidRDefault="004604F7" w:rsidP="005F6E4C">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b/>
          <w:bCs/>
          <w:color w:val="000000"/>
          <w:u w:val="single"/>
        </w:rPr>
      </w:pPr>
      <w:r w:rsidRPr="00DE0C73">
        <w:rPr>
          <w:rFonts w:cstheme="minorHAnsi"/>
          <w:color w:val="000000"/>
          <w:szCs w:val="24"/>
          <w:lang w:eastAsia="en-GB"/>
        </w:rPr>
        <w:t xml:space="preserve">Girls and women, youth and children are often more vulnerable than other groups when exposed to cyber threats in digital environments. </w:t>
      </w:r>
    </w:p>
    <w:p w14:paraId="0701B4BC" w14:textId="5C419D10" w:rsidR="004604F7" w:rsidRPr="005049DD" w:rsidRDefault="004604F7" w:rsidP="00DE0C73">
      <w:pPr>
        <w:pStyle w:val="NormalWeb"/>
        <w:tabs>
          <w:tab w:val="left" w:pos="567"/>
          <w:tab w:val="left" w:pos="1701"/>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t>Opportunities:</w:t>
      </w:r>
    </w:p>
    <w:p w14:paraId="677F4FAF" w14:textId="77777777"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There is room for improvement for continuous statistical data collection and analysis, and consistent updates of digital divide data. Data is crucial for a better definition of digital inclusion policies.</w:t>
      </w:r>
    </w:p>
    <w:p w14:paraId="1A20E00B" w14:textId="5BC81643"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Programmes and initiatives</w:t>
      </w:r>
      <w:r w:rsidR="008E6064">
        <w:rPr>
          <w:rFonts w:cstheme="minorHAnsi"/>
          <w:color w:val="000000"/>
          <w:szCs w:val="24"/>
          <w:lang w:eastAsia="en-GB"/>
        </w:rPr>
        <w:t xml:space="preserve"> could be implemented</w:t>
      </w:r>
      <w:r w:rsidRPr="005049DD">
        <w:rPr>
          <w:rFonts w:cstheme="minorHAnsi"/>
          <w:color w:val="000000"/>
          <w:szCs w:val="24"/>
          <w:lang w:eastAsia="en-GB"/>
        </w:rPr>
        <w:t xml:space="preserve"> in the region supporting girls’ and women’s engagement in ICT</w:t>
      </w:r>
      <w:r w:rsidR="00737F97">
        <w:rPr>
          <w:rFonts w:cstheme="minorHAnsi"/>
          <w:color w:val="000000"/>
          <w:szCs w:val="24"/>
          <w:lang w:eastAsia="en-GB"/>
        </w:rPr>
        <w:t>s</w:t>
      </w:r>
      <w:r w:rsidRPr="005049DD">
        <w:rPr>
          <w:rFonts w:cstheme="minorHAnsi"/>
          <w:color w:val="000000"/>
          <w:szCs w:val="24"/>
          <w:lang w:eastAsia="en-GB"/>
        </w:rPr>
        <w:t xml:space="preserve"> through digital literacy activities focusing on ICT use and appropriation. There is also opportunity to bridge the digital gap between women from rural and urban areas.</w:t>
      </w:r>
    </w:p>
    <w:p w14:paraId="7A3FB5F2" w14:textId="77777777"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 xml:space="preserve">Digital literacy is a powerful tool for the promotion of digital equality and the creation of employment and entrepreneurship opportunities. </w:t>
      </w:r>
    </w:p>
    <w:p w14:paraId="79340EB4" w14:textId="77777777"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lastRenderedPageBreak/>
        <w:t>Language databases for indigenous people can support them not only to interact better with technology but also to digitize their native languages in order to preserve their cultural identity through ICTs.</w:t>
      </w:r>
    </w:p>
    <w:p w14:paraId="5D251117" w14:textId="236107B4"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 xml:space="preserve">Through public and private sector partnerships, countries can cooperate to improve network infrastructure </w:t>
      </w:r>
      <w:r w:rsidR="00E8466C">
        <w:rPr>
          <w:rFonts w:cstheme="minorHAnsi"/>
          <w:color w:val="000000"/>
          <w:szCs w:val="24"/>
          <w:lang w:eastAsia="en-GB"/>
        </w:rPr>
        <w:t>in order to</w:t>
      </w:r>
      <w:r w:rsidRPr="005049DD">
        <w:rPr>
          <w:rFonts w:cstheme="minorHAnsi"/>
          <w:color w:val="000000"/>
          <w:szCs w:val="24"/>
          <w:lang w:eastAsia="en-GB"/>
        </w:rPr>
        <w:t xml:space="preserve"> better meet the needs of citizens and promote competitiveness in the market. </w:t>
      </w:r>
    </w:p>
    <w:p w14:paraId="720D8960" w14:textId="649DE523"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Initiatives such as Generation Connect represent an opportunity to not only include the voice of youth in the digital inclusion process but obtain invaluable feedback, information, and experiences that can help countries support the design of policies and strategies in this area.</w:t>
      </w:r>
    </w:p>
    <w:p w14:paraId="0C5C28E8" w14:textId="77777777"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ICT-based solutions and the use of innovative assistive technologies are crucial to increase and improve end-user interaction with devices, particularly in benefit of the quality of life of persons with disabilities.</w:t>
      </w:r>
    </w:p>
    <w:p w14:paraId="1BBF151E" w14:textId="3841F7AB" w:rsidR="004604F7" w:rsidRPr="005049DD" w:rsidRDefault="004604F7" w:rsidP="00DE0C73">
      <w:pPr>
        <w:pStyle w:val="ListParagraph"/>
        <w:numPr>
          <w:ilvl w:val="0"/>
          <w:numId w:val="3"/>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5049DD">
        <w:rPr>
          <w:rFonts w:cstheme="minorHAnsi"/>
          <w:color w:val="000000"/>
          <w:szCs w:val="24"/>
          <w:lang w:eastAsia="en-GB"/>
        </w:rPr>
        <w:t>International cooperation represents an opportunity for fighting against cyber threats especially in the promotion of the safe use of ICTs by children and young people.</w:t>
      </w:r>
    </w:p>
    <w:p w14:paraId="0C99EA02" w14:textId="77777777" w:rsidR="004604F7" w:rsidRPr="005049DD" w:rsidRDefault="004604F7" w:rsidP="00DE0C73">
      <w:pPr>
        <w:pStyle w:val="NormalWeb"/>
        <w:tabs>
          <w:tab w:val="left" w:pos="567"/>
          <w:tab w:val="left" w:pos="1134"/>
          <w:tab w:val="left" w:pos="1701"/>
          <w:tab w:val="left" w:pos="2268"/>
        </w:tabs>
        <w:spacing w:before="120" w:beforeAutospacing="0" w:after="120" w:afterAutospacing="0"/>
        <w:rPr>
          <w:rFonts w:asciiTheme="minorHAnsi" w:hAnsiTheme="minorHAnsi" w:cstheme="minorHAnsi"/>
          <w:b/>
          <w:bCs/>
          <w:i/>
          <w:iCs/>
          <w:color w:val="000000"/>
        </w:rPr>
      </w:pPr>
      <w:r w:rsidRPr="005049DD">
        <w:rPr>
          <w:rFonts w:asciiTheme="minorHAnsi" w:hAnsiTheme="minorHAnsi" w:cstheme="minorHAnsi"/>
          <w:b/>
          <w:bCs/>
          <w:i/>
          <w:iCs/>
          <w:color w:val="000000"/>
        </w:rPr>
        <w:t xml:space="preserve">Based on the above, the GC-AMS recommends the following </w:t>
      </w:r>
      <w:r w:rsidRPr="005049DD">
        <w:rPr>
          <w:rFonts w:asciiTheme="minorHAnsi" w:hAnsiTheme="minorHAnsi" w:cstheme="minorHAnsi"/>
          <w:b/>
          <w:bCs/>
          <w:i/>
          <w:iCs/>
          <w:color w:val="000000"/>
          <w:u w:val="single"/>
        </w:rPr>
        <w:t>Actions</w:t>
      </w:r>
      <w:r w:rsidRPr="005049DD">
        <w:rPr>
          <w:rFonts w:asciiTheme="minorHAnsi" w:hAnsiTheme="minorHAnsi" w:cstheme="minorHAnsi"/>
          <w:b/>
          <w:bCs/>
          <w:i/>
          <w:iCs/>
          <w:color w:val="000000"/>
        </w:rPr>
        <w:t>:</w:t>
      </w:r>
    </w:p>
    <w:p w14:paraId="07B2F47F" w14:textId="73684325" w:rsidR="004604F7" w:rsidRPr="005049DD" w:rsidRDefault="004604F7" w:rsidP="00DE0C73">
      <w:pPr>
        <w:pStyle w:val="NormalWeb"/>
        <w:numPr>
          <w:ilvl w:val="1"/>
          <w:numId w:val="5"/>
        </w:numPr>
        <w:tabs>
          <w:tab w:val="left" w:pos="567"/>
          <w:tab w:val="left" w:pos="1701"/>
        </w:tabs>
        <w:spacing w:before="80" w:beforeAutospacing="0" w:after="80" w:afterAutospacing="0"/>
        <w:ind w:left="714" w:hanging="357"/>
        <w:rPr>
          <w:rFonts w:asciiTheme="minorHAnsi" w:hAnsiTheme="minorHAnsi" w:cstheme="minorHAnsi"/>
          <w:color w:val="000000"/>
        </w:rPr>
      </w:pPr>
      <w:r w:rsidRPr="005049DD">
        <w:rPr>
          <w:rFonts w:asciiTheme="minorHAnsi" w:hAnsiTheme="minorHAnsi" w:cstheme="minorHAnsi"/>
          <w:color w:val="000000"/>
        </w:rPr>
        <w:t>Encourage governments to strengthen data collection in order to better capture national needs on access, use and appropriation of ICT</w:t>
      </w:r>
      <w:r w:rsidR="00D00FA2">
        <w:rPr>
          <w:rFonts w:asciiTheme="minorHAnsi" w:hAnsiTheme="minorHAnsi" w:cstheme="minorHAnsi"/>
          <w:color w:val="000000"/>
        </w:rPr>
        <w:t>s</w:t>
      </w:r>
      <w:r w:rsidRPr="005049DD">
        <w:rPr>
          <w:rFonts w:asciiTheme="minorHAnsi" w:hAnsiTheme="minorHAnsi" w:cstheme="minorHAnsi"/>
          <w:color w:val="000000"/>
        </w:rPr>
        <w:t>, especially in benefit of the mostly affected groups (women, indigenous communities, the elderly, among others) for evidence-based policy-making.</w:t>
      </w:r>
    </w:p>
    <w:p w14:paraId="775A4E3A" w14:textId="3EF65E22"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 xml:space="preserve">Stimulate </w:t>
      </w:r>
      <w:r w:rsidR="001E354F">
        <w:rPr>
          <w:rFonts w:asciiTheme="minorHAnsi" w:hAnsiTheme="minorHAnsi" w:cstheme="minorHAnsi"/>
          <w:color w:val="000000"/>
        </w:rPr>
        <w:t>M</w:t>
      </w:r>
      <w:r w:rsidRPr="005049DD">
        <w:rPr>
          <w:rFonts w:asciiTheme="minorHAnsi" w:hAnsiTheme="minorHAnsi" w:cstheme="minorHAnsi"/>
          <w:color w:val="000000"/>
        </w:rPr>
        <w:t xml:space="preserve">ember </w:t>
      </w:r>
      <w:r w:rsidR="001E354F">
        <w:rPr>
          <w:rFonts w:asciiTheme="minorHAnsi" w:hAnsiTheme="minorHAnsi" w:cstheme="minorHAnsi"/>
          <w:color w:val="000000"/>
        </w:rPr>
        <w:t>S</w:t>
      </w:r>
      <w:r w:rsidRPr="005049DD">
        <w:rPr>
          <w:rFonts w:asciiTheme="minorHAnsi" w:hAnsiTheme="minorHAnsi" w:cstheme="minorHAnsi"/>
          <w:color w:val="000000"/>
        </w:rPr>
        <w:t>tates to develop digital skills programmes and improve digital literacy opportunities in benefit of girls and women by supporting initiatives such as Americas Girls Can Code (AGCC), with special attention to those living in rural areas and/or women with disabilities.  </w:t>
      </w:r>
    </w:p>
    <w:p w14:paraId="5E77F9B6" w14:textId="77777777"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Encourage stakeholders to strengthen collaboration for the development of digital literacy programmes and initiatives in benefit of vulnerable groups, including policies and strategies development that contribute to kick-starting confidence and security in new technologies.</w:t>
      </w:r>
    </w:p>
    <w:p w14:paraId="3BB391A9" w14:textId="77777777"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Invite countries to implement programmes and initiatives in benefit of indigenous people that consider the digitization of their local languages for a better use of ICTs.</w:t>
      </w:r>
    </w:p>
    <w:p w14:paraId="72E7D25D" w14:textId="7E0FDA35"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 xml:space="preserve">Promote international cooperation to improve ICT infrastructure in order to ensure that reliable and affordable services are provided </w:t>
      </w:r>
      <w:r w:rsidR="00183854">
        <w:rPr>
          <w:rFonts w:asciiTheme="minorHAnsi" w:hAnsiTheme="minorHAnsi" w:cstheme="minorHAnsi"/>
          <w:color w:val="000000"/>
        </w:rPr>
        <w:t>for</w:t>
      </w:r>
      <w:r w:rsidRPr="005049DD">
        <w:rPr>
          <w:rFonts w:asciiTheme="minorHAnsi" w:hAnsiTheme="minorHAnsi" w:cstheme="minorHAnsi"/>
          <w:color w:val="000000"/>
        </w:rPr>
        <w:t xml:space="preserve"> all.</w:t>
      </w:r>
    </w:p>
    <w:p w14:paraId="427E2F0C" w14:textId="77777777"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 xml:space="preserve">Encourage stakeholders to engage representatives from various vulnerable groups in the decision-making processes for digital inclusion. </w:t>
      </w:r>
    </w:p>
    <w:p w14:paraId="0BFF3F33" w14:textId="1014EC59" w:rsidR="005049DD" w:rsidRPr="004947D9"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 xml:space="preserve">Encourage countries of the Americas region to support the promotion of ICT accessibility and ensure that no one is left behind. The public sector is recommended to work in close collaboration/consultation with ICT industries to ensure that ICT-based solutions are accessible and adaptable to communities’ local needs. </w:t>
      </w:r>
    </w:p>
    <w:p w14:paraId="0C5D595B" w14:textId="194EC12E" w:rsidR="004604F7" w:rsidRPr="005049DD" w:rsidRDefault="004604F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t xml:space="preserve">Stimulate countries to implement awareness raising campaigns using the Child Online Protection Guidelines and to promote ethical online behaviour, targeting mainly children and young people. Support countries in the region to share good practices on policies and strategies in the field of cybersecurity. Cooperation with the private sector and </w:t>
      </w:r>
      <w:r w:rsidR="00221066">
        <w:rPr>
          <w:rFonts w:asciiTheme="minorHAnsi" w:hAnsiTheme="minorHAnsi" w:cstheme="minorHAnsi"/>
          <w:color w:val="000000"/>
        </w:rPr>
        <w:t>A</w:t>
      </w:r>
      <w:r w:rsidRPr="005049DD">
        <w:rPr>
          <w:rFonts w:asciiTheme="minorHAnsi" w:hAnsiTheme="minorHAnsi" w:cstheme="minorHAnsi"/>
          <w:color w:val="000000"/>
        </w:rPr>
        <w:t xml:space="preserve">cademia is also crucial for the development of a national cybersecurity strategy.  </w:t>
      </w:r>
    </w:p>
    <w:p w14:paraId="56819B07" w14:textId="0BA79857" w:rsidR="001907D7" w:rsidRPr="005049DD" w:rsidRDefault="00730057" w:rsidP="00DE0C73">
      <w:pPr>
        <w:pStyle w:val="NormalWeb"/>
        <w:numPr>
          <w:ilvl w:val="1"/>
          <w:numId w:val="5"/>
        </w:numPr>
        <w:tabs>
          <w:tab w:val="left" w:pos="567"/>
          <w:tab w:val="left" w:pos="1701"/>
        </w:tabs>
        <w:spacing w:before="80" w:beforeAutospacing="0" w:after="80" w:afterAutospacing="0"/>
        <w:rPr>
          <w:rFonts w:asciiTheme="minorHAnsi" w:hAnsiTheme="minorHAnsi" w:cstheme="minorHAnsi"/>
          <w:color w:val="000000"/>
        </w:rPr>
      </w:pPr>
      <w:r w:rsidRPr="005049DD">
        <w:rPr>
          <w:rFonts w:asciiTheme="minorHAnsi" w:hAnsiTheme="minorHAnsi" w:cstheme="minorHAnsi"/>
          <w:color w:val="000000"/>
        </w:rPr>
        <w:lastRenderedPageBreak/>
        <w:t>Encourage c</w:t>
      </w:r>
      <w:r w:rsidR="004604F7" w:rsidRPr="005049DD">
        <w:rPr>
          <w:rFonts w:asciiTheme="minorHAnsi" w:hAnsiTheme="minorHAnsi" w:cstheme="minorHAnsi"/>
          <w:color w:val="000000"/>
        </w:rPr>
        <w:t xml:space="preserve">ountries to hear the voice of young people through initiatives such as Generation Connect/ITU Youth Strategy, which represent the mobilization of local youth groups for discussions on ICT development considering innovative ideas for a better future. </w:t>
      </w:r>
    </w:p>
    <w:p w14:paraId="590790BA" w14:textId="6F968D34" w:rsidR="00C54429" w:rsidRPr="005049DD" w:rsidRDefault="000570F6" w:rsidP="00DE0C73">
      <w:pPr>
        <w:pStyle w:val="NormalWeb"/>
        <w:keepNext/>
        <w:numPr>
          <w:ilvl w:val="0"/>
          <w:numId w:val="24"/>
        </w:numPr>
        <w:tabs>
          <w:tab w:val="left" w:pos="567"/>
          <w:tab w:val="left" w:pos="1134"/>
          <w:tab w:val="left" w:pos="1701"/>
          <w:tab w:val="left" w:pos="2268"/>
        </w:tabs>
        <w:spacing w:before="120" w:beforeAutospacing="0" w:after="120" w:afterAutospacing="0"/>
        <w:outlineLvl w:val="1"/>
        <w:rPr>
          <w:rFonts w:asciiTheme="minorHAnsi" w:hAnsiTheme="minorHAnsi" w:cstheme="minorHAnsi"/>
          <w:b/>
          <w:bCs/>
          <w:color w:val="000000"/>
        </w:rPr>
      </w:pPr>
      <w:r w:rsidRPr="005049DD">
        <w:rPr>
          <w:rFonts w:asciiTheme="minorHAnsi" w:hAnsiTheme="minorHAnsi" w:cstheme="minorHAnsi"/>
          <w:b/>
          <w:bCs/>
          <w:color w:val="000000"/>
        </w:rPr>
        <w:t>DIGITAL INNOVATION ECOSYSTEMS</w:t>
      </w:r>
    </w:p>
    <w:p w14:paraId="389E97DA" w14:textId="14B0C64B" w:rsidR="00C54429" w:rsidRPr="005049DD" w:rsidRDefault="00C54429" w:rsidP="00DE0C73">
      <w:pPr>
        <w:shd w:val="clear" w:color="auto" w:fill="FFFFFF"/>
        <w:spacing w:after="120"/>
        <w:rPr>
          <w:rFonts w:eastAsia="Calibri" w:cstheme="minorHAnsi"/>
          <w:b/>
          <w:i/>
          <w:color w:val="000000"/>
          <w:szCs w:val="24"/>
        </w:rPr>
      </w:pPr>
      <w:r w:rsidRPr="005049DD">
        <w:rPr>
          <w:rFonts w:eastAsia="Calibri" w:cstheme="minorHAnsi"/>
          <w:b/>
          <w:i/>
          <w:color w:val="000000"/>
          <w:szCs w:val="24"/>
        </w:rPr>
        <w:t>Considering that…</w:t>
      </w:r>
    </w:p>
    <w:p w14:paraId="1A1A05C3" w14:textId="779687CA" w:rsidR="00C54429" w:rsidRPr="005049DD" w:rsidRDefault="00C54429" w:rsidP="00DE0C73">
      <w:pPr>
        <w:pStyle w:val="NormalWeb"/>
        <w:keepNext/>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 xml:space="preserve">Youth represent the rapidly changing technology landscape and the present and future of the global economy, their participation and perspectives on achieving inclusive digital transformation across the Americas region is paramount. The development of technology can advance faster than its regulation and effective deployment, and unfit policy can hinder the national potential for innovation </w:t>
      </w:r>
      <w:proofErr w:type="gramStart"/>
      <w:r w:rsidRPr="005049DD">
        <w:rPr>
          <w:rFonts w:asciiTheme="minorHAnsi" w:hAnsiTheme="minorHAnsi" w:cstheme="minorHAnsi"/>
          <w:color w:val="000000"/>
        </w:rPr>
        <w:t>and also</w:t>
      </w:r>
      <w:proofErr w:type="gramEnd"/>
      <w:r w:rsidRPr="005049DD">
        <w:rPr>
          <w:rFonts w:asciiTheme="minorHAnsi" w:hAnsiTheme="minorHAnsi" w:cstheme="minorHAnsi"/>
          <w:color w:val="000000"/>
        </w:rPr>
        <w:t xml:space="preserve"> contribute to a growing digital innovation divide between rural and urban areas and among countries. The digital innovation divide is at the heart of the digital divide.</w:t>
      </w:r>
    </w:p>
    <w:p w14:paraId="44CA2048" w14:textId="68D76741" w:rsidR="00C54429" w:rsidRPr="005049DD" w:rsidRDefault="00C54429" w:rsidP="00DE0C73">
      <w:pPr>
        <w:pStyle w:val="NormalWeb"/>
        <w:keepNext/>
        <w:tabs>
          <w:tab w:val="left" w:pos="567"/>
          <w:tab w:val="left" w:pos="1701"/>
        </w:tabs>
        <w:spacing w:before="120" w:beforeAutospacing="0" w:after="120" w:afterAutospacing="0"/>
        <w:rPr>
          <w:rFonts w:asciiTheme="minorHAnsi" w:hAnsiTheme="minorHAnsi" w:cstheme="minorHAnsi"/>
          <w:color w:val="000000"/>
        </w:rPr>
      </w:pPr>
      <w:r w:rsidRPr="005049DD">
        <w:rPr>
          <w:rFonts w:asciiTheme="minorHAnsi" w:hAnsiTheme="minorHAnsi" w:cstheme="minorHAnsi"/>
          <w:color w:val="000000"/>
        </w:rPr>
        <w:t xml:space="preserve">The dynamic digital ecosystem of the Americas region needs a swifter response and quicker adaptation in terms of bureaucratic processes, deployment of infrastructure, access, digital literacy and coordination between sectors. Language barriers and little incentive for the widespread learning of basic ICT skills, including training on new emerging technologies and the adoption of cybersecurity skills, contribute to weak foundations for a Digital Society that is qualified and motivated to fulfil their talents and achieve their potential for creative solutions in digital innovation and transformation. Regional collaboration </w:t>
      </w:r>
      <w:r w:rsidR="00200E49" w:rsidRPr="005049DD">
        <w:rPr>
          <w:rFonts w:asciiTheme="minorHAnsi" w:hAnsiTheme="minorHAnsi" w:cstheme="minorHAnsi"/>
          <w:color w:val="000000"/>
        </w:rPr>
        <w:t xml:space="preserve">within </w:t>
      </w:r>
      <w:r w:rsidRPr="005049DD">
        <w:rPr>
          <w:rFonts w:asciiTheme="minorHAnsi" w:hAnsiTheme="minorHAnsi" w:cstheme="minorHAnsi"/>
          <w:color w:val="000000"/>
        </w:rPr>
        <w:t>the Americas can contribute to an enabling environment of adequate policies for innovation, entrepreneurship and of implementation of sound sustainable projects that would be particularly beneficial to underserved sectors and communities.</w:t>
      </w:r>
    </w:p>
    <w:p w14:paraId="19454DF7" w14:textId="77777777" w:rsidR="00C54429" w:rsidRPr="005049DD" w:rsidRDefault="00C54429" w:rsidP="00DE0C73">
      <w:pPr>
        <w:pBdr>
          <w:top w:val="nil"/>
          <w:left w:val="nil"/>
          <w:bottom w:val="nil"/>
          <w:right w:val="nil"/>
          <w:between w:val="nil"/>
        </w:pBdr>
        <w:tabs>
          <w:tab w:val="left" w:pos="567"/>
          <w:tab w:val="left" w:pos="1701"/>
        </w:tabs>
        <w:spacing w:after="120"/>
        <w:rPr>
          <w:rFonts w:eastAsia="Calibri" w:cstheme="minorHAnsi"/>
          <w:b/>
          <w:i/>
          <w:color w:val="000000"/>
          <w:szCs w:val="24"/>
        </w:rPr>
      </w:pPr>
      <w:r w:rsidRPr="005049DD">
        <w:rPr>
          <w:rFonts w:eastAsia="Calibri" w:cstheme="minorHAnsi"/>
          <w:b/>
          <w:i/>
          <w:color w:val="000000"/>
          <w:szCs w:val="24"/>
        </w:rPr>
        <w:t>The GC-AMS members identified the following challenges and opportunities:</w:t>
      </w:r>
    </w:p>
    <w:p w14:paraId="12CCAE1C" w14:textId="77777777" w:rsidR="00C54429" w:rsidRPr="005049DD" w:rsidRDefault="00C54429" w:rsidP="00DE0C73">
      <w:pPr>
        <w:pStyle w:val="NormalWeb"/>
        <w:tabs>
          <w:tab w:val="left" w:pos="567"/>
          <w:tab w:val="left" w:pos="1701"/>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t>Challenges</w:t>
      </w:r>
    </w:p>
    <w:p w14:paraId="2779728D" w14:textId="478E11D9"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w:t>
      </w:r>
      <w:r w:rsidR="0029236F" w:rsidRPr="005049DD">
        <w:rPr>
          <w:rFonts w:cstheme="minorHAnsi"/>
          <w:color w:val="000000"/>
          <w:szCs w:val="24"/>
          <w:lang w:eastAsia="en-GB"/>
        </w:rPr>
        <w:t xml:space="preserve">imited public </w:t>
      </w:r>
      <w:r w:rsidR="00560F48" w:rsidRPr="005049DD">
        <w:rPr>
          <w:rFonts w:cstheme="minorHAnsi"/>
          <w:color w:val="000000"/>
          <w:szCs w:val="24"/>
          <w:lang w:eastAsia="en-GB"/>
        </w:rPr>
        <w:t xml:space="preserve">investment to encourage </w:t>
      </w:r>
      <w:r w:rsidRPr="005049DD">
        <w:rPr>
          <w:rFonts w:cstheme="minorHAnsi"/>
          <w:color w:val="000000"/>
          <w:szCs w:val="24"/>
          <w:lang w:eastAsia="en-GB"/>
        </w:rPr>
        <w:t>sma</w:t>
      </w:r>
      <w:r w:rsidR="0029236F" w:rsidRPr="005049DD">
        <w:rPr>
          <w:rFonts w:cstheme="minorHAnsi"/>
          <w:color w:val="000000"/>
          <w:szCs w:val="24"/>
          <w:lang w:eastAsia="en-GB"/>
        </w:rPr>
        <w:t xml:space="preserve">ll and medium-sized enterprises </w:t>
      </w:r>
      <w:r w:rsidR="00560F48" w:rsidRPr="005049DD">
        <w:rPr>
          <w:rFonts w:cstheme="minorHAnsi"/>
          <w:color w:val="000000"/>
          <w:szCs w:val="24"/>
          <w:lang w:eastAsia="en-GB"/>
        </w:rPr>
        <w:t xml:space="preserve">for </w:t>
      </w:r>
      <w:r w:rsidR="0029236F" w:rsidRPr="005049DD">
        <w:rPr>
          <w:rFonts w:cstheme="minorHAnsi"/>
          <w:color w:val="000000"/>
          <w:szCs w:val="24"/>
          <w:lang w:eastAsia="en-GB"/>
        </w:rPr>
        <w:t>Research &amp; Development</w:t>
      </w:r>
      <w:r w:rsidR="00560F48" w:rsidRPr="005049DD">
        <w:rPr>
          <w:rFonts w:cstheme="minorHAnsi"/>
          <w:color w:val="000000"/>
          <w:szCs w:val="24"/>
          <w:lang w:eastAsia="en-GB"/>
        </w:rPr>
        <w:t xml:space="preserve"> and innovation. </w:t>
      </w:r>
    </w:p>
    <w:p w14:paraId="53C955E5" w14:textId="27D343A4" w:rsidR="009B646D" w:rsidRPr="005049DD" w:rsidRDefault="00560F48"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Need </w:t>
      </w:r>
      <w:r w:rsidR="009B646D" w:rsidRPr="005049DD">
        <w:rPr>
          <w:rFonts w:cstheme="minorHAnsi"/>
          <w:color w:val="000000"/>
          <w:szCs w:val="24"/>
          <w:lang w:eastAsia="en-GB"/>
        </w:rPr>
        <w:t xml:space="preserve">for </w:t>
      </w:r>
      <w:r w:rsidRPr="005049DD">
        <w:rPr>
          <w:rFonts w:cstheme="minorHAnsi"/>
          <w:color w:val="000000"/>
          <w:szCs w:val="24"/>
          <w:lang w:eastAsia="en-GB"/>
        </w:rPr>
        <w:t xml:space="preserve">deployment of </w:t>
      </w:r>
      <w:r w:rsidR="00C54429" w:rsidRPr="005049DD">
        <w:rPr>
          <w:rFonts w:cstheme="minorHAnsi"/>
          <w:color w:val="000000"/>
          <w:szCs w:val="24"/>
          <w:lang w:eastAsia="en-GB"/>
        </w:rPr>
        <w:t>e-</w:t>
      </w:r>
      <w:r w:rsidR="009F5417">
        <w:rPr>
          <w:rFonts w:cstheme="minorHAnsi"/>
          <w:color w:val="000000"/>
          <w:szCs w:val="24"/>
          <w:lang w:eastAsia="en-GB"/>
        </w:rPr>
        <w:t>G</w:t>
      </w:r>
      <w:r w:rsidR="00C54429" w:rsidRPr="005049DD">
        <w:rPr>
          <w:rFonts w:cstheme="minorHAnsi"/>
          <w:color w:val="000000"/>
          <w:szCs w:val="24"/>
          <w:lang w:eastAsia="en-GB"/>
        </w:rPr>
        <w:t xml:space="preserve">overnment </w:t>
      </w:r>
      <w:r w:rsidRPr="005049DD">
        <w:rPr>
          <w:rFonts w:cstheme="minorHAnsi"/>
          <w:color w:val="000000"/>
          <w:szCs w:val="24"/>
          <w:lang w:eastAsia="en-GB"/>
        </w:rPr>
        <w:t xml:space="preserve">systems/digital services to ensure </w:t>
      </w:r>
      <w:r w:rsidR="00B33836" w:rsidRPr="005049DD">
        <w:rPr>
          <w:rFonts w:cstheme="minorHAnsi"/>
          <w:color w:val="000000"/>
          <w:szCs w:val="24"/>
          <w:lang w:eastAsia="en-GB"/>
        </w:rPr>
        <w:t xml:space="preserve">dynamic and </w:t>
      </w:r>
      <w:r w:rsidRPr="005049DD">
        <w:rPr>
          <w:rFonts w:cstheme="minorHAnsi"/>
          <w:color w:val="000000"/>
          <w:szCs w:val="24"/>
          <w:lang w:eastAsia="en-GB"/>
        </w:rPr>
        <w:t>less bureaucratic process</w:t>
      </w:r>
      <w:r w:rsidR="00B33836" w:rsidRPr="005049DD">
        <w:rPr>
          <w:rFonts w:cstheme="minorHAnsi"/>
          <w:color w:val="000000"/>
          <w:szCs w:val="24"/>
          <w:lang w:eastAsia="en-GB"/>
        </w:rPr>
        <w:t>es</w:t>
      </w:r>
      <w:r w:rsidRPr="005049DD">
        <w:rPr>
          <w:rFonts w:cstheme="minorHAnsi"/>
          <w:color w:val="000000"/>
          <w:szCs w:val="24"/>
          <w:lang w:eastAsia="en-GB"/>
        </w:rPr>
        <w:t>.</w:t>
      </w:r>
    </w:p>
    <w:p w14:paraId="33DDEEA3" w14:textId="2DED006D"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Need</w:t>
      </w:r>
      <w:r w:rsidR="00560F48" w:rsidRPr="005049DD">
        <w:rPr>
          <w:rFonts w:cstheme="minorHAnsi"/>
          <w:color w:val="000000"/>
          <w:szCs w:val="24"/>
          <w:lang w:eastAsia="en-GB"/>
        </w:rPr>
        <w:t xml:space="preserve"> to implement and/or reinforce </w:t>
      </w:r>
      <w:r w:rsidRPr="005049DD">
        <w:rPr>
          <w:rFonts w:cstheme="minorHAnsi"/>
          <w:color w:val="000000"/>
          <w:szCs w:val="24"/>
          <w:lang w:eastAsia="en-GB"/>
        </w:rPr>
        <w:t>cybersecurity in public sector institutions hindering growth/performance.</w:t>
      </w:r>
    </w:p>
    <w:p w14:paraId="224228F8" w14:textId="769F5881" w:rsidR="00C54429" w:rsidRPr="005049DD" w:rsidRDefault="00B33836"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Need to bridge u</w:t>
      </w:r>
      <w:r w:rsidR="00C54429" w:rsidRPr="005049DD">
        <w:rPr>
          <w:rFonts w:cstheme="minorHAnsi"/>
          <w:color w:val="000000"/>
          <w:szCs w:val="24"/>
          <w:lang w:eastAsia="en-GB"/>
        </w:rPr>
        <w:t>rban/rural ICT gap.</w:t>
      </w:r>
    </w:p>
    <w:p w14:paraId="5F2A7CCC" w14:textId="31984EF6" w:rsidR="00C54429" w:rsidRPr="005049DD" w:rsidRDefault="009B646D"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Barriers to affordable access to technologies and digital literacy. </w:t>
      </w:r>
    </w:p>
    <w:p w14:paraId="7C027B9E" w14:textId="3F56E29E" w:rsidR="00C54429" w:rsidRPr="005049DD" w:rsidRDefault="0083141F"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Need to strengthen the frameworks for the adoption of digital services and markets.</w:t>
      </w:r>
    </w:p>
    <w:p w14:paraId="2A138BFA" w14:textId="117CC348" w:rsidR="007B7CA4" w:rsidRPr="005049DD" w:rsidRDefault="007B7CA4"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Language barriers limit digital participation and intraregional </w:t>
      </w:r>
      <w:r w:rsidR="008F1CDF" w:rsidRPr="005049DD">
        <w:rPr>
          <w:rFonts w:cstheme="minorHAnsi"/>
          <w:color w:val="000000"/>
          <w:szCs w:val="24"/>
          <w:lang w:eastAsia="en-GB"/>
        </w:rPr>
        <w:t>dialogue</w:t>
      </w:r>
      <w:r w:rsidRPr="005049DD">
        <w:rPr>
          <w:rFonts w:cstheme="minorHAnsi"/>
          <w:color w:val="000000"/>
          <w:szCs w:val="24"/>
          <w:lang w:eastAsia="en-GB"/>
        </w:rPr>
        <w:t>.</w:t>
      </w:r>
    </w:p>
    <w:p w14:paraId="12D6A528" w14:textId="77777777"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Lack of interest on the part of young people in ICTs.</w:t>
      </w:r>
    </w:p>
    <w:p w14:paraId="14C49397" w14:textId="5EFA62BE" w:rsidR="00C54429" w:rsidRPr="005049DD" w:rsidRDefault="007B7CA4"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Need to improve </w:t>
      </w:r>
      <w:r w:rsidR="00C54429" w:rsidRPr="005049DD">
        <w:rPr>
          <w:rFonts w:cstheme="minorHAnsi"/>
          <w:color w:val="000000"/>
          <w:szCs w:val="24"/>
          <w:lang w:eastAsia="en-GB"/>
        </w:rPr>
        <w:t xml:space="preserve">cooperation between </w:t>
      </w:r>
      <w:r w:rsidR="00221066">
        <w:rPr>
          <w:rFonts w:cstheme="minorHAnsi"/>
          <w:color w:val="000000"/>
          <w:szCs w:val="24"/>
          <w:lang w:eastAsia="en-GB"/>
        </w:rPr>
        <w:t>A</w:t>
      </w:r>
      <w:r w:rsidR="00C54429" w:rsidRPr="005049DD">
        <w:rPr>
          <w:rFonts w:cstheme="minorHAnsi"/>
          <w:color w:val="000000"/>
          <w:szCs w:val="24"/>
          <w:lang w:eastAsia="en-GB"/>
        </w:rPr>
        <w:t>cademia,</w:t>
      </w:r>
      <w:r w:rsidRPr="005049DD">
        <w:rPr>
          <w:rFonts w:cstheme="minorHAnsi"/>
          <w:color w:val="000000"/>
          <w:szCs w:val="24"/>
          <w:lang w:eastAsia="en-GB"/>
        </w:rPr>
        <w:t xml:space="preserve"> public and the private sectors to encourage innovation</w:t>
      </w:r>
      <w:r w:rsidR="008C3E1A" w:rsidRPr="005049DD">
        <w:rPr>
          <w:rFonts w:cstheme="minorHAnsi"/>
          <w:color w:val="000000"/>
          <w:szCs w:val="24"/>
          <w:lang w:eastAsia="en-GB"/>
        </w:rPr>
        <w:t>, research &amp; development</w:t>
      </w:r>
      <w:r w:rsidRPr="005049DD">
        <w:rPr>
          <w:rFonts w:cstheme="minorHAnsi"/>
          <w:color w:val="000000"/>
          <w:szCs w:val="24"/>
          <w:lang w:eastAsia="en-GB"/>
        </w:rPr>
        <w:t xml:space="preserve"> and </w:t>
      </w:r>
      <w:r w:rsidR="00C54429" w:rsidRPr="005049DD">
        <w:rPr>
          <w:rFonts w:cstheme="minorHAnsi"/>
          <w:color w:val="000000"/>
          <w:szCs w:val="24"/>
          <w:lang w:eastAsia="en-GB"/>
        </w:rPr>
        <w:t>talent growth</w:t>
      </w:r>
      <w:r w:rsidRPr="005049DD">
        <w:rPr>
          <w:rFonts w:cstheme="minorHAnsi"/>
          <w:color w:val="000000"/>
          <w:szCs w:val="24"/>
          <w:lang w:eastAsia="en-GB"/>
        </w:rPr>
        <w:t>.</w:t>
      </w:r>
    </w:p>
    <w:p w14:paraId="470B4B7C" w14:textId="6AF980D6" w:rsidR="008F1CDF" w:rsidRPr="005049DD" w:rsidRDefault="008C3E1A" w:rsidP="00DE0C73">
      <w:pPr>
        <w:pStyle w:val="ListParagraph"/>
        <w:numPr>
          <w:ilvl w:val="0"/>
          <w:numId w:val="3"/>
        </w:numPr>
        <w:spacing w:before="80" w:after="80"/>
        <w:ind w:left="714" w:hanging="357"/>
        <w:contextualSpacing w:val="0"/>
        <w:rPr>
          <w:rFonts w:cstheme="minorHAnsi"/>
          <w:color w:val="000000"/>
          <w:szCs w:val="24"/>
          <w:lang w:eastAsia="en-GB"/>
        </w:rPr>
      </w:pPr>
      <w:r w:rsidRPr="005049DD">
        <w:rPr>
          <w:rFonts w:cstheme="minorHAnsi"/>
          <w:color w:val="000000"/>
          <w:szCs w:val="24"/>
          <w:lang w:eastAsia="en-GB"/>
        </w:rPr>
        <w:t xml:space="preserve">Limited </w:t>
      </w:r>
      <w:r w:rsidR="00C54429" w:rsidRPr="005049DD">
        <w:rPr>
          <w:rFonts w:cstheme="minorHAnsi"/>
          <w:color w:val="000000"/>
          <w:szCs w:val="24"/>
          <w:lang w:eastAsia="en-GB"/>
        </w:rPr>
        <w:t>regional collaboration</w:t>
      </w:r>
      <w:r w:rsidRPr="005049DD">
        <w:rPr>
          <w:rFonts w:cstheme="minorHAnsi"/>
          <w:color w:val="000000"/>
          <w:szCs w:val="24"/>
          <w:lang w:eastAsia="en-GB"/>
        </w:rPr>
        <w:t xml:space="preserve"> towards closing the </w:t>
      </w:r>
      <w:r w:rsidR="00C54429" w:rsidRPr="005049DD">
        <w:rPr>
          <w:rFonts w:cstheme="minorHAnsi"/>
          <w:color w:val="000000"/>
          <w:szCs w:val="24"/>
          <w:lang w:eastAsia="en-GB"/>
        </w:rPr>
        <w:t>digital divide between countries</w:t>
      </w:r>
      <w:r w:rsidRPr="005049DD">
        <w:rPr>
          <w:rFonts w:cstheme="minorHAnsi"/>
          <w:color w:val="000000"/>
          <w:szCs w:val="24"/>
          <w:lang w:eastAsia="en-GB"/>
        </w:rPr>
        <w:t>.</w:t>
      </w:r>
    </w:p>
    <w:p w14:paraId="135DFE8D" w14:textId="77777777" w:rsidR="00C54429" w:rsidRPr="005049DD" w:rsidRDefault="00C54429" w:rsidP="00DE0C73">
      <w:pPr>
        <w:pStyle w:val="NormalWeb"/>
        <w:tabs>
          <w:tab w:val="left" w:pos="567"/>
          <w:tab w:val="left" w:pos="1701"/>
        </w:tabs>
        <w:spacing w:before="120" w:beforeAutospacing="0" w:after="120" w:afterAutospacing="0"/>
        <w:rPr>
          <w:rFonts w:asciiTheme="minorHAnsi" w:hAnsiTheme="minorHAnsi" w:cstheme="minorHAnsi"/>
          <w:color w:val="000000"/>
          <w:u w:val="single"/>
        </w:rPr>
      </w:pPr>
      <w:r w:rsidRPr="005049DD">
        <w:rPr>
          <w:rFonts w:asciiTheme="minorHAnsi" w:hAnsiTheme="minorHAnsi" w:cstheme="minorHAnsi"/>
          <w:color w:val="000000"/>
          <w:u w:val="single"/>
        </w:rPr>
        <w:t>Opportunities</w:t>
      </w:r>
    </w:p>
    <w:p w14:paraId="17FB159B" w14:textId="451BC494" w:rsidR="00C54429" w:rsidRPr="005049DD" w:rsidRDefault="00702DDD"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Adopt </w:t>
      </w:r>
      <w:r w:rsidR="00C54429" w:rsidRPr="005049DD">
        <w:rPr>
          <w:rFonts w:cstheme="minorHAnsi"/>
          <w:color w:val="000000"/>
          <w:szCs w:val="24"/>
          <w:lang w:eastAsia="en-GB"/>
        </w:rPr>
        <w:t xml:space="preserve">public policies </w:t>
      </w:r>
      <w:r w:rsidRPr="005049DD">
        <w:rPr>
          <w:rFonts w:cstheme="minorHAnsi"/>
          <w:color w:val="000000"/>
          <w:szCs w:val="24"/>
          <w:lang w:eastAsia="en-GB"/>
        </w:rPr>
        <w:t>that s</w:t>
      </w:r>
      <w:r w:rsidR="00C54429" w:rsidRPr="005049DD">
        <w:rPr>
          <w:rFonts w:cstheme="minorHAnsi"/>
          <w:color w:val="000000"/>
          <w:szCs w:val="24"/>
          <w:lang w:eastAsia="en-GB"/>
        </w:rPr>
        <w:t>upport</w:t>
      </w:r>
      <w:r w:rsidRPr="005049DD">
        <w:rPr>
          <w:rFonts w:cstheme="minorHAnsi"/>
          <w:color w:val="000000"/>
          <w:szCs w:val="24"/>
          <w:lang w:eastAsia="en-GB"/>
        </w:rPr>
        <w:t>s</w:t>
      </w:r>
      <w:r w:rsidR="00C54429" w:rsidRPr="005049DD">
        <w:rPr>
          <w:rFonts w:cstheme="minorHAnsi"/>
          <w:color w:val="000000"/>
          <w:szCs w:val="24"/>
          <w:lang w:eastAsia="en-GB"/>
        </w:rPr>
        <w:t xml:space="preserve"> the </w:t>
      </w:r>
      <w:r w:rsidRPr="005049DD">
        <w:rPr>
          <w:rFonts w:cstheme="minorHAnsi"/>
          <w:color w:val="000000"/>
          <w:szCs w:val="24"/>
          <w:lang w:eastAsia="en-GB"/>
        </w:rPr>
        <w:t xml:space="preserve">development of </w:t>
      </w:r>
      <w:r w:rsidR="00C54429" w:rsidRPr="005049DD">
        <w:rPr>
          <w:rFonts w:cstheme="minorHAnsi"/>
          <w:color w:val="000000"/>
          <w:szCs w:val="24"/>
          <w:lang w:eastAsia="en-GB"/>
        </w:rPr>
        <w:t>digital economy</w:t>
      </w:r>
      <w:r w:rsidRPr="005049DD">
        <w:rPr>
          <w:rFonts w:cstheme="minorHAnsi"/>
          <w:color w:val="000000"/>
          <w:szCs w:val="24"/>
          <w:lang w:eastAsia="en-GB"/>
        </w:rPr>
        <w:t xml:space="preserve"> and the sustainable and responsible deployment of emergent technologies</w:t>
      </w:r>
      <w:r w:rsidR="00C54429" w:rsidRPr="005049DD">
        <w:rPr>
          <w:rFonts w:cstheme="minorHAnsi"/>
          <w:color w:val="000000"/>
          <w:szCs w:val="24"/>
          <w:lang w:eastAsia="en-GB"/>
        </w:rPr>
        <w:t>.</w:t>
      </w:r>
    </w:p>
    <w:p w14:paraId="16789F7F" w14:textId="2FFBD1A7"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lastRenderedPageBreak/>
        <w:t>Promote the inclusion of cybersecurity strategies for public and private services.</w:t>
      </w:r>
    </w:p>
    <w:p w14:paraId="2C8B89DA" w14:textId="778132E0"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Promote measures that leverage the sustainability of the productive ecosystem, physical infrastructures (energy, transportation, logistics and water and sanitation) and supply chains through appropriate coordination between </w:t>
      </w:r>
      <w:r w:rsidR="008C3E1A" w:rsidRPr="005049DD">
        <w:rPr>
          <w:rFonts w:cstheme="minorHAnsi"/>
          <w:color w:val="000000"/>
          <w:szCs w:val="24"/>
          <w:lang w:eastAsia="en-GB"/>
        </w:rPr>
        <w:t>stakeholders.</w:t>
      </w:r>
    </w:p>
    <w:p w14:paraId="4ABA60E2" w14:textId="59973E86" w:rsidR="0083141F" w:rsidRPr="005049DD" w:rsidRDefault="008C3E1A" w:rsidP="00DE0C73">
      <w:pPr>
        <w:pStyle w:val="ListParagraph"/>
        <w:numPr>
          <w:ilvl w:val="0"/>
          <w:numId w:val="3"/>
        </w:numPr>
        <w:spacing w:before="80" w:after="80"/>
        <w:contextualSpacing w:val="0"/>
        <w:rPr>
          <w:rFonts w:cstheme="minorHAnsi"/>
          <w:color w:val="000000"/>
          <w:szCs w:val="24"/>
          <w:lang w:eastAsia="en-GB"/>
        </w:rPr>
      </w:pPr>
      <w:proofErr w:type="spellStart"/>
      <w:r w:rsidRPr="005049DD">
        <w:rPr>
          <w:rFonts w:cstheme="minorHAnsi"/>
          <w:color w:val="000000"/>
          <w:szCs w:val="24"/>
          <w:lang w:eastAsia="en-GB"/>
        </w:rPr>
        <w:t>Strenght</w:t>
      </w:r>
      <w:r w:rsidR="00702DDD" w:rsidRPr="005049DD">
        <w:rPr>
          <w:rFonts w:cstheme="minorHAnsi"/>
          <w:color w:val="000000"/>
          <w:szCs w:val="24"/>
          <w:lang w:eastAsia="en-GB"/>
        </w:rPr>
        <w:t>en</w:t>
      </w:r>
      <w:proofErr w:type="spellEnd"/>
      <w:r w:rsidRPr="005049DD">
        <w:rPr>
          <w:rFonts w:cstheme="minorHAnsi"/>
          <w:color w:val="000000"/>
          <w:szCs w:val="24"/>
          <w:lang w:eastAsia="en-GB"/>
        </w:rPr>
        <w:t xml:space="preserve"> the role</w:t>
      </w:r>
      <w:r w:rsidR="00702DDD" w:rsidRPr="005049DD">
        <w:rPr>
          <w:rFonts w:cstheme="minorHAnsi"/>
          <w:color w:val="000000"/>
          <w:szCs w:val="24"/>
          <w:lang w:eastAsia="en-GB"/>
        </w:rPr>
        <w:t xml:space="preserve"> of </w:t>
      </w:r>
      <w:r w:rsidR="0083141F" w:rsidRPr="005049DD">
        <w:rPr>
          <w:rFonts w:cstheme="minorHAnsi"/>
          <w:color w:val="000000"/>
          <w:szCs w:val="24"/>
          <w:lang w:eastAsia="en-GB"/>
        </w:rPr>
        <w:t>academic</w:t>
      </w:r>
      <w:r w:rsidR="00702DDD" w:rsidRPr="005049DD">
        <w:rPr>
          <w:rFonts w:cstheme="minorHAnsi"/>
          <w:color w:val="000000"/>
          <w:szCs w:val="24"/>
          <w:lang w:eastAsia="en-GB"/>
        </w:rPr>
        <w:t xml:space="preserve"> entities </w:t>
      </w:r>
      <w:r w:rsidR="0083141F" w:rsidRPr="005049DD">
        <w:rPr>
          <w:rFonts w:cstheme="minorHAnsi"/>
          <w:color w:val="000000"/>
          <w:szCs w:val="24"/>
          <w:lang w:eastAsia="en-GB"/>
        </w:rPr>
        <w:t xml:space="preserve">in ICT-related dialogues. </w:t>
      </w:r>
    </w:p>
    <w:p w14:paraId="4C42F890" w14:textId="3865E61E" w:rsidR="00702DDD" w:rsidRPr="005049DD" w:rsidRDefault="00702DDD"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Foster high-level dialogues with youth on issues related to ICT innovation.</w:t>
      </w:r>
    </w:p>
    <w:p w14:paraId="362DFBB7" w14:textId="17945E59" w:rsidR="000D6C00" w:rsidRPr="005049DD" w:rsidRDefault="000D6C00"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Utilize ICTs to improve the learning of local, regional and international languages.</w:t>
      </w:r>
    </w:p>
    <w:p w14:paraId="55EF5B15" w14:textId="4B294095"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Promote the professional development of young peopl</w:t>
      </w:r>
      <w:r w:rsidR="003A3CF6" w:rsidRPr="005049DD">
        <w:rPr>
          <w:rFonts w:cstheme="minorHAnsi"/>
          <w:color w:val="000000"/>
          <w:szCs w:val="24"/>
          <w:lang w:eastAsia="en-GB"/>
        </w:rPr>
        <w:t xml:space="preserve">e and students </w:t>
      </w:r>
      <w:r w:rsidR="00A0037C" w:rsidRPr="005049DD">
        <w:rPr>
          <w:rFonts w:cstheme="minorHAnsi"/>
          <w:color w:val="000000"/>
          <w:szCs w:val="24"/>
          <w:lang w:eastAsia="en-GB"/>
        </w:rPr>
        <w:t>in the ICT field.</w:t>
      </w:r>
    </w:p>
    <w:p w14:paraId="5A86179C" w14:textId="03AA91D6" w:rsidR="00C54429" w:rsidRPr="005049DD" w:rsidRDefault="00C54429"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Regional collaboration </w:t>
      </w:r>
      <w:r w:rsidR="000D6C00" w:rsidRPr="005049DD">
        <w:rPr>
          <w:rFonts w:cstheme="minorHAnsi"/>
          <w:color w:val="000000"/>
          <w:szCs w:val="24"/>
          <w:lang w:eastAsia="en-GB"/>
        </w:rPr>
        <w:t xml:space="preserve">is an opportunity </w:t>
      </w:r>
      <w:r w:rsidRPr="005049DD">
        <w:rPr>
          <w:rFonts w:cstheme="minorHAnsi"/>
          <w:color w:val="000000"/>
          <w:szCs w:val="24"/>
          <w:lang w:eastAsia="en-GB"/>
        </w:rPr>
        <w:t>to adopt new technologies, encourage inclusion, and develop best practices</w:t>
      </w:r>
      <w:r w:rsidR="000D6C00" w:rsidRPr="005049DD">
        <w:rPr>
          <w:rFonts w:cstheme="minorHAnsi"/>
          <w:color w:val="000000"/>
          <w:szCs w:val="24"/>
          <w:lang w:eastAsia="en-GB"/>
        </w:rPr>
        <w:t>.</w:t>
      </w:r>
    </w:p>
    <w:p w14:paraId="6544937C" w14:textId="753BC0EA" w:rsidR="00C54429" w:rsidRPr="005049DD" w:rsidRDefault="000D6C00"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Foster </w:t>
      </w:r>
      <w:r w:rsidR="00C54429" w:rsidRPr="005049DD">
        <w:rPr>
          <w:rFonts w:cstheme="minorHAnsi"/>
          <w:color w:val="000000"/>
          <w:szCs w:val="24"/>
          <w:lang w:eastAsia="en-GB"/>
        </w:rPr>
        <w:t>Identify and foster regional leaders in digital specialties.</w:t>
      </w:r>
      <w:r w:rsidR="003A3CF6" w:rsidRPr="005049DD">
        <w:rPr>
          <w:rFonts w:cstheme="minorHAnsi"/>
          <w:color w:val="000000"/>
          <w:szCs w:val="24"/>
          <w:lang w:eastAsia="en-GB"/>
        </w:rPr>
        <w:t xml:space="preserve"> </w:t>
      </w:r>
    </w:p>
    <w:p w14:paraId="10571DD9" w14:textId="105A88CC" w:rsidR="008F1CDF" w:rsidRPr="005049DD" w:rsidRDefault="000D6C00"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Foster the development of regional leaders in ICTs and encourage their participation into regional dialogues.</w:t>
      </w:r>
    </w:p>
    <w:p w14:paraId="6B3F09AF" w14:textId="77777777" w:rsidR="00C54429" w:rsidRPr="005049DD" w:rsidRDefault="00C54429" w:rsidP="00DE0C73">
      <w:pPr>
        <w:pBdr>
          <w:top w:val="nil"/>
          <w:left w:val="nil"/>
          <w:bottom w:val="nil"/>
          <w:right w:val="nil"/>
          <w:between w:val="nil"/>
        </w:pBdr>
        <w:tabs>
          <w:tab w:val="left" w:pos="567"/>
          <w:tab w:val="left" w:pos="1701"/>
        </w:tabs>
        <w:spacing w:after="120"/>
        <w:rPr>
          <w:rFonts w:eastAsia="Calibri" w:cstheme="minorHAnsi"/>
          <w:b/>
          <w:i/>
          <w:color w:val="000000"/>
          <w:szCs w:val="24"/>
        </w:rPr>
      </w:pPr>
      <w:r w:rsidRPr="005049DD">
        <w:rPr>
          <w:rFonts w:eastAsia="Calibri" w:cstheme="minorHAnsi"/>
          <w:b/>
          <w:i/>
          <w:color w:val="000000"/>
          <w:szCs w:val="24"/>
        </w:rPr>
        <w:t xml:space="preserve">Based on the above, the GC-AMS recommends the following </w:t>
      </w:r>
      <w:r w:rsidRPr="005049DD">
        <w:rPr>
          <w:rFonts w:eastAsia="Calibri" w:cstheme="minorHAnsi"/>
          <w:b/>
          <w:i/>
          <w:color w:val="000000"/>
          <w:szCs w:val="24"/>
          <w:u w:val="single"/>
        </w:rPr>
        <w:t>Actions</w:t>
      </w:r>
      <w:r w:rsidRPr="005049DD">
        <w:rPr>
          <w:rFonts w:eastAsia="Calibri" w:cstheme="minorHAnsi"/>
          <w:b/>
          <w:i/>
          <w:color w:val="000000"/>
          <w:szCs w:val="24"/>
        </w:rPr>
        <w:t>:</w:t>
      </w:r>
    </w:p>
    <w:p w14:paraId="6C635CC2" w14:textId="094EBF92" w:rsidR="00C54429" w:rsidRPr="005049DD" w:rsidRDefault="00C54429"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 xml:space="preserve">Encourage the </w:t>
      </w:r>
      <w:r w:rsidR="000D6C00" w:rsidRPr="005049DD">
        <w:rPr>
          <w:rFonts w:eastAsia="Calibri" w:cstheme="minorHAnsi"/>
          <w:color w:val="000000"/>
          <w:szCs w:val="24"/>
        </w:rPr>
        <w:t>adoption</w:t>
      </w:r>
      <w:r w:rsidRPr="005049DD">
        <w:rPr>
          <w:rFonts w:eastAsia="Calibri" w:cstheme="minorHAnsi"/>
          <w:color w:val="000000"/>
          <w:szCs w:val="24"/>
        </w:rPr>
        <w:t xml:space="preserve"> of adequate public policies to create conditions for the development of the digital economy.</w:t>
      </w:r>
    </w:p>
    <w:p w14:paraId="47DE489E" w14:textId="29A037FD" w:rsidR="0074694C" w:rsidRPr="005049DD" w:rsidRDefault="00B8530A"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P</w:t>
      </w:r>
      <w:r w:rsidR="00C54429" w:rsidRPr="005049DD">
        <w:rPr>
          <w:rFonts w:eastAsia="Calibri" w:cstheme="minorHAnsi"/>
          <w:color w:val="000000"/>
          <w:szCs w:val="24"/>
        </w:rPr>
        <w:t>romote the</w:t>
      </w:r>
      <w:r w:rsidR="00F734FD" w:rsidRPr="005049DD">
        <w:rPr>
          <w:rFonts w:eastAsia="Calibri" w:cstheme="minorHAnsi"/>
          <w:color w:val="000000"/>
          <w:szCs w:val="24"/>
        </w:rPr>
        <w:t xml:space="preserve"> secure use of </w:t>
      </w:r>
      <w:r w:rsidR="00C54429" w:rsidRPr="005049DD">
        <w:rPr>
          <w:rFonts w:eastAsia="Calibri" w:cstheme="minorHAnsi"/>
          <w:color w:val="000000"/>
          <w:szCs w:val="24"/>
        </w:rPr>
        <w:t>ICT services and the development of cybersecurity strategies</w:t>
      </w:r>
      <w:r w:rsidR="00C54429" w:rsidRPr="005049DD">
        <w:rPr>
          <w:rFonts w:cstheme="minorHAnsi"/>
          <w:color w:val="000000"/>
          <w:szCs w:val="24"/>
        </w:rPr>
        <w:t>.</w:t>
      </w:r>
    </w:p>
    <w:p w14:paraId="34548DA2" w14:textId="1CC416CC" w:rsidR="00F734FD" w:rsidRPr="005049DD" w:rsidRDefault="00F734FD"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Foster program</w:t>
      </w:r>
      <w:r w:rsidR="00330335" w:rsidRPr="005049DD">
        <w:rPr>
          <w:rFonts w:eastAsia="Calibri" w:cstheme="minorHAnsi"/>
          <w:color w:val="000000"/>
          <w:szCs w:val="24"/>
        </w:rPr>
        <w:t>me</w:t>
      </w:r>
      <w:r w:rsidRPr="005049DD">
        <w:rPr>
          <w:rFonts w:eastAsia="Calibri" w:cstheme="minorHAnsi"/>
          <w:color w:val="000000"/>
          <w:szCs w:val="24"/>
        </w:rPr>
        <w:t>s that consider public consultation with the general public on emerging technology deployment.</w:t>
      </w:r>
    </w:p>
    <w:p w14:paraId="16223B32" w14:textId="3B23E921" w:rsidR="00C54429" w:rsidRPr="005049DD" w:rsidRDefault="00CA6466"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Strengthen</w:t>
      </w:r>
      <w:r w:rsidR="00C54429" w:rsidRPr="005049DD">
        <w:rPr>
          <w:rFonts w:eastAsia="Calibri" w:cstheme="minorHAnsi"/>
          <w:color w:val="000000"/>
          <w:szCs w:val="24"/>
        </w:rPr>
        <w:t xml:space="preserve"> the </w:t>
      </w:r>
      <w:r w:rsidR="00F734FD" w:rsidRPr="005049DD">
        <w:rPr>
          <w:rFonts w:eastAsia="Calibri" w:cstheme="minorHAnsi"/>
          <w:color w:val="000000"/>
          <w:szCs w:val="24"/>
        </w:rPr>
        <w:t xml:space="preserve">digitalization and </w:t>
      </w:r>
      <w:r w:rsidR="00C54429" w:rsidRPr="005049DD">
        <w:rPr>
          <w:rFonts w:eastAsia="Calibri" w:cstheme="minorHAnsi"/>
          <w:color w:val="000000"/>
          <w:szCs w:val="24"/>
        </w:rPr>
        <w:t xml:space="preserve">development of </w:t>
      </w:r>
      <w:r w:rsidR="00F734FD" w:rsidRPr="005049DD">
        <w:rPr>
          <w:rFonts w:eastAsia="Calibri" w:cstheme="minorHAnsi"/>
          <w:color w:val="000000"/>
          <w:szCs w:val="24"/>
        </w:rPr>
        <w:t>e-</w:t>
      </w:r>
      <w:r w:rsidR="009F5417">
        <w:rPr>
          <w:rFonts w:eastAsia="Calibri" w:cstheme="minorHAnsi"/>
          <w:color w:val="000000"/>
          <w:szCs w:val="24"/>
        </w:rPr>
        <w:t>G</w:t>
      </w:r>
      <w:r w:rsidR="00C54429" w:rsidRPr="005049DD">
        <w:rPr>
          <w:rFonts w:eastAsia="Calibri" w:cstheme="minorHAnsi"/>
          <w:color w:val="000000"/>
          <w:szCs w:val="24"/>
        </w:rPr>
        <w:t>overnment</w:t>
      </w:r>
      <w:r w:rsidR="00F734FD" w:rsidRPr="005049DD">
        <w:rPr>
          <w:rFonts w:eastAsia="Calibri" w:cstheme="minorHAnsi"/>
          <w:color w:val="000000"/>
          <w:szCs w:val="24"/>
        </w:rPr>
        <w:t xml:space="preserve"> services</w:t>
      </w:r>
      <w:r w:rsidR="00C54429" w:rsidRPr="005049DD">
        <w:rPr>
          <w:rFonts w:eastAsia="Calibri" w:cstheme="minorHAnsi"/>
          <w:color w:val="000000"/>
          <w:szCs w:val="24"/>
        </w:rPr>
        <w:t xml:space="preserve">. </w:t>
      </w:r>
    </w:p>
    <w:p w14:paraId="3A45A8BC" w14:textId="66087951" w:rsidR="00C54429" w:rsidRPr="005049DD" w:rsidRDefault="00C54429"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Promote an innovative environment that encourages youth participation</w:t>
      </w:r>
      <w:r w:rsidRPr="005049DD">
        <w:rPr>
          <w:rFonts w:cstheme="minorHAnsi"/>
        </w:rPr>
        <w:t xml:space="preserve"> and partnerships with schools and universities </w:t>
      </w:r>
      <w:r w:rsidR="00F734FD" w:rsidRPr="005049DD">
        <w:rPr>
          <w:rFonts w:cstheme="minorHAnsi"/>
        </w:rPr>
        <w:t xml:space="preserve">for </w:t>
      </w:r>
      <w:r w:rsidRPr="005049DD">
        <w:rPr>
          <w:rFonts w:eastAsia="Calibri" w:cstheme="minorHAnsi"/>
          <w:color w:val="000000"/>
          <w:szCs w:val="24"/>
        </w:rPr>
        <w:t>the creation of innovation laboratories,</w:t>
      </w:r>
      <w:r w:rsidR="008165C3" w:rsidRPr="005049DD">
        <w:rPr>
          <w:rFonts w:eastAsia="Calibri" w:cstheme="minorHAnsi"/>
          <w:color w:val="000000"/>
          <w:szCs w:val="24"/>
        </w:rPr>
        <w:t xml:space="preserve"> </w:t>
      </w:r>
      <w:r w:rsidRPr="005049DD">
        <w:rPr>
          <w:rFonts w:eastAsia="Calibri" w:cstheme="minorHAnsi"/>
          <w:color w:val="000000"/>
          <w:szCs w:val="24"/>
        </w:rPr>
        <w:t>hackathon events, and technology fairs.</w:t>
      </w:r>
    </w:p>
    <w:p w14:paraId="1D66F749" w14:textId="117A7B23" w:rsidR="00C54429" w:rsidRPr="005049DD" w:rsidRDefault="00C54429"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Provide support to digital literacy program</w:t>
      </w:r>
      <w:r w:rsidR="00330335" w:rsidRPr="005049DD">
        <w:rPr>
          <w:rFonts w:eastAsia="Calibri" w:cstheme="minorHAnsi"/>
          <w:color w:val="000000"/>
          <w:szCs w:val="24"/>
        </w:rPr>
        <w:t>me</w:t>
      </w:r>
      <w:r w:rsidRPr="005049DD">
        <w:rPr>
          <w:rFonts w:eastAsia="Calibri" w:cstheme="minorHAnsi"/>
          <w:color w:val="000000"/>
          <w:szCs w:val="24"/>
        </w:rPr>
        <w:t>s, such as programming courses from a young age. Deploy learning program</w:t>
      </w:r>
      <w:r w:rsidR="00330335" w:rsidRPr="005049DD">
        <w:rPr>
          <w:rFonts w:eastAsia="Calibri" w:cstheme="minorHAnsi"/>
          <w:color w:val="000000"/>
          <w:szCs w:val="24"/>
        </w:rPr>
        <w:t>me</w:t>
      </w:r>
      <w:r w:rsidRPr="005049DD">
        <w:rPr>
          <w:rFonts w:eastAsia="Calibri" w:cstheme="minorHAnsi"/>
          <w:color w:val="000000"/>
          <w:szCs w:val="24"/>
        </w:rPr>
        <w:t>s to underserved communities and promote the use of digital learning and skills development.</w:t>
      </w:r>
    </w:p>
    <w:p w14:paraId="12296DD6" w14:textId="0804ED3B" w:rsidR="00C54429" w:rsidRPr="005049DD" w:rsidRDefault="00F734FD"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eastAsia="Calibri" w:cstheme="minorHAnsi"/>
          <w:color w:val="000000"/>
          <w:szCs w:val="24"/>
        </w:rPr>
      </w:pPr>
      <w:r w:rsidRPr="005049DD">
        <w:rPr>
          <w:rFonts w:eastAsia="Calibri" w:cstheme="minorHAnsi"/>
          <w:color w:val="000000"/>
          <w:szCs w:val="24"/>
        </w:rPr>
        <w:t>Promote the use of ICTs to improve the learning of local, regional and international languages.</w:t>
      </w:r>
    </w:p>
    <w:p w14:paraId="6D18A6C2" w14:textId="6711182B" w:rsidR="00AA30E7" w:rsidRPr="005049DD" w:rsidRDefault="001924FE" w:rsidP="00DE0C73">
      <w:pPr>
        <w:pStyle w:val="ListParagraph"/>
        <w:numPr>
          <w:ilvl w:val="0"/>
          <w:numId w:val="8"/>
        </w:numPr>
        <w:pBdr>
          <w:top w:val="nil"/>
          <w:left w:val="nil"/>
          <w:bottom w:val="nil"/>
          <w:right w:val="nil"/>
          <w:between w:val="nil"/>
        </w:pBdr>
        <w:tabs>
          <w:tab w:val="left" w:pos="567"/>
          <w:tab w:val="left" w:pos="1701"/>
        </w:tabs>
        <w:spacing w:before="80" w:after="80"/>
        <w:ind w:left="714" w:hanging="357"/>
        <w:contextualSpacing w:val="0"/>
        <w:rPr>
          <w:rFonts w:cstheme="minorHAnsi"/>
          <w:color w:val="000000"/>
        </w:rPr>
      </w:pPr>
      <w:r w:rsidRPr="005049DD">
        <w:rPr>
          <w:rFonts w:eastAsia="Calibri" w:cstheme="minorHAnsi"/>
          <w:color w:val="000000"/>
          <w:szCs w:val="24"/>
        </w:rPr>
        <w:t>E</w:t>
      </w:r>
      <w:r w:rsidR="00C54429" w:rsidRPr="005049DD">
        <w:rPr>
          <w:rFonts w:eastAsia="Calibri" w:cstheme="minorHAnsi"/>
          <w:color w:val="000000"/>
          <w:szCs w:val="24"/>
        </w:rPr>
        <w:t xml:space="preserve">ncourage interregional collaboration </w:t>
      </w:r>
      <w:r w:rsidRPr="005049DD">
        <w:rPr>
          <w:rFonts w:eastAsia="Calibri" w:cstheme="minorHAnsi"/>
          <w:color w:val="000000"/>
          <w:szCs w:val="24"/>
        </w:rPr>
        <w:t xml:space="preserve">via regional institutions </w:t>
      </w:r>
      <w:r w:rsidR="00C54429" w:rsidRPr="005049DD">
        <w:rPr>
          <w:rFonts w:eastAsia="Calibri" w:cstheme="minorHAnsi"/>
          <w:color w:val="000000"/>
          <w:szCs w:val="24"/>
        </w:rPr>
        <w:t>and foster leaders in digital specialties (e.g. cybersecurity, smart cities, IoT, blockchain, 5G, etc)</w:t>
      </w:r>
      <w:r w:rsidRPr="005049DD">
        <w:rPr>
          <w:rFonts w:eastAsia="Calibri" w:cstheme="minorHAnsi"/>
          <w:color w:val="000000"/>
          <w:szCs w:val="24"/>
        </w:rPr>
        <w:t>.</w:t>
      </w:r>
    </w:p>
    <w:p w14:paraId="34306E43" w14:textId="2D4390EE" w:rsidR="00AA30E7" w:rsidRPr="005049DD" w:rsidRDefault="004E3AAA" w:rsidP="00DE0C73">
      <w:pPr>
        <w:pStyle w:val="NormalWeb"/>
        <w:keepNext/>
        <w:numPr>
          <w:ilvl w:val="0"/>
          <w:numId w:val="24"/>
        </w:numPr>
        <w:tabs>
          <w:tab w:val="left" w:pos="567"/>
          <w:tab w:val="left" w:pos="1134"/>
          <w:tab w:val="left" w:pos="1701"/>
          <w:tab w:val="left" w:pos="2268"/>
        </w:tabs>
        <w:spacing w:before="120" w:beforeAutospacing="0" w:after="120" w:afterAutospacing="0"/>
        <w:outlineLvl w:val="1"/>
        <w:rPr>
          <w:rFonts w:asciiTheme="minorHAnsi" w:hAnsiTheme="minorHAnsi" w:cstheme="minorHAnsi"/>
          <w:b/>
          <w:bCs/>
          <w:color w:val="000000"/>
        </w:rPr>
      </w:pPr>
      <w:bookmarkStart w:id="10" w:name="_Hlk67731712"/>
      <w:r w:rsidRPr="005049DD">
        <w:rPr>
          <w:rFonts w:asciiTheme="minorHAnsi" w:hAnsiTheme="minorHAnsi" w:cstheme="minorHAnsi"/>
          <w:b/>
          <w:bCs/>
          <w:color w:val="000000"/>
        </w:rPr>
        <w:t>DIGITAL SERVICES AND APPLICATIONS</w:t>
      </w:r>
      <w:bookmarkEnd w:id="10"/>
    </w:p>
    <w:p w14:paraId="284BA3D3"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pt-BR" w:eastAsia="pt-BR"/>
        </w:rPr>
      </w:pPr>
      <w:r w:rsidRPr="005049DD">
        <w:rPr>
          <w:rFonts w:cstheme="minorHAnsi"/>
          <w:b/>
          <w:bCs/>
          <w:i/>
          <w:iCs/>
          <w:color w:val="000000"/>
          <w:szCs w:val="24"/>
          <w:lang w:val="pt-BR" w:eastAsia="pt-BR"/>
        </w:rPr>
        <w:t>Considering that…</w:t>
      </w:r>
    </w:p>
    <w:p w14:paraId="78D89437"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5049DD">
        <w:rPr>
          <w:rFonts w:cstheme="minorHAnsi"/>
          <w:color w:val="000000"/>
          <w:szCs w:val="24"/>
          <w:lang w:val="en-US" w:eastAsia="pt-BR"/>
        </w:rPr>
        <w:t>ICT is paramount for citizens of the technological world, and Digital Services and Applications are key building blocks to create growth and opportunities for all people and especially youth. The COVID-19 pandemic has revealed many inadequacies and weaknesses within the economy, governing bodies, and current policies. The support of ITU is necessary to enact change and create sustainable development in the ICT sector.</w:t>
      </w:r>
    </w:p>
    <w:p w14:paraId="4A69CCC0" w14:textId="7683C62C"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5049DD">
        <w:rPr>
          <w:rFonts w:cstheme="minorHAnsi"/>
          <w:color w:val="000000"/>
          <w:szCs w:val="24"/>
          <w:lang w:val="en-US" w:eastAsia="pt-BR"/>
        </w:rPr>
        <w:t xml:space="preserve">There is a disconnect between underserved communities and digital services due to a lack of awareness and accessibility. As technology advances, populations are forgotten and left far behind, and where they do not have a voice, technology remains stagnant. Having youth be a part </w:t>
      </w:r>
      <w:r w:rsidRPr="005049DD">
        <w:rPr>
          <w:rFonts w:cstheme="minorHAnsi"/>
          <w:color w:val="000000"/>
          <w:szCs w:val="24"/>
          <w:lang w:val="en-US" w:eastAsia="pt-BR"/>
        </w:rPr>
        <w:lastRenderedPageBreak/>
        <w:t>of the change in the development of digital services and applications will increase resources in digital health, e-Agriculture, e-Learning, Smart Cities, and Data-Driven Technologies. Through the implementation of ICT applications and new technologies, such as open data and information sharing, evaluation studies and tools, there will be an improved digital economy that produces open collaboration where everyone can equally impact a more sustainable digital future.</w:t>
      </w:r>
    </w:p>
    <w:p w14:paraId="57E0CEFF"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5049DD">
        <w:rPr>
          <w:rFonts w:cstheme="minorHAnsi"/>
          <w:b/>
          <w:bCs/>
          <w:i/>
          <w:iCs/>
          <w:color w:val="000000"/>
          <w:szCs w:val="24"/>
          <w:lang w:val="en-US" w:eastAsia="pt-BR"/>
        </w:rPr>
        <w:t>The GC-AMS members identified the following challenges and opportunities:</w:t>
      </w:r>
    </w:p>
    <w:p w14:paraId="6671E008"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pt-BR" w:eastAsia="pt-BR"/>
        </w:rPr>
      </w:pPr>
      <w:r w:rsidRPr="005049DD">
        <w:rPr>
          <w:rFonts w:cstheme="minorHAnsi"/>
          <w:color w:val="000000"/>
          <w:szCs w:val="24"/>
          <w:u w:val="single"/>
          <w:lang w:val="pt-BR" w:eastAsia="pt-BR"/>
        </w:rPr>
        <w:t>Challenges</w:t>
      </w:r>
      <w:r w:rsidRPr="005049DD">
        <w:rPr>
          <w:rFonts w:cstheme="minorHAnsi"/>
          <w:b/>
          <w:bCs/>
          <w:color w:val="000000"/>
          <w:szCs w:val="24"/>
          <w:u w:val="single"/>
          <w:lang w:val="pt-BR" w:eastAsia="pt-BR"/>
        </w:rPr>
        <w:t>:</w:t>
      </w:r>
    </w:p>
    <w:p w14:paraId="39AC731D"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Limited software development.</w:t>
      </w:r>
    </w:p>
    <w:p w14:paraId="27C90211"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Citizens do not have access to governmental processes and observation to be a part of the decision-making process.</w:t>
      </w:r>
    </w:p>
    <w:p w14:paraId="65611A8B"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Lack of resources, open data platforms, and access to public information.</w:t>
      </w:r>
    </w:p>
    <w:p w14:paraId="59443491"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Lack of policies to provide connectivity to those that need it the most.</w:t>
      </w:r>
    </w:p>
    <w:p w14:paraId="28A171FF"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Lack of regulations to enforce the reduction of carbon footprints and environmental impacts.</w:t>
      </w:r>
    </w:p>
    <w:p w14:paraId="549F1CE0"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Policies implemented do not consider what the vulnerable populations </w:t>
      </w:r>
      <w:proofErr w:type="gramStart"/>
      <w:r w:rsidRPr="005049DD">
        <w:rPr>
          <w:rFonts w:cstheme="minorHAnsi"/>
          <w:color w:val="000000"/>
          <w:szCs w:val="24"/>
          <w:lang w:eastAsia="en-GB"/>
        </w:rPr>
        <w:t>actually need</w:t>
      </w:r>
      <w:proofErr w:type="gramEnd"/>
      <w:r w:rsidRPr="005049DD">
        <w:rPr>
          <w:rFonts w:cstheme="minorHAnsi"/>
          <w:color w:val="000000"/>
          <w:szCs w:val="24"/>
          <w:lang w:eastAsia="en-GB"/>
        </w:rPr>
        <w:t>.</w:t>
      </w:r>
    </w:p>
    <w:p w14:paraId="7723A406"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Applications and resources available use complicated vocabulary and are not accessible to all ages and levels of technological knowledge.</w:t>
      </w:r>
    </w:p>
    <w:p w14:paraId="357B9D70" w14:textId="6D2DEDC6"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Delays and halt of basic services like hospitals, businesses, and agriculture due to loss of connectivity or infrastructure during COVID-19.</w:t>
      </w:r>
    </w:p>
    <w:p w14:paraId="62539A37"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pt-BR" w:eastAsia="pt-BR"/>
        </w:rPr>
      </w:pPr>
      <w:r w:rsidRPr="005049DD">
        <w:rPr>
          <w:rFonts w:cstheme="minorHAnsi"/>
          <w:color w:val="000000"/>
          <w:szCs w:val="24"/>
          <w:u w:val="single"/>
          <w:lang w:val="pt-BR" w:eastAsia="pt-BR"/>
        </w:rPr>
        <w:t>Opportunities</w:t>
      </w:r>
      <w:r w:rsidRPr="005049DD">
        <w:rPr>
          <w:rFonts w:cstheme="minorHAnsi"/>
          <w:b/>
          <w:bCs/>
          <w:color w:val="000000"/>
          <w:szCs w:val="24"/>
          <w:u w:val="single"/>
          <w:lang w:val="pt-BR" w:eastAsia="pt-BR"/>
        </w:rPr>
        <w:t>:</w:t>
      </w:r>
    </w:p>
    <w:p w14:paraId="3C502997" w14:textId="20D13E20"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 xml:space="preserve">With access to funding, </w:t>
      </w:r>
      <w:r w:rsidR="001E354F">
        <w:rPr>
          <w:rFonts w:cstheme="minorHAnsi"/>
          <w:color w:val="000000"/>
          <w:szCs w:val="24"/>
          <w:lang w:eastAsia="en-GB"/>
        </w:rPr>
        <w:t>M</w:t>
      </w:r>
      <w:r w:rsidRPr="005049DD">
        <w:rPr>
          <w:rFonts w:cstheme="minorHAnsi"/>
          <w:color w:val="000000"/>
          <w:szCs w:val="24"/>
          <w:lang w:eastAsia="en-GB"/>
        </w:rPr>
        <w:t xml:space="preserve">ember </w:t>
      </w:r>
      <w:r w:rsidR="001E354F">
        <w:rPr>
          <w:rFonts w:cstheme="minorHAnsi"/>
          <w:color w:val="000000"/>
          <w:szCs w:val="24"/>
          <w:lang w:eastAsia="en-GB"/>
        </w:rPr>
        <w:t>S</w:t>
      </w:r>
      <w:r w:rsidRPr="005049DD">
        <w:rPr>
          <w:rFonts w:cstheme="minorHAnsi"/>
          <w:color w:val="000000"/>
          <w:szCs w:val="24"/>
          <w:lang w:eastAsia="en-GB"/>
        </w:rPr>
        <w:t>tates within the Americas region can provide vulnerable populations with the tools and the knowledge to use applications and digital services (</w:t>
      </w:r>
      <w:r w:rsidR="00751FCB">
        <w:rPr>
          <w:rFonts w:cstheme="minorHAnsi"/>
          <w:color w:val="000000"/>
          <w:szCs w:val="24"/>
          <w:lang w:eastAsia="en-GB"/>
        </w:rPr>
        <w:t>e</w:t>
      </w:r>
      <w:r w:rsidRPr="005049DD">
        <w:rPr>
          <w:rFonts w:cstheme="minorHAnsi"/>
          <w:color w:val="000000"/>
          <w:szCs w:val="24"/>
          <w:lang w:eastAsia="en-GB"/>
        </w:rPr>
        <w:t xml:space="preserve">-Government, </w:t>
      </w:r>
      <w:r w:rsidR="00751FCB">
        <w:rPr>
          <w:rFonts w:cstheme="minorHAnsi"/>
          <w:color w:val="000000"/>
          <w:szCs w:val="24"/>
          <w:lang w:eastAsia="en-GB"/>
        </w:rPr>
        <w:t>e</w:t>
      </w:r>
      <w:r w:rsidRPr="005049DD">
        <w:rPr>
          <w:rFonts w:cstheme="minorHAnsi"/>
          <w:color w:val="000000"/>
          <w:szCs w:val="24"/>
          <w:lang w:eastAsia="en-GB"/>
        </w:rPr>
        <w:t xml:space="preserve">-Health, </w:t>
      </w:r>
      <w:r w:rsidR="006B2925">
        <w:rPr>
          <w:rFonts w:cstheme="minorHAnsi"/>
          <w:color w:val="000000"/>
          <w:szCs w:val="24"/>
          <w:lang w:eastAsia="en-GB"/>
        </w:rPr>
        <w:t>e</w:t>
      </w:r>
      <w:r w:rsidRPr="005049DD">
        <w:rPr>
          <w:rFonts w:cstheme="minorHAnsi"/>
          <w:color w:val="000000"/>
          <w:szCs w:val="24"/>
          <w:lang w:eastAsia="en-GB"/>
        </w:rPr>
        <w:t>-Agriculture, Smart Cities) that help vulnerable populations directly.</w:t>
      </w:r>
    </w:p>
    <w:p w14:paraId="6A585820"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The creation and promotion of awareness of available applications that use accessible language can connect services to all ages. By making it user-centric, in a way that improves the user experience and accessible to the public breaks down barriers.</w:t>
      </w:r>
    </w:p>
    <w:p w14:paraId="5A39AE66"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The utilization of Big Data, Artificial Intelligence, and the Internet of Things to create Smart Cities that are prepared for emergencies and other impacts. Not just relying on machines but being human-centric, to prevent discrimination or bias.</w:t>
      </w:r>
    </w:p>
    <w:p w14:paraId="71E452AC"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Preparing youth with the skills and tools to take advantage of digital services and applications ensures a better future full of digital services. They would then be able to foster connection and educate across ages to empower others through digital advancement.</w:t>
      </w:r>
    </w:p>
    <w:p w14:paraId="5F448599" w14:textId="77777777" w:rsidR="00903A9E" w:rsidRPr="005049DD" w:rsidRDefault="00903A9E" w:rsidP="00DE0C73">
      <w:pPr>
        <w:pStyle w:val="ListParagraph"/>
        <w:numPr>
          <w:ilvl w:val="0"/>
          <w:numId w:val="3"/>
        </w:numPr>
        <w:spacing w:before="80" w:after="80"/>
        <w:contextualSpacing w:val="0"/>
        <w:rPr>
          <w:rFonts w:cstheme="minorHAnsi"/>
          <w:color w:val="000000"/>
          <w:szCs w:val="24"/>
          <w:lang w:eastAsia="en-GB"/>
        </w:rPr>
      </w:pPr>
      <w:r w:rsidRPr="005049DD">
        <w:rPr>
          <w:rFonts w:cstheme="minorHAnsi"/>
          <w:color w:val="000000"/>
          <w:szCs w:val="24"/>
          <w:lang w:eastAsia="en-GB"/>
        </w:rPr>
        <w:t>Exchange of information, adopting international examples of successful service implementation, access to open data and public information.</w:t>
      </w:r>
    </w:p>
    <w:p w14:paraId="6419BF1D"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b/>
          <w:bCs/>
          <w:szCs w:val="24"/>
          <w:lang w:val="en-US" w:eastAsia="pt-BR"/>
        </w:rPr>
      </w:pPr>
      <w:r w:rsidRPr="005049DD">
        <w:rPr>
          <w:rFonts w:cstheme="minorHAnsi"/>
          <w:b/>
          <w:bCs/>
          <w:i/>
          <w:iCs/>
          <w:color w:val="000000"/>
          <w:szCs w:val="24"/>
          <w:lang w:val="en-US" w:eastAsia="pt-BR"/>
        </w:rPr>
        <w:t xml:space="preserve">Based on the above, the GC-AMS recommends the following </w:t>
      </w:r>
      <w:r w:rsidRPr="005049DD">
        <w:rPr>
          <w:rFonts w:cstheme="minorHAnsi"/>
          <w:b/>
          <w:bCs/>
          <w:i/>
          <w:iCs/>
          <w:color w:val="000000"/>
          <w:szCs w:val="24"/>
          <w:u w:val="single"/>
          <w:lang w:val="en-US" w:eastAsia="pt-BR"/>
        </w:rPr>
        <w:t>Actions</w:t>
      </w:r>
      <w:r w:rsidRPr="005049DD">
        <w:rPr>
          <w:rFonts w:cstheme="minorHAnsi"/>
          <w:b/>
          <w:bCs/>
          <w:i/>
          <w:iCs/>
          <w:color w:val="000000"/>
          <w:szCs w:val="24"/>
          <w:lang w:val="en-US" w:eastAsia="pt-BR"/>
        </w:rPr>
        <w:t>:</w:t>
      </w:r>
    </w:p>
    <w:p w14:paraId="4AC59AEB" w14:textId="4C570C5C"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 xml:space="preserve">Create a </w:t>
      </w:r>
      <w:r w:rsidR="00200E49" w:rsidRPr="005049DD">
        <w:rPr>
          <w:rFonts w:cstheme="minorHAnsi"/>
          <w:color w:val="000000"/>
          <w:szCs w:val="24"/>
          <w:lang w:val="en-US" w:eastAsia="pt-BR"/>
        </w:rPr>
        <w:t>d</w:t>
      </w:r>
      <w:r w:rsidRPr="005049DD">
        <w:rPr>
          <w:rFonts w:cstheme="minorHAnsi"/>
          <w:color w:val="000000"/>
          <w:szCs w:val="24"/>
          <w:lang w:val="en-US" w:eastAsia="pt-BR"/>
        </w:rPr>
        <w:t xml:space="preserve">ata </w:t>
      </w:r>
      <w:r w:rsidR="00200E49" w:rsidRPr="005049DD">
        <w:rPr>
          <w:rFonts w:cstheme="minorHAnsi"/>
          <w:color w:val="000000"/>
          <w:szCs w:val="24"/>
          <w:lang w:val="en-US" w:eastAsia="pt-BR"/>
        </w:rPr>
        <w:t>g</w:t>
      </w:r>
      <w:r w:rsidRPr="005049DD">
        <w:rPr>
          <w:rFonts w:cstheme="minorHAnsi"/>
          <w:color w:val="000000"/>
          <w:szCs w:val="24"/>
          <w:lang w:val="en-US" w:eastAsia="pt-BR"/>
        </w:rPr>
        <w:t xml:space="preserve">overnance </w:t>
      </w:r>
      <w:r w:rsidR="00200E49" w:rsidRPr="005049DD">
        <w:rPr>
          <w:rFonts w:cstheme="minorHAnsi"/>
          <w:color w:val="000000"/>
          <w:szCs w:val="24"/>
          <w:lang w:val="en-US" w:eastAsia="pt-BR"/>
        </w:rPr>
        <w:t>p</w:t>
      </w:r>
      <w:r w:rsidRPr="005049DD">
        <w:rPr>
          <w:rFonts w:cstheme="minorHAnsi"/>
          <w:color w:val="000000"/>
          <w:szCs w:val="24"/>
          <w:lang w:val="en-US" w:eastAsia="pt-BR"/>
        </w:rPr>
        <w:t xml:space="preserve">olicy that encompasses transparency, accountability, purpose limitation and </w:t>
      </w:r>
      <w:proofErr w:type="spellStart"/>
      <w:r w:rsidRPr="005049DD">
        <w:rPr>
          <w:rFonts w:cstheme="minorHAnsi"/>
          <w:color w:val="000000"/>
          <w:szCs w:val="24"/>
          <w:lang w:val="en-US" w:eastAsia="pt-BR"/>
        </w:rPr>
        <w:t>minimisation</w:t>
      </w:r>
      <w:proofErr w:type="spellEnd"/>
      <w:r w:rsidRPr="005049DD">
        <w:rPr>
          <w:rFonts w:cstheme="minorHAnsi"/>
          <w:color w:val="000000"/>
          <w:szCs w:val="24"/>
          <w:lang w:val="en-US" w:eastAsia="pt-BR"/>
        </w:rPr>
        <w:t xml:space="preserve">, access limitation, data security. Establish an autonomous </w:t>
      </w:r>
      <w:r w:rsidR="00200E49" w:rsidRPr="005049DD">
        <w:rPr>
          <w:rFonts w:cstheme="minorHAnsi"/>
          <w:color w:val="000000"/>
          <w:szCs w:val="24"/>
          <w:lang w:val="en-US" w:eastAsia="pt-BR"/>
        </w:rPr>
        <w:t>d</w:t>
      </w:r>
      <w:r w:rsidRPr="005049DD">
        <w:rPr>
          <w:rFonts w:cstheme="minorHAnsi"/>
          <w:color w:val="000000"/>
          <w:szCs w:val="24"/>
          <w:lang w:val="en-US" w:eastAsia="pt-BR"/>
        </w:rPr>
        <w:t xml:space="preserve">ata </w:t>
      </w:r>
      <w:r w:rsidR="00200E49" w:rsidRPr="005049DD">
        <w:rPr>
          <w:rFonts w:cstheme="minorHAnsi"/>
          <w:color w:val="000000"/>
          <w:szCs w:val="24"/>
          <w:lang w:val="en-US" w:eastAsia="pt-BR"/>
        </w:rPr>
        <w:t>p</w:t>
      </w:r>
      <w:r w:rsidRPr="005049DD">
        <w:rPr>
          <w:rFonts w:cstheme="minorHAnsi"/>
          <w:color w:val="000000"/>
          <w:szCs w:val="24"/>
          <w:lang w:val="en-US" w:eastAsia="pt-BR"/>
        </w:rPr>
        <w:t xml:space="preserve">rotection </w:t>
      </w:r>
      <w:r w:rsidR="00200E49" w:rsidRPr="005049DD">
        <w:rPr>
          <w:rFonts w:cstheme="minorHAnsi"/>
          <w:color w:val="000000"/>
          <w:szCs w:val="24"/>
          <w:lang w:val="en-US" w:eastAsia="pt-BR"/>
        </w:rPr>
        <w:t>a</w:t>
      </w:r>
      <w:r w:rsidRPr="005049DD">
        <w:rPr>
          <w:rFonts w:cstheme="minorHAnsi"/>
          <w:color w:val="000000"/>
          <w:szCs w:val="24"/>
          <w:lang w:val="en-US" w:eastAsia="pt-BR"/>
        </w:rPr>
        <w:t xml:space="preserve">gency that is capable to take actions and implement processes. Promote the </w:t>
      </w:r>
      <w:r w:rsidRPr="005049DD">
        <w:rPr>
          <w:rFonts w:cstheme="minorHAnsi"/>
          <w:color w:val="000000"/>
          <w:szCs w:val="24"/>
          <w:lang w:val="en-US" w:eastAsia="pt-BR"/>
        </w:rPr>
        <w:lastRenderedPageBreak/>
        <w:t>development of applications at the district/local level that will facilitate the population's access to official information.</w:t>
      </w:r>
    </w:p>
    <w:p w14:paraId="19D50BFB" w14:textId="77777777"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Pursue the digitalization of all current services and mostly facilitate citizens to access them. Promote the development of applications, e-IDs for ease of applying, intaking for service access (such as hospitals, government offices, etc.) and enable seamless service without having to keep and provide physical documents.</w:t>
      </w:r>
    </w:p>
    <w:p w14:paraId="1D395129" w14:textId="3D531439"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 xml:space="preserve">Promote centralized databases which will allow governments institutions to function as an integrated whole. Government systems </w:t>
      </w:r>
      <w:r w:rsidR="008F1CDF" w:rsidRPr="005049DD">
        <w:rPr>
          <w:rFonts w:cstheme="minorHAnsi"/>
          <w:color w:val="000000"/>
          <w:szCs w:val="24"/>
          <w:lang w:val="en-US" w:eastAsia="pt-BR"/>
        </w:rPr>
        <w:t xml:space="preserve">should </w:t>
      </w:r>
      <w:r w:rsidRPr="005049DD">
        <w:rPr>
          <w:rFonts w:cstheme="minorHAnsi"/>
          <w:color w:val="000000"/>
          <w:szCs w:val="24"/>
          <w:lang w:val="en-US" w:eastAsia="pt-BR"/>
        </w:rPr>
        <w:t>promote remote cooperation so that data only needs to be requested from the citizens once. This solution will set the foundation to allow the public sector digital services information systems to link up and function seamlessly.</w:t>
      </w:r>
    </w:p>
    <w:p w14:paraId="3AEB557B" w14:textId="77777777"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Promote sustainable practices such as reducing paper, carbon and other waste-producing services.</w:t>
      </w:r>
    </w:p>
    <w:p w14:paraId="713B2360" w14:textId="27E019DA"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 xml:space="preserve">Promote </w:t>
      </w:r>
      <w:r w:rsidR="0044121D" w:rsidRPr="005049DD">
        <w:rPr>
          <w:rFonts w:cstheme="minorHAnsi"/>
          <w:color w:val="000000"/>
          <w:szCs w:val="24"/>
          <w:lang w:val="en-US" w:eastAsia="pt-BR"/>
        </w:rPr>
        <w:t>d</w:t>
      </w:r>
      <w:r w:rsidRPr="005049DD">
        <w:rPr>
          <w:rFonts w:cstheme="minorHAnsi"/>
          <w:color w:val="000000"/>
          <w:szCs w:val="24"/>
          <w:lang w:val="en-US" w:eastAsia="pt-BR"/>
        </w:rPr>
        <w:t xml:space="preserve">igital </w:t>
      </w:r>
      <w:r w:rsidR="0044121D" w:rsidRPr="005049DD">
        <w:rPr>
          <w:rFonts w:cstheme="minorHAnsi"/>
          <w:color w:val="000000"/>
          <w:szCs w:val="24"/>
          <w:lang w:val="en-US" w:eastAsia="pt-BR"/>
        </w:rPr>
        <w:t>c</w:t>
      </w:r>
      <w:r w:rsidRPr="005049DD">
        <w:rPr>
          <w:rFonts w:cstheme="minorHAnsi"/>
          <w:color w:val="000000"/>
          <w:szCs w:val="24"/>
          <w:lang w:val="en-US" w:eastAsia="pt-BR"/>
        </w:rPr>
        <w:t xml:space="preserve">ooperation through </w:t>
      </w:r>
      <w:r w:rsidR="0044121D" w:rsidRPr="005049DD">
        <w:rPr>
          <w:rFonts w:cstheme="minorHAnsi"/>
          <w:color w:val="000000"/>
          <w:szCs w:val="24"/>
          <w:lang w:val="en-US" w:eastAsia="pt-BR"/>
        </w:rPr>
        <w:t>p</w:t>
      </w:r>
      <w:r w:rsidRPr="005049DD">
        <w:rPr>
          <w:rFonts w:cstheme="minorHAnsi"/>
          <w:color w:val="000000"/>
          <w:szCs w:val="24"/>
          <w:lang w:val="en-US" w:eastAsia="pt-BR"/>
        </w:rPr>
        <w:t xml:space="preserve">artnerships with think tanks, civil society organizations, </w:t>
      </w:r>
      <w:r w:rsidR="00221066">
        <w:rPr>
          <w:rFonts w:cstheme="minorHAnsi"/>
          <w:color w:val="000000"/>
          <w:szCs w:val="24"/>
          <w:lang w:val="en-US" w:eastAsia="pt-BR"/>
        </w:rPr>
        <w:t>A</w:t>
      </w:r>
      <w:r w:rsidRPr="005049DD">
        <w:rPr>
          <w:rFonts w:cstheme="minorHAnsi"/>
          <w:color w:val="000000"/>
          <w:szCs w:val="24"/>
          <w:lang w:val="en-US" w:eastAsia="pt-BR"/>
        </w:rPr>
        <w:t>cademia to create technical strategies and promote social entrepreneurship solutions to tackle the inefficiency of services.</w:t>
      </w:r>
    </w:p>
    <w:p w14:paraId="04C915F6" w14:textId="19E66702"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 xml:space="preserve">Encourage human rights assessments in the development of </w:t>
      </w:r>
      <w:r w:rsidR="009F5417">
        <w:rPr>
          <w:rFonts w:cstheme="minorHAnsi"/>
          <w:color w:val="000000"/>
          <w:szCs w:val="24"/>
          <w:lang w:val="en-US" w:eastAsia="pt-BR"/>
        </w:rPr>
        <w:t>e</w:t>
      </w:r>
      <w:r w:rsidRPr="005049DD">
        <w:rPr>
          <w:rFonts w:cstheme="minorHAnsi"/>
          <w:color w:val="000000"/>
          <w:szCs w:val="24"/>
          <w:lang w:val="en-US" w:eastAsia="pt-BR"/>
        </w:rPr>
        <w:t>-Services in order to prevent any human rights violations such as privacy and acceptable content usage from emerging technologies and their application within cities. Follow the principles of responsible development of smart cities and digital rights.</w:t>
      </w:r>
    </w:p>
    <w:p w14:paraId="315C2A0D" w14:textId="642AC5E2" w:rsidR="00903A9E" w:rsidRPr="005049DD" w:rsidRDefault="00903A9E" w:rsidP="00DE0C73">
      <w:pPr>
        <w:numPr>
          <w:ilvl w:val="0"/>
          <w:numId w:val="14"/>
        </w:numPr>
        <w:tabs>
          <w:tab w:val="clear" w:pos="1134"/>
          <w:tab w:val="clear" w:pos="1871"/>
          <w:tab w:val="clear" w:pos="2268"/>
        </w:tabs>
        <w:spacing w:before="80" w:after="80"/>
        <w:ind w:left="714" w:hanging="357"/>
        <w:rPr>
          <w:rFonts w:cstheme="minorHAnsi"/>
          <w:color w:val="000000"/>
          <w:szCs w:val="24"/>
          <w:lang w:val="en-US" w:eastAsia="pt-BR"/>
        </w:rPr>
      </w:pPr>
      <w:r w:rsidRPr="005049DD">
        <w:rPr>
          <w:rFonts w:cstheme="minorHAnsi"/>
          <w:color w:val="000000"/>
          <w:szCs w:val="24"/>
          <w:lang w:val="en-US" w:eastAsia="pt-BR"/>
        </w:rPr>
        <w:t xml:space="preserve">Create accessible digital services independent of skill level or socioeconomic </w:t>
      </w:r>
      <w:proofErr w:type="gramStart"/>
      <w:r w:rsidRPr="005049DD">
        <w:rPr>
          <w:rFonts w:cstheme="minorHAnsi"/>
          <w:color w:val="000000"/>
          <w:szCs w:val="24"/>
          <w:lang w:val="en-US" w:eastAsia="pt-BR"/>
        </w:rPr>
        <w:t>status, and</w:t>
      </w:r>
      <w:proofErr w:type="gramEnd"/>
      <w:r w:rsidRPr="005049DD">
        <w:rPr>
          <w:rFonts w:cstheme="minorHAnsi"/>
          <w:color w:val="000000"/>
          <w:szCs w:val="24"/>
          <w:lang w:val="en-US" w:eastAsia="pt-BR"/>
        </w:rPr>
        <w:t xml:space="preserve"> provide services that are valuable to them.</w:t>
      </w:r>
    </w:p>
    <w:p w14:paraId="47146064" w14:textId="2C1E7FD4" w:rsidR="005D2858" w:rsidRPr="005049DD" w:rsidRDefault="005D2858" w:rsidP="00DE0C73">
      <w:pPr>
        <w:pStyle w:val="NormalWeb"/>
        <w:keepNext/>
        <w:numPr>
          <w:ilvl w:val="0"/>
          <w:numId w:val="24"/>
        </w:numPr>
        <w:tabs>
          <w:tab w:val="left" w:pos="567"/>
          <w:tab w:val="left" w:pos="1134"/>
          <w:tab w:val="left" w:pos="1701"/>
          <w:tab w:val="left" w:pos="2268"/>
        </w:tabs>
        <w:spacing w:before="120" w:beforeAutospacing="0" w:after="120" w:afterAutospacing="0"/>
        <w:outlineLvl w:val="1"/>
        <w:rPr>
          <w:rFonts w:asciiTheme="minorHAnsi" w:hAnsiTheme="minorHAnsi" w:cstheme="minorHAnsi"/>
          <w:b/>
          <w:bCs/>
          <w:color w:val="000000"/>
        </w:rPr>
      </w:pPr>
      <w:r w:rsidRPr="005049DD">
        <w:rPr>
          <w:rFonts w:asciiTheme="minorHAnsi" w:hAnsiTheme="minorHAnsi" w:cstheme="minorHAnsi"/>
          <w:b/>
          <w:bCs/>
          <w:color w:val="000000"/>
        </w:rPr>
        <w:t>NETWORK AND DIGITAL INFRASTRUCTURE</w:t>
      </w:r>
    </w:p>
    <w:p w14:paraId="0C48F15E"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pt-BR" w:eastAsia="pt-BR"/>
        </w:rPr>
      </w:pPr>
      <w:r w:rsidRPr="005049DD">
        <w:rPr>
          <w:rFonts w:cstheme="minorHAnsi"/>
          <w:b/>
          <w:bCs/>
          <w:i/>
          <w:iCs/>
          <w:color w:val="000000"/>
          <w:szCs w:val="24"/>
          <w:lang w:val="pt-BR" w:eastAsia="pt-BR"/>
        </w:rPr>
        <w:t>Considering that</w:t>
      </w:r>
    </w:p>
    <w:p w14:paraId="1865F0AE" w14:textId="3E3BE5EC" w:rsidR="00E43853" w:rsidRPr="00E43853" w:rsidRDefault="00E43853" w:rsidP="00DE0C73">
      <w:pPr>
        <w:tabs>
          <w:tab w:val="clear" w:pos="1134"/>
          <w:tab w:val="clear" w:pos="1871"/>
          <w:tab w:val="clear" w:pos="2268"/>
        </w:tabs>
        <w:overflowPunct/>
        <w:autoSpaceDE/>
        <w:autoSpaceDN/>
        <w:adjustRightInd/>
        <w:spacing w:after="120"/>
        <w:textAlignment w:val="auto"/>
        <w:rPr>
          <w:rFonts w:cstheme="minorHAnsi"/>
          <w:color w:val="000000"/>
          <w:szCs w:val="24"/>
          <w:lang w:val="en-US" w:eastAsia="pt-BR"/>
        </w:rPr>
      </w:pPr>
      <w:r w:rsidRPr="00E43853">
        <w:rPr>
          <w:rFonts w:cstheme="minorHAnsi"/>
          <w:color w:val="000000"/>
          <w:szCs w:val="24"/>
          <w:lang w:val="en-US" w:eastAsia="pt-BR"/>
        </w:rPr>
        <w:t xml:space="preserve">Digital infrastructure constitutes the first step towards the possibilities that information and communication technologies offer for sustainable development, in both </w:t>
      </w:r>
      <w:r w:rsidR="000F486C">
        <w:rPr>
          <w:rFonts w:cstheme="minorHAnsi"/>
          <w:color w:val="000000"/>
          <w:szCs w:val="24"/>
          <w:lang w:val="en-US" w:eastAsia="pt-BR"/>
        </w:rPr>
        <w:t xml:space="preserve">the </w:t>
      </w:r>
      <w:r w:rsidRPr="00E43853">
        <w:rPr>
          <w:rFonts w:cstheme="minorHAnsi"/>
          <w:color w:val="000000"/>
          <w:szCs w:val="24"/>
          <w:lang w:val="en-US" w:eastAsia="pt-BR"/>
        </w:rPr>
        <w:t xml:space="preserve">present and </w:t>
      </w:r>
      <w:r w:rsidR="000F486C">
        <w:rPr>
          <w:rFonts w:cstheme="minorHAnsi"/>
          <w:color w:val="000000"/>
          <w:szCs w:val="24"/>
          <w:lang w:val="en-US" w:eastAsia="pt-BR"/>
        </w:rPr>
        <w:t xml:space="preserve">the </w:t>
      </w:r>
      <w:r w:rsidRPr="00E43853">
        <w:rPr>
          <w:rFonts w:cstheme="minorHAnsi"/>
          <w:color w:val="000000"/>
          <w:szCs w:val="24"/>
          <w:lang w:val="en-US" w:eastAsia="pt-BR"/>
        </w:rPr>
        <w:t>future.</w:t>
      </w:r>
      <w:r>
        <w:rPr>
          <w:rFonts w:cstheme="minorHAnsi"/>
          <w:color w:val="000000"/>
          <w:szCs w:val="24"/>
          <w:lang w:val="en-US" w:eastAsia="pt-BR"/>
        </w:rPr>
        <w:t xml:space="preserve"> </w:t>
      </w:r>
      <w:r w:rsidRPr="00E43853">
        <w:rPr>
          <w:rFonts w:cstheme="minorHAnsi"/>
          <w:color w:val="000000"/>
          <w:szCs w:val="24"/>
          <w:lang w:val="en-US" w:eastAsia="pt-BR"/>
        </w:rPr>
        <w:t xml:space="preserve">Nevertheless, only 69,8% of households in the Americas have access to the internet, according to ITU’s report “Facts and </w:t>
      </w:r>
      <w:r w:rsidR="000F486C">
        <w:rPr>
          <w:rFonts w:cstheme="minorHAnsi"/>
          <w:color w:val="000000"/>
          <w:szCs w:val="24"/>
          <w:lang w:val="en-US" w:eastAsia="pt-BR"/>
        </w:rPr>
        <w:t>F</w:t>
      </w:r>
      <w:r w:rsidRPr="00E43853">
        <w:rPr>
          <w:rFonts w:cstheme="minorHAnsi"/>
          <w:color w:val="000000"/>
          <w:szCs w:val="24"/>
          <w:lang w:val="en-US" w:eastAsia="pt-BR"/>
        </w:rPr>
        <w:t>igures 2020”. The connectivity gap is widened according to differences within countries between rural and urban households and among countries in the Americas in terms of development, considering that</w:t>
      </w:r>
      <w:r w:rsidR="00EF3E35">
        <w:rPr>
          <w:rFonts w:cstheme="minorHAnsi"/>
          <w:color w:val="000000"/>
          <w:szCs w:val="24"/>
          <w:lang w:val="en-US" w:eastAsia="pt-BR"/>
        </w:rPr>
        <w:t>,</w:t>
      </w:r>
      <w:r w:rsidRPr="00E43853">
        <w:rPr>
          <w:rFonts w:cstheme="minorHAnsi"/>
          <w:color w:val="000000"/>
          <w:szCs w:val="24"/>
          <w:lang w:val="en-US" w:eastAsia="pt-BR"/>
        </w:rPr>
        <w:t xml:space="preserve"> in the world</w:t>
      </w:r>
      <w:r w:rsidR="000F486C">
        <w:rPr>
          <w:rFonts w:cstheme="minorHAnsi"/>
          <w:color w:val="000000"/>
          <w:szCs w:val="24"/>
          <w:lang w:val="en-US" w:eastAsia="pt-BR"/>
        </w:rPr>
        <w:t>,</w:t>
      </w:r>
      <w:r w:rsidRPr="00E43853">
        <w:rPr>
          <w:rFonts w:cstheme="minorHAnsi"/>
          <w:color w:val="000000"/>
          <w:szCs w:val="24"/>
          <w:lang w:val="en-US" w:eastAsia="pt-BR"/>
        </w:rPr>
        <w:t xml:space="preserve"> 85,2% of Developed Countries’ households have access to the internet while less than half of the total number of households in Developing Countries ha</w:t>
      </w:r>
      <w:r w:rsidR="00EF3E35">
        <w:rPr>
          <w:rFonts w:cstheme="minorHAnsi"/>
          <w:color w:val="000000"/>
          <w:szCs w:val="24"/>
          <w:lang w:val="en-US" w:eastAsia="pt-BR"/>
        </w:rPr>
        <w:t>ve</w:t>
      </w:r>
      <w:r w:rsidRPr="00E43853">
        <w:rPr>
          <w:rFonts w:cstheme="minorHAnsi"/>
          <w:color w:val="000000"/>
          <w:szCs w:val="24"/>
          <w:lang w:val="en-US" w:eastAsia="pt-BR"/>
        </w:rPr>
        <w:t xml:space="preserve"> internet connectivity.</w:t>
      </w:r>
      <w:r w:rsidR="00EF3E35">
        <w:rPr>
          <w:rFonts w:cstheme="minorHAnsi"/>
          <w:color w:val="000000"/>
          <w:szCs w:val="24"/>
          <w:lang w:val="en-US" w:eastAsia="pt-BR"/>
        </w:rPr>
        <w:t xml:space="preserve"> </w:t>
      </w:r>
      <w:r w:rsidRPr="00E43853">
        <w:rPr>
          <w:rFonts w:cstheme="minorHAnsi"/>
          <w:color w:val="000000"/>
          <w:szCs w:val="24"/>
          <w:lang w:val="en-US" w:eastAsia="pt-BR"/>
        </w:rPr>
        <w:t>This is compounded by high internet costs in the region, according to a 2019 Alliance for Affordable Internet report</w:t>
      </w:r>
      <w:r w:rsidR="00EF3E35">
        <w:rPr>
          <w:rFonts w:cstheme="minorHAnsi"/>
          <w:color w:val="000000"/>
          <w:szCs w:val="24"/>
          <w:lang w:val="en-US" w:eastAsia="pt-BR"/>
        </w:rPr>
        <w:t>:</w:t>
      </w:r>
      <w:r w:rsidRPr="00E43853">
        <w:rPr>
          <w:rFonts w:cstheme="minorHAnsi"/>
          <w:color w:val="000000"/>
          <w:szCs w:val="24"/>
          <w:lang w:val="en-US" w:eastAsia="pt-BR"/>
        </w:rPr>
        <w:t xml:space="preserve"> “Data remains even more expensive for the poorest in society, for whom 1GB can cost 10-20% [of their monthly income]”.</w:t>
      </w:r>
    </w:p>
    <w:p w14:paraId="546F02B5" w14:textId="77777777" w:rsidR="00E43853" w:rsidRDefault="00E43853" w:rsidP="00DE0C73">
      <w:pPr>
        <w:tabs>
          <w:tab w:val="clear" w:pos="1134"/>
          <w:tab w:val="clear" w:pos="1871"/>
          <w:tab w:val="clear" w:pos="2268"/>
        </w:tabs>
        <w:overflowPunct/>
        <w:autoSpaceDE/>
        <w:autoSpaceDN/>
        <w:adjustRightInd/>
        <w:spacing w:after="120"/>
        <w:textAlignment w:val="auto"/>
        <w:rPr>
          <w:rFonts w:cstheme="minorHAnsi"/>
          <w:color w:val="000000"/>
          <w:szCs w:val="24"/>
          <w:lang w:val="en-US" w:eastAsia="pt-BR"/>
        </w:rPr>
      </w:pPr>
      <w:r w:rsidRPr="00E43853">
        <w:rPr>
          <w:rFonts w:cstheme="minorHAnsi"/>
          <w:color w:val="000000"/>
          <w:szCs w:val="24"/>
          <w:lang w:val="en-US" w:eastAsia="pt-BR"/>
        </w:rPr>
        <w:t>In the context of the arrival of what is described as the Digital Society, the Americas need to strengthen their networks and digital infrastructure to take advantage of new technological opportunities and be prepared to face new upcoming challenges. Addressing the intra-regional differences between digital infrastructures in the region and prioritizing connecting the unconnected is the key to a more equitable and inclusive future for the Americas youth.</w:t>
      </w:r>
    </w:p>
    <w:p w14:paraId="0D4C89B1" w14:textId="41C7AA3A" w:rsidR="006E6093" w:rsidRPr="005049DD" w:rsidRDefault="006E6093"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5049DD">
        <w:rPr>
          <w:rFonts w:cstheme="minorHAnsi"/>
          <w:b/>
          <w:bCs/>
          <w:i/>
          <w:iCs/>
          <w:color w:val="000000"/>
          <w:szCs w:val="24"/>
          <w:lang w:val="en-US" w:eastAsia="pt-BR"/>
        </w:rPr>
        <w:t>The GC-AMS members identified the following challenges and opportunities:</w:t>
      </w:r>
    </w:p>
    <w:p w14:paraId="393BA8C2" w14:textId="4CA5BCE5" w:rsidR="006E6093" w:rsidRPr="005049DD" w:rsidRDefault="006E6093"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C95C9D">
        <w:rPr>
          <w:rFonts w:cstheme="minorHAnsi"/>
          <w:color w:val="000000"/>
          <w:szCs w:val="24"/>
          <w:u w:val="single"/>
          <w:lang w:val="en-US" w:eastAsia="pt-BR"/>
        </w:rPr>
        <w:t>Challenges</w:t>
      </w:r>
      <w:r w:rsidRPr="00C95C9D">
        <w:rPr>
          <w:rFonts w:cstheme="minorHAnsi"/>
          <w:b/>
          <w:bCs/>
          <w:color w:val="000000"/>
          <w:szCs w:val="24"/>
          <w:u w:val="single"/>
          <w:lang w:val="en-US" w:eastAsia="pt-BR"/>
        </w:rPr>
        <w:t>:</w:t>
      </w:r>
    </w:p>
    <w:p w14:paraId="6DE3C1DE" w14:textId="7ABCE5B6"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 xml:space="preserve">There are significant differences in </w:t>
      </w:r>
      <w:r w:rsidR="00282E20">
        <w:rPr>
          <w:rFonts w:cstheme="minorHAnsi"/>
          <w:color w:val="000000"/>
          <w:szCs w:val="24"/>
          <w:lang w:eastAsia="en-GB"/>
        </w:rPr>
        <w:t>i</w:t>
      </w:r>
      <w:r w:rsidRPr="00C95C9D">
        <w:rPr>
          <w:rFonts w:cstheme="minorHAnsi"/>
          <w:color w:val="000000"/>
          <w:szCs w:val="24"/>
          <w:lang w:eastAsia="en-GB"/>
        </w:rPr>
        <w:t>nternet access among countries and within countries between urban and rural areas.</w:t>
      </w:r>
    </w:p>
    <w:p w14:paraId="55914959" w14:textId="77777777"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lastRenderedPageBreak/>
        <w:t>Rural and indigenous communities have more limitations on their digital infrastructure compared to the rest of the population.</w:t>
      </w:r>
    </w:p>
    <w:p w14:paraId="41B7C428" w14:textId="4F3D6BB0"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There are differences between and within countries in internet connectivity and bandwidth. Those affected by these infrastructural problems do not have reliability and enough speed as it would be recommended for developing some digital activities, such as remote work, and ICT solutions, such as emergency systems.</w:t>
      </w:r>
    </w:p>
    <w:p w14:paraId="41ED10CB" w14:textId="307B98ED"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Work on promoting access and usage of open data for network expansion is still needed in the Americas</w:t>
      </w:r>
      <w:r w:rsidR="00951CA3">
        <w:rPr>
          <w:rFonts w:cstheme="minorHAnsi"/>
          <w:color w:val="000000"/>
          <w:szCs w:val="24"/>
          <w:lang w:eastAsia="en-GB"/>
        </w:rPr>
        <w:t>,</w:t>
      </w:r>
      <w:r w:rsidRPr="00C95C9D">
        <w:rPr>
          <w:rFonts w:cstheme="minorHAnsi"/>
          <w:color w:val="000000"/>
          <w:szCs w:val="24"/>
          <w:lang w:eastAsia="en-GB"/>
        </w:rPr>
        <w:t xml:space="preserve"> considering that there are still </w:t>
      </w:r>
      <w:r w:rsidR="00951CA3">
        <w:rPr>
          <w:rFonts w:cstheme="minorHAnsi"/>
          <w:color w:val="000000"/>
          <w:szCs w:val="24"/>
          <w:lang w:eastAsia="en-GB"/>
        </w:rPr>
        <w:t>un</w:t>
      </w:r>
      <w:r w:rsidRPr="00C95C9D">
        <w:rPr>
          <w:rFonts w:cstheme="minorHAnsi"/>
          <w:color w:val="000000"/>
          <w:szCs w:val="24"/>
          <w:lang w:eastAsia="en-GB"/>
        </w:rPr>
        <w:t>connected locations in the region.</w:t>
      </w:r>
    </w:p>
    <w:p w14:paraId="3EAA028E" w14:textId="2717B8DF"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 xml:space="preserve">Even though 95.5% of American citizens are covered by mobile </w:t>
      </w:r>
      <w:r w:rsidR="00282E20">
        <w:rPr>
          <w:rFonts w:cstheme="minorHAnsi"/>
          <w:color w:val="000000"/>
          <w:szCs w:val="24"/>
          <w:lang w:eastAsia="en-GB"/>
        </w:rPr>
        <w:t>i</w:t>
      </w:r>
      <w:r w:rsidRPr="00C95C9D">
        <w:rPr>
          <w:rFonts w:cstheme="minorHAnsi"/>
          <w:color w:val="000000"/>
          <w:szCs w:val="24"/>
          <w:lang w:eastAsia="en-GB"/>
        </w:rPr>
        <w:t xml:space="preserve">nternet connection, there are still </w:t>
      </w:r>
      <w:r w:rsidR="00202591">
        <w:rPr>
          <w:rFonts w:cstheme="minorHAnsi"/>
          <w:color w:val="000000"/>
          <w:szCs w:val="24"/>
          <w:lang w:eastAsia="en-GB"/>
        </w:rPr>
        <w:t>around</w:t>
      </w:r>
      <w:r w:rsidRPr="00C95C9D">
        <w:rPr>
          <w:rFonts w:cstheme="minorHAnsi"/>
          <w:color w:val="000000"/>
          <w:szCs w:val="24"/>
          <w:lang w:eastAsia="en-GB"/>
        </w:rPr>
        <w:t xml:space="preserve"> 1,000,000 people who rely only on 2G and GSM mobile </w:t>
      </w:r>
      <w:r w:rsidR="00282E20">
        <w:rPr>
          <w:rFonts w:cstheme="minorHAnsi"/>
          <w:color w:val="000000"/>
          <w:szCs w:val="24"/>
          <w:lang w:eastAsia="en-GB"/>
        </w:rPr>
        <w:t>i</w:t>
      </w:r>
      <w:r w:rsidRPr="00C95C9D">
        <w:rPr>
          <w:rFonts w:cstheme="minorHAnsi"/>
          <w:color w:val="000000"/>
          <w:szCs w:val="24"/>
          <w:lang w:eastAsia="en-GB"/>
        </w:rPr>
        <w:t>nternet connections. These connections are older, slower and less reliable than new technologies.</w:t>
      </w:r>
    </w:p>
    <w:p w14:paraId="1B30CE04" w14:textId="50EE3E05"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 xml:space="preserve">Small Internet Service Providers have difficulties in setting agreements to use multiple routes and this problem is worsening </w:t>
      </w:r>
      <w:r w:rsidR="00282E20">
        <w:rPr>
          <w:rFonts w:cstheme="minorHAnsi"/>
          <w:color w:val="000000"/>
          <w:szCs w:val="24"/>
          <w:lang w:eastAsia="en-GB"/>
        </w:rPr>
        <w:t>i</w:t>
      </w:r>
      <w:r w:rsidRPr="00C95C9D">
        <w:rPr>
          <w:rFonts w:cstheme="minorHAnsi"/>
          <w:color w:val="000000"/>
          <w:szCs w:val="24"/>
          <w:lang w:eastAsia="en-GB"/>
        </w:rPr>
        <w:t>nternet connections making them more expensive.</w:t>
      </w:r>
    </w:p>
    <w:p w14:paraId="3A5C2D6B" w14:textId="77777777"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Small communities often do not have internet access despite the existence of backbones or last-mile providers in the same microregion.</w:t>
      </w:r>
    </w:p>
    <w:p w14:paraId="3209986F" w14:textId="413EE376"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 xml:space="preserve">More collaboration between stakeholders is needed in the standardization </w:t>
      </w:r>
      <w:r w:rsidR="00E66D81" w:rsidRPr="00C95C9D">
        <w:rPr>
          <w:rFonts w:cstheme="minorHAnsi"/>
          <w:color w:val="000000"/>
          <w:szCs w:val="24"/>
          <w:lang w:eastAsia="en-GB"/>
        </w:rPr>
        <w:t xml:space="preserve">process </w:t>
      </w:r>
      <w:r w:rsidRPr="00C95C9D">
        <w:rPr>
          <w:rFonts w:cstheme="minorHAnsi"/>
          <w:color w:val="000000"/>
          <w:szCs w:val="24"/>
          <w:lang w:eastAsia="en-GB"/>
        </w:rPr>
        <w:t>of 5G technologies, especially considering the involvement of actors such as consumer markets.</w:t>
      </w:r>
    </w:p>
    <w:p w14:paraId="1C533C89" w14:textId="47C8A6EF"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There is a gap in the adoption of conformance and interoperability frameworks in countries in the Americas that require</w:t>
      </w:r>
      <w:r w:rsidR="00D80125">
        <w:rPr>
          <w:rFonts w:cstheme="minorHAnsi"/>
          <w:color w:val="000000"/>
          <w:szCs w:val="24"/>
          <w:lang w:eastAsia="en-GB"/>
        </w:rPr>
        <w:t>s</w:t>
      </w:r>
      <w:r w:rsidRPr="00C95C9D">
        <w:rPr>
          <w:rFonts w:cstheme="minorHAnsi"/>
          <w:color w:val="000000"/>
          <w:szCs w:val="24"/>
          <w:lang w:eastAsia="en-GB"/>
        </w:rPr>
        <w:t xml:space="preserve"> more commitment between governments, producers and operators in the region.</w:t>
      </w:r>
    </w:p>
    <w:p w14:paraId="40461422" w14:textId="479DE04D" w:rsidR="00C95C9D" w:rsidRPr="00C95C9D" w:rsidRDefault="00C95C9D" w:rsidP="00DE0C73">
      <w:pPr>
        <w:pStyle w:val="ListParagraph"/>
        <w:numPr>
          <w:ilvl w:val="0"/>
          <w:numId w:val="21"/>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C95C9D">
        <w:rPr>
          <w:rFonts w:cstheme="minorHAnsi"/>
          <w:color w:val="000000"/>
          <w:szCs w:val="24"/>
          <w:lang w:eastAsia="en-GB"/>
        </w:rPr>
        <w:t xml:space="preserve">Digital infrastructures offer opportunities for sustainable management of cities that have not </w:t>
      </w:r>
      <w:r w:rsidR="008C7D1F">
        <w:rPr>
          <w:rFonts w:cstheme="minorHAnsi"/>
          <w:color w:val="000000"/>
          <w:szCs w:val="24"/>
          <w:lang w:eastAsia="en-GB"/>
        </w:rPr>
        <w:t xml:space="preserve">yet </w:t>
      </w:r>
      <w:r w:rsidRPr="00C95C9D">
        <w:rPr>
          <w:rFonts w:cstheme="minorHAnsi"/>
          <w:color w:val="000000"/>
          <w:szCs w:val="24"/>
          <w:lang w:eastAsia="en-GB"/>
        </w:rPr>
        <w:t xml:space="preserve">been explored by some countries in the Americas. More cooperation among countries in the Americas on these matters is needed. Issues related to the use of digital infrastructure such as cybersecurity, among others, need to be addressed by all </w:t>
      </w:r>
      <w:r w:rsidR="003907C9">
        <w:rPr>
          <w:rFonts w:cstheme="minorHAnsi"/>
          <w:color w:val="000000"/>
          <w:szCs w:val="24"/>
          <w:lang w:eastAsia="en-GB"/>
        </w:rPr>
        <w:t>M</w:t>
      </w:r>
      <w:r w:rsidRPr="00C95C9D">
        <w:rPr>
          <w:rFonts w:cstheme="minorHAnsi"/>
          <w:color w:val="000000"/>
          <w:szCs w:val="24"/>
          <w:lang w:eastAsia="en-GB"/>
        </w:rPr>
        <w:t>ember</w:t>
      </w:r>
      <w:r w:rsidR="003907C9">
        <w:rPr>
          <w:rFonts w:cstheme="minorHAnsi"/>
          <w:color w:val="000000"/>
          <w:szCs w:val="24"/>
          <w:lang w:eastAsia="en-GB"/>
        </w:rPr>
        <w:t xml:space="preserve"> S</w:t>
      </w:r>
      <w:r w:rsidRPr="00C95C9D">
        <w:rPr>
          <w:rFonts w:cstheme="minorHAnsi"/>
          <w:color w:val="000000"/>
          <w:szCs w:val="24"/>
          <w:lang w:eastAsia="en-GB"/>
        </w:rPr>
        <w:t>tates in collaboration with the private sector and Academia.</w:t>
      </w:r>
    </w:p>
    <w:p w14:paraId="10EDD056" w14:textId="66D3F958" w:rsidR="00903A9E" w:rsidRPr="009E3180" w:rsidRDefault="00903A9E" w:rsidP="00DE0C73">
      <w:pPr>
        <w:tabs>
          <w:tab w:val="clear" w:pos="1134"/>
          <w:tab w:val="clear" w:pos="1871"/>
          <w:tab w:val="clear" w:pos="2268"/>
        </w:tabs>
        <w:overflowPunct/>
        <w:autoSpaceDE/>
        <w:autoSpaceDN/>
        <w:adjustRightInd/>
        <w:spacing w:after="120"/>
        <w:textAlignment w:val="auto"/>
        <w:rPr>
          <w:rFonts w:cstheme="minorHAnsi"/>
          <w:color w:val="000000"/>
          <w:szCs w:val="24"/>
          <w:u w:val="single"/>
          <w:lang w:val="en-US" w:eastAsia="pt-BR"/>
        </w:rPr>
      </w:pPr>
      <w:r w:rsidRPr="009E3180">
        <w:rPr>
          <w:rFonts w:cstheme="minorHAnsi"/>
          <w:color w:val="000000"/>
          <w:szCs w:val="24"/>
          <w:u w:val="single"/>
          <w:lang w:val="en-US" w:eastAsia="pt-BR"/>
        </w:rPr>
        <w:t>Opportunities</w:t>
      </w:r>
      <w:r w:rsidR="0044121D" w:rsidRPr="009E3180">
        <w:rPr>
          <w:rFonts w:cstheme="minorHAnsi"/>
          <w:color w:val="000000"/>
          <w:szCs w:val="24"/>
          <w:u w:val="single"/>
          <w:lang w:val="en-US" w:eastAsia="pt-BR"/>
        </w:rPr>
        <w:t>:</w:t>
      </w:r>
    </w:p>
    <w:p w14:paraId="2FCFFDAF" w14:textId="256D5886"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 xml:space="preserve">Providing equal and inclusive access to the </w:t>
      </w:r>
      <w:r w:rsidR="00282E20">
        <w:rPr>
          <w:rFonts w:cstheme="minorHAnsi"/>
          <w:color w:val="000000"/>
          <w:szCs w:val="24"/>
          <w:lang w:eastAsia="en-GB"/>
        </w:rPr>
        <w:t>i</w:t>
      </w:r>
      <w:r w:rsidRPr="009E3180">
        <w:rPr>
          <w:rFonts w:cstheme="minorHAnsi"/>
          <w:color w:val="000000"/>
          <w:szCs w:val="24"/>
          <w:lang w:eastAsia="en-GB"/>
        </w:rPr>
        <w:t>nternet to the population of the Americas with no differences between geographic location or economic situation, among other possible limitations.</w:t>
      </w:r>
    </w:p>
    <w:p w14:paraId="5943DED1" w14:textId="7777777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Reaching rural and indigenous communities with digital infrastructure would contribute to bridging the digital divide in the Americas.</w:t>
      </w:r>
    </w:p>
    <w:p w14:paraId="1BC7D344" w14:textId="431DA9DD"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Deploying infrastructure that allows all users to engage in digital activities and all governments to make use of effective ICT solutions.</w:t>
      </w:r>
    </w:p>
    <w:p w14:paraId="5C009B49" w14:textId="4D42E3EE"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 xml:space="preserve">Coordinating and encouraging the creation and sharing of information about </w:t>
      </w:r>
      <w:r w:rsidR="00282E20">
        <w:rPr>
          <w:rFonts w:cstheme="minorHAnsi"/>
          <w:color w:val="000000"/>
          <w:szCs w:val="24"/>
          <w:lang w:eastAsia="en-GB"/>
        </w:rPr>
        <w:t>i</w:t>
      </w:r>
      <w:r w:rsidRPr="009E3180">
        <w:rPr>
          <w:rFonts w:cstheme="minorHAnsi"/>
          <w:color w:val="000000"/>
          <w:szCs w:val="24"/>
          <w:lang w:eastAsia="en-GB"/>
        </w:rPr>
        <w:t xml:space="preserve">nternet infrastructure would enable service and </w:t>
      </w:r>
      <w:r w:rsidR="00282E20">
        <w:rPr>
          <w:rFonts w:cstheme="minorHAnsi"/>
          <w:color w:val="000000"/>
          <w:szCs w:val="24"/>
          <w:lang w:eastAsia="en-GB"/>
        </w:rPr>
        <w:t>i</w:t>
      </w:r>
      <w:r w:rsidRPr="009E3180">
        <w:rPr>
          <w:rFonts w:cstheme="minorHAnsi"/>
          <w:color w:val="000000"/>
          <w:szCs w:val="24"/>
          <w:lang w:eastAsia="en-GB"/>
        </w:rPr>
        <w:t xml:space="preserve">nternet providers to create smarter </w:t>
      </w:r>
      <w:r w:rsidR="00282E20">
        <w:rPr>
          <w:rFonts w:cstheme="minorHAnsi"/>
          <w:color w:val="000000"/>
          <w:szCs w:val="24"/>
          <w:lang w:eastAsia="en-GB"/>
        </w:rPr>
        <w:t>i</w:t>
      </w:r>
      <w:r w:rsidRPr="009E3180">
        <w:rPr>
          <w:rFonts w:cstheme="minorHAnsi"/>
          <w:color w:val="000000"/>
          <w:szCs w:val="24"/>
          <w:lang w:eastAsia="en-GB"/>
        </w:rPr>
        <w:t>nternet connections.</w:t>
      </w:r>
    </w:p>
    <w:p w14:paraId="1E523995" w14:textId="7777777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Providing newer, faster and more reliable mobile technologies to the Americas population at an affordable price.</w:t>
      </w:r>
    </w:p>
    <w:p w14:paraId="5377B87C" w14:textId="7777777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Improving internet access affordability for users in the Americas and strengthening cooperation between internet service providers.</w:t>
      </w:r>
    </w:p>
    <w:p w14:paraId="32ED3F18" w14:textId="7777777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Ensuring to provide internet access to small communities in remote areas.</w:t>
      </w:r>
    </w:p>
    <w:p w14:paraId="529A5196" w14:textId="7777777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lastRenderedPageBreak/>
        <w:t>Strengthening the process of the standardization of 5G technologies by considering the inputs of all relevant actors.</w:t>
      </w:r>
    </w:p>
    <w:p w14:paraId="0538C77B" w14:textId="18FE0F07"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 xml:space="preserve">Bridging the adoption gap for conformance and interoperability frameworks through more collaboration between </w:t>
      </w:r>
      <w:r w:rsidR="006E35B2">
        <w:rPr>
          <w:rFonts w:cstheme="minorHAnsi"/>
          <w:color w:val="000000"/>
          <w:szCs w:val="24"/>
          <w:lang w:eastAsia="en-GB"/>
        </w:rPr>
        <w:t>M</w:t>
      </w:r>
      <w:r w:rsidRPr="009E3180">
        <w:rPr>
          <w:rFonts w:cstheme="minorHAnsi"/>
          <w:color w:val="000000"/>
          <w:szCs w:val="24"/>
          <w:lang w:eastAsia="en-GB"/>
        </w:rPr>
        <w:t>ember</w:t>
      </w:r>
      <w:r w:rsidR="006E35B2">
        <w:rPr>
          <w:rFonts w:cstheme="minorHAnsi"/>
          <w:color w:val="000000"/>
          <w:szCs w:val="24"/>
          <w:lang w:eastAsia="en-GB"/>
        </w:rPr>
        <w:t xml:space="preserve"> S</w:t>
      </w:r>
      <w:r w:rsidRPr="009E3180">
        <w:rPr>
          <w:rFonts w:cstheme="minorHAnsi"/>
          <w:color w:val="000000"/>
          <w:szCs w:val="24"/>
          <w:lang w:eastAsia="en-GB"/>
        </w:rPr>
        <w:t>tates and multiple stakeholders.</w:t>
      </w:r>
    </w:p>
    <w:p w14:paraId="6E4960F2" w14:textId="500CE930" w:rsidR="009E3180" w:rsidRPr="009E3180" w:rsidRDefault="009E3180" w:rsidP="00DE0C73">
      <w:pPr>
        <w:pStyle w:val="ListParagraph"/>
        <w:numPr>
          <w:ilvl w:val="0"/>
          <w:numId w:val="22"/>
        </w:numPr>
        <w:tabs>
          <w:tab w:val="clear" w:pos="1134"/>
          <w:tab w:val="clear" w:pos="1871"/>
          <w:tab w:val="clear" w:pos="2268"/>
        </w:tabs>
        <w:overflowPunct/>
        <w:autoSpaceDE/>
        <w:autoSpaceDN/>
        <w:adjustRightInd/>
        <w:spacing w:before="80" w:after="80"/>
        <w:ind w:left="714" w:hanging="357"/>
        <w:contextualSpacing w:val="0"/>
        <w:textAlignment w:val="auto"/>
        <w:rPr>
          <w:rFonts w:cstheme="minorHAnsi"/>
          <w:color w:val="000000"/>
          <w:szCs w:val="24"/>
          <w:lang w:eastAsia="en-GB"/>
        </w:rPr>
      </w:pPr>
      <w:r w:rsidRPr="009E3180">
        <w:rPr>
          <w:rFonts w:cstheme="minorHAnsi"/>
          <w:color w:val="000000"/>
          <w:szCs w:val="24"/>
          <w:lang w:eastAsia="en-GB"/>
        </w:rPr>
        <w:t>Use digital infrastructure in the cities of the Americas</w:t>
      </w:r>
      <w:r w:rsidR="00B00822">
        <w:rPr>
          <w:rFonts w:cstheme="minorHAnsi"/>
          <w:color w:val="000000"/>
          <w:szCs w:val="24"/>
          <w:lang w:eastAsia="en-GB"/>
        </w:rPr>
        <w:t xml:space="preserve"> region</w:t>
      </w:r>
      <w:r w:rsidRPr="009E3180">
        <w:rPr>
          <w:rFonts w:cstheme="minorHAnsi"/>
          <w:color w:val="000000"/>
          <w:szCs w:val="24"/>
          <w:lang w:eastAsia="en-GB"/>
        </w:rPr>
        <w:t xml:space="preserve"> </w:t>
      </w:r>
      <w:r w:rsidR="00B00822">
        <w:rPr>
          <w:rFonts w:cstheme="minorHAnsi"/>
          <w:color w:val="000000"/>
          <w:szCs w:val="24"/>
          <w:lang w:eastAsia="en-GB"/>
        </w:rPr>
        <w:t>to achieve</w:t>
      </w:r>
      <w:r w:rsidRPr="009E3180">
        <w:rPr>
          <w:rFonts w:cstheme="minorHAnsi"/>
          <w:color w:val="000000"/>
          <w:szCs w:val="24"/>
          <w:lang w:eastAsia="en-GB"/>
        </w:rPr>
        <w:t xml:space="preserve"> sustainable development and strengthen multi stake-holder dialogue in the Americas on issues related to the employment of these technologies.</w:t>
      </w:r>
    </w:p>
    <w:p w14:paraId="5B29D79B" w14:textId="77777777"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b/>
          <w:bCs/>
          <w:i/>
          <w:iCs/>
          <w:color w:val="000000"/>
          <w:szCs w:val="24"/>
          <w:lang w:val="en-US" w:eastAsia="pt-BR"/>
        </w:rPr>
      </w:pPr>
      <w:r w:rsidRPr="005049DD">
        <w:rPr>
          <w:rFonts w:cstheme="minorHAnsi"/>
          <w:b/>
          <w:bCs/>
          <w:i/>
          <w:iCs/>
          <w:color w:val="000000"/>
          <w:szCs w:val="24"/>
          <w:lang w:val="en-US" w:eastAsia="pt-BR"/>
        </w:rPr>
        <w:t xml:space="preserve">Based on the above, the GC-AMS recommends the following </w:t>
      </w:r>
      <w:r w:rsidRPr="005049DD">
        <w:rPr>
          <w:rFonts w:cstheme="minorHAnsi"/>
          <w:b/>
          <w:bCs/>
          <w:i/>
          <w:iCs/>
          <w:color w:val="000000"/>
          <w:szCs w:val="24"/>
          <w:u w:val="single"/>
          <w:lang w:val="en-US" w:eastAsia="pt-BR"/>
        </w:rPr>
        <w:t>Actions</w:t>
      </w:r>
      <w:r w:rsidRPr="005049DD">
        <w:rPr>
          <w:rFonts w:cstheme="minorHAnsi"/>
          <w:b/>
          <w:bCs/>
          <w:i/>
          <w:iCs/>
          <w:color w:val="000000"/>
          <w:szCs w:val="24"/>
          <w:lang w:val="en-US" w:eastAsia="pt-BR"/>
        </w:rPr>
        <w:t>:</w:t>
      </w:r>
    </w:p>
    <w:p w14:paraId="0A921FDD" w14:textId="4CB6AB7D" w:rsidR="008134F8" w:rsidRPr="008134F8" w:rsidRDefault="00E93825" w:rsidP="00DE0C73">
      <w:pPr>
        <w:pStyle w:val="ListParagraph"/>
        <w:numPr>
          <w:ilvl w:val="0"/>
          <w:numId w:val="17"/>
        </w:numPr>
        <w:spacing w:before="80" w:after="80"/>
        <w:contextualSpacing w:val="0"/>
        <w:rPr>
          <w:rFonts w:cstheme="minorHAnsi"/>
          <w:color w:val="000000"/>
          <w:szCs w:val="24"/>
          <w:lang w:val="en-US" w:eastAsia="pt-BR"/>
        </w:rPr>
      </w:pPr>
      <w:r w:rsidRPr="00E93825">
        <w:rPr>
          <w:rFonts w:cstheme="minorHAnsi"/>
          <w:color w:val="000000"/>
          <w:szCs w:val="24"/>
          <w:lang w:val="en-US" w:eastAsia="pt-BR"/>
        </w:rPr>
        <w:t>Prioritize achieving wide access to internet connections in Developing Countries, Least Developed Countries (LDC), Landlocked Developing Countries (LLDC) and Small Islands Developing States (SIDS). Rural areas connectivity should also be considered as a priority in all countries of the region.</w:t>
      </w:r>
    </w:p>
    <w:p w14:paraId="53EF7742" w14:textId="61CAD3F7" w:rsidR="004F75F2" w:rsidRPr="004F75F2" w:rsidRDefault="004F75F2" w:rsidP="00DE0C73">
      <w:pPr>
        <w:pStyle w:val="ListParagraph"/>
        <w:numPr>
          <w:ilvl w:val="0"/>
          <w:numId w:val="17"/>
        </w:numPr>
        <w:spacing w:before="80" w:after="80"/>
        <w:contextualSpacing w:val="0"/>
        <w:rPr>
          <w:rFonts w:cstheme="minorHAnsi"/>
          <w:color w:val="000000"/>
          <w:szCs w:val="24"/>
          <w:lang w:val="en-US" w:eastAsia="pt-BR"/>
        </w:rPr>
      </w:pPr>
      <w:r w:rsidRPr="004F75F2">
        <w:rPr>
          <w:rFonts w:cstheme="minorHAnsi"/>
          <w:color w:val="000000"/>
          <w:szCs w:val="24"/>
          <w:lang w:val="en-US" w:eastAsia="pt-BR"/>
        </w:rPr>
        <w:t xml:space="preserve">Encourage </w:t>
      </w:r>
      <w:r w:rsidR="00F374C9">
        <w:rPr>
          <w:rFonts w:cstheme="minorHAnsi"/>
          <w:color w:val="000000"/>
          <w:szCs w:val="24"/>
          <w:lang w:val="en-US" w:eastAsia="pt-BR"/>
        </w:rPr>
        <w:t>M</w:t>
      </w:r>
      <w:r w:rsidRPr="004F75F2">
        <w:rPr>
          <w:rFonts w:cstheme="minorHAnsi"/>
          <w:color w:val="000000"/>
          <w:szCs w:val="24"/>
          <w:lang w:val="en-US" w:eastAsia="pt-BR"/>
        </w:rPr>
        <w:t xml:space="preserve">ember </w:t>
      </w:r>
      <w:r w:rsidR="00F374C9">
        <w:rPr>
          <w:rFonts w:cstheme="minorHAnsi"/>
          <w:color w:val="000000"/>
          <w:szCs w:val="24"/>
          <w:lang w:val="en-US" w:eastAsia="pt-BR"/>
        </w:rPr>
        <w:t>S</w:t>
      </w:r>
      <w:r w:rsidRPr="004F75F2">
        <w:rPr>
          <w:rFonts w:cstheme="minorHAnsi"/>
          <w:color w:val="000000"/>
          <w:szCs w:val="24"/>
          <w:lang w:val="en-US" w:eastAsia="pt-BR"/>
        </w:rPr>
        <w:t>tates to develop special strategies to build digital infrastructure and offer accessible internet connection to rural and indigenous communities, considering their cultural specificities and insights, keeping in mind aspects such as the preservation of the ecosystem, among others.</w:t>
      </w:r>
    </w:p>
    <w:p w14:paraId="16A21F9E" w14:textId="363E301C" w:rsidR="002317F8" w:rsidRPr="002317F8" w:rsidRDefault="002317F8" w:rsidP="00DE0C73">
      <w:pPr>
        <w:pStyle w:val="ListParagraph"/>
        <w:numPr>
          <w:ilvl w:val="0"/>
          <w:numId w:val="17"/>
        </w:numPr>
        <w:spacing w:before="80" w:after="80"/>
        <w:contextualSpacing w:val="0"/>
        <w:rPr>
          <w:rFonts w:cstheme="minorHAnsi"/>
          <w:color w:val="000000"/>
          <w:szCs w:val="24"/>
          <w:lang w:val="en-US" w:eastAsia="pt-BR"/>
        </w:rPr>
      </w:pPr>
      <w:r w:rsidRPr="002317F8">
        <w:rPr>
          <w:rFonts w:cstheme="minorHAnsi"/>
          <w:color w:val="000000"/>
          <w:szCs w:val="24"/>
          <w:lang w:val="en-US" w:eastAsia="pt-BR"/>
        </w:rPr>
        <w:t xml:space="preserve">Promote cooperation among </w:t>
      </w:r>
      <w:r w:rsidR="003C17E0">
        <w:rPr>
          <w:rFonts w:cstheme="minorHAnsi"/>
          <w:color w:val="000000"/>
          <w:szCs w:val="24"/>
          <w:lang w:val="en-US" w:eastAsia="pt-BR"/>
        </w:rPr>
        <w:t>M</w:t>
      </w:r>
      <w:r w:rsidRPr="002317F8">
        <w:rPr>
          <w:rFonts w:cstheme="minorHAnsi"/>
          <w:color w:val="000000"/>
          <w:szCs w:val="24"/>
          <w:lang w:val="en-US" w:eastAsia="pt-BR"/>
        </w:rPr>
        <w:t>ember</w:t>
      </w:r>
      <w:r w:rsidR="003C17E0">
        <w:rPr>
          <w:rFonts w:cstheme="minorHAnsi"/>
          <w:color w:val="000000"/>
          <w:szCs w:val="24"/>
          <w:lang w:val="en-US" w:eastAsia="pt-BR"/>
        </w:rPr>
        <w:t xml:space="preserve"> S</w:t>
      </w:r>
      <w:r w:rsidRPr="002317F8">
        <w:rPr>
          <w:rFonts w:cstheme="minorHAnsi"/>
          <w:color w:val="000000"/>
          <w:szCs w:val="24"/>
          <w:lang w:val="en-US" w:eastAsia="pt-BR"/>
        </w:rPr>
        <w:t>tates to work towards more reliable and faster connections. Online education, remote work, emergency systems, broadcasting and other digital services rely on strong bandwidth and the development of new technologies depends on prioritizing this infrastructural need.</w:t>
      </w:r>
    </w:p>
    <w:p w14:paraId="27D27A84" w14:textId="6E5DA0AE" w:rsidR="00CA3E21" w:rsidRPr="00CA3E21" w:rsidRDefault="00CA3E21" w:rsidP="00DE0C73">
      <w:pPr>
        <w:pStyle w:val="ListParagraph"/>
        <w:numPr>
          <w:ilvl w:val="0"/>
          <w:numId w:val="17"/>
        </w:numPr>
        <w:spacing w:before="80" w:after="80"/>
        <w:contextualSpacing w:val="0"/>
        <w:rPr>
          <w:rFonts w:cstheme="minorHAnsi"/>
          <w:color w:val="000000"/>
          <w:szCs w:val="24"/>
          <w:lang w:val="en-US" w:eastAsia="pt-BR"/>
        </w:rPr>
      </w:pPr>
      <w:r w:rsidRPr="00CA3E21">
        <w:rPr>
          <w:rFonts w:cstheme="minorHAnsi"/>
          <w:color w:val="000000"/>
          <w:szCs w:val="24"/>
          <w:lang w:val="en-US" w:eastAsia="pt-BR"/>
        </w:rPr>
        <w:t>Foster further mapping of coverage, usage and access quality</w:t>
      </w:r>
      <w:r w:rsidR="006D448E">
        <w:rPr>
          <w:rFonts w:cstheme="minorHAnsi"/>
          <w:color w:val="000000"/>
          <w:szCs w:val="24"/>
          <w:lang w:val="en-US" w:eastAsia="pt-BR"/>
        </w:rPr>
        <w:t xml:space="preserve"> of</w:t>
      </w:r>
      <w:r w:rsidRPr="00CA3E21">
        <w:rPr>
          <w:rFonts w:cstheme="minorHAnsi"/>
          <w:color w:val="000000"/>
          <w:szCs w:val="24"/>
          <w:lang w:val="en-US" w:eastAsia="pt-BR"/>
        </w:rPr>
        <w:t xml:space="preserve"> </w:t>
      </w:r>
      <w:r w:rsidR="006D448E" w:rsidRPr="00CA3E21">
        <w:rPr>
          <w:rFonts w:cstheme="minorHAnsi"/>
          <w:color w:val="000000"/>
          <w:szCs w:val="24"/>
          <w:lang w:val="en-US" w:eastAsia="pt-BR"/>
        </w:rPr>
        <w:t xml:space="preserve">ICTs </w:t>
      </w:r>
      <w:r w:rsidRPr="00CA3E21">
        <w:rPr>
          <w:rFonts w:cstheme="minorHAnsi"/>
          <w:color w:val="000000"/>
          <w:szCs w:val="24"/>
          <w:lang w:val="en-US" w:eastAsia="pt-BR"/>
        </w:rPr>
        <w:t>in the Americas and provide free access to this data. Initiatives such as ITU Broadband Maps represent a relevant reference on this matter. By providing general access and use of this information, different stakeholders would have the opportunity to improve telecommunications networks</w:t>
      </w:r>
      <w:r w:rsidR="001816D9">
        <w:rPr>
          <w:rFonts w:cstheme="minorHAnsi"/>
          <w:color w:val="000000"/>
          <w:szCs w:val="24"/>
          <w:lang w:val="en-US" w:eastAsia="pt-BR"/>
        </w:rPr>
        <w:t>,</w:t>
      </w:r>
      <w:r w:rsidRPr="00CA3E21">
        <w:rPr>
          <w:rFonts w:cstheme="minorHAnsi"/>
          <w:color w:val="000000"/>
          <w:szCs w:val="24"/>
          <w:lang w:val="en-US" w:eastAsia="pt-BR"/>
        </w:rPr>
        <w:t xml:space="preserve"> fostering a path to connect </w:t>
      </w:r>
      <w:proofErr w:type="gramStart"/>
      <w:r w:rsidRPr="00CA3E21">
        <w:rPr>
          <w:rFonts w:cstheme="minorHAnsi"/>
          <w:color w:val="000000"/>
          <w:szCs w:val="24"/>
          <w:lang w:val="en-US" w:eastAsia="pt-BR"/>
        </w:rPr>
        <w:t>all of</w:t>
      </w:r>
      <w:proofErr w:type="gramEnd"/>
      <w:r w:rsidRPr="00CA3E21">
        <w:rPr>
          <w:rFonts w:cstheme="minorHAnsi"/>
          <w:color w:val="000000"/>
          <w:szCs w:val="24"/>
          <w:lang w:val="en-US" w:eastAsia="pt-BR"/>
        </w:rPr>
        <w:t xml:space="preserve"> the population </w:t>
      </w:r>
      <w:r w:rsidR="001816D9">
        <w:rPr>
          <w:rFonts w:cstheme="minorHAnsi"/>
          <w:color w:val="000000"/>
          <w:szCs w:val="24"/>
          <w:lang w:val="en-US" w:eastAsia="pt-BR"/>
        </w:rPr>
        <w:t xml:space="preserve">of the </w:t>
      </w:r>
      <w:r w:rsidR="001816D9" w:rsidRPr="00CA3E21">
        <w:rPr>
          <w:rFonts w:cstheme="minorHAnsi"/>
          <w:color w:val="000000"/>
          <w:szCs w:val="24"/>
          <w:lang w:val="en-US" w:eastAsia="pt-BR"/>
        </w:rPr>
        <w:t>Americas</w:t>
      </w:r>
      <w:r w:rsidR="001816D9">
        <w:rPr>
          <w:rFonts w:cstheme="minorHAnsi"/>
          <w:color w:val="000000"/>
          <w:szCs w:val="24"/>
          <w:lang w:val="en-US" w:eastAsia="pt-BR"/>
        </w:rPr>
        <w:t>,</w:t>
      </w:r>
      <w:r w:rsidR="001816D9" w:rsidRPr="00CA3E21">
        <w:rPr>
          <w:rFonts w:cstheme="minorHAnsi"/>
          <w:color w:val="000000"/>
          <w:szCs w:val="24"/>
          <w:lang w:val="en-US" w:eastAsia="pt-BR"/>
        </w:rPr>
        <w:t xml:space="preserve"> </w:t>
      </w:r>
      <w:r w:rsidRPr="00CA3E21">
        <w:rPr>
          <w:rFonts w:cstheme="minorHAnsi"/>
          <w:color w:val="000000"/>
          <w:szCs w:val="24"/>
          <w:lang w:val="en-US" w:eastAsia="pt-BR"/>
        </w:rPr>
        <w:t>considering intra-regional economic/geographic particular situations.</w:t>
      </w:r>
    </w:p>
    <w:p w14:paraId="434F9B70" w14:textId="77777777" w:rsidR="001B4707" w:rsidRPr="001B4707" w:rsidRDefault="001B4707" w:rsidP="00DE0C73">
      <w:pPr>
        <w:pStyle w:val="ListParagraph"/>
        <w:numPr>
          <w:ilvl w:val="0"/>
          <w:numId w:val="17"/>
        </w:numPr>
        <w:spacing w:before="80" w:after="80"/>
        <w:contextualSpacing w:val="0"/>
        <w:rPr>
          <w:rFonts w:cstheme="minorHAnsi"/>
          <w:color w:val="000000"/>
          <w:szCs w:val="24"/>
          <w:lang w:val="en-US" w:eastAsia="pt-BR"/>
        </w:rPr>
      </w:pPr>
      <w:r w:rsidRPr="001B4707">
        <w:rPr>
          <w:rFonts w:cstheme="minorHAnsi"/>
          <w:color w:val="000000"/>
          <w:szCs w:val="24"/>
          <w:lang w:val="en-US" w:eastAsia="pt-BR"/>
        </w:rPr>
        <w:t>Promote the deployment of new networks using modern technologies such as 4G Advanced and 5G with the development of IXP infrastructure to ensure better latency and lower internet connection costs.</w:t>
      </w:r>
    </w:p>
    <w:p w14:paraId="6345545D" w14:textId="77777777" w:rsidR="00BB1FD5" w:rsidRPr="00BB1FD5" w:rsidRDefault="00BB1FD5" w:rsidP="00DE0C73">
      <w:pPr>
        <w:pStyle w:val="ListParagraph"/>
        <w:numPr>
          <w:ilvl w:val="0"/>
          <w:numId w:val="17"/>
        </w:numPr>
        <w:spacing w:before="80" w:after="80"/>
        <w:contextualSpacing w:val="0"/>
        <w:rPr>
          <w:rFonts w:cstheme="minorHAnsi"/>
          <w:color w:val="000000"/>
          <w:szCs w:val="24"/>
          <w:lang w:val="en-US" w:eastAsia="pt-BR"/>
        </w:rPr>
      </w:pPr>
      <w:r w:rsidRPr="00BB1FD5">
        <w:rPr>
          <w:rFonts w:cstheme="minorHAnsi"/>
          <w:color w:val="000000"/>
          <w:szCs w:val="24"/>
          <w:lang w:val="en-US" w:eastAsia="pt-BR"/>
        </w:rPr>
        <w:t>Encourage infrastructure sharing by network operators to improve service affordability to users.</w:t>
      </w:r>
    </w:p>
    <w:p w14:paraId="7A7CC83B" w14:textId="77777777" w:rsidR="00FF041F" w:rsidRPr="00FF041F" w:rsidRDefault="00FF041F" w:rsidP="00DE0C73">
      <w:pPr>
        <w:pStyle w:val="ListParagraph"/>
        <w:numPr>
          <w:ilvl w:val="0"/>
          <w:numId w:val="17"/>
        </w:numPr>
        <w:spacing w:before="80" w:after="80"/>
        <w:contextualSpacing w:val="0"/>
        <w:rPr>
          <w:rFonts w:cstheme="minorHAnsi"/>
          <w:color w:val="000000"/>
          <w:szCs w:val="24"/>
          <w:lang w:val="en-US" w:eastAsia="pt-BR"/>
        </w:rPr>
      </w:pPr>
      <w:r w:rsidRPr="00FF041F">
        <w:rPr>
          <w:rFonts w:cstheme="minorHAnsi"/>
          <w:color w:val="000000"/>
          <w:szCs w:val="24"/>
          <w:lang w:val="en-US" w:eastAsia="pt-BR"/>
        </w:rPr>
        <w:t>Foster the implementation of community networks with the aim of reducing inequality within regions by providing affordable access to remote areas.</w:t>
      </w:r>
    </w:p>
    <w:p w14:paraId="5BC48DA7" w14:textId="77777777" w:rsidR="000F26CA" w:rsidRPr="000F26CA" w:rsidRDefault="000F26CA" w:rsidP="00DE0C73">
      <w:pPr>
        <w:pStyle w:val="ListParagraph"/>
        <w:numPr>
          <w:ilvl w:val="0"/>
          <w:numId w:val="17"/>
        </w:numPr>
        <w:spacing w:before="80" w:after="80"/>
        <w:contextualSpacing w:val="0"/>
        <w:rPr>
          <w:rFonts w:cstheme="minorHAnsi"/>
          <w:color w:val="000000"/>
          <w:szCs w:val="24"/>
          <w:lang w:val="en-US" w:eastAsia="pt-BR"/>
        </w:rPr>
      </w:pPr>
      <w:r w:rsidRPr="000F26CA">
        <w:rPr>
          <w:rFonts w:cstheme="minorHAnsi"/>
          <w:color w:val="000000"/>
          <w:szCs w:val="24"/>
          <w:lang w:val="en-US" w:eastAsia="pt-BR"/>
        </w:rPr>
        <w:t>Ensure a multi-stakeholder approach to the standardization of 5G technologies. For example, consumer markets can provide valuable inputs on the usage of these technologies.</w:t>
      </w:r>
    </w:p>
    <w:p w14:paraId="4C029715" w14:textId="5F683A16" w:rsidR="00F1348E" w:rsidRPr="00F1348E" w:rsidRDefault="00F1348E" w:rsidP="00DE0C73">
      <w:pPr>
        <w:pStyle w:val="ListParagraph"/>
        <w:numPr>
          <w:ilvl w:val="0"/>
          <w:numId w:val="17"/>
        </w:numPr>
        <w:spacing w:before="80" w:after="80"/>
        <w:contextualSpacing w:val="0"/>
        <w:rPr>
          <w:rFonts w:cstheme="minorHAnsi"/>
          <w:color w:val="000000"/>
          <w:szCs w:val="24"/>
          <w:lang w:val="en-US" w:eastAsia="pt-BR"/>
        </w:rPr>
      </w:pPr>
      <w:r w:rsidRPr="00F1348E">
        <w:rPr>
          <w:rFonts w:cstheme="minorHAnsi"/>
          <w:color w:val="000000"/>
          <w:szCs w:val="24"/>
          <w:lang w:val="en-US" w:eastAsia="pt-BR"/>
        </w:rPr>
        <w:t>Promote further action and foster commitment on reducing the standardization gap in the Americas and foster the involvement of all governments, producers and operators in the region. Sharing knowledge, promoting technical collaboration, fostering mutual recognition agreements, working on increasing the interoperability of network devices, among other actions, should be strengthened in the region.</w:t>
      </w:r>
    </w:p>
    <w:p w14:paraId="5017D11E" w14:textId="77777777" w:rsidR="00F9472B" w:rsidRPr="00F9472B" w:rsidRDefault="00F9472B" w:rsidP="00DE0C73">
      <w:pPr>
        <w:numPr>
          <w:ilvl w:val="0"/>
          <w:numId w:val="17"/>
        </w:numPr>
        <w:tabs>
          <w:tab w:val="clear" w:pos="1134"/>
          <w:tab w:val="clear" w:pos="1871"/>
          <w:tab w:val="clear" w:pos="2268"/>
        </w:tabs>
        <w:overflowPunct/>
        <w:autoSpaceDE/>
        <w:autoSpaceDN/>
        <w:adjustRightInd/>
        <w:spacing w:before="80" w:after="80"/>
        <w:ind w:left="641" w:hanging="357"/>
        <w:rPr>
          <w:rFonts w:cstheme="minorHAnsi"/>
          <w:b/>
          <w:bCs/>
          <w:color w:val="000000"/>
          <w:szCs w:val="24"/>
          <w:lang w:val="en-US" w:eastAsia="pt-BR"/>
        </w:rPr>
      </w:pPr>
      <w:r w:rsidRPr="00F9472B">
        <w:rPr>
          <w:rFonts w:cstheme="minorHAnsi"/>
          <w:color w:val="000000"/>
          <w:szCs w:val="24"/>
          <w:lang w:val="en-US" w:eastAsia="pt-BR"/>
        </w:rPr>
        <w:t xml:space="preserve">Foster the usage of digital infrastructure solutions for sustainable cities management by promoting collaboration between the private and public sector and Academia. Prioritize </w:t>
      </w:r>
      <w:r w:rsidRPr="00F9472B">
        <w:rPr>
          <w:rFonts w:cstheme="minorHAnsi"/>
          <w:color w:val="000000"/>
          <w:szCs w:val="24"/>
          <w:lang w:val="en-US" w:eastAsia="pt-BR"/>
        </w:rPr>
        <w:lastRenderedPageBreak/>
        <w:t>cooperation for the improvement of national strategies in topics such as cybersecurity, among others.</w:t>
      </w:r>
    </w:p>
    <w:p w14:paraId="0CE0949B" w14:textId="77777777" w:rsidR="006E6093" w:rsidRPr="005049DD" w:rsidRDefault="006E6093" w:rsidP="00DE0C73">
      <w:pPr>
        <w:spacing w:after="120"/>
        <w:rPr>
          <w:rFonts w:cstheme="minorHAnsi"/>
          <w:b/>
        </w:rPr>
      </w:pPr>
      <w:r w:rsidRPr="005049DD">
        <w:rPr>
          <w:rFonts w:cstheme="minorHAnsi"/>
          <w:b/>
        </w:rPr>
        <w:t>Considerations on other related ITU Thematic Priorities:</w:t>
      </w:r>
    </w:p>
    <w:p w14:paraId="1EB1C8B7" w14:textId="77777777" w:rsidR="006E6093" w:rsidRPr="005049DD" w:rsidRDefault="006E6093" w:rsidP="00DE0C73">
      <w:pPr>
        <w:spacing w:after="120"/>
        <w:rPr>
          <w:rFonts w:cstheme="minorHAnsi"/>
          <w:bCs/>
          <w:i/>
          <w:iCs/>
          <w:u w:val="single"/>
        </w:rPr>
      </w:pPr>
      <w:r w:rsidRPr="005049DD">
        <w:rPr>
          <w:rFonts w:cstheme="minorHAnsi"/>
          <w:bCs/>
          <w:i/>
          <w:iCs/>
          <w:u w:val="single"/>
        </w:rPr>
        <w:t>Emergency Telecommunications</w:t>
      </w:r>
    </w:p>
    <w:p w14:paraId="26E13788" w14:textId="130B2116" w:rsidR="00903A9E" w:rsidRPr="005049DD" w:rsidRDefault="00903A9E" w:rsidP="00DE0C73">
      <w:pPr>
        <w:tabs>
          <w:tab w:val="clear" w:pos="1134"/>
          <w:tab w:val="clear" w:pos="1871"/>
          <w:tab w:val="clear" w:pos="2268"/>
        </w:tabs>
        <w:overflowPunct/>
        <w:autoSpaceDE/>
        <w:autoSpaceDN/>
        <w:adjustRightInd/>
        <w:spacing w:after="120"/>
        <w:textAlignment w:val="auto"/>
        <w:rPr>
          <w:rFonts w:cstheme="minorHAnsi"/>
          <w:szCs w:val="24"/>
          <w:lang w:val="en-US" w:eastAsia="pt-BR"/>
        </w:rPr>
      </w:pPr>
      <w:r w:rsidRPr="005049DD">
        <w:rPr>
          <w:rFonts w:cstheme="minorHAnsi"/>
          <w:color w:val="000000"/>
          <w:szCs w:val="24"/>
          <w:lang w:val="en-US" w:eastAsia="pt-BR"/>
        </w:rPr>
        <w:t xml:space="preserve">Digital infrastructures are employed on several technological solutions. </w:t>
      </w:r>
      <w:r w:rsidR="00330335" w:rsidRPr="005049DD">
        <w:rPr>
          <w:rFonts w:cstheme="minorHAnsi"/>
          <w:color w:val="000000"/>
          <w:szCs w:val="24"/>
          <w:lang w:val="en-US" w:eastAsia="pt-BR"/>
        </w:rPr>
        <w:t>I</w:t>
      </w:r>
      <w:r w:rsidRPr="005049DD">
        <w:rPr>
          <w:rFonts w:cstheme="minorHAnsi"/>
          <w:color w:val="000000"/>
          <w:szCs w:val="24"/>
          <w:lang w:val="en-US" w:eastAsia="pt-BR"/>
        </w:rPr>
        <w:t xml:space="preserve">t is important for the Americas region to highlight the importance of having strong and efficient digital infrastructure for the implementation of telecommunications emergency systems, considering the natural and geographical conditions of our region, and climate-change related emergent events. Digital infrastructures turn into crucial tools to increase the number of lives saved in these types of events. </w:t>
      </w:r>
      <w:r w:rsidR="00330335" w:rsidRPr="005049DD">
        <w:rPr>
          <w:rFonts w:cstheme="minorHAnsi"/>
          <w:color w:val="000000"/>
          <w:szCs w:val="24"/>
          <w:lang w:val="en-US" w:eastAsia="pt-BR"/>
        </w:rPr>
        <w:t>Two main actions</w:t>
      </w:r>
      <w:r w:rsidRPr="005049DD">
        <w:rPr>
          <w:rFonts w:cstheme="minorHAnsi"/>
          <w:color w:val="000000"/>
          <w:szCs w:val="24"/>
          <w:lang w:val="en-US" w:eastAsia="pt-BR"/>
        </w:rPr>
        <w:t xml:space="preserve"> that could be taken to improve the performance of emergency telecommunications infrastructure</w:t>
      </w:r>
      <w:r w:rsidR="00330335" w:rsidRPr="005049DD">
        <w:rPr>
          <w:rFonts w:cstheme="minorHAnsi"/>
          <w:color w:val="000000"/>
          <w:szCs w:val="24"/>
          <w:lang w:val="en-US" w:eastAsia="pt-BR"/>
        </w:rPr>
        <w:t xml:space="preserve"> must be addressed</w:t>
      </w:r>
      <w:r w:rsidRPr="005049DD">
        <w:rPr>
          <w:rFonts w:cstheme="minorHAnsi"/>
          <w:color w:val="000000"/>
          <w:szCs w:val="24"/>
          <w:lang w:val="en-US" w:eastAsia="pt-BR"/>
        </w:rPr>
        <w:t>:</w:t>
      </w:r>
    </w:p>
    <w:p w14:paraId="376BB951" w14:textId="2DBF2EAF" w:rsidR="00903A9E" w:rsidRPr="005049DD" w:rsidRDefault="00903A9E" w:rsidP="00DE0C73">
      <w:pPr>
        <w:numPr>
          <w:ilvl w:val="0"/>
          <w:numId w:val="18"/>
        </w:numPr>
        <w:tabs>
          <w:tab w:val="clear" w:pos="1134"/>
          <w:tab w:val="clear" w:pos="1871"/>
          <w:tab w:val="clear" w:pos="2268"/>
        </w:tabs>
        <w:overflowPunct/>
        <w:autoSpaceDE/>
        <w:autoSpaceDN/>
        <w:adjustRightInd/>
        <w:spacing w:before="80" w:after="80"/>
        <w:ind w:left="714" w:hanging="357"/>
        <w:rPr>
          <w:rFonts w:cstheme="minorHAnsi"/>
          <w:color w:val="000000"/>
          <w:szCs w:val="24"/>
          <w:lang w:val="en-US" w:eastAsia="pt-BR"/>
        </w:rPr>
      </w:pPr>
      <w:r w:rsidRPr="005049DD">
        <w:rPr>
          <w:rFonts w:cstheme="minorHAnsi"/>
          <w:color w:val="000000"/>
          <w:szCs w:val="24"/>
          <w:lang w:val="en-US" w:eastAsia="pt-BR"/>
        </w:rPr>
        <w:t>Create spaces for international cooperation and exchange of knowledge about emergency infrastructure between the private and the public sector with the aim of achieving reliable and efficient warning systems, based on evidence. This would strengthen national strategies on the management of crises and disasters such as emergent climate change</w:t>
      </w:r>
      <w:r w:rsidR="004043C2">
        <w:rPr>
          <w:rFonts w:cstheme="minorHAnsi"/>
          <w:color w:val="000000"/>
          <w:szCs w:val="24"/>
          <w:lang w:val="en-US" w:eastAsia="pt-BR"/>
        </w:rPr>
        <w:t xml:space="preserve"> </w:t>
      </w:r>
      <w:r w:rsidRPr="005049DD">
        <w:rPr>
          <w:rFonts w:cstheme="minorHAnsi"/>
          <w:color w:val="000000"/>
          <w:szCs w:val="24"/>
          <w:lang w:val="en-US" w:eastAsia="pt-BR"/>
        </w:rPr>
        <w:t>related natural events in line with Sendai Framework for Disaster Risk Reduction 2015-2030.</w:t>
      </w:r>
    </w:p>
    <w:p w14:paraId="44EE5BCF" w14:textId="6F98456C" w:rsidR="004B404D" w:rsidRPr="00DE0C73" w:rsidRDefault="00903A9E" w:rsidP="00DE0C73">
      <w:pPr>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80" w:after="120"/>
        <w:ind w:left="714" w:hanging="357"/>
        <w:rPr>
          <w:rFonts w:eastAsia="Calibri" w:cstheme="minorHAnsi"/>
          <w:color w:val="000000"/>
          <w:szCs w:val="24"/>
          <w:lang w:val="en-US"/>
        </w:rPr>
      </w:pPr>
      <w:r w:rsidRPr="005049DD">
        <w:rPr>
          <w:rFonts w:cstheme="minorHAnsi"/>
          <w:color w:val="000000"/>
          <w:szCs w:val="24"/>
          <w:lang w:val="en-US" w:eastAsia="pt-BR"/>
        </w:rPr>
        <w:t>Improve Member States’ communication strategy about the usage of emergency infrastructure by making it more accessible to citizens.</w:t>
      </w:r>
    </w:p>
    <w:p w14:paraId="3FAC3B0B" w14:textId="0D19074A" w:rsidR="00DE0C73" w:rsidRPr="005049DD" w:rsidRDefault="00DE0C73" w:rsidP="00DE0C73">
      <w:pPr>
        <w:pBdr>
          <w:top w:val="nil"/>
          <w:left w:val="nil"/>
          <w:bottom w:val="nil"/>
          <w:right w:val="nil"/>
          <w:between w:val="nil"/>
        </w:pBdr>
        <w:tabs>
          <w:tab w:val="clear" w:pos="1134"/>
          <w:tab w:val="clear" w:pos="1871"/>
          <w:tab w:val="clear" w:pos="2268"/>
        </w:tabs>
        <w:overflowPunct/>
        <w:autoSpaceDE/>
        <w:autoSpaceDN/>
        <w:adjustRightInd/>
        <w:spacing w:after="120"/>
        <w:jc w:val="center"/>
        <w:rPr>
          <w:rFonts w:eastAsia="Calibri" w:cstheme="minorHAnsi"/>
          <w:color w:val="000000"/>
          <w:szCs w:val="24"/>
          <w:lang w:val="en-US"/>
        </w:rPr>
      </w:pPr>
      <w:r>
        <w:rPr>
          <w:rFonts w:cstheme="minorHAnsi"/>
          <w:color w:val="000000"/>
          <w:szCs w:val="24"/>
          <w:lang w:val="en-US" w:eastAsia="pt-BR"/>
        </w:rPr>
        <w:t>________________</w:t>
      </w:r>
    </w:p>
    <w:sectPr w:rsidR="00DE0C73" w:rsidRPr="005049DD" w:rsidSect="00674952">
      <w:headerReference w:type="default" r:id="rId20"/>
      <w:footerReference w:type="even" r:id="rId21"/>
      <w:footerReference w:type="first" r:id="rId2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A942D" w14:textId="77777777" w:rsidR="00C74765" w:rsidRDefault="00C74765">
      <w:r>
        <w:separator/>
      </w:r>
    </w:p>
  </w:endnote>
  <w:endnote w:type="continuationSeparator" w:id="0">
    <w:p w14:paraId="16941818" w14:textId="77777777" w:rsidR="00C74765" w:rsidRDefault="00C7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0994834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F0079">
      <w:rPr>
        <w:noProof/>
        <w:lang w:val="en-US"/>
      </w:rPr>
      <w:t>https://ituint-my.sharepoint.com/personal/bruno_ramos_itu_int/Documents/AMS-RO/2021/210426-27 RPM-AMS/Youth/Preparation of Call to Action RPM-AMS/00_GC-AMS RPM Contribution_Call to Action_APPROVED.docx</w:t>
    </w:r>
    <w:r>
      <w:fldChar w:fldCharType="end"/>
    </w:r>
    <w:r w:rsidRPr="0041348E">
      <w:rPr>
        <w:lang w:val="en-US"/>
      </w:rPr>
      <w:tab/>
    </w:r>
    <w:r>
      <w:fldChar w:fldCharType="begin"/>
    </w:r>
    <w:r>
      <w:instrText xml:space="preserve"> SAVEDATE \@ DD.MM.YY </w:instrText>
    </w:r>
    <w:r>
      <w:fldChar w:fldCharType="separate"/>
    </w:r>
    <w:r w:rsidR="00965F43">
      <w:rPr>
        <w:noProof/>
      </w:rPr>
      <w:t>15.04.21</w:t>
    </w:r>
    <w:r>
      <w:fldChar w:fldCharType="end"/>
    </w:r>
    <w:r w:rsidRPr="0041348E">
      <w:rPr>
        <w:lang w:val="en-US"/>
      </w:rPr>
      <w:tab/>
    </w:r>
    <w:r>
      <w:fldChar w:fldCharType="begin"/>
    </w:r>
    <w:r>
      <w:instrText xml:space="preserve"> PRINTDATE \@ DD.MM.YY </w:instrText>
    </w:r>
    <w:r>
      <w:fldChar w:fldCharType="separate"/>
    </w:r>
    <w:r w:rsidR="002F0079">
      <w:rPr>
        <w:noProof/>
      </w:rPr>
      <w:t>14.04.21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4D6CD3" w:rsidRPr="004D495C" w14:paraId="68830059" w14:textId="77777777" w:rsidTr="004D6CD3">
      <w:tc>
        <w:tcPr>
          <w:tcW w:w="1432" w:type="dxa"/>
          <w:tcBorders>
            <w:top w:val="single" w:sz="4" w:space="0" w:color="000000"/>
          </w:tcBorders>
          <w:shd w:val="clear" w:color="auto" w:fill="auto"/>
        </w:tcPr>
        <w:p w14:paraId="7E7A13E9" w14:textId="77777777" w:rsidR="004D6CD3" w:rsidRPr="004D495C" w:rsidRDefault="004D6CD3" w:rsidP="004D6CD3">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2C5ACE2D" w14:textId="77777777" w:rsidR="004D6CD3" w:rsidRPr="004D495C" w:rsidRDefault="004D6CD3" w:rsidP="004D6CD3">
          <w:pPr>
            <w:pStyle w:val="FirstFooter"/>
            <w:tabs>
              <w:tab w:val="left" w:pos="2302"/>
            </w:tabs>
            <w:ind w:left="2302" w:hanging="2302"/>
            <w:rPr>
              <w:sz w:val="18"/>
              <w:szCs w:val="18"/>
              <w:lang w:val="en-US"/>
            </w:rPr>
          </w:pPr>
          <w:r w:rsidRPr="004D495C">
            <w:rPr>
              <w:sz w:val="18"/>
              <w:szCs w:val="18"/>
              <w:lang w:val="en-US"/>
            </w:rPr>
            <w:t>Name/Organization/Entity:</w:t>
          </w:r>
        </w:p>
      </w:tc>
      <w:tc>
        <w:tcPr>
          <w:tcW w:w="5959" w:type="dxa"/>
          <w:tcBorders>
            <w:top w:val="single" w:sz="4" w:space="0" w:color="000000"/>
          </w:tcBorders>
        </w:tcPr>
        <w:p w14:paraId="32A469FE" w14:textId="1F8FA890" w:rsidR="004D6CD3" w:rsidRDefault="004D6CD3" w:rsidP="004D6CD3">
          <w:pPr>
            <w:pStyle w:val="FirstFooter"/>
            <w:tabs>
              <w:tab w:val="left" w:pos="2302"/>
            </w:tabs>
            <w:rPr>
              <w:sz w:val="18"/>
              <w:szCs w:val="18"/>
              <w:highlight w:val="yellow"/>
              <w:lang w:val="en-US"/>
            </w:rPr>
          </w:pPr>
          <w:proofErr w:type="spellStart"/>
          <w:r w:rsidRPr="00D8064E">
            <w:rPr>
              <w:sz w:val="18"/>
              <w:szCs w:val="18"/>
              <w:lang w:val="en-US"/>
            </w:rPr>
            <w:t>M</w:t>
          </w:r>
          <w:r>
            <w:rPr>
              <w:sz w:val="18"/>
              <w:szCs w:val="18"/>
              <w:lang w:val="en-US"/>
            </w:rPr>
            <w:t>r</w:t>
          </w:r>
          <w:proofErr w:type="spellEnd"/>
          <w:r w:rsidRPr="00D8064E">
            <w:rPr>
              <w:sz w:val="18"/>
              <w:szCs w:val="18"/>
              <w:lang w:val="en-US"/>
            </w:rPr>
            <w:t xml:space="preserve"> </w:t>
          </w:r>
          <w:r>
            <w:rPr>
              <w:sz w:val="18"/>
              <w:szCs w:val="18"/>
              <w:lang w:val="en-US"/>
            </w:rPr>
            <w:t>Stephen Bereaux</w:t>
          </w:r>
          <w:r w:rsidRPr="00D8064E">
            <w:rPr>
              <w:sz w:val="18"/>
              <w:szCs w:val="18"/>
              <w:lang w:val="en-US"/>
            </w:rPr>
            <w:t>,</w:t>
          </w:r>
          <w:r>
            <w:rPr>
              <w:sz w:val="18"/>
              <w:szCs w:val="18"/>
              <w:lang w:val="en-US"/>
            </w:rPr>
            <w:t xml:space="preserve"> </w:t>
          </w:r>
          <w:r w:rsidRPr="006554AC">
            <w:rPr>
              <w:sz w:val="18"/>
              <w:szCs w:val="18"/>
              <w:lang w:val="en-US"/>
            </w:rPr>
            <w:t>Deputy to the Director</w:t>
          </w:r>
          <w:r w:rsidRPr="00D8064E">
            <w:rPr>
              <w:sz w:val="18"/>
              <w:szCs w:val="18"/>
              <w:lang w:val="en-US"/>
            </w:rPr>
            <w:t xml:space="preserve">, </w:t>
          </w:r>
          <w:r w:rsidRPr="00D8064E">
            <w:rPr>
              <w:sz w:val="18"/>
              <w:szCs w:val="18"/>
            </w:rPr>
            <w:t>Telecommunication Development Bureau</w:t>
          </w:r>
        </w:p>
      </w:tc>
      <w:bookmarkStart w:id="13" w:name="OrgName"/>
      <w:bookmarkEnd w:id="13"/>
    </w:tr>
    <w:tr w:rsidR="004D6CD3" w:rsidRPr="004D495C" w14:paraId="3EC294AF" w14:textId="77777777" w:rsidTr="004D6CD3">
      <w:tc>
        <w:tcPr>
          <w:tcW w:w="1432" w:type="dxa"/>
          <w:shd w:val="clear" w:color="auto" w:fill="auto"/>
        </w:tcPr>
        <w:p w14:paraId="04B156B0" w14:textId="77777777" w:rsidR="004D6CD3" w:rsidRPr="004D495C" w:rsidRDefault="004D6CD3" w:rsidP="004D6CD3">
          <w:pPr>
            <w:pStyle w:val="FirstFooter"/>
            <w:tabs>
              <w:tab w:val="left" w:pos="1559"/>
              <w:tab w:val="left" w:pos="3828"/>
            </w:tabs>
            <w:rPr>
              <w:sz w:val="20"/>
              <w:lang w:val="en-US"/>
            </w:rPr>
          </w:pPr>
        </w:p>
      </w:tc>
      <w:tc>
        <w:tcPr>
          <w:tcW w:w="2250" w:type="dxa"/>
          <w:shd w:val="clear" w:color="auto" w:fill="auto"/>
        </w:tcPr>
        <w:p w14:paraId="2257572F" w14:textId="77777777" w:rsidR="004D6CD3" w:rsidRPr="004D495C" w:rsidRDefault="004D6CD3" w:rsidP="004D6CD3">
          <w:pPr>
            <w:pStyle w:val="FirstFooter"/>
            <w:tabs>
              <w:tab w:val="left" w:pos="2302"/>
            </w:tabs>
            <w:rPr>
              <w:sz w:val="18"/>
              <w:szCs w:val="18"/>
              <w:lang w:val="en-US"/>
            </w:rPr>
          </w:pPr>
          <w:r w:rsidRPr="004D495C">
            <w:rPr>
              <w:sz w:val="18"/>
              <w:szCs w:val="18"/>
              <w:lang w:val="en-US"/>
            </w:rPr>
            <w:t>Phone number:</w:t>
          </w:r>
        </w:p>
      </w:tc>
      <w:tc>
        <w:tcPr>
          <w:tcW w:w="5959" w:type="dxa"/>
        </w:tcPr>
        <w:p w14:paraId="0BB8773A" w14:textId="77777777" w:rsidR="004D6CD3" w:rsidRPr="004D495C" w:rsidRDefault="004D6CD3" w:rsidP="004D6CD3">
          <w:pPr>
            <w:pStyle w:val="FirstFooter"/>
            <w:tabs>
              <w:tab w:val="left" w:pos="2302"/>
            </w:tabs>
            <w:rPr>
              <w:sz w:val="18"/>
              <w:szCs w:val="18"/>
              <w:highlight w:val="yellow"/>
              <w:lang w:val="en-US"/>
            </w:rPr>
          </w:pPr>
          <w:r w:rsidRPr="00523FA7">
            <w:rPr>
              <w:sz w:val="18"/>
              <w:szCs w:val="18"/>
              <w:lang w:val="en-US"/>
            </w:rPr>
            <w:t>+</w:t>
          </w:r>
          <w:r w:rsidRPr="00D934D7">
            <w:rPr>
              <w:sz w:val="18"/>
              <w:szCs w:val="18"/>
              <w:lang w:val="en-US"/>
            </w:rPr>
            <w:t>41 22 730 5131</w:t>
          </w:r>
        </w:p>
      </w:tc>
      <w:bookmarkStart w:id="14" w:name="PhoneNo"/>
      <w:bookmarkEnd w:id="14"/>
    </w:tr>
    <w:tr w:rsidR="004D6CD3" w:rsidRPr="004D495C" w14:paraId="41CFE77E" w14:textId="77777777" w:rsidTr="004D6CD3">
      <w:tc>
        <w:tcPr>
          <w:tcW w:w="1432" w:type="dxa"/>
          <w:shd w:val="clear" w:color="auto" w:fill="auto"/>
        </w:tcPr>
        <w:p w14:paraId="49CEC248" w14:textId="77777777" w:rsidR="004D6CD3" w:rsidRPr="004D495C" w:rsidRDefault="004D6CD3" w:rsidP="004D6CD3">
          <w:pPr>
            <w:pStyle w:val="FirstFooter"/>
            <w:tabs>
              <w:tab w:val="left" w:pos="1559"/>
              <w:tab w:val="left" w:pos="3828"/>
            </w:tabs>
            <w:rPr>
              <w:sz w:val="20"/>
              <w:lang w:val="en-US"/>
            </w:rPr>
          </w:pPr>
        </w:p>
      </w:tc>
      <w:tc>
        <w:tcPr>
          <w:tcW w:w="2250" w:type="dxa"/>
          <w:shd w:val="clear" w:color="auto" w:fill="auto"/>
        </w:tcPr>
        <w:p w14:paraId="1C0033A7" w14:textId="77777777" w:rsidR="004D6CD3" w:rsidRPr="004D495C" w:rsidRDefault="004D6CD3" w:rsidP="004D6CD3">
          <w:pPr>
            <w:pStyle w:val="FirstFooter"/>
            <w:tabs>
              <w:tab w:val="left" w:pos="2302"/>
            </w:tabs>
            <w:rPr>
              <w:sz w:val="18"/>
              <w:szCs w:val="18"/>
              <w:lang w:val="en-US"/>
            </w:rPr>
          </w:pPr>
          <w:r w:rsidRPr="004D495C">
            <w:rPr>
              <w:sz w:val="18"/>
              <w:szCs w:val="18"/>
              <w:lang w:val="en-US"/>
            </w:rPr>
            <w:t>E-mail:</w:t>
          </w:r>
        </w:p>
      </w:tc>
      <w:tc>
        <w:tcPr>
          <w:tcW w:w="5959" w:type="dxa"/>
        </w:tcPr>
        <w:p w14:paraId="4ECA4BEF" w14:textId="77777777" w:rsidR="004D6CD3" w:rsidRPr="004D495C" w:rsidRDefault="00355E65" w:rsidP="004D6CD3">
          <w:pPr>
            <w:pStyle w:val="FirstFooter"/>
            <w:tabs>
              <w:tab w:val="left" w:pos="2302"/>
            </w:tabs>
            <w:rPr>
              <w:sz w:val="18"/>
              <w:szCs w:val="18"/>
              <w:highlight w:val="yellow"/>
              <w:lang w:val="en-US"/>
            </w:rPr>
          </w:pPr>
          <w:hyperlink r:id="rId1" w:history="1">
            <w:r w:rsidR="004D6CD3" w:rsidRPr="00D934D7">
              <w:rPr>
                <w:rStyle w:val="Hyperlink"/>
                <w:sz w:val="18"/>
                <w:szCs w:val="22"/>
              </w:rPr>
              <w:t>stephen.bereaux@itu.int</w:t>
            </w:r>
          </w:hyperlink>
          <w:r w:rsidR="004D6CD3" w:rsidRPr="00D934D7">
            <w:rPr>
              <w:sz w:val="18"/>
              <w:szCs w:val="22"/>
            </w:rPr>
            <w:t xml:space="preserve"> </w:t>
          </w:r>
        </w:p>
      </w:tc>
      <w:bookmarkStart w:id="15" w:name="Email"/>
      <w:bookmarkEnd w:id="15"/>
    </w:tr>
  </w:tbl>
  <w:p w14:paraId="58F32431" w14:textId="4E882047" w:rsidR="004D6CD3" w:rsidRDefault="00355E65" w:rsidP="004D6CD3">
    <w:pPr>
      <w:jc w:val="center"/>
    </w:pPr>
    <w:hyperlink r:id="rId2" w:history="1">
      <w:r w:rsidR="004D6CD3" w:rsidRPr="002654FD">
        <w:rPr>
          <w:rStyle w:val="Hyperlink"/>
          <w:sz w:val="20"/>
          <w:szCs w:val="16"/>
        </w:rPr>
        <w:t>RPM-A</w:t>
      </w:r>
      <w:r w:rsidR="004D6CD3">
        <w:rPr>
          <w:rStyle w:val="Hyperlink"/>
          <w:sz w:val="20"/>
          <w:szCs w:val="16"/>
        </w:rPr>
        <w:t>MS</w:t>
      </w:r>
      <w:r w:rsidR="004D6CD3" w:rsidRPr="002654FD">
        <w:rPr>
          <w:rStyle w:val="Hyperlink"/>
          <w:sz w:val="20"/>
          <w:szCs w:val="16"/>
        </w:rPr>
        <w:t>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4C06A" w14:textId="77777777" w:rsidR="00C74765" w:rsidRDefault="00C74765">
      <w:r>
        <w:rPr>
          <w:b/>
        </w:rPr>
        <w:t>_______________</w:t>
      </w:r>
    </w:p>
  </w:footnote>
  <w:footnote w:type="continuationSeparator" w:id="0">
    <w:p w14:paraId="27D57232" w14:textId="77777777" w:rsidR="00C74765" w:rsidRDefault="00C7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261A4BC5" w:rsidR="00A066F1" w:rsidRPr="00355E65" w:rsidRDefault="00DE0C73" w:rsidP="00DE0C73">
    <w:pPr>
      <w:tabs>
        <w:tab w:val="clear" w:pos="1134"/>
        <w:tab w:val="clear" w:pos="1871"/>
        <w:tab w:val="clear" w:pos="2268"/>
        <w:tab w:val="center" w:pos="4820"/>
        <w:tab w:val="right" w:pos="10206"/>
      </w:tabs>
      <w:ind w:right="1"/>
      <w:rPr>
        <w:smallCaps/>
        <w:spacing w:val="24"/>
        <w:sz w:val="22"/>
        <w:szCs w:val="22"/>
        <w:lang w:val="es-ES"/>
      </w:rPr>
    </w:pPr>
    <w:r w:rsidRPr="004D495C">
      <w:rPr>
        <w:sz w:val="22"/>
        <w:szCs w:val="22"/>
      </w:rPr>
      <w:tab/>
    </w:r>
    <w:r w:rsidRPr="00355E65">
      <w:rPr>
        <w:sz w:val="22"/>
        <w:szCs w:val="22"/>
        <w:lang w:val="es-ES"/>
      </w:rPr>
      <w:t>ITU-D/</w:t>
    </w:r>
    <w:bookmarkStart w:id="11" w:name="DocRef2"/>
    <w:bookmarkEnd w:id="11"/>
    <w:r w:rsidRPr="00355E65">
      <w:rPr>
        <w:sz w:val="22"/>
        <w:szCs w:val="22"/>
        <w:lang w:val="es-ES"/>
      </w:rPr>
      <w:t>RPM-AMS21/</w:t>
    </w:r>
    <w:bookmarkStart w:id="12" w:name="DocNo2"/>
    <w:bookmarkEnd w:id="12"/>
    <w:r w:rsidRPr="00355E65">
      <w:rPr>
        <w:sz w:val="22"/>
        <w:szCs w:val="22"/>
        <w:lang w:val="es-ES"/>
      </w:rPr>
      <w:t>24-E</w:t>
    </w:r>
    <w:r w:rsidRPr="00355E65">
      <w:rPr>
        <w:sz w:val="22"/>
        <w:szCs w:val="22"/>
        <w:lang w:val="es-ES"/>
      </w:rPr>
      <w:tab/>
      <w:t xml:space="preserve">Page </w:t>
    </w:r>
    <w:r w:rsidRPr="004D495C">
      <w:rPr>
        <w:sz w:val="22"/>
        <w:szCs w:val="22"/>
      </w:rPr>
      <w:fldChar w:fldCharType="begin"/>
    </w:r>
    <w:r w:rsidRPr="00355E65">
      <w:rPr>
        <w:sz w:val="22"/>
        <w:szCs w:val="22"/>
        <w:lang w:val="es-ES"/>
      </w:rPr>
      <w:instrText xml:space="preserve"> PAGE </w:instrText>
    </w:r>
    <w:r w:rsidRPr="004D495C">
      <w:rPr>
        <w:sz w:val="22"/>
        <w:szCs w:val="22"/>
      </w:rPr>
      <w:fldChar w:fldCharType="separate"/>
    </w:r>
    <w:r w:rsidRPr="00355E65">
      <w:rPr>
        <w:lang w:val="es-ES"/>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196F"/>
    <w:multiLevelType w:val="hybridMultilevel"/>
    <w:tmpl w:val="B7FCE0E4"/>
    <w:lvl w:ilvl="0" w:tplc="D8AA70E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AF2658"/>
    <w:multiLevelType w:val="hybridMultilevel"/>
    <w:tmpl w:val="39D06C42"/>
    <w:lvl w:ilvl="0" w:tplc="897AB2CC">
      <w:start w:val="1"/>
      <w:numFmt w:val="decimal"/>
      <w:lvlText w:val="4.%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4E1375"/>
    <w:multiLevelType w:val="multilevel"/>
    <w:tmpl w:val="F808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2F10"/>
    <w:multiLevelType w:val="hybridMultilevel"/>
    <w:tmpl w:val="61660162"/>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4E726A"/>
    <w:multiLevelType w:val="hybridMultilevel"/>
    <w:tmpl w:val="AECEA082"/>
    <w:lvl w:ilvl="0" w:tplc="0784A162">
      <w:start w:val="1"/>
      <w:numFmt w:val="decimal"/>
      <w:lvlText w:val="5.%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445553"/>
    <w:multiLevelType w:val="hybridMultilevel"/>
    <w:tmpl w:val="85DE31C6"/>
    <w:lvl w:ilvl="0" w:tplc="D8AA70E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B23B34"/>
    <w:multiLevelType w:val="hybridMultilevel"/>
    <w:tmpl w:val="F27C2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F6E75"/>
    <w:multiLevelType w:val="multilevel"/>
    <w:tmpl w:val="7E9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C3E8A"/>
    <w:multiLevelType w:val="multilevel"/>
    <w:tmpl w:val="CC2AF5A0"/>
    <w:lvl w:ilvl="0">
      <w:start w:val="1"/>
      <w:numFmt w:val="decimal"/>
      <w:lvlText w:val="4.%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95D49"/>
    <w:multiLevelType w:val="multilevel"/>
    <w:tmpl w:val="A414039A"/>
    <w:lvl w:ilvl="0">
      <w:start w:val="1"/>
      <w:numFmt w:val="decimal"/>
      <w:lvlText w:val="5.%1"/>
      <w:lvlJc w:val="left"/>
      <w:pPr>
        <w:tabs>
          <w:tab w:val="num" w:pos="720"/>
        </w:tabs>
        <w:ind w:left="720" w:hanging="360"/>
      </w:pPr>
      <w:rPr>
        <w:rFonts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95025"/>
    <w:multiLevelType w:val="hybridMultilevel"/>
    <w:tmpl w:val="AC4C7B0A"/>
    <w:lvl w:ilvl="0" w:tplc="AE6E528A">
      <w:start w:val="1"/>
      <w:numFmt w:val="decimal"/>
      <w:lvlText w:val="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67134"/>
    <w:multiLevelType w:val="multilevel"/>
    <w:tmpl w:val="2F80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497173"/>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C403E1"/>
    <w:multiLevelType w:val="multilevel"/>
    <w:tmpl w:val="E8AA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655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ED0808"/>
    <w:multiLevelType w:val="multilevel"/>
    <w:tmpl w:val="FDAC702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B7E3A79"/>
    <w:multiLevelType w:val="hybridMultilevel"/>
    <w:tmpl w:val="90D60C86"/>
    <w:lvl w:ilvl="0" w:tplc="D8AA70E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7BF4978"/>
    <w:multiLevelType w:val="hybridMultilevel"/>
    <w:tmpl w:val="752C9F3E"/>
    <w:lvl w:ilvl="0" w:tplc="A8346050">
      <w:start w:val="1"/>
      <w:numFmt w:val="decimal"/>
      <w:lvlText w:val="3.%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E613F05"/>
    <w:multiLevelType w:val="multilevel"/>
    <w:tmpl w:val="A414039A"/>
    <w:lvl w:ilvl="0">
      <w:start w:val="1"/>
      <w:numFmt w:val="decimal"/>
      <w:lvlText w:val="5.%1"/>
      <w:lvlJc w:val="left"/>
      <w:pPr>
        <w:tabs>
          <w:tab w:val="num" w:pos="720"/>
        </w:tabs>
        <w:ind w:left="720" w:hanging="360"/>
      </w:pPr>
      <w:rPr>
        <w:rFonts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B676B"/>
    <w:multiLevelType w:val="hybridMultilevel"/>
    <w:tmpl w:val="1EA26C72"/>
    <w:lvl w:ilvl="0" w:tplc="D8AA70EE">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7200295C"/>
    <w:multiLevelType w:val="multilevel"/>
    <w:tmpl w:val="C48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00667"/>
    <w:multiLevelType w:val="multilevel"/>
    <w:tmpl w:val="E8AA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9371A7"/>
    <w:multiLevelType w:val="hybridMultilevel"/>
    <w:tmpl w:val="F3B297B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74226"/>
    <w:multiLevelType w:val="hybridMultilevel"/>
    <w:tmpl w:val="53B48704"/>
    <w:lvl w:ilvl="0" w:tplc="BF6E980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12"/>
  </w:num>
  <w:num w:numId="2">
    <w:abstractNumId w:val="5"/>
  </w:num>
  <w:num w:numId="3">
    <w:abstractNumId w:val="22"/>
  </w:num>
  <w:num w:numId="4">
    <w:abstractNumId w:val="10"/>
  </w:num>
  <w:num w:numId="5">
    <w:abstractNumId w:val="15"/>
  </w:num>
  <w:num w:numId="6">
    <w:abstractNumId w:val="19"/>
  </w:num>
  <w:num w:numId="7">
    <w:abstractNumId w:val="11"/>
  </w:num>
  <w:num w:numId="8">
    <w:abstractNumId w:val="17"/>
  </w:num>
  <w:num w:numId="9">
    <w:abstractNumId w:val="1"/>
  </w:num>
  <w:num w:numId="10">
    <w:abstractNumId w:val="4"/>
  </w:num>
  <w:num w:numId="11">
    <w:abstractNumId w:val="6"/>
  </w:num>
  <w:num w:numId="12">
    <w:abstractNumId w:val="20"/>
  </w:num>
  <w:num w:numId="13">
    <w:abstractNumId w:val="7"/>
  </w:num>
  <w:num w:numId="14">
    <w:abstractNumId w:val="8"/>
  </w:num>
  <w:num w:numId="15">
    <w:abstractNumId w:val="13"/>
  </w:num>
  <w:num w:numId="16">
    <w:abstractNumId w:val="21"/>
  </w:num>
  <w:num w:numId="17">
    <w:abstractNumId w:val="9"/>
  </w:num>
  <w:num w:numId="18">
    <w:abstractNumId w:val="2"/>
  </w:num>
  <w:num w:numId="19">
    <w:abstractNumId w:val="18"/>
  </w:num>
  <w:num w:numId="20">
    <w:abstractNumId w:val="23"/>
  </w:num>
  <w:num w:numId="21">
    <w:abstractNumId w:val="16"/>
  </w:num>
  <w:num w:numId="22">
    <w:abstractNumId w:val="0"/>
  </w:num>
  <w:num w:numId="23">
    <w:abstractNumId w:val="3"/>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476F"/>
    <w:rsid w:val="000176F2"/>
    <w:rsid w:val="000224F8"/>
    <w:rsid w:val="00022A29"/>
    <w:rsid w:val="000355FD"/>
    <w:rsid w:val="00047F22"/>
    <w:rsid w:val="00051E39"/>
    <w:rsid w:val="000570F6"/>
    <w:rsid w:val="00070CC0"/>
    <w:rsid w:val="00074834"/>
    <w:rsid w:val="00075C63"/>
    <w:rsid w:val="00077239"/>
    <w:rsid w:val="000822BE"/>
    <w:rsid w:val="00086491"/>
    <w:rsid w:val="00091346"/>
    <w:rsid w:val="00092179"/>
    <w:rsid w:val="000932D2"/>
    <w:rsid w:val="000A315F"/>
    <w:rsid w:val="000A5E52"/>
    <w:rsid w:val="000A74AB"/>
    <w:rsid w:val="000B2220"/>
    <w:rsid w:val="000B7A43"/>
    <w:rsid w:val="000C0C30"/>
    <w:rsid w:val="000C379A"/>
    <w:rsid w:val="000C58EA"/>
    <w:rsid w:val="000C6949"/>
    <w:rsid w:val="000D41C5"/>
    <w:rsid w:val="000D66A9"/>
    <w:rsid w:val="000D6C00"/>
    <w:rsid w:val="000D7F7D"/>
    <w:rsid w:val="000E22B5"/>
    <w:rsid w:val="000E5447"/>
    <w:rsid w:val="000F26CA"/>
    <w:rsid w:val="000F486C"/>
    <w:rsid w:val="000F6AE9"/>
    <w:rsid w:val="000F73FF"/>
    <w:rsid w:val="00100233"/>
    <w:rsid w:val="00114960"/>
    <w:rsid w:val="00114CF7"/>
    <w:rsid w:val="00123B68"/>
    <w:rsid w:val="00124A96"/>
    <w:rsid w:val="00125A0D"/>
    <w:rsid w:val="00126F2E"/>
    <w:rsid w:val="001359A5"/>
    <w:rsid w:val="00137543"/>
    <w:rsid w:val="00141148"/>
    <w:rsid w:val="001439A2"/>
    <w:rsid w:val="00146F6F"/>
    <w:rsid w:val="00152957"/>
    <w:rsid w:val="0016181E"/>
    <w:rsid w:val="00171572"/>
    <w:rsid w:val="00180411"/>
    <w:rsid w:val="001816D9"/>
    <w:rsid w:val="001823A2"/>
    <w:rsid w:val="00183854"/>
    <w:rsid w:val="00186389"/>
    <w:rsid w:val="00187BD9"/>
    <w:rsid w:val="001907D7"/>
    <w:rsid w:val="00190B55"/>
    <w:rsid w:val="001924FE"/>
    <w:rsid w:val="00194CFB"/>
    <w:rsid w:val="00195709"/>
    <w:rsid w:val="001B2ED3"/>
    <w:rsid w:val="001B4707"/>
    <w:rsid w:val="001C3B5F"/>
    <w:rsid w:val="001C65C2"/>
    <w:rsid w:val="001D058F"/>
    <w:rsid w:val="001E0381"/>
    <w:rsid w:val="001E0382"/>
    <w:rsid w:val="001E2195"/>
    <w:rsid w:val="001E354F"/>
    <w:rsid w:val="001F5802"/>
    <w:rsid w:val="002009EA"/>
    <w:rsid w:val="00200E49"/>
    <w:rsid w:val="00202591"/>
    <w:rsid w:val="00202CA0"/>
    <w:rsid w:val="002069F6"/>
    <w:rsid w:val="002142D8"/>
    <w:rsid w:val="002154A6"/>
    <w:rsid w:val="002157B7"/>
    <w:rsid w:val="00221066"/>
    <w:rsid w:val="002212DD"/>
    <w:rsid w:val="00222DCB"/>
    <w:rsid w:val="00223469"/>
    <w:rsid w:val="002255B3"/>
    <w:rsid w:val="00225D91"/>
    <w:rsid w:val="00230CF3"/>
    <w:rsid w:val="002317F8"/>
    <w:rsid w:val="002439C4"/>
    <w:rsid w:val="002447F6"/>
    <w:rsid w:val="00251C8B"/>
    <w:rsid w:val="00261CCC"/>
    <w:rsid w:val="00271316"/>
    <w:rsid w:val="00272E45"/>
    <w:rsid w:val="00276A72"/>
    <w:rsid w:val="00282E20"/>
    <w:rsid w:val="00284AC2"/>
    <w:rsid w:val="0029236F"/>
    <w:rsid w:val="00296673"/>
    <w:rsid w:val="002A3A5B"/>
    <w:rsid w:val="002C1D46"/>
    <w:rsid w:val="002D58BE"/>
    <w:rsid w:val="002E01B9"/>
    <w:rsid w:val="002E1B4E"/>
    <w:rsid w:val="002E1C7F"/>
    <w:rsid w:val="002E3D9B"/>
    <w:rsid w:val="002E4828"/>
    <w:rsid w:val="002E4BB0"/>
    <w:rsid w:val="002F0079"/>
    <w:rsid w:val="002F7FFC"/>
    <w:rsid w:val="003013EE"/>
    <w:rsid w:val="00315A98"/>
    <w:rsid w:val="003165BB"/>
    <w:rsid w:val="00330335"/>
    <w:rsid w:val="00334790"/>
    <w:rsid w:val="00355E65"/>
    <w:rsid w:val="00360EB8"/>
    <w:rsid w:val="0036488F"/>
    <w:rsid w:val="003671ED"/>
    <w:rsid w:val="00375E57"/>
    <w:rsid w:val="00377BD3"/>
    <w:rsid w:val="003807EA"/>
    <w:rsid w:val="00381CA4"/>
    <w:rsid w:val="00381FD7"/>
    <w:rsid w:val="00384088"/>
    <w:rsid w:val="0038752E"/>
    <w:rsid w:val="003907C9"/>
    <w:rsid w:val="0039169B"/>
    <w:rsid w:val="00397E33"/>
    <w:rsid w:val="003A3CF6"/>
    <w:rsid w:val="003A70B7"/>
    <w:rsid w:val="003A7F8C"/>
    <w:rsid w:val="003B0676"/>
    <w:rsid w:val="003B532E"/>
    <w:rsid w:val="003B6F14"/>
    <w:rsid w:val="003C17E0"/>
    <w:rsid w:val="003C603C"/>
    <w:rsid w:val="003D0F8B"/>
    <w:rsid w:val="003D4390"/>
    <w:rsid w:val="003D7503"/>
    <w:rsid w:val="003F2B91"/>
    <w:rsid w:val="0040179C"/>
    <w:rsid w:val="00403546"/>
    <w:rsid w:val="004043C2"/>
    <w:rsid w:val="004106C8"/>
    <w:rsid w:val="004131D4"/>
    <w:rsid w:val="0041348E"/>
    <w:rsid w:val="00433FE5"/>
    <w:rsid w:val="00435860"/>
    <w:rsid w:val="0044121D"/>
    <w:rsid w:val="00447308"/>
    <w:rsid w:val="00454537"/>
    <w:rsid w:val="00456B17"/>
    <w:rsid w:val="004604F7"/>
    <w:rsid w:val="0046563C"/>
    <w:rsid w:val="004765FF"/>
    <w:rsid w:val="00482421"/>
    <w:rsid w:val="00492075"/>
    <w:rsid w:val="00492819"/>
    <w:rsid w:val="00492897"/>
    <w:rsid w:val="004947D9"/>
    <w:rsid w:val="00494DAE"/>
    <w:rsid w:val="004952F3"/>
    <w:rsid w:val="004969AD"/>
    <w:rsid w:val="004A34AE"/>
    <w:rsid w:val="004A3EBE"/>
    <w:rsid w:val="004A402C"/>
    <w:rsid w:val="004A5598"/>
    <w:rsid w:val="004B13CB"/>
    <w:rsid w:val="004B404D"/>
    <w:rsid w:val="004B4FDF"/>
    <w:rsid w:val="004B63E3"/>
    <w:rsid w:val="004C29ED"/>
    <w:rsid w:val="004D34F5"/>
    <w:rsid w:val="004D5D5C"/>
    <w:rsid w:val="004D6CD3"/>
    <w:rsid w:val="004D77A5"/>
    <w:rsid w:val="004E3AAA"/>
    <w:rsid w:val="004F483B"/>
    <w:rsid w:val="004F66C4"/>
    <w:rsid w:val="004F75F2"/>
    <w:rsid w:val="0050139F"/>
    <w:rsid w:val="0050496A"/>
    <w:rsid w:val="005049DD"/>
    <w:rsid w:val="00513C6B"/>
    <w:rsid w:val="00515E90"/>
    <w:rsid w:val="00516492"/>
    <w:rsid w:val="00521223"/>
    <w:rsid w:val="0055118B"/>
    <w:rsid w:val="0055140B"/>
    <w:rsid w:val="00556B0E"/>
    <w:rsid w:val="00560F48"/>
    <w:rsid w:val="005630E5"/>
    <w:rsid w:val="005637A2"/>
    <w:rsid w:val="005734AC"/>
    <w:rsid w:val="0058257A"/>
    <w:rsid w:val="005836BE"/>
    <w:rsid w:val="00584A46"/>
    <w:rsid w:val="00584EAD"/>
    <w:rsid w:val="0059397C"/>
    <w:rsid w:val="005964AB"/>
    <w:rsid w:val="0059695F"/>
    <w:rsid w:val="005A212B"/>
    <w:rsid w:val="005A3D78"/>
    <w:rsid w:val="005C099A"/>
    <w:rsid w:val="005C2271"/>
    <w:rsid w:val="005C31A5"/>
    <w:rsid w:val="005C3720"/>
    <w:rsid w:val="005D2858"/>
    <w:rsid w:val="005D458D"/>
    <w:rsid w:val="005D6361"/>
    <w:rsid w:val="005E10C9"/>
    <w:rsid w:val="005E2B31"/>
    <w:rsid w:val="005E4A60"/>
    <w:rsid w:val="005E61DD"/>
    <w:rsid w:val="005E6321"/>
    <w:rsid w:val="005E7F1C"/>
    <w:rsid w:val="005F4766"/>
    <w:rsid w:val="005F5C19"/>
    <w:rsid w:val="006023DF"/>
    <w:rsid w:val="00622977"/>
    <w:rsid w:val="00623C77"/>
    <w:rsid w:val="00630FFA"/>
    <w:rsid w:val="00637CB7"/>
    <w:rsid w:val="00641C29"/>
    <w:rsid w:val="00643022"/>
    <w:rsid w:val="00647E21"/>
    <w:rsid w:val="00657DE0"/>
    <w:rsid w:val="0067199F"/>
    <w:rsid w:val="00672CAE"/>
    <w:rsid w:val="00674952"/>
    <w:rsid w:val="00685313"/>
    <w:rsid w:val="00686717"/>
    <w:rsid w:val="00687800"/>
    <w:rsid w:val="0069075C"/>
    <w:rsid w:val="00690A17"/>
    <w:rsid w:val="006948F5"/>
    <w:rsid w:val="00697D4E"/>
    <w:rsid w:val="006A6E9B"/>
    <w:rsid w:val="006A797A"/>
    <w:rsid w:val="006B2925"/>
    <w:rsid w:val="006B41AE"/>
    <w:rsid w:val="006B78C1"/>
    <w:rsid w:val="006B7C2A"/>
    <w:rsid w:val="006C23DA"/>
    <w:rsid w:val="006C2B7C"/>
    <w:rsid w:val="006D448E"/>
    <w:rsid w:val="006E35B2"/>
    <w:rsid w:val="006E3D45"/>
    <w:rsid w:val="006E6093"/>
    <w:rsid w:val="006F0270"/>
    <w:rsid w:val="006F7FE4"/>
    <w:rsid w:val="00700DD9"/>
    <w:rsid w:val="00702DDD"/>
    <w:rsid w:val="007149F9"/>
    <w:rsid w:val="007172E4"/>
    <w:rsid w:val="007269F2"/>
    <w:rsid w:val="00730057"/>
    <w:rsid w:val="007308D0"/>
    <w:rsid w:val="00733A30"/>
    <w:rsid w:val="00737F97"/>
    <w:rsid w:val="007446B0"/>
    <w:rsid w:val="0074537B"/>
    <w:rsid w:val="00745AEE"/>
    <w:rsid w:val="0074694C"/>
    <w:rsid w:val="007479EA"/>
    <w:rsid w:val="00750F10"/>
    <w:rsid w:val="00751FCB"/>
    <w:rsid w:val="00753DDF"/>
    <w:rsid w:val="00764D45"/>
    <w:rsid w:val="00766399"/>
    <w:rsid w:val="00767F20"/>
    <w:rsid w:val="007742CA"/>
    <w:rsid w:val="00795669"/>
    <w:rsid w:val="007A7873"/>
    <w:rsid w:val="007A7E5B"/>
    <w:rsid w:val="007B4B56"/>
    <w:rsid w:val="007B6ADA"/>
    <w:rsid w:val="007B7CA4"/>
    <w:rsid w:val="007C27FD"/>
    <w:rsid w:val="007D06F0"/>
    <w:rsid w:val="007D45E3"/>
    <w:rsid w:val="007D5320"/>
    <w:rsid w:val="007D775F"/>
    <w:rsid w:val="007E3978"/>
    <w:rsid w:val="007E4FFF"/>
    <w:rsid w:val="007F4797"/>
    <w:rsid w:val="007F5B16"/>
    <w:rsid w:val="00800972"/>
    <w:rsid w:val="00804475"/>
    <w:rsid w:val="008110E8"/>
    <w:rsid w:val="00811633"/>
    <w:rsid w:val="008134F8"/>
    <w:rsid w:val="008165C3"/>
    <w:rsid w:val="00821CEF"/>
    <w:rsid w:val="00827535"/>
    <w:rsid w:val="00830D3A"/>
    <w:rsid w:val="0083141F"/>
    <w:rsid w:val="00831482"/>
    <w:rsid w:val="00832828"/>
    <w:rsid w:val="0083645A"/>
    <w:rsid w:val="00841CDE"/>
    <w:rsid w:val="008506F3"/>
    <w:rsid w:val="008602C5"/>
    <w:rsid w:val="008606D3"/>
    <w:rsid w:val="00870962"/>
    <w:rsid w:val="00870FC8"/>
    <w:rsid w:val="00871653"/>
    <w:rsid w:val="00872FC8"/>
    <w:rsid w:val="008766FC"/>
    <w:rsid w:val="008801D3"/>
    <w:rsid w:val="00882C4C"/>
    <w:rsid w:val="008845D0"/>
    <w:rsid w:val="00884785"/>
    <w:rsid w:val="008864A7"/>
    <w:rsid w:val="00887E03"/>
    <w:rsid w:val="008902E8"/>
    <w:rsid w:val="008B1EEC"/>
    <w:rsid w:val="008B43F2"/>
    <w:rsid w:val="008B6CFF"/>
    <w:rsid w:val="008C1A3C"/>
    <w:rsid w:val="008C3248"/>
    <w:rsid w:val="008C3E1A"/>
    <w:rsid w:val="008C7D1F"/>
    <w:rsid w:val="008D4103"/>
    <w:rsid w:val="008E48CB"/>
    <w:rsid w:val="008E5D1F"/>
    <w:rsid w:val="008E6064"/>
    <w:rsid w:val="008F1CDF"/>
    <w:rsid w:val="008F348A"/>
    <w:rsid w:val="00903A9E"/>
    <w:rsid w:val="0090583B"/>
    <w:rsid w:val="00910B26"/>
    <w:rsid w:val="009274B4"/>
    <w:rsid w:val="00934EA2"/>
    <w:rsid w:val="00944A5C"/>
    <w:rsid w:val="00946880"/>
    <w:rsid w:val="00951CA3"/>
    <w:rsid w:val="00952A66"/>
    <w:rsid w:val="009540C6"/>
    <w:rsid w:val="0096226B"/>
    <w:rsid w:val="00965F43"/>
    <w:rsid w:val="00966E38"/>
    <w:rsid w:val="00967917"/>
    <w:rsid w:val="009737C4"/>
    <w:rsid w:val="0098031F"/>
    <w:rsid w:val="009974DE"/>
    <w:rsid w:val="009B1B10"/>
    <w:rsid w:val="009B646D"/>
    <w:rsid w:val="009C093A"/>
    <w:rsid w:val="009C5268"/>
    <w:rsid w:val="009C56E5"/>
    <w:rsid w:val="009D1AF0"/>
    <w:rsid w:val="009D64AD"/>
    <w:rsid w:val="009E3180"/>
    <w:rsid w:val="009E5FC8"/>
    <w:rsid w:val="009E687A"/>
    <w:rsid w:val="009F5417"/>
    <w:rsid w:val="00A0037C"/>
    <w:rsid w:val="00A0353E"/>
    <w:rsid w:val="00A039FD"/>
    <w:rsid w:val="00A03C5C"/>
    <w:rsid w:val="00A066F1"/>
    <w:rsid w:val="00A141AF"/>
    <w:rsid w:val="00A15F3F"/>
    <w:rsid w:val="00A16D29"/>
    <w:rsid w:val="00A20E5E"/>
    <w:rsid w:val="00A212AB"/>
    <w:rsid w:val="00A26671"/>
    <w:rsid w:val="00A27A7C"/>
    <w:rsid w:val="00A30305"/>
    <w:rsid w:val="00A31D2D"/>
    <w:rsid w:val="00A4600A"/>
    <w:rsid w:val="00A5354A"/>
    <w:rsid w:val="00A538A6"/>
    <w:rsid w:val="00A54C25"/>
    <w:rsid w:val="00A55E59"/>
    <w:rsid w:val="00A610E4"/>
    <w:rsid w:val="00A6422B"/>
    <w:rsid w:val="00A6513B"/>
    <w:rsid w:val="00A710E7"/>
    <w:rsid w:val="00A7336E"/>
    <w:rsid w:val="00A73527"/>
    <w:rsid w:val="00A7372E"/>
    <w:rsid w:val="00A76DFF"/>
    <w:rsid w:val="00A82D59"/>
    <w:rsid w:val="00A91208"/>
    <w:rsid w:val="00A93B85"/>
    <w:rsid w:val="00A96DFE"/>
    <w:rsid w:val="00AA0B18"/>
    <w:rsid w:val="00AA2B39"/>
    <w:rsid w:val="00AA30E7"/>
    <w:rsid w:val="00AA666F"/>
    <w:rsid w:val="00AB20F5"/>
    <w:rsid w:val="00AB3569"/>
    <w:rsid w:val="00B0010E"/>
    <w:rsid w:val="00B004E5"/>
    <w:rsid w:val="00B00822"/>
    <w:rsid w:val="00B02E51"/>
    <w:rsid w:val="00B03C41"/>
    <w:rsid w:val="00B21EAB"/>
    <w:rsid w:val="00B26CEF"/>
    <w:rsid w:val="00B27246"/>
    <w:rsid w:val="00B300C6"/>
    <w:rsid w:val="00B33836"/>
    <w:rsid w:val="00B34351"/>
    <w:rsid w:val="00B360B8"/>
    <w:rsid w:val="00B56F6E"/>
    <w:rsid w:val="00B635C6"/>
    <w:rsid w:val="00B639E9"/>
    <w:rsid w:val="00B64F4E"/>
    <w:rsid w:val="00B817CD"/>
    <w:rsid w:val="00B8530A"/>
    <w:rsid w:val="00B8717A"/>
    <w:rsid w:val="00B92CA4"/>
    <w:rsid w:val="00B96DCF"/>
    <w:rsid w:val="00BA1AC0"/>
    <w:rsid w:val="00BA4E13"/>
    <w:rsid w:val="00BA65F3"/>
    <w:rsid w:val="00BB1FD5"/>
    <w:rsid w:val="00BB29C8"/>
    <w:rsid w:val="00BB3A95"/>
    <w:rsid w:val="00BB5F6E"/>
    <w:rsid w:val="00BB7EA5"/>
    <w:rsid w:val="00BE4E1B"/>
    <w:rsid w:val="00BF17F0"/>
    <w:rsid w:val="00BF3822"/>
    <w:rsid w:val="00C0018F"/>
    <w:rsid w:val="00C00A98"/>
    <w:rsid w:val="00C04490"/>
    <w:rsid w:val="00C16B93"/>
    <w:rsid w:val="00C20466"/>
    <w:rsid w:val="00C20C12"/>
    <w:rsid w:val="00C214ED"/>
    <w:rsid w:val="00C234E6"/>
    <w:rsid w:val="00C24AF9"/>
    <w:rsid w:val="00C27BF7"/>
    <w:rsid w:val="00C324A8"/>
    <w:rsid w:val="00C44F32"/>
    <w:rsid w:val="00C511D6"/>
    <w:rsid w:val="00C54429"/>
    <w:rsid w:val="00C54517"/>
    <w:rsid w:val="00C64B30"/>
    <w:rsid w:val="00C64CD8"/>
    <w:rsid w:val="00C64D45"/>
    <w:rsid w:val="00C74765"/>
    <w:rsid w:val="00C74A54"/>
    <w:rsid w:val="00C758C0"/>
    <w:rsid w:val="00C81488"/>
    <w:rsid w:val="00C95C9D"/>
    <w:rsid w:val="00C97C68"/>
    <w:rsid w:val="00CA1A47"/>
    <w:rsid w:val="00CA3E21"/>
    <w:rsid w:val="00CA6466"/>
    <w:rsid w:val="00CA665B"/>
    <w:rsid w:val="00CB1D30"/>
    <w:rsid w:val="00CB227F"/>
    <w:rsid w:val="00CC247A"/>
    <w:rsid w:val="00CC4C8C"/>
    <w:rsid w:val="00CD47F8"/>
    <w:rsid w:val="00CD522A"/>
    <w:rsid w:val="00CE4C7B"/>
    <w:rsid w:val="00CE5E47"/>
    <w:rsid w:val="00CF020F"/>
    <w:rsid w:val="00CF2B5B"/>
    <w:rsid w:val="00D00FA2"/>
    <w:rsid w:val="00D10AF2"/>
    <w:rsid w:val="00D12B0D"/>
    <w:rsid w:val="00D14CE0"/>
    <w:rsid w:val="00D208EB"/>
    <w:rsid w:val="00D219C5"/>
    <w:rsid w:val="00D22795"/>
    <w:rsid w:val="00D22D26"/>
    <w:rsid w:val="00D46C56"/>
    <w:rsid w:val="00D477D1"/>
    <w:rsid w:val="00D51466"/>
    <w:rsid w:val="00D53DA9"/>
    <w:rsid w:val="00D542CB"/>
    <w:rsid w:val="00D5651D"/>
    <w:rsid w:val="00D61E5D"/>
    <w:rsid w:val="00D64F55"/>
    <w:rsid w:val="00D71085"/>
    <w:rsid w:val="00D74898"/>
    <w:rsid w:val="00D7672C"/>
    <w:rsid w:val="00D80125"/>
    <w:rsid w:val="00D801ED"/>
    <w:rsid w:val="00D8225B"/>
    <w:rsid w:val="00D83B5B"/>
    <w:rsid w:val="00D83BF5"/>
    <w:rsid w:val="00D925C2"/>
    <w:rsid w:val="00D936BC"/>
    <w:rsid w:val="00D96530"/>
    <w:rsid w:val="00D96B4B"/>
    <w:rsid w:val="00DA4980"/>
    <w:rsid w:val="00DA7078"/>
    <w:rsid w:val="00DB057F"/>
    <w:rsid w:val="00DC408D"/>
    <w:rsid w:val="00DC685E"/>
    <w:rsid w:val="00DD08B4"/>
    <w:rsid w:val="00DD44AF"/>
    <w:rsid w:val="00DD71AC"/>
    <w:rsid w:val="00DE08CD"/>
    <w:rsid w:val="00DE0C73"/>
    <w:rsid w:val="00DE2AC3"/>
    <w:rsid w:val="00DE434C"/>
    <w:rsid w:val="00DE5692"/>
    <w:rsid w:val="00DE745F"/>
    <w:rsid w:val="00DF5AF4"/>
    <w:rsid w:val="00DF603B"/>
    <w:rsid w:val="00DF6F8E"/>
    <w:rsid w:val="00E03C94"/>
    <w:rsid w:val="00E07105"/>
    <w:rsid w:val="00E124E1"/>
    <w:rsid w:val="00E26226"/>
    <w:rsid w:val="00E32225"/>
    <w:rsid w:val="00E43853"/>
    <w:rsid w:val="00E45D05"/>
    <w:rsid w:val="00E53461"/>
    <w:rsid w:val="00E55816"/>
    <w:rsid w:val="00E55AEF"/>
    <w:rsid w:val="00E66D81"/>
    <w:rsid w:val="00E71E19"/>
    <w:rsid w:val="00E7257A"/>
    <w:rsid w:val="00E8466C"/>
    <w:rsid w:val="00E920E9"/>
    <w:rsid w:val="00E93825"/>
    <w:rsid w:val="00E9389A"/>
    <w:rsid w:val="00E94939"/>
    <w:rsid w:val="00E95843"/>
    <w:rsid w:val="00E96D48"/>
    <w:rsid w:val="00E976C1"/>
    <w:rsid w:val="00EA12E5"/>
    <w:rsid w:val="00EB29AC"/>
    <w:rsid w:val="00EB7EFB"/>
    <w:rsid w:val="00EC2657"/>
    <w:rsid w:val="00ED60D1"/>
    <w:rsid w:val="00ED64CE"/>
    <w:rsid w:val="00ED7B81"/>
    <w:rsid w:val="00EF2BA4"/>
    <w:rsid w:val="00EF37D8"/>
    <w:rsid w:val="00EF3E35"/>
    <w:rsid w:val="00F02766"/>
    <w:rsid w:val="00F03214"/>
    <w:rsid w:val="00F04067"/>
    <w:rsid w:val="00F05BD4"/>
    <w:rsid w:val="00F06289"/>
    <w:rsid w:val="00F10709"/>
    <w:rsid w:val="00F11CC9"/>
    <w:rsid w:val="00F123BA"/>
    <w:rsid w:val="00F1348E"/>
    <w:rsid w:val="00F21A1D"/>
    <w:rsid w:val="00F24BEA"/>
    <w:rsid w:val="00F31BF2"/>
    <w:rsid w:val="00F374C9"/>
    <w:rsid w:val="00F432D7"/>
    <w:rsid w:val="00F520A7"/>
    <w:rsid w:val="00F530E8"/>
    <w:rsid w:val="00F6528E"/>
    <w:rsid w:val="00F65C19"/>
    <w:rsid w:val="00F734FD"/>
    <w:rsid w:val="00F77AF9"/>
    <w:rsid w:val="00F80F88"/>
    <w:rsid w:val="00F84872"/>
    <w:rsid w:val="00F90300"/>
    <w:rsid w:val="00F92D04"/>
    <w:rsid w:val="00F9472B"/>
    <w:rsid w:val="00F95653"/>
    <w:rsid w:val="00F97C8E"/>
    <w:rsid w:val="00FA6866"/>
    <w:rsid w:val="00FC163E"/>
    <w:rsid w:val="00FC4677"/>
    <w:rsid w:val="00FD2546"/>
    <w:rsid w:val="00FD29FE"/>
    <w:rsid w:val="00FD6B5B"/>
    <w:rsid w:val="00FD6CDD"/>
    <w:rsid w:val="00FD772E"/>
    <w:rsid w:val="00FD7788"/>
    <w:rsid w:val="00FE78C7"/>
    <w:rsid w:val="00FF041F"/>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paragraph" w:styleId="BodyText">
    <w:name w:val="Body Text"/>
    <w:basedOn w:val="Normal"/>
    <w:link w:val="BodyTextChar"/>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BodyTextChar">
    <w:name w:val="Body Text Char"/>
    <w:basedOn w:val="DefaultParagraphFont"/>
    <w:link w:val="BodyText"/>
    <w:uiPriority w:val="1"/>
    <w:semiHidden/>
    <w:rsid w:val="00A5354A"/>
    <w:rPr>
      <w:rFonts w:ascii="Calibri" w:eastAsia="Calibri" w:hAnsi="Calibri" w:cs="Calibri"/>
      <w:sz w:val="24"/>
      <w:szCs w:val="24"/>
      <w:lang w:eastAsia="en-US" w:bidi="en-US"/>
    </w:rPr>
  </w:style>
  <w:style w:type="character" w:customStyle="1" w:styleId="UnresolvedMention2">
    <w:name w:val="Unresolved Mention2"/>
    <w:basedOn w:val="DefaultParagraphFont"/>
    <w:uiPriority w:val="99"/>
    <w:semiHidden/>
    <w:unhideWhenUsed/>
    <w:rsid w:val="00A5354A"/>
    <w:rPr>
      <w:color w:val="605E5C"/>
      <w:shd w:val="clear" w:color="auto" w:fill="E1DFDD"/>
    </w:rPr>
  </w:style>
  <w:style w:type="paragraph" w:styleId="NormalWeb">
    <w:name w:val="Normal (Web)"/>
    <w:basedOn w:val="Normal"/>
    <w:uiPriority w:val="99"/>
    <w:unhideWhenUsed/>
    <w:rsid w:val="004B404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semiHidden/>
    <w:unhideWhenUsed/>
    <w:rsid w:val="001439A2"/>
    <w:rPr>
      <w:sz w:val="16"/>
      <w:szCs w:val="16"/>
    </w:rPr>
  </w:style>
  <w:style w:type="paragraph" w:styleId="CommentText">
    <w:name w:val="annotation text"/>
    <w:basedOn w:val="Normal"/>
    <w:link w:val="CommentTextChar"/>
    <w:semiHidden/>
    <w:unhideWhenUsed/>
    <w:rsid w:val="001439A2"/>
    <w:rPr>
      <w:sz w:val="20"/>
    </w:rPr>
  </w:style>
  <w:style w:type="character" w:customStyle="1" w:styleId="CommentTextChar">
    <w:name w:val="Comment Text Char"/>
    <w:basedOn w:val="DefaultParagraphFont"/>
    <w:link w:val="CommentText"/>
    <w:semiHidden/>
    <w:rsid w:val="001439A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1439A2"/>
    <w:rPr>
      <w:b/>
      <w:bCs/>
    </w:rPr>
  </w:style>
  <w:style w:type="character" w:customStyle="1" w:styleId="CommentSubjectChar">
    <w:name w:val="Comment Subject Char"/>
    <w:basedOn w:val="CommentTextChar"/>
    <w:link w:val="CommentSubject"/>
    <w:semiHidden/>
    <w:rsid w:val="001439A2"/>
    <w:rPr>
      <w:rFonts w:asciiTheme="minorHAnsi" w:hAnsiTheme="minorHAnsi"/>
      <w:b/>
      <w:bCs/>
      <w:lang w:val="en-GB" w:eastAsia="en-US"/>
    </w:rPr>
  </w:style>
  <w:style w:type="paragraph" w:styleId="Revision">
    <w:name w:val="Revision"/>
    <w:hidden/>
    <w:uiPriority w:val="99"/>
    <w:semiHidden/>
    <w:rsid w:val="000D7F7D"/>
    <w:rPr>
      <w:rFonts w:asciiTheme="minorHAnsi" w:hAnsiTheme="minorHAnsi"/>
      <w:sz w:val="24"/>
      <w:lang w:val="en-GB" w:eastAsia="en-US"/>
    </w:rPr>
  </w:style>
  <w:style w:type="character" w:customStyle="1" w:styleId="UnresolvedMention3">
    <w:name w:val="Unresolved Mention3"/>
    <w:basedOn w:val="DefaultParagraphFont"/>
    <w:uiPriority w:val="99"/>
    <w:semiHidden/>
    <w:unhideWhenUsed/>
    <w:rsid w:val="00513C6B"/>
    <w:rPr>
      <w:color w:val="605E5C"/>
      <w:shd w:val="clear" w:color="auto" w:fill="E1DFDD"/>
    </w:rPr>
  </w:style>
  <w:style w:type="character" w:customStyle="1" w:styleId="normaltextrun">
    <w:name w:val="normaltextrun"/>
    <w:basedOn w:val="DefaultParagraphFont"/>
    <w:rsid w:val="00903A9E"/>
  </w:style>
  <w:style w:type="character" w:styleId="UnresolvedMention">
    <w:name w:val="Unresolved Mention"/>
    <w:basedOn w:val="DefaultParagraphFont"/>
    <w:uiPriority w:val="99"/>
    <w:semiHidden/>
    <w:unhideWhenUsed/>
    <w:rsid w:val="008F1CDF"/>
    <w:rPr>
      <w:color w:val="605E5C"/>
      <w:shd w:val="clear" w:color="auto" w:fill="E1DFDD"/>
    </w:rPr>
  </w:style>
  <w:style w:type="table" w:styleId="TableGrid">
    <w:name w:val="Table Grid"/>
    <w:basedOn w:val="TableNormal"/>
    <w:rsid w:val="00DE0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25188">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676427395">
      <w:bodyDiv w:val="1"/>
      <w:marLeft w:val="0"/>
      <w:marRight w:val="0"/>
      <w:marTop w:val="0"/>
      <w:marBottom w:val="0"/>
      <w:divBdr>
        <w:top w:val="none" w:sz="0" w:space="0" w:color="auto"/>
        <w:left w:val="none" w:sz="0" w:space="0" w:color="auto"/>
        <w:bottom w:val="none" w:sz="0" w:space="0" w:color="auto"/>
        <w:right w:val="none" w:sz="0" w:space="0" w:color="auto"/>
      </w:divBdr>
    </w:div>
    <w:div w:id="1022707489">
      <w:bodyDiv w:val="1"/>
      <w:marLeft w:val="0"/>
      <w:marRight w:val="0"/>
      <w:marTop w:val="0"/>
      <w:marBottom w:val="0"/>
      <w:divBdr>
        <w:top w:val="none" w:sz="0" w:space="0" w:color="auto"/>
        <w:left w:val="none" w:sz="0" w:space="0" w:color="auto"/>
        <w:bottom w:val="none" w:sz="0" w:space="0" w:color="auto"/>
        <w:right w:val="none" w:sz="0" w:space="0" w:color="auto"/>
      </w:divBdr>
      <w:divsChild>
        <w:div w:id="699013657">
          <w:marLeft w:val="-1215"/>
          <w:marRight w:val="0"/>
          <w:marTop w:val="0"/>
          <w:marBottom w:val="0"/>
          <w:divBdr>
            <w:top w:val="none" w:sz="0" w:space="0" w:color="auto"/>
            <w:left w:val="none" w:sz="0" w:space="0" w:color="auto"/>
            <w:bottom w:val="none" w:sz="0" w:space="0" w:color="auto"/>
            <w:right w:val="none" w:sz="0" w:space="0" w:color="auto"/>
          </w:divBdr>
        </w:div>
      </w:divsChild>
    </w:div>
    <w:div w:id="1098525514">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28505251">
      <w:bodyDiv w:val="1"/>
      <w:marLeft w:val="0"/>
      <w:marRight w:val="0"/>
      <w:marTop w:val="0"/>
      <w:marBottom w:val="0"/>
      <w:divBdr>
        <w:top w:val="none" w:sz="0" w:space="0" w:color="auto"/>
        <w:left w:val="none" w:sz="0" w:space="0" w:color="auto"/>
        <w:bottom w:val="none" w:sz="0" w:space="0" w:color="auto"/>
        <w:right w:val="none" w:sz="0" w:space="0" w:color="auto"/>
      </w:divBdr>
    </w:div>
    <w:div w:id="1686058540">
      <w:bodyDiv w:val="1"/>
      <w:marLeft w:val="0"/>
      <w:marRight w:val="0"/>
      <w:marTop w:val="0"/>
      <w:marBottom w:val="0"/>
      <w:divBdr>
        <w:top w:val="none" w:sz="0" w:space="0" w:color="auto"/>
        <w:left w:val="none" w:sz="0" w:space="0" w:color="auto"/>
        <w:bottom w:val="none" w:sz="0" w:space="0" w:color="auto"/>
        <w:right w:val="none" w:sz="0" w:space="0" w:color="auto"/>
      </w:divBdr>
    </w:div>
    <w:div w:id="1746798430">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5162124">
      <w:bodyDiv w:val="1"/>
      <w:marLeft w:val="0"/>
      <w:marRight w:val="0"/>
      <w:marTop w:val="0"/>
      <w:marBottom w:val="0"/>
      <w:divBdr>
        <w:top w:val="none" w:sz="0" w:space="0" w:color="auto"/>
        <w:left w:val="none" w:sz="0" w:space="0" w:color="auto"/>
        <w:bottom w:val="none" w:sz="0" w:space="0" w:color="auto"/>
        <w:right w:val="none" w:sz="0" w:space="0" w:color="auto"/>
      </w:divBdr>
    </w:div>
    <w:div w:id="20048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1e8q3q16vyc81g8l3h3md6q5f5e-wpengine.netdna-ssl.com/wp-content/uploads/2019/12/AR2019_Americas-Regional_Screen_AW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epal.org/es/publicaciones/46066-educacion-juventud-trabajo-habilidades-competencias-necesarias-un-contexto" TargetMode="External"/><Relationship Id="rId2" Type="http://schemas.openxmlformats.org/officeDocument/2006/relationships/customXml" Target="../customXml/item2.xml"/><Relationship Id="rId16" Type="http://schemas.openxmlformats.org/officeDocument/2006/relationships/hyperlink" Target="https://www.un.org/youthenvoy/2017/01/secretary-general-antonio-guterres-remarks-to-the-general-assembly-on-taking-the-oath-of-off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en/itu-d/statistics/pages/facts/default.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blog.iica.int/sites/default/files/2020-10/study%20digital%20rural%20gender%20divide%20%20BVE2010818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generationconnect/wp-content/uploads/2020/11/ITU_Youth_Strategy.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MS.aspx" TargetMode="External"/><Relationship Id="rId1" Type="http://schemas.openxmlformats.org/officeDocument/2006/relationships/hyperlink" Target="mailto:stephen.bereaux@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3A86D-FB52-4047-94CE-9A81AF7D638A}">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5589</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Comas Barnes, Maite</cp:lastModifiedBy>
  <cp:revision>3</cp:revision>
  <cp:lastPrinted>2021-04-14T20:03:00Z</cp:lastPrinted>
  <dcterms:created xsi:type="dcterms:W3CDTF">2021-04-15T16:21:00Z</dcterms:created>
  <dcterms:modified xsi:type="dcterms:W3CDTF">2021-04-15T16:25:00Z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