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20"/>
        <w:tblW w:w="5000" w:type="pct"/>
        <w:tblLayout w:type="fixed"/>
        <w:tblLook w:val="0000" w:firstRow="0" w:lastRow="0" w:firstColumn="0" w:lastColumn="0" w:noHBand="0" w:noVBand="0"/>
      </w:tblPr>
      <w:tblGrid>
        <w:gridCol w:w="6"/>
        <w:gridCol w:w="1980"/>
        <w:gridCol w:w="4535"/>
        <w:gridCol w:w="1388"/>
        <w:gridCol w:w="1732"/>
      </w:tblGrid>
      <w:tr w:rsidR="001F12E6" w:rsidRPr="00AE2BCA" w14:paraId="103B0D6F" w14:textId="77777777" w:rsidTr="004E0334">
        <w:trPr>
          <w:gridBefore w:val="1"/>
          <w:wBefore w:w="6" w:type="dxa"/>
          <w:cantSplit/>
        </w:trPr>
        <w:tc>
          <w:tcPr>
            <w:tcW w:w="1980" w:type="dxa"/>
          </w:tcPr>
          <w:p w14:paraId="31A95BFA" w14:textId="76B7A0AD" w:rsidR="001F12E6" w:rsidRPr="00E20210" w:rsidRDefault="001F12E6" w:rsidP="001F12E6">
            <w:pPr>
              <w:spacing w:after="120"/>
              <w:rPr>
                <w:b/>
                <w:bCs/>
                <w:sz w:val="28"/>
                <w:szCs w:val="28"/>
              </w:rPr>
            </w:pPr>
            <w:r>
              <w:rPr>
                <w:rFonts w:cstheme="minorHAnsi"/>
                <w:noProof/>
              </w:rPr>
              <w:drawing>
                <wp:inline distT="0" distB="0" distL="0" distR="0" wp14:anchorId="7D9C1357" wp14:editId="679EF29B">
                  <wp:extent cx="1190625" cy="988139"/>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8"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23" w:type="dxa"/>
            <w:gridSpan w:val="2"/>
          </w:tcPr>
          <w:p w14:paraId="5460F931" w14:textId="57CE03D7" w:rsidR="001F12E6" w:rsidRPr="00E20210" w:rsidRDefault="001F12E6" w:rsidP="001F12E6">
            <w:pPr>
              <w:spacing w:before="360" w:after="120"/>
              <w:rPr>
                <w:b/>
                <w:bCs/>
                <w:sz w:val="28"/>
                <w:szCs w:val="28"/>
              </w:rPr>
            </w:pPr>
            <w:bookmarkStart w:id="0" w:name="Meeting"/>
            <w:bookmarkEnd w:id="0"/>
            <w:r w:rsidRPr="00A96DFE">
              <w:rPr>
                <w:rFonts w:cstheme="minorHAnsi"/>
                <w:b/>
                <w:bCs/>
                <w:sz w:val="32"/>
                <w:szCs w:val="32"/>
              </w:rPr>
              <w:t xml:space="preserve">Regional Preparatory Meeting </w:t>
            </w:r>
            <w:r w:rsidRPr="00A96DFE">
              <w:rPr>
                <w:rFonts w:cstheme="minorHAnsi"/>
                <w:b/>
                <w:bCs/>
                <w:sz w:val="32"/>
                <w:szCs w:val="32"/>
              </w:rPr>
              <w:br/>
              <w:t>for WTDC-21 for Africa (RPM-AFR)</w:t>
            </w:r>
            <w:r>
              <w:rPr>
                <w:rFonts w:cstheme="minorHAnsi"/>
                <w:b/>
                <w:bCs/>
                <w:sz w:val="32"/>
                <w:szCs w:val="32"/>
              </w:rPr>
              <w:br/>
            </w:r>
            <w:r w:rsidRPr="00EA4144">
              <w:rPr>
                <w:rFonts w:cstheme="minorHAnsi"/>
                <w:b/>
                <w:bCs/>
                <w:szCs w:val="28"/>
              </w:rPr>
              <w:t>Virtual, 29-30 March 2021</w:t>
            </w:r>
          </w:p>
        </w:tc>
        <w:tc>
          <w:tcPr>
            <w:tcW w:w="1732" w:type="dxa"/>
          </w:tcPr>
          <w:p w14:paraId="2744AA03" w14:textId="74749666" w:rsidR="001F12E6" w:rsidRPr="00AE2BCA" w:rsidRDefault="001F12E6" w:rsidP="001F12E6">
            <w:pPr>
              <w:spacing w:before="240"/>
              <w:ind w:right="142"/>
              <w:jc w:val="right"/>
            </w:pPr>
            <w:r>
              <w:rPr>
                <w:noProof/>
              </w:rPr>
              <w:drawing>
                <wp:inline distT="0" distB="0" distL="0" distR="0" wp14:anchorId="37BAB1C1" wp14:editId="104205C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D0B95" w:rsidRPr="000824C7" w14:paraId="5A4AB5ED" w14:textId="77777777" w:rsidTr="004E0334">
        <w:trPr>
          <w:cantSplit/>
          <w:trHeight w:val="300"/>
        </w:trPr>
        <w:tc>
          <w:tcPr>
            <w:tcW w:w="9641" w:type="dxa"/>
            <w:gridSpan w:val="5"/>
            <w:tcBorders>
              <w:bottom w:val="single" w:sz="12" w:space="0" w:color="auto"/>
            </w:tcBorders>
          </w:tcPr>
          <w:p w14:paraId="447F14B8" w14:textId="77777777" w:rsidR="006D0B95" w:rsidRPr="00425DDF" w:rsidRDefault="006D0B95" w:rsidP="001F12E6">
            <w:pPr>
              <w:spacing w:before="0"/>
              <w:rPr>
                <w:b/>
                <w:bCs/>
                <w:sz w:val="26"/>
                <w:szCs w:val="26"/>
                <w:lang w:val="en-US"/>
              </w:rPr>
            </w:pPr>
          </w:p>
        </w:tc>
      </w:tr>
      <w:tr w:rsidR="0070796E" w:rsidRPr="002D0049" w14:paraId="2EC6554A" w14:textId="77777777" w:rsidTr="004E0334">
        <w:trPr>
          <w:gridBefore w:val="1"/>
          <w:wBefore w:w="6" w:type="dxa"/>
          <w:cantSplit/>
          <w:trHeight w:val="238"/>
        </w:trPr>
        <w:tc>
          <w:tcPr>
            <w:tcW w:w="6515" w:type="dxa"/>
            <w:gridSpan w:val="2"/>
            <w:tcBorders>
              <w:top w:val="single" w:sz="12" w:space="0" w:color="auto"/>
            </w:tcBorders>
          </w:tcPr>
          <w:p w14:paraId="7F323231" w14:textId="77777777" w:rsidR="0070796E" w:rsidRPr="002D0049" w:rsidRDefault="0070796E" w:rsidP="001F12E6">
            <w:pPr>
              <w:spacing w:before="0"/>
              <w:rPr>
                <w:lang w:val="en-US"/>
              </w:rPr>
            </w:pPr>
          </w:p>
        </w:tc>
        <w:tc>
          <w:tcPr>
            <w:tcW w:w="3120" w:type="dxa"/>
            <w:gridSpan w:val="2"/>
            <w:tcBorders>
              <w:top w:val="single" w:sz="12" w:space="0" w:color="auto"/>
            </w:tcBorders>
          </w:tcPr>
          <w:p w14:paraId="43BC6D9F" w14:textId="77777777" w:rsidR="0070796E" w:rsidRPr="002D0049" w:rsidRDefault="0070796E" w:rsidP="001F12E6">
            <w:pPr>
              <w:spacing w:before="0"/>
              <w:rPr>
                <w:lang w:val="en-US"/>
              </w:rPr>
            </w:pPr>
          </w:p>
        </w:tc>
      </w:tr>
      <w:tr w:rsidR="0070796E" w:rsidRPr="004E0334" w14:paraId="1690545A" w14:textId="77777777" w:rsidTr="004E0334">
        <w:trPr>
          <w:gridBefore w:val="1"/>
          <w:wBefore w:w="6" w:type="dxa"/>
          <w:cantSplit/>
          <w:trHeight w:val="20"/>
        </w:trPr>
        <w:tc>
          <w:tcPr>
            <w:tcW w:w="6515" w:type="dxa"/>
            <w:gridSpan w:val="2"/>
            <w:vMerge w:val="restart"/>
          </w:tcPr>
          <w:p w14:paraId="09C2BA46" w14:textId="77777777" w:rsidR="0070796E" w:rsidRPr="002D0049" w:rsidRDefault="0070796E" w:rsidP="001F12E6">
            <w:pPr>
              <w:rPr>
                <w:lang w:val="en-US"/>
              </w:rPr>
            </w:pPr>
          </w:p>
        </w:tc>
        <w:tc>
          <w:tcPr>
            <w:tcW w:w="3120" w:type="dxa"/>
            <w:gridSpan w:val="2"/>
          </w:tcPr>
          <w:p w14:paraId="0E70C05C" w14:textId="6736A9E3" w:rsidR="0070796E" w:rsidRPr="004E0334" w:rsidRDefault="0070796E" w:rsidP="001F12E6">
            <w:pPr>
              <w:spacing w:before="0"/>
              <w:rPr>
                <w:b/>
                <w:bCs/>
                <w:szCs w:val="24"/>
                <w:lang w:val="es-ES"/>
              </w:rPr>
            </w:pPr>
            <w:r w:rsidRPr="004E0334">
              <w:rPr>
                <w:b/>
                <w:bCs/>
                <w:szCs w:val="24"/>
                <w:lang w:val="es-ES"/>
              </w:rPr>
              <w:t>Document</w:t>
            </w:r>
            <w:bookmarkStart w:id="1" w:name="DocRef1"/>
            <w:bookmarkEnd w:id="1"/>
            <w:r w:rsidR="001F12E6" w:rsidRPr="003205ED">
              <w:rPr>
                <w:rFonts w:cstheme="minorHAnsi"/>
                <w:b/>
                <w:bCs/>
                <w:szCs w:val="28"/>
                <w:lang w:val="es-ES_tradnl"/>
              </w:rPr>
              <w:t xml:space="preserve"> RPM-</w:t>
            </w:r>
            <w:r w:rsidR="001F12E6">
              <w:rPr>
                <w:rFonts w:cstheme="minorHAnsi"/>
                <w:b/>
                <w:bCs/>
                <w:szCs w:val="28"/>
                <w:lang w:val="es-ES_tradnl"/>
              </w:rPr>
              <w:t>AFR</w:t>
            </w:r>
            <w:r w:rsidR="001F12E6" w:rsidRPr="003205ED">
              <w:rPr>
                <w:rFonts w:cstheme="minorHAnsi"/>
                <w:b/>
                <w:bCs/>
                <w:szCs w:val="28"/>
                <w:lang w:val="es-ES_tradnl"/>
              </w:rPr>
              <w:t>21</w:t>
            </w:r>
            <w:r w:rsidR="001F4D7E">
              <w:rPr>
                <w:rFonts w:cstheme="minorHAnsi"/>
                <w:b/>
                <w:bCs/>
                <w:szCs w:val="28"/>
                <w:lang w:val="es-ES_tradnl"/>
              </w:rPr>
              <w:t>/</w:t>
            </w:r>
            <w:r w:rsidR="004E0334">
              <w:rPr>
                <w:rFonts w:cstheme="minorHAnsi"/>
                <w:b/>
                <w:bCs/>
                <w:szCs w:val="28"/>
                <w:lang w:val="es-ES_tradnl"/>
              </w:rPr>
              <w:t>13</w:t>
            </w:r>
            <w:r w:rsidR="001F12E6" w:rsidRPr="003205ED">
              <w:rPr>
                <w:rFonts w:cstheme="minorHAnsi"/>
                <w:b/>
                <w:bCs/>
                <w:szCs w:val="28"/>
                <w:lang w:val="es-ES_tradnl"/>
              </w:rPr>
              <w:t>-E</w:t>
            </w:r>
          </w:p>
        </w:tc>
      </w:tr>
      <w:tr w:rsidR="0070796E" w:rsidRPr="00AE2BCA" w14:paraId="78722B8E" w14:textId="77777777" w:rsidTr="004E0334">
        <w:trPr>
          <w:gridBefore w:val="1"/>
          <w:wBefore w:w="6" w:type="dxa"/>
          <w:cantSplit/>
          <w:trHeight w:val="23"/>
        </w:trPr>
        <w:tc>
          <w:tcPr>
            <w:tcW w:w="6515" w:type="dxa"/>
            <w:gridSpan w:val="2"/>
            <w:vMerge/>
          </w:tcPr>
          <w:p w14:paraId="3A00CCC0" w14:textId="77777777" w:rsidR="0070796E" w:rsidRPr="004E0334" w:rsidRDefault="0070796E" w:rsidP="001F12E6">
            <w:pPr>
              <w:tabs>
                <w:tab w:val="left" w:pos="851"/>
              </w:tabs>
              <w:spacing w:line="240" w:lineRule="atLeast"/>
              <w:rPr>
                <w:b/>
                <w:lang w:val="es-ES"/>
              </w:rPr>
            </w:pPr>
          </w:p>
        </w:tc>
        <w:tc>
          <w:tcPr>
            <w:tcW w:w="3120" w:type="dxa"/>
            <w:gridSpan w:val="2"/>
          </w:tcPr>
          <w:p w14:paraId="4BBBA33D" w14:textId="77777777" w:rsidR="0070796E" w:rsidRPr="00930F7E" w:rsidRDefault="00D830B5" w:rsidP="001F12E6">
            <w:pPr>
              <w:spacing w:before="0"/>
              <w:rPr>
                <w:b/>
                <w:bCs/>
                <w:szCs w:val="24"/>
                <w:lang w:val="fr-FR"/>
              </w:rPr>
            </w:pPr>
            <w:bookmarkStart w:id="2" w:name="CreationDate"/>
            <w:bookmarkEnd w:id="2"/>
            <w:r>
              <w:rPr>
                <w:b/>
                <w:bCs/>
                <w:szCs w:val="24"/>
                <w:lang w:val="fr-FR"/>
              </w:rPr>
              <w:t>15 March 2021</w:t>
            </w:r>
          </w:p>
        </w:tc>
      </w:tr>
      <w:tr w:rsidR="0070796E" w:rsidRPr="00AE2BCA" w14:paraId="7940CB0C" w14:textId="77777777" w:rsidTr="004E0334">
        <w:trPr>
          <w:gridBefore w:val="1"/>
          <w:wBefore w:w="6" w:type="dxa"/>
          <w:cantSplit/>
          <w:trHeight w:val="333"/>
        </w:trPr>
        <w:tc>
          <w:tcPr>
            <w:tcW w:w="6515" w:type="dxa"/>
            <w:gridSpan w:val="2"/>
            <w:vMerge/>
          </w:tcPr>
          <w:p w14:paraId="4EFDE2F7" w14:textId="77777777" w:rsidR="0070796E" w:rsidRPr="00AE2BCA" w:rsidRDefault="0070796E" w:rsidP="001F12E6">
            <w:pPr>
              <w:tabs>
                <w:tab w:val="left" w:pos="851"/>
              </w:tabs>
              <w:spacing w:line="240" w:lineRule="atLeast"/>
              <w:rPr>
                <w:b/>
              </w:rPr>
            </w:pPr>
          </w:p>
        </w:tc>
        <w:tc>
          <w:tcPr>
            <w:tcW w:w="3120" w:type="dxa"/>
            <w:gridSpan w:val="2"/>
          </w:tcPr>
          <w:p w14:paraId="7CF90BA6" w14:textId="3CC0983B" w:rsidR="0070796E" w:rsidRPr="00930F7E" w:rsidRDefault="001F12E6" w:rsidP="001F12E6">
            <w:pPr>
              <w:spacing w:before="0" w:after="120"/>
              <w:rPr>
                <w:b/>
                <w:bCs/>
                <w:szCs w:val="24"/>
                <w:lang w:val="fr-FR"/>
              </w:rPr>
            </w:pPr>
            <w:r w:rsidRPr="003205ED">
              <w:rPr>
                <w:rFonts w:cstheme="minorHAnsi"/>
                <w:b/>
                <w:bCs/>
                <w:szCs w:val="28"/>
                <w:lang w:val="fr-FR"/>
              </w:rPr>
              <w:t>English</w:t>
            </w:r>
            <w:r>
              <w:rPr>
                <w:rFonts w:cstheme="minorHAnsi"/>
                <w:b/>
                <w:bCs/>
                <w:szCs w:val="28"/>
                <w:lang w:val="fr-FR"/>
              </w:rPr>
              <w:t xml:space="preserve"> </w:t>
            </w:r>
            <w:proofErr w:type="spellStart"/>
            <w:r>
              <w:rPr>
                <w:rFonts w:cstheme="minorHAnsi"/>
                <w:b/>
                <w:bCs/>
                <w:szCs w:val="28"/>
                <w:lang w:val="fr-FR"/>
              </w:rPr>
              <w:t>only</w:t>
            </w:r>
            <w:proofErr w:type="spellEnd"/>
          </w:p>
        </w:tc>
      </w:tr>
      <w:tr w:rsidR="0070796E" w:rsidRPr="00AE2BCA" w14:paraId="21B3D79D" w14:textId="77777777" w:rsidTr="004E0334">
        <w:trPr>
          <w:cantSplit/>
          <w:trHeight w:val="23"/>
        </w:trPr>
        <w:tc>
          <w:tcPr>
            <w:tcW w:w="9641" w:type="dxa"/>
            <w:gridSpan w:val="5"/>
          </w:tcPr>
          <w:p w14:paraId="45BA935B" w14:textId="77777777" w:rsidR="0070796E" w:rsidRPr="00AE2BCA" w:rsidRDefault="0070796E" w:rsidP="001F12E6">
            <w:pPr>
              <w:tabs>
                <w:tab w:val="left" w:pos="1928"/>
              </w:tabs>
              <w:spacing w:before="0" w:after="120"/>
              <w:ind w:left="1928" w:hanging="1928"/>
            </w:pPr>
          </w:p>
        </w:tc>
      </w:tr>
      <w:tr w:rsidR="00562A87" w:rsidRPr="008D1768" w14:paraId="7CD17463" w14:textId="77777777" w:rsidTr="004E0334">
        <w:trPr>
          <w:cantSplit/>
          <w:trHeight w:val="23"/>
        </w:trPr>
        <w:tc>
          <w:tcPr>
            <w:tcW w:w="9641" w:type="dxa"/>
            <w:gridSpan w:val="5"/>
          </w:tcPr>
          <w:p w14:paraId="0B635571" w14:textId="46B9A87E" w:rsidR="00562A87" w:rsidRPr="00FF2F76" w:rsidRDefault="008C5E30" w:rsidP="001F12E6">
            <w:pPr>
              <w:spacing w:after="120"/>
              <w:jc w:val="center"/>
              <w:rPr>
                <w:b/>
                <w:bCs/>
                <w:sz w:val="28"/>
                <w:szCs w:val="28"/>
                <w:lang w:val="en-US"/>
              </w:rPr>
            </w:pPr>
            <w:bookmarkStart w:id="3" w:name="Source"/>
            <w:bookmarkEnd w:id="3"/>
            <w:r w:rsidRPr="008C5E30">
              <w:rPr>
                <w:b/>
                <w:bCs/>
                <w:sz w:val="28"/>
                <w:szCs w:val="28"/>
                <w:lang w:val="en-US"/>
              </w:rPr>
              <w:t>Internet Society</w:t>
            </w:r>
          </w:p>
        </w:tc>
      </w:tr>
      <w:tr w:rsidR="00562A87" w:rsidRPr="00E20210" w14:paraId="4598EEF5" w14:textId="77777777" w:rsidTr="004E0334">
        <w:trPr>
          <w:cantSplit/>
          <w:trHeight w:val="537"/>
        </w:trPr>
        <w:tc>
          <w:tcPr>
            <w:tcW w:w="9641" w:type="dxa"/>
            <w:gridSpan w:val="5"/>
          </w:tcPr>
          <w:p w14:paraId="0A6AFDD8" w14:textId="0DAF643F" w:rsidR="00D07744" w:rsidRPr="00D07744" w:rsidRDefault="00D07744" w:rsidP="00D07744">
            <w:pPr>
              <w:tabs>
                <w:tab w:val="clear" w:pos="794"/>
                <w:tab w:val="clear" w:pos="1191"/>
                <w:tab w:val="clear" w:pos="1588"/>
                <w:tab w:val="clear" w:pos="1985"/>
              </w:tabs>
              <w:overflowPunct/>
              <w:autoSpaceDE/>
              <w:autoSpaceDN/>
              <w:adjustRightInd/>
              <w:spacing w:before="0"/>
              <w:jc w:val="center"/>
              <w:textAlignment w:val="auto"/>
              <w:rPr>
                <w:rFonts w:ascii="Times New Roman" w:hAnsi="Times New Roman"/>
                <w:sz w:val="28"/>
                <w:szCs w:val="28"/>
                <w:lang w:val="en-ZW" w:eastAsia="en-GB"/>
              </w:rPr>
            </w:pPr>
            <w:bookmarkStart w:id="4" w:name="Title"/>
            <w:bookmarkEnd w:id="4"/>
            <w:r w:rsidRPr="00D07744">
              <w:rPr>
                <w:rFonts w:cs="Calibri"/>
                <w:color w:val="000000"/>
                <w:sz w:val="28"/>
                <w:szCs w:val="28"/>
              </w:rPr>
              <w:t>Expanding Internet access to remote and rural areas</w:t>
            </w:r>
          </w:p>
        </w:tc>
      </w:tr>
      <w:tr w:rsidR="001F12E6" w:rsidRPr="00E20210" w14:paraId="54FDC380" w14:textId="77777777" w:rsidTr="004E0334">
        <w:trPr>
          <w:cantSplit/>
          <w:trHeight w:val="537"/>
        </w:trPr>
        <w:tc>
          <w:tcPr>
            <w:tcW w:w="9641" w:type="dxa"/>
            <w:gridSpan w:val="5"/>
          </w:tcPr>
          <w:p w14:paraId="047343D4" w14:textId="77777777" w:rsidR="001F12E6" w:rsidRDefault="001F12E6" w:rsidP="001F12E6">
            <w:pPr>
              <w:spacing w:after="120"/>
              <w:jc w:val="center"/>
              <w:rPr>
                <w:sz w:val="28"/>
                <w:szCs w:val="28"/>
                <w:lang w:val="en-US"/>
              </w:rPr>
            </w:pPr>
          </w:p>
        </w:tc>
      </w:tr>
    </w:tbl>
    <w:p w14:paraId="1713FC48" w14:textId="77777777"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6"/>
      </w:tblGrid>
      <w:tr w:rsidR="00C04537" w:rsidRPr="005F2DA4" w14:paraId="705000EB" w14:textId="77777777" w:rsidTr="001F12E6">
        <w:tc>
          <w:tcPr>
            <w:tcW w:w="10037" w:type="dxa"/>
            <w:shd w:val="clear" w:color="auto" w:fill="auto"/>
          </w:tcPr>
          <w:p w14:paraId="74C2105F" w14:textId="77777777" w:rsidR="00C04537" w:rsidRPr="005F2DA4" w:rsidRDefault="00A02CAD" w:rsidP="008C5E30">
            <w:pPr>
              <w:tabs>
                <w:tab w:val="clear" w:pos="794"/>
                <w:tab w:val="clear" w:pos="1191"/>
                <w:tab w:val="clear" w:pos="1588"/>
                <w:tab w:val="clear" w:pos="1985"/>
                <w:tab w:val="left" w:pos="1951"/>
              </w:tabs>
              <w:spacing w:before="80" w:after="80"/>
              <w:rPr>
                <w:b/>
                <w:bCs/>
                <w:szCs w:val="24"/>
              </w:rPr>
            </w:pPr>
            <w:r>
              <w:rPr>
                <w:b/>
                <w:bCs/>
                <w:szCs w:val="24"/>
              </w:rPr>
              <w:t>Agenda item</w:t>
            </w:r>
            <w:r w:rsidR="00C04537" w:rsidRPr="005F2DA4">
              <w:rPr>
                <w:b/>
                <w:bCs/>
                <w:szCs w:val="24"/>
              </w:rPr>
              <w:t>:</w:t>
            </w:r>
          </w:p>
          <w:p w14:paraId="53FB11E2" w14:textId="169C5034" w:rsidR="00C04537" w:rsidRPr="000824C7" w:rsidRDefault="00966653" w:rsidP="008C5E30">
            <w:pPr>
              <w:tabs>
                <w:tab w:val="clear" w:pos="794"/>
                <w:tab w:val="clear" w:pos="1191"/>
                <w:tab w:val="clear" w:pos="1588"/>
                <w:tab w:val="clear" w:pos="1985"/>
                <w:tab w:val="left" w:pos="1951"/>
              </w:tabs>
              <w:spacing w:before="80" w:after="80"/>
              <w:rPr>
                <w:szCs w:val="24"/>
              </w:rPr>
            </w:pPr>
            <w:bookmarkStart w:id="5" w:name="Agenda"/>
            <w:bookmarkEnd w:id="5"/>
            <w:r>
              <w:rPr>
                <w:szCs w:val="24"/>
              </w:rPr>
              <w:t xml:space="preserve">Item </w:t>
            </w:r>
            <w:r w:rsidR="004E0334">
              <w:rPr>
                <w:szCs w:val="24"/>
              </w:rPr>
              <w:t>8</w:t>
            </w:r>
          </w:p>
          <w:p w14:paraId="1AD05828" w14:textId="32B86017" w:rsidR="001F12E6" w:rsidRDefault="001F12E6" w:rsidP="008C5E30">
            <w:pPr>
              <w:pStyle w:val="Title1"/>
              <w:spacing w:before="80" w:after="80"/>
              <w:rPr>
                <w:rFonts w:cstheme="minorHAnsi"/>
                <w:bCs/>
                <w:szCs w:val="24"/>
              </w:rPr>
            </w:pPr>
            <w:r w:rsidRPr="00674952">
              <w:rPr>
                <w:rFonts w:cstheme="minorHAnsi"/>
                <w:bCs/>
                <w:szCs w:val="24"/>
              </w:rPr>
              <w:t xml:space="preserve">Summary: </w:t>
            </w:r>
          </w:p>
          <w:p w14:paraId="664B126B" w14:textId="4E30F835" w:rsidR="00966653" w:rsidRPr="00966653" w:rsidRDefault="00D07744" w:rsidP="008C5E30">
            <w:pPr>
              <w:spacing w:before="80" w:after="80"/>
            </w:pPr>
            <w:r w:rsidRPr="008C5E30">
              <w:t>Community Networks</w:t>
            </w:r>
            <w:r w:rsidR="001F4D7E" w:rsidRPr="008C5E30">
              <w:t xml:space="preserve"> provide Internet access in unserved and underserved communities. The digital divide risks depriving a generation the opportunity to develop their potential and their ability to uplift their entire communities economically and socially. Furthermore, it undermines the progress that has been made towards achieving the 2030 U.N. Sustainable Development Goals. Community Networks are a complementary connectivity solution for hard to connect areas particularly in Africa.</w:t>
            </w:r>
          </w:p>
          <w:p w14:paraId="40AAFF8D" w14:textId="4B57410E" w:rsidR="001F12E6" w:rsidRDefault="001F12E6" w:rsidP="008C5E30">
            <w:pPr>
              <w:pStyle w:val="Title1"/>
              <w:spacing w:before="80" w:after="80"/>
              <w:rPr>
                <w:rFonts w:cstheme="minorHAnsi"/>
                <w:bCs/>
                <w:szCs w:val="24"/>
              </w:rPr>
            </w:pPr>
            <w:r w:rsidRPr="00674952">
              <w:rPr>
                <w:rFonts w:cstheme="minorHAnsi"/>
                <w:bCs/>
                <w:szCs w:val="24"/>
              </w:rPr>
              <w:t>Expected results:</w:t>
            </w:r>
          </w:p>
          <w:p w14:paraId="6A6E8D8C" w14:textId="5FBA0654" w:rsidR="008C5E30" w:rsidRDefault="001F4D7E" w:rsidP="008C5E30">
            <w:pPr>
              <w:pStyle w:val="Title1"/>
              <w:spacing w:before="80" w:after="80"/>
              <w:rPr>
                <w:rFonts w:cs="Times New Roman"/>
                <w:b w:val="0"/>
              </w:rPr>
            </w:pPr>
            <w:r>
              <w:rPr>
                <w:rFonts w:cs="Times New Roman"/>
                <w:b w:val="0"/>
              </w:rPr>
              <w:t xml:space="preserve">RPM-AFR is invited to </w:t>
            </w:r>
            <w:r w:rsidR="002C1BDA">
              <w:rPr>
                <w:rFonts w:cs="Times New Roman"/>
                <w:b w:val="0"/>
              </w:rPr>
              <w:t>note</w:t>
            </w:r>
            <w:r>
              <w:rPr>
                <w:rFonts w:cs="Times New Roman"/>
                <w:b w:val="0"/>
              </w:rPr>
              <w:t xml:space="preserve"> this document.</w:t>
            </w:r>
          </w:p>
          <w:p w14:paraId="73A47597" w14:textId="008ADDE0" w:rsidR="008C5E30" w:rsidRPr="008C5E30" w:rsidRDefault="001F12E6" w:rsidP="008C5E30">
            <w:pPr>
              <w:pStyle w:val="Title1"/>
              <w:spacing w:before="80" w:after="80"/>
              <w:rPr>
                <w:rFonts w:cstheme="minorHAnsi"/>
                <w:b w:val="0"/>
                <w:bCs/>
                <w:caps/>
                <w:szCs w:val="24"/>
              </w:rPr>
            </w:pPr>
            <w:r w:rsidRPr="00674952">
              <w:rPr>
                <w:rFonts w:cstheme="minorHAnsi"/>
                <w:bCs/>
                <w:szCs w:val="24"/>
              </w:rPr>
              <w:t>R</w:t>
            </w:r>
            <w:r w:rsidRPr="00966653">
              <w:rPr>
                <w:rFonts w:cstheme="minorHAnsi"/>
                <w:bCs/>
                <w:szCs w:val="24"/>
              </w:rPr>
              <w:t>eferences:</w:t>
            </w:r>
            <w:bookmarkStart w:id="6" w:name="Summary"/>
            <w:bookmarkEnd w:id="6"/>
          </w:p>
          <w:p w14:paraId="4B755BCF" w14:textId="605CDC42" w:rsidR="00C04537" w:rsidRPr="008C5E30" w:rsidRDefault="008C5E30" w:rsidP="008C5E30">
            <w:pPr>
              <w:tabs>
                <w:tab w:val="clear" w:pos="794"/>
                <w:tab w:val="clear" w:pos="1191"/>
                <w:tab w:val="clear" w:pos="1588"/>
                <w:tab w:val="clear" w:pos="1985"/>
                <w:tab w:val="left" w:pos="1951"/>
              </w:tabs>
              <w:spacing w:before="80" w:after="80"/>
              <w:rPr>
                <w:szCs w:val="24"/>
              </w:rPr>
            </w:pPr>
            <w:r>
              <w:rPr>
                <w:szCs w:val="24"/>
              </w:rPr>
              <w:t>n/a</w:t>
            </w:r>
          </w:p>
        </w:tc>
      </w:tr>
    </w:tbl>
    <w:p w14:paraId="77276A4C" w14:textId="77777777" w:rsidR="0014380C" w:rsidRDefault="0014380C" w:rsidP="00A140EB">
      <w:pPr>
        <w:rPr>
          <w:szCs w:val="24"/>
        </w:rPr>
      </w:pPr>
    </w:p>
    <w:p w14:paraId="4F10ACC2" w14:textId="77777777" w:rsidR="0014380C" w:rsidRDefault="0014380C">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45450A6C" w14:textId="35831C1D" w:rsidR="008C5E30" w:rsidRPr="008C5E30" w:rsidRDefault="008C5E30" w:rsidP="001F4D7E">
      <w:pPr>
        <w:rPr>
          <w:rFonts w:asciiTheme="minorHAnsi" w:hAnsiTheme="minorHAnsi" w:cstheme="minorHAnsi"/>
          <w:szCs w:val="24"/>
          <w:lang w:val="en-US"/>
        </w:rPr>
      </w:pPr>
      <w:r w:rsidRPr="008C5E30">
        <w:rPr>
          <w:rFonts w:asciiTheme="minorHAnsi" w:hAnsiTheme="minorHAnsi" w:cstheme="minorHAnsi"/>
          <w:szCs w:val="24"/>
          <w:lang w:val="en-US"/>
        </w:rPr>
        <w:lastRenderedPageBreak/>
        <w:t xml:space="preserve">The Internet Society (ISOC), an Associate member of the </w:t>
      </w:r>
      <w:r w:rsidRPr="008C5E30">
        <w:rPr>
          <w:rFonts w:asciiTheme="minorHAnsi" w:hAnsiTheme="minorHAnsi" w:cstheme="minorHAnsi"/>
          <w:szCs w:val="24"/>
        </w:rPr>
        <w:t>African Telecommunications Union (ATU)</w:t>
      </w:r>
      <w:r w:rsidRPr="008C5E30">
        <w:rPr>
          <w:rFonts w:asciiTheme="minorHAnsi" w:hAnsiTheme="minorHAnsi" w:cstheme="minorHAnsi"/>
          <w:szCs w:val="24"/>
          <w:lang w:val="en-US"/>
        </w:rPr>
        <w:t xml:space="preserve">, is pleased to submit this </w:t>
      </w:r>
      <w:r w:rsidR="001F4D7E">
        <w:rPr>
          <w:rFonts w:asciiTheme="minorHAnsi" w:hAnsiTheme="minorHAnsi" w:cstheme="minorHAnsi"/>
          <w:szCs w:val="24"/>
          <w:lang w:val="en-US"/>
        </w:rPr>
        <w:t>contribution</w:t>
      </w:r>
      <w:r w:rsidRPr="008C5E30">
        <w:rPr>
          <w:rFonts w:asciiTheme="minorHAnsi" w:hAnsiTheme="minorHAnsi" w:cstheme="minorHAnsi"/>
          <w:szCs w:val="24"/>
          <w:lang w:val="en-US"/>
        </w:rPr>
        <w:t xml:space="preserve"> to the </w:t>
      </w:r>
      <w:r w:rsidR="001F4D7E">
        <w:rPr>
          <w:rFonts w:asciiTheme="minorHAnsi" w:hAnsiTheme="minorHAnsi" w:cstheme="minorHAnsi"/>
          <w:szCs w:val="24"/>
          <w:lang w:val="en-US"/>
        </w:rPr>
        <w:t>Joint ATU/ITU Regional Preparatory Meeting for WTDC-21</w:t>
      </w:r>
      <w:r w:rsidRPr="008C5E30">
        <w:rPr>
          <w:rFonts w:asciiTheme="minorHAnsi" w:hAnsiTheme="minorHAnsi" w:cstheme="minorHAnsi"/>
          <w:szCs w:val="24"/>
          <w:lang w:val="en-US"/>
        </w:rPr>
        <w:t>.</w:t>
      </w:r>
      <w:r>
        <w:rPr>
          <w:rFonts w:asciiTheme="minorHAnsi" w:hAnsiTheme="minorHAnsi" w:cstheme="minorHAnsi"/>
          <w:szCs w:val="24"/>
          <w:lang w:val="en-US"/>
        </w:rPr>
        <w:t xml:space="preserve"> </w:t>
      </w:r>
      <w:r w:rsidRPr="008C5E30">
        <w:rPr>
          <w:rFonts w:asciiTheme="minorHAnsi" w:hAnsiTheme="minorHAnsi" w:cstheme="minorHAnsi"/>
          <w:szCs w:val="24"/>
          <w:lang w:val="en-US"/>
        </w:rPr>
        <w:t>The Internet Society believes that the Internet creates opportunities for socio-economic growth and development, and enables innovation, and should be available to anyone that wants to have access.</w:t>
      </w:r>
      <w:r>
        <w:rPr>
          <w:rFonts w:asciiTheme="minorHAnsi" w:hAnsiTheme="minorHAnsi" w:cstheme="minorHAnsi"/>
          <w:szCs w:val="24"/>
          <w:lang w:val="en-US"/>
        </w:rPr>
        <w:t xml:space="preserve"> </w:t>
      </w:r>
      <w:r w:rsidRPr="008C5E30">
        <w:rPr>
          <w:rFonts w:asciiTheme="minorHAnsi" w:hAnsiTheme="minorHAnsi" w:cstheme="minorHAnsi"/>
          <w:szCs w:val="24"/>
          <w:lang w:val="en-US"/>
        </w:rPr>
        <w:t xml:space="preserve">We are committed to collaborating with ATU members in order to achieve our shared vision of </w:t>
      </w:r>
      <w:r w:rsidRPr="008C5E30">
        <w:rPr>
          <w:rFonts w:asciiTheme="minorHAnsi" w:hAnsiTheme="minorHAnsi" w:cstheme="minorHAnsi"/>
          <w:color w:val="222222"/>
          <w:szCs w:val="24"/>
          <w:lang w:val="en-US"/>
        </w:rPr>
        <w:t>more expansive growth and development of the Internet across the region</w:t>
      </w:r>
    </w:p>
    <w:p w14:paraId="154C834C" w14:textId="01DA4AAC" w:rsidR="008C5E30" w:rsidRPr="008C5E30" w:rsidRDefault="008C5E30" w:rsidP="001F4D7E">
      <w:pPr>
        <w:rPr>
          <w:rFonts w:asciiTheme="minorHAnsi" w:hAnsiTheme="minorHAnsi" w:cstheme="minorHAnsi"/>
          <w:szCs w:val="24"/>
        </w:rPr>
      </w:pPr>
      <w:r w:rsidRPr="008C5E30">
        <w:rPr>
          <w:rFonts w:asciiTheme="minorHAnsi" w:hAnsiTheme="minorHAnsi" w:cstheme="minorHAnsi"/>
          <w:szCs w:val="24"/>
        </w:rPr>
        <w:t xml:space="preserve">This </w:t>
      </w:r>
      <w:r w:rsidR="001F4D7E">
        <w:rPr>
          <w:rFonts w:asciiTheme="minorHAnsi" w:hAnsiTheme="minorHAnsi" w:cstheme="minorHAnsi"/>
          <w:szCs w:val="24"/>
        </w:rPr>
        <w:t>contribution</w:t>
      </w:r>
      <w:r w:rsidRPr="008C5E30">
        <w:rPr>
          <w:rFonts w:asciiTheme="minorHAnsi" w:hAnsiTheme="minorHAnsi" w:cstheme="minorHAnsi"/>
          <w:szCs w:val="24"/>
        </w:rPr>
        <w:t xml:space="preserve"> on </w:t>
      </w:r>
      <w:hyperlink r:id="rId10" w:history="1">
        <w:r w:rsidRPr="008C5E30">
          <w:rPr>
            <w:rStyle w:val="Hyperlink"/>
            <w:rFonts w:asciiTheme="minorHAnsi" w:hAnsiTheme="minorHAnsi" w:cstheme="minorHAnsi"/>
            <w:szCs w:val="24"/>
          </w:rPr>
          <w:t>Community Networks</w:t>
        </w:r>
      </w:hyperlink>
      <w:r w:rsidRPr="008C5E30">
        <w:rPr>
          <w:rFonts w:asciiTheme="minorHAnsi" w:hAnsiTheme="minorHAnsi" w:cstheme="minorHAnsi"/>
          <w:szCs w:val="24"/>
        </w:rPr>
        <w:t xml:space="preserve"> </w:t>
      </w:r>
      <w:r w:rsidRPr="008C5E30">
        <w:rPr>
          <w:rFonts w:asciiTheme="minorHAnsi" w:hAnsiTheme="minorHAnsi" w:cstheme="minorHAnsi"/>
          <w:szCs w:val="24"/>
          <w:lang w:val="en-US"/>
        </w:rPr>
        <w:t xml:space="preserve">(CNs) </w:t>
      </w:r>
      <w:r w:rsidRPr="008C5E30">
        <w:rPr>
          <w:rFonts w:asciiTheme="minorHAnsi" w:hAnsiTheme="minorHAnsi" w:cstheme="minorHAnsi"/>
          <w:szCs w:val="24"/>
        </w:rPr>
        <w:t xml:space="preserve">highlights priority issues for ATU members that the Internet Society is addressing in the Africa region. </w:t>
      </w:r>
      <w:r w:rsidRPr="008C5E30">
        <w:rPr>
          <w:rFonts w:asciiTheme="minorHAnsi" w:hAnsiTheme="minorHAnsi" w:cstheme="minorHAnsi"/>
          <w:szCs w:val="24"/>
          <w:lang w:val="en-US"/>
        </w:rPr>
        <w:t>We hope it will</w:t>
      </w:r>
      <w:r>
        <w:rPr>
          <w:rFonts w:asciiTheme="minorHAnsi" w:hAnsiTheme="minorHAnsi" w:cstheme="minorHAnsi"/>
          <w:szCs w:val="24"/>
          <w:lang w:val="en-US"/>
        </w:rPr>
        <w:t xml:space="preserve"> </w:t>
      </w:r>
      <w:r w:rsidRPr="008C5E30">
        <w:rPr>
          <w:rFonts w:asciiTheme="minorHAnsi" w:hAnsiTheme="minorHAnsi" w:cstheme="minorHAnsi"/>
          <w:szCs w:val="24"/>
          <w:lang w:val="en-US"/>
        </w:rPr>
        <w:t>help enrich the discussions on the thematic priorities and Regional Initiatives on Connectivity and Enabling Environment for the International Telecommunication Union (ITU) Development Sector (ITU-D) and the World Telecommunication Development Conference 2021 (WTDC-21).</w:t>
      </w:r>
    </w:p>
    <w:p w14:paraId="790FD325" w14:textId="77777777" w:rsidR="008C5E30" w:rsidRPr="008C5E30" w:rsidRDefault="008C5E30" w:rsidP="001F4D7E">
      <w:pPr>
        <w:rPr>
          <w:rFonts w:asciiTheme="minorHAnsi" w:hAnsiTheme="minorHAnsi" w:cstheme="minorHAnsi"/>
          <w:szCs w:val="24"/>
        </w:rPr>
      </w:pPr>
      <w:r w:rsidRPr="008C5E30">
        <w:rPr>
          <w:rFonts w:asciiTheme="minorHAnsi" w:hAnsiTheme="minorHAnsi" w:cstheme="minorHAnsi"/>
          <w:szCs w:val="24"/>
        </w:rPr>
        <w:t xml:space="preserve">The Internet Society would like to commend ATU members for emphasizing the importance of expanding the accessibility, affordability and reliability of broadband infrastructure with the aim to achieve the United Nation’s Sustainable Development Goals (SDGs) and bridge digital divides. Further, we compliment ATU members for renewed emphasis in support of broadband infrastructure development in the region. </w:t>
      </w:r>
    </w:p>
    <w:p w14:paraId="582E12EA" w14:textId="77777777" w:rsidR="008C5E30" w:rsidRPr="008C5E30" w:rsidRDefault="008C5E30" w:rsidP="001F4D7E">
      <w:pPr>
        <w:rPr>
          <w:rFonts w:asciiTheme="minorHAnsi" w:hAnsiTheme="minorHAnsi" w:cstheme="minorHAnsi"/>
          <w:szCs w:val="24"/>
        </w:rPr>
      </w:pPr>
      <w:r w:rsidRPr="008C5E30">
        <w:rPr>
          <w:rFonts w:asciiTheme="minorHAnsi" w:hAnsiTheme="minorHAnsi" w:cstheme="minorHAnsi"/>
          <w:szCs w:val="24"/>
        </w:rPr>
        <w:t>During the global COVID–19 health pandemic, studies have shown that Africa’s digital</w:t>
      </w:r>
      <w:r w:rsidRPr="008C5E30">
        <w:rPr>
          <w:rStyle w:val="FootnoteReference"/>
          <w:rFonts w:asciiTheme="minorHAnsi" w:hAnsiTheme="minorHAnsi" w:cstheme="minorHAnsi"/>
          <w:sz w:val="24"/>
          <w:szCs w:val="24"/>
          <w:vertAlign w:val="superscript"/>
        </w:rPr>
        <w:footnoteReference w:id="1"/>
      </w:r>
      <w:r w:rsidRPr="008C5E30">
        <w:rPr>
          <w:rFonts w:asciiTheme="minorHAnsi" w:hAnsiTheme="minorHAnsi" w:cstheme="minorHAnsi"/>
          <w:szCs w:val="24"/>
        </w:rPr>
        <w:t xml:space="preserve"> divide is </w:t>
      </w:r>
      <w:proofErr w:type="gramStart"/>
      <w:r w:rsidRPr="008C5E30">
        <w:rPr>
          <w:rFonts w:asciiTheme="minorHAnsi" w:hAnsiTheme="minorHAnsi" w:cstheme="minorHAnsi"/>
          <w:szCs w:val="24"/>
        </w:rPr>
        <w:t>widening</w:t>
      </w:r>
      <w:proofErr w:type="gramEnd"/>
      <w:r w:rsidRPr="008C5E30">
        <w:rPr>
          <w:rFonts w:asciiTheme="minorHAnsi" w:hAnsiTheme="minorHAnsi" w:cstheme="minorHAnsi"/>
          <w:szCs w:val="24"/>
        </w:rPr>
        <w:t xml:space="preserve"> and broadband growth has generally been slow. Moreover, the gender digital divide is proving difficult to overcome, and there is also an urban-rural digital divide.</w:t>
      </w:r>
      <w:r w:rsidRPr="008C5E30">
        <w:rPr>
          <w:rStyle w:val="FootnoteReference"/>
          <w:rFonts w:asciiTheme="minorHAnsi" w:hAnsiTheme="minorHAnsi" w:cstheme="minorHAnsi"/>
          <w:sz w:val="24"/>
          <w:szCs w:val="24"/>
          <w:vertAlign w:val="superscript"/>
        </w:rPr>
        <w:footnoteReference w:id="2"/>
      </w:r>
      <w:r w:rsidRPr="008C5E30">
        <w:rPr>
          <w:rFonts w:asciiTheme="minorHAnsi" w:hAnsiTheme="minorHAnsi" w:cstheme="minorHAnsi"/>
          <w:szCs w:val="24"/>
        </w:rPr>
        <w:t xml:space="preserve"> Those without broadband access are usually in underserved remote and rural areas. After more than 25 years of Internet development, network infrastructures built and operated on traditional business models have not yet reached many underserved, remote and hard to reach rural areas.</w:t>
      </w:r>
    </w:p>
    <w:p w14:paraId="7A988614" w14:textId="0AB4AA96" w:rsidR="008C5E30" w:rsidRPr="008C5E30" w:rsidRDefault="008C5E30" w:rsidP="001F4D7E">
      <w:pPr>
        <w:rPr>
          <w:rFonts w:asciiTheme="minorHAnsi" w:hAnsiTheme="minorHAnsi" w:cstheme="minorHAnsi"/>
          <w:szCs w:val="24"/>
          <w:lang w:val="en-US"/>
        </w:rPr>
      </w:pPr>
      <w:r w:rsidRPr="008C5E30">
        <w:rPr>
          <w:rFonts w:asciiTheme="minorHAnsi" w:hAnsiTheme="minorHAnsi" w:cstheme="minorHAnsi"/>
          <w:szCs w:val="24"/>
        </w:rPr>
        <w:t>The Internet Society has been supporting the development of community-powered networks based on innovative and sustainable resource models, as one of the solutions to close the digital divide. These networks, often known as Community Networks, provide Internet access in unserved and underserved communities</w:t>
      </w:r>
      <w:r w:rsidRPr="008C5E30">
        <w:rPr>
          <w:rFonts w:asciiTheme="minorHAnsi" w:hAnsiTheme="minorHAnsi" w:cstheme="minorHAnsi"/>
          <w:szCs w:val="24"/>
          <w:lang w:val="en-US"/>
        </w:rPr>
        <w:t>. The digital divide risks depriving a generation the opportunity to develop their potential and their ability to uplift their entire communities economically and socially. Furthermore, it undermines the progress that has been made towards achieving the 2030 U.N. Sustainable Development Goals.</w:t>
      </w:r>
      <w:r w:rsidRPr="008C5E30">
        <w:rPr>
          <w:rFonts w:asciiTheme="minorHAnsi" w:hAnsiTheme="minorHAnsi" w:cstheme="minorHAnsi"/>
          <w:szCs w:val="24"/>
        </w:rPr>
        <w:t xml:space="preserve"> </w:t>
      </w:r>
      <w:r w:rsidRPr="008C5E30">
        <w:rPr>
          <w:rFonts w:asciiTheme="minorHAnsi" w:hAnsiTheme="minorHAnsi" w:cstheme="minorHAnsi"/>
          <w:szCs w:val="24"/>
          <w:lang w:val="en-US"/>
        </w:rPr>
        <w:t xml:space="preserve">Community Networks are a complementary connectivity solution for hard to connect areas particularly in Africa. </w:t>
      </w:r>
    </w:p>
    <w:p w14:paraId="23F6A31B" w14:textId="1D14C2B4" w:rsidR="008C5E30" w:rsidRPr="008C5E30" w:rsidRDefault="008C5E30" w:rsidP="001F4D7E">
      <w:pPr>
        <w:rPr>
          <w:rFonts w:asciiTheme="minorHAnsi" w:hAnsiTheme="minorHAnsi" w:cstheme="minorHAnsi"/>
          <w:szCs w:val="24"/>
        </w:rPr>
      </w:pPr>
      <w:r w:rsidRPr="008C5E30">
        <w:rPr>
          <w:rFonts w:asciiTheme="minorHAnsi" w:hAnsiTheme="minorHAnsi" w:cstheme="minorHAnsi"/>
          <w:szCs w:val="24"/>
        </w:rPr>
        <w:t>Our experiences show that CNs are naturally complementary</w:t>
      </w:r>
      <w:r>
        <w:rPr>
          <w:rFonts w:asciiTheme="minorHAnsi" w:hAnsiTheme="minorHAnsi" w:cstheme="minorHAnsi"/>
          <w:szCs w:val="24"/>
        </w:rPr>
        <w:t xml:space="preserve"> </w:t>
      </w:r>
      <w:r w:rsidRPr="008C5E30">
        <w:rPr>
          <w:rFonts w:asciiTheme="minorHAnsi" w:hAnsiTheme="minorHAnsi" w:cstheme="minorHAnsi"/>
          <w:szCs w:val="24"/>
        </w:rPr>
        <w:t>to existing networks. However, their development faces a myriad of challenges: lack of affordable access to backbone infrastructure, barriers to entry (e.g., business and/or service licensing, regulatory fees and taxes, access to spectrum), and limited funding, including difficulty in obtaining universal service funding, among others. It is important that we approach these challenges holistically. Therefore, we urge policymakers and regulators to consider the benefits of Community Networks, and to reduce or eliminate barriers to allow CNs to develop.</w:t>
      </w:r>
      <w:r>
        <w:rPr>
          <w:rFonts w:asciiTheme="minorHAnsi" w:hAnsiTheme="minorHAnsi" w:cstheme="minorHAnsi"/>
          <w:szCs w:val="24"/>
        </w:rPr>
        <w:t xml:space="preserve"> </w:t>
      </w:r>
    </w:p>
    <w:p w14:paraId="61F081BA" w14:textId="77777777" w:rsidR="008C5E30" w:rsidRPr="008C5E30" w:rsidRDefault="008C5E30" w:rsidP="00D07744">
      <w:pPr>
        <w:keepNext/>
        <w:rPr>
          <w:rFonts w:asciiTheme="minorHAnsi" w:hAnsiTheme="minorHAnsi" w:cstheme="minorHAnsi"/>
          <w:b/>
          <w:bCs/>
          <w:color w:val="222222"/>
          <w:szCs w:val="24"/>
          <w:lang w:val="en-ZW" w:eastAsia="en-GB"/>
        </w:rPr>
      </w:pPr>
      <w:r w:rsidRPr="008C5E30">
        <w:rPr>
          <w:rFonts w:asciiTheme="minorHAnsi" w:hAnsiTheme="minorHAnsi" w:cstheme="minorHAnsi"/>
          <w:b/>
          <w:bCs/>
          <w:color w:val="222222"/>
          <w:szCs w:val="24"/>
          <w:lang w:val="en-ZW" w:eastAsia="en-GB"/>
        </w:rPr>
        <w:lastRenderedPageBreak/>
        <w:t>Community Networks are a complementary way of connecting the unconnected, particularly rural and remote areas</w:t>
      </w:r>
    </w:p>
    <w:p w14:paraId="62AD9A61" w14:textId="45F5DE2B" w:rsidR="008C5E30" w:rsidRPr="008C5E30" w:rsidRDefault="008C5E30" w:rsidP="001F4D7E">
      <w:pPr>
        <w:rPr>
          <w:rFonts w:asciiTheme="minorHAnsi" w:hAnsiTheme="minorHAnsi" w:cstheme="minorHAnsi"/>
          <w:color w:val="000000" w:themeColor="text1"/>
          <w:szCs w:val="24"/>
        </w:rPr>
      </w:pPr>
      <w:r w:rsidRPr="008C5E30">
        <w:rPr>
          <w:rFonts w:asciiTheme="minorHAnsi" w:hAnsiTheme="minorHAnsi" w:cstheme="minorHAnsi"/>
          <w:color w:val="000000" w:themeColor="text1"/>
          <w:szCs w:val="24"/>
        </w:rPr>
        <w:t>The COVID-19 health pandemic has emphasised the ‘digital divide’ which is even more pronounced on the African continent. Efforts to address the gap have</w:t>
      </w:r>
      <w:r>
        <w:rPr>
          <w:rFonts w:asciiTheme="minorHAnsi" w:hAnsiTheme="minorHAnsi" w:cstheme="minorHAnsi"/>
          <w:color w:val="000000" w:themeColor="text1"/>
          <w:szCs w:val="24"/>
        </w:rPr>
        <w:t xml:space="preserve"> </w:t>
      </w:r>
      <w:r w:rsidRPr="008C5E30">
        <w:rPr>
          <w:rFonts w:asciiTheme="minorHAnsi" w:hAnsiTheme="minorHAnsi" w:cstheme="minorHAnsi"/>
          <w:color w:val="000000" w:themeColor="text1"/>
          <w:szCs w:val="24"/>
        </w:rPr>
        <w:t>included the adoption of a </w:t>
      </w:r>
      <w:hyperlink r:id="rId11" w:history="1">
        <w:r w:rsidRPr="008C5E30">
          <w:rPr>
            <w:rFonts w:asciiTheme="minorHAnsi" w:hAnsiTheme="minorHAnsi" w:cstheme="minorHAnsi"/>
            <w:b/>
            <w:bCs/>
            <w:color w:val="000000" w:themeColor="text1"/>
            <w:szCs w:val="24"/>
            <w:u w:val="single"/>
          </w:rPr>
          <w:t>‘Digital Transformation Strategy’</w:t>
        </w:r>
      </w:hyperlink>
      <w:r w:rsidRPr="008C5E30">
        <w:rPr>
          <w:rFonts w:asciiTheme="minorHAnsi" w:hAnsiTheme="minorHAnsi" w:cstheme="minorHAnsi"/>
          <w:color w:val="000000" w:themeColor="text1"/>
          <w:szCs w:val="24"/>
        </w:rPr>
        <w:t xml:space="preserve"> by the African Union in May 2020, which aims to ‘erase the digital divide’ and ‘narrow the gender digital divide’. To achieve this, a multi-stakeholder approach is essential to foster public-private collaboration and partnerships between African governments, the ICT corporate Sector, the AU and development partners, to accelerate investment in ICT infrastructure and expand affordable and reliable broadband access. </w:t>
      </w:r>
    </w:p>
    <w:p w14:paraId="12161686" w14:textId="77777777" w:rsidR="008C5E30" w:rsidRPr="008C5E30" w:rsidRDefault="008C5E30" w:rsidP="00D07744">
      <w:pPr>
        <w:keepNext/>
        <w:rPr>
          <w:rFonts w:asciiTheme="minorHAnsi" w:hAnsiTheme="minorHAnsi" w:cstheme="minorHAnsi"/>
          <w:color w:val="000000" w:themeColor="text1"/>
          <w:szCs w:val="24"/>
        </w:rPr>
      </w:pPr>
      <w:r w:rsidRPr="008C5E30">
        <w:rPr>
          <w:rFonts w:asciiTheme="minorHAnsi" w:hAnsiTheme="minorHAnsi" w:cstheme="minorHAnsi"/>
          <w:color w:val="000000" w:themeColor="text1"/>
          <w:szCs w:val="24"/>
        </w:rPr>
        <w:t>Community Networks can help achieve this strategy by:</w:t>
      </w:r>
    </w:p>
    <w:p w14:paraId="746ACE65" w14:textId="77777777" w:rsidR="008C5E30" w:rsidRPr="008C5E30" w:rsidRDefault="008C5E30" w:rsidP="001F4D7E">
      <w:pPr>
        <w:numPr>
          <w:ilvl w:val="0"/>
          <w:numId w:val="46"/>
        </w:numPr>
        <w:tabs>
          <w:tab w:val="clear" w:pos="794"/>
          <w:tab w:val="clear" w:pos="1191"/>
          <w:tab w:val="clear" w:pos="1588"/>
          <w:tab w:val="clear" w:pos="1985"/>
        </w:tabs>
        <w:overflowPunct/>
        <w:autoSpaceDE/>
        <w:autoSpaceDN/>
        <w:adjustRightInd/>
        <w:ind w:left="567" w:hanging="567"/>
        <w:textAlignment w:val="auto"/>
        <w:rPr>
          <w:rFonts w:asciiTheme="minorHAnsi" w:hAnsiTheme="minorHAnsi" w:cstheme="minorHAnsi"/>
          <w:color w:val="000000" w:themeColor="text1"/>
          <w:szCs w:val="24"/>
          <w:lang w:val="en-ZW" w:eastAsia="en-GB"/>
        </w:rPr>
      </w:pPr>
      <w:r w:rsidRPr="008C5E30">
        <w:rPr>
          <w:rFonts w:asciiTheme="minorHAnsi" w:hAnsiTheme="minorHAnsi" w:cstheme="minorHAnsi"/>
          <w:color w:val="000000" w:themeColor="text1"/>
          <w:szCs w:val="24"/>
          <w:lang w:val="en-ZW" w:eastAsia="en-GB"/>
        </w:rPr>
        <w:t>becoming an important element of expanding access to remote and rural places where traditional networks would hesitate to operate/invest primarily due to zero business case;</w:t>
      </w:r>
    </w:p>
    <w:p w14:paraId="407CEFFA" w14:textId="77777777" w:rsidR="008C5E30" w:rsidRPr="008C5E30" w:rsidRDefault="008C5E30" w:rsidP="001F4D7E">
      <w:pPr>
        <w:numPr>
          <w:ilvl w:val="0"/>
          <w:numId w:val="46"/>
        </w:numPr>
        <w:tabs>
          <w:tab w:val="clear" w:pos="794"/>
          <w:tab w:val="clear" w:pos="1191"/>
          <w:tab w:val="clear" w:pos="1588"/>
          <w:tab w:val="clear" w:pos="1985"/>
        </w:tabs>
        <w:overflowPunct/>
        <w:autoSpaceDE/>
        <w:autoSpaceDN/>
        <w:adjustRightInd/>
        <w:ind w:left="567" w:hanging="567"/>
        <w:textAlignment w:val="auto"/>
        <w:rPr>
          <w:rFonts w:asciiTheme="minorHAnsi" w:hAnsiTheme="minorHAnsi" w:cstheme="minorHAnsi"/>
          <w:color w:val="000000" w:themeColor="text1"/>
          <w:szCs w:val="24"/>
          <w:lang w:val="en-ZW" w:eastAsia="en-GB"/>
        </w:rPr>
      </w:pPr>
      <w:r w:rsidRPr="008C5E30">
        <w:rPr>
          <w:rFonts w:asciiTheme="minorHAnsi" w:hAnsiTheme="minorHAnsi" w:cstheme="minorHAnsi"/>
          <w:color w:val="000000" w:themeColor="text1"/>
          <w:szCs w:val="24"/>
          <w:lang w:val="en-ZW" w:eastAsia="en-GB"/>
        </w:rPr>
        <w:t xml:space="preserve">demonstrating the ability of community networks to </w:t>
      </w:r>
      <w:r w:rsidRPr="008C5E30">
        <w:rPr>
          <w:rFonts w:asciiTheme="minorHAnsi" w:hAnsiTheme="minorHAnsi" w:cstheme="minorHAnsi"/>
          <w:szCs w:val="24"/>
        </w:rPr>
        <w:t xml:space="preserve">dynamically response during unforeseen events </w:t>
      </w:r>
      <w:r w:rsidRPr="008C5E30">
        <w:rPr>
          <w:rFonts w:asciiTheme="minorHAnsi" w:hAnsiTheme="minorHAnsi" w:cstheme="minorHAnsi"/>
          <w:color w:val="000000" w:themeColor="text1"/>
          <w:szCs w:val="24"/>
          <w:lang w:val="en-ZW" w:eastAsia="en-GB"/>
        </w:rPr>
        <w:t>such as the COVID-19 pandemic;</w:t>
      </w:r>
    </w:p>
    <w:p w14:paraId="140F2A42" w14:textId="77777777" w:rsidR="008C5E30" w:rsidRPr="008C5E30" w:rsidRDefault="008C5E30" w:rsidP="001F4D7E">
      <w:pPr>
        <w:numPr>
          <w:ilvl w:val="0"/>
          <w:numId w:val="46"/>
        </w:numPr>
        <w:tabs>
          <w:tab w:val="clear" w:pos="794"/>
          <w:tab w:val="clear" w:pos="1191"/>
          <w:tab w:val="clear" w:pos="1588"/>
          <w:tab w:val="clear" w:pos="1985"/>
        </w:tabs>
        <w:overflowPunct/>
        <w:autoSpaceDE/>
        <w:autoSpaceDN/>
        <w:adjustRightInd/>
        <w:ind w:left="567" w:hanging="567"/>
        <w:textAlignment w:val="auto"/>
        <w:rPr>
          <w:rFonts w:asciiTheme="minorHAnsi" w:hAnsiTheme="minorHAnsi" w:cstheme="minorHAnsi"/>
          <w:color w:val="000000" w:themeColor="text1"/>
          <w:szCs w:val="24"/>
          <w:lang w:val="en-ZW" w:eastAsia="en-GB"/>
        </w:rPr>
      </w:pPr>
      <w:r w:rsidRPr="008C5E30">
        <w:rPr>
          <w:rFonts w:asciiTheme="minorHAnsi" w:hAnsiTheme="minorHAnsi" w:cstheme="minorHAnsi"/>
          <w:color w:val="000000" w:themeColor="text1"/>
          <w:szCs w:val="24"/>
          <w:lang w:val="en-ZW" w:eastAsia="en-GB"/>
        </w:rPr>
        <w:t>promoting partnerships between local communities, providers, governments, academia, and civil society. CNs help indeed to ensure an inclusive Internet that connects and can be afforded by everyone; </w:t>
      </w:r>
    </w:p>
    <w:p w14:paraId="24D4D0B0" w14:textId="77777777" w:rsidR="008C5E30" w:rsidRPr="008C5E30" w:rsidRDefault="008C5E30" w:rsidP="001F4D7E">
      <w:pPr>
        <w:numPr>
          <w:ilvl w:val="0"/>
          <w:numId w:val="46"/>
        </w:numPr>
        <w:tabs>
          <w:tab w:val="clear" w:pos="794"/>
          <w:tab w:val="clear" w:pos="1191"/>
          <w:tab w:val="clear" w:pos="1588"/>
          <w:tab w:val="clear" w:pos="1985"/>
        </w:tabs>
        <w:overflowPunct/>
        <w:autoSpaceDE/>
        <w:autoSpaceDN/>
        <w:adjustRightInd/>
        <w:ind w:left="567" w:hanging="567"/>
        <w:textAlignment w:val="auto"/>
        <w:rPr>
          <w:rFonts w:asciiTheme="minorHAnsi" w:hAnsiTheme="minorHAnsi" w:cstheme="minorHAnsi"/>
          <w:color w:val="000000" w:themeColor="text1"/>
          <w:szCs w:val="24"/>
          <w:lang w:val="en-ZW" w:eastAsia="en-GB"/>
        </w:rPr>
      </w:pPr>
      <w:r w:rsidRPr="008C5E30">
        <w:rPr>
          <w:rFonts w:asciiTheme="minorHAnsi" w:hAnsiTheme="minorHAnsi" w:cstheme="minorHAnsi"/>
          <w:color w:val="000000" w:themeColor="text1"/>
          <w:szCs w:val="24"/>
          <w:lang w:val="en-ZW" w:eastAsia="en-GB"/>
        </w:rPr>
        <w:t>serving as a means for community members to create, discuss and exchange information that is of interest to them, hence not only contributing to universal access but also innovation and digital content creation. </w:t>
      </w:r>
    </w:p>
    <w:p w14:paraId="00DB87C0" w14:textId="77777777" w:rsidR="008C5E30" w:rsidRPr="008C5E30" w:rsidRDefault="008C5E30" w:rsidP="00D07744">
      <w:pPr>
        <w:keepNext/>
        <w:rPr>
          <w:rFonts w:asciiTheme="minorHAnsi" w:hAnsiTheme="minorHAnsi" w:cstheme="minorHAnsi"/>
          <w:b/>
          <w:bCs/>
          <w:szCs w:val="24"/>
        </w:rPr>
      </w:pPr>
      <w:r w:rsidRPr="008C5E30">
        <w:rPr>
          <w:rFonts w:asciiTheme="minorHAnsi" w:hAnsiTheme="minorHAnsi" w:cstheme="minorHAnsi"/>
          <w:b/>
          <w:bCs/>
          <w:szCs w:val="24"/>
        </w:rPr>
        <w:t xml:space="preserve">Fostering an Enabling Environment for Complementary Connectivity Solutions </w:t>
      </w:r>
    </w:p>
    <w:p w14:paraId="00F37325" w14:textId="77777777" w:rsidR="008C5E30" w:rsidRPr="008C5E30" w:rsidRDefault="008C5E30" w:rsidP="00D07744">
      <w:pPr>
        <w:keepNext/>
        <w:rPr>
          <w:rFonts w:asciiTheme="minorHAnsi" w:hAnsiTheme="minorHAnsi" w:cstheme="minorHAnsi"/>
          <w:szCs w:val="24"/>
        </w:rPr>
      </w:pPr>
      <w:r w:rsidRPr="008C5E30">
        <w:rPr>
          <w:rFonts w:asciiTheme="minorHAnsi" w:hAnsiTheme="minorHAnsi" w:cstheme="minorHAnsi"/>
          <w:szCs w:val="24"/>
        </w:rPr>
        <w:t xml:space="preserve">Bridging the digital gap requires proactive steps and a commitment to achieve a shared goal of connecting the unconnected. To enable CN’s as a solution requires: </w:t>
      </w:r>
    </w:p>
    <w:p w14:paraId="7035ECD7" w14:textId="77777777" w:rsidR="008C5E30" w:rsidRPr="008C5E30" w:rsidRDefault="008C5E30" w:rsidP="001F4D7E">
      <w:pPr>
        <w:pStyle w:val="ListParagraph"/>
        <w:numPr>
          <w:ilvl w:val="0"/>
          <w:numId w:val="44"/>
        </w:numPr>
        <w:tabs>
          <w:tab w:val="clear" w:pos="794"/>
          <w:tab w:val="clear" w:pos="1191"/>
          <w:tab w:val="clear" w:pos="1588"/>
          <w:tab w:val="clear" w:pos="1985"/>
        </w:tabs>
        <w:overflowPunct/>
        <w:autoSpaceDE/>
        <w:autoSpaceDN/>
        <w:adjustRightInd/>
        <w:ind w:left="567" w:hanging="567"/>
        <w:contextualSpacing w:val="0"/>
        <w:textAlignment w:val="auto"/>
        <w:rPr>
          <w:rFonts w:asciiTheme="minorHAnsi" w:hAnsiTheme="minorHAnsi" w:cstheme="minorHAnsi"/>
          <w:szCs w:val="24"/>
        </w:rPr>
      </w:pPr>
      <w:r w:rsidRPr="008C5E30">
        <w:rPr>
          <w:rFonts w:asciiTheme="minorHAnsi" w:hAnsiTheme="minorHAnsi" w:cstheme="minorHAnsi"/>
          <w:b/>
          <w:bCs/>
          <w:szCs w:val="24"/>
        </w:rPr>
        <w:t>Opening up</w:t>
      </w:r>
      <w:r w:rsidRPr="008C5E30">
        <w:rPr>
          <w:rFonts w:asciiTheme="minorHAnsi" w:hAnsiTheme="minorHAnsi" w:cstheme="minorHAnsi"/>
          <w:szCs w:val="24"/>
        </w:rPr>
        <w:t xml:space="preserve"> access to and eligibility for funding mechanisms such as Universal Service Funds for Community </w:t>
      </w:r>
      <w:proofErr w:type="gramStart"/>
      <w:r w:rsidRPr="008C5E30">
        <w:rPr>
          <w:rFonts w:asciiTheme="minorHAnsi" w:hAnsiTheme="minorHAnsi" w:cstheme="minorHAnsi"/>
          <w:szCs w:val="24"/>
        </w:rPr>
        <w:t>Networks;</w:t>
      </w:r>
      <w:proofErr w:type="gramEnd"/>
    </w:p>
    <w:p w14:paraId="5FCBD7A5" w14:textId="77777777" w:rsidR="008C5E30" w:rsidRPr="008C5E30" w:rsidRDefault="008C5E30" w:rsidP="001F4D7E">
      <w:pPr>
        <w:pStyle w:val="ListParagraph"/>
        <w:numPr>
          <w:ilvl w:val="0"/>
          <w:numId w:val="44"/>
        </w:numPr>
        <w:tabs>
          <w:tab w:val="clear" w:pos="794"/>
          <w:tab w:val="clear" w:pos="1191"/>
          <w:tab w:val="clear" w:pos="1588"/>
          <w:tab w:val="clear" w:pos="1985"/>
        </w:tabs>
        <w:overflowPunct/>
        <w:autoSpaceDE/>
        <w:autoSpaceDN/>
        <w:adjustRightInd/>
        <w:ind w:left="567" w:hanging="567"/>
        <w:contextualSpacing w:val="0"/>
        <w:textAlignment w:val="auto"/>
        <w:rPr>
          <w:rFonts w:asciiTheme="minorHAnsi" w:hAnsiTheme="minorHAnsi" w:cstheme="minorHAnsi"/>
          <w:szCs w:val="24"/>
        </w:rPr>
      </w:pPr>
      <w:r w:rsidRPr="008C5E30">
        <w:rPr>
          <w:rFonts w:asciiTheme="minorHAnsi" w:hAnsiTheme="minorHAnsi" w:cstheme="minorHAnsi"/>
          <w:b/>
          <w:bCs/>
          <w:szCs w:val="24"/>
        </w:rPr>
        <w:t>Creating</w:t>
      </w:r>
      <w:r w:rsidRPr="008C5E30">
        <w:rPr>
          <w:rFonts w:asciiTheme="minorHAnsi" w:hAnsiTheme="minorHAnsi" w:cstheme="minorHAnsi"/>
          <w:szCs w:val="24"/>
        </w:rPr>
        <w:t xml:space="preserve"> innovative and appropriate licensing and authorization frameworks that are affordable and easy to understand for small-scale community operators; and</w:t>
      </w:r>
    </w:p>
    <w:p w14:paraId="2A1CCDF4" w14:textId="77777777" w:rsidR="008C5E30" w:rsidRPr="008C5E30" w:rsidRDefault="008C5E30" w:rsidP="001F4D7E">
      <w:pPr>
        <w:pStyle w:val="ListParagraph"/>
        <w:numPr>
          <w:ilvl w:val="0"/>
          <w:numId w:val="44"/>
        </w:numPr>
        <w:tabs>
          <w:tab w:val="clear" w:pos="794"/>
          <w:tab w:val="clear" w:pos="1191"/>
          <w:tab w:val="clear" w:pos="1588"/>
          <w:tab w:val="clear" w:pos="1985"/>
        </w:tabs>
        <w:overflowPunct/>
        <w:autoSpaceDE/>
        <w:autoSpaceDN/>
        <w:adjustRightInd/>
        <w:ind w:left="567" w:hanging="567"/>
        <w:contextualSpacing w:val="0"/>
        <w:textAlignment w:val="auto"/>
        <w:rPr>
          <w:rFonts w:asciiTheme="minorHAnsi" w:hAnsiTheme="minorHAnsi" w:cstheme="minorHAnsi"/>
          <w:szCs w:val="24"/>
        </w:rPr>
      </w:pPr>
      <w:r w:rsidRPr="008C5E30">
        <w:rPr>
          <w:rFonts w:asciiTheme="minorHAnsi" w:hAnsiTheme="minorHAnsi" w:cstheme="minorHAnsi"/>
          <w:b/>
          <w:bCs/>
          <w:szCs w:val="24"/>
        </w:rPr>
        <w:t>Adopting</w:t>
      </w:r>
      <w:r w:rsidRPr="008C5E30">
        <w:rPr>
          <w:rFonts w:asciiTheme="minorHAnsi" w:hAnsiTheme="minorHAnsi" w:cstheme="minorHAnsi"/>
          <w:szCs w:val="24"/>
        </w:rPr>
        <w:t xml:space="preserve"> innovative spectrum licensing frameworks to create opportunities to access unused spectrum.</w:t>
      </w:r>
      <w:r w:rsidRPr="008C5E30">
        <w:rPr>
          <w:rStyle w:val="FootnoteReference"/>
          <w:rFonts w:asciiTheme="minorHAnsi" w:hAnsiTheme="minorHAnsi" w:cstheme="minorHAnsi"/>
          <w:sz w:val="24"/>
          <w:szCs w:val="24"/>
          <w:vertAlign w:val="superscript"/>
        </w:rPr>
        <w:footnoteReference w:id="3"/>
      </w:r>
      <w:r w:rsidRPr="008C5E30">
        <w:rPr>
          <w:rFonts w:asciiTheme="minorHAnsi" w:hAnsiTheme="minorHAnsi" w:cstheme="minorHAnsi"/>
          <w:szCs w:val="24"/>
        </w:rPr>
        <w:t xml:space="preserve"> </w:t>
      </w:r>
    </w:p>
    <w:p w14:paraId="1507826D" w14:textId="64EBD9C0" w:rsidR="008C5E30" w:rsidRPr="008C5E30" w:rsidRDefault="008C5E30" w:rsidP="001F4D7E">
      <w:pPr>
        <w:ind w:firstLine="567"/>
        <w:rPr>
          <w:rFonts w:asciiTheme="minorHAnsi" w:hAnsiTheme="minorHAnsi" w:cstheme="minorHAnsi"/>
          <w:szCs w:val="24"/>
        </w:rPr>
      </w:pPr>
      <w:r w:rsidRPr="008C5E30">
        <w:rPr>
          <w:rFonts w:asciiTheme="minorHAnsi" w:hAnsiTheme="minorHAnsi" w:cstheme="minorHAnsi"/>
          <w:szCs w:val="24"/>
        </w:rPr>
        <w:t xml:space="preserve">For more detailed information please </w:t>
      </w:r>
      <w:proofErr w:type="gramStart"/>
      <w:r w:rsidRPr="008C5E30">
        <w:rPr>
          <w:rFonts w:asciiTheme="minorHAnsi" w:hAnsiTheme="minorHAnsi" w:cstheme="minorHAnsi"/>
          <w:szCs w:val="24"/>
          <w:u w:val="single"/>
        </w:rPr>
        <w:t>see</w:t>
      </w:r>
      <w:r w:rsidRPr="008C5E30">
        <w:rPr>
          <w:rFonts w:asciiTheme="minorHAnsi" w:hAnsiTheme="minorHAnsi" w:cstheme="minorHAnsi"/>
          <w:szCs w:val="24"/>
        </w:rPr>
        <w:t>:</w:t>
      </w:r>
      <w:proofErr w:type="gramEnd"/>
      <w:r w:rsidRPr="008C5E30">
        <w:rPr>
          <w:rFonts w:asciiTheme="minorHAnsi" w:hAnsiTheme="minorHAnsi" w:cstheme="minorHAnsi"/>
          <w:szCs w:val="24"/>
        </w:rPr>
        <w:t xml:space="preserve"> ISOC’s ITU-D Study Group (SG-1) 1/Question1 Submission “Creating an Enabling Regulatory Environment for Community Networks” </w:t>
      </w:r>
      <w:hyperlink r:id="rId12">
        <w:r w:rsidRPr="008C5E30">
          <w:rPr>
            <w:rStyle w:val="Hyperlink"/>
            <w:rFonts w:asciiTheme="minorHAnsi" w:hAnsiTheme="minorHAnsi" w:cstheme="minorHAnsi"/>
            <w:szCs w:val="24"/>
          </w:rPr>
          <w:t>https://www.itu.int/md/D18-SG01.RGQ-C-0338/</w:t>
        </w:r>
      </w:hyperlink>
      <w:r>
        <w:rPr>
          <w:rStyle w:val="Hyperlink"/>
          <w:rFonts w:asciiTheme="minorHAnsi" w:hAnsiTheme="minorHAnsi" w:cstheme="minorHAnsi"/>
          <w:szCs w:val="24"/>
        </w:rPr>
        <w:t xml:space="preserve"> </w:t>
      </w:r>
    </w:p>
    <w:p w14:paraId="4E6F717B" w14:textId="77777777" w:rsidR="008C5E30" w:rsidRPr="008C5E30" w:rsidRDefault="008C5E30" w:rsidP="00D07744">
      <w:pPr>
        <w:keepNext/>
        <w:rPr>
          <w:rFonts w:asciiTheme="minorHAnsi" w:hAnsiTheme="minorHAnsi" w:cstheme="minorHAnsi"/>
          <w:b/>
          <w:bCs/>
          <w:szCs w:val="24"/>
        </w:rPr>
      </w:pPr>
      <w:r w:rsidRPr="008C5E30">
        <w:rPr>
          <w:rFonts w:asciiTheme="minorHAnsi" w:hAnsiTheme="minorHAnsi" w:cstheme="minorHAnsi"/>
          <w:b/>
          <w:bCs/>
          <w:szCs w:val="24"/>
        </w:rPr>
        <w:t xml:space="preserve">Complementary connectivity in Africa Region – Some case studies </w:t>
      </w:r>
    </w:p>
    <w:p w14:paraId="24615D3E" w14:textId="77777777" w:rsidR="008C5E30" w:rsidRPr="008C5E30" w:rsidRDefault="008C5E30" w:rsidP="001F4D7E">
      <w:pPr>
        <w:pStyle w:val="NormalWeb"/>
        <w:numPr>
          <w:ilvl w:val="0"/>
          <w:numId w:val="48"/>
        </w:numPr>
        <w:shd w:val="clear" w:color="auto" w:fill="FFFFFF"/>
        <w:spacing w:before="120" w:beforeAutospacing="0" w:after="0" w:afterAutospacing="0"/>
        <w:ind w:left="567" w:hanging="567"/>
        <w:rPr>
          <w:rFonts w:asciiTheme="minorHAnsi" w:hAnsiTheme="minorHAnsi" w:cstheme="minorHAnsi"/>
          <w:color w:val="0C1C2C"/>
        </w:rPr>
      </w:pPr>
      <w:r w:rsidRPr="008C5E30">
        <w:rPr>
          <w:rFonts w:asciiTheme="minorHAnsi" w:hAnsiTheme="minorHAnsi" w:cstheme="minorHAnsi"/>
          <w:b/>
          <w:bCs/>
        </w:rPr>
        <w:t xml:space="preserve">Uganda - BOSCO: </w:t>
      </w:r>
      <w:hyperlink r:id="rId13" w:history="1">
        <w:r w:rsidRPr="008C5E30">
          <w:rPr>
            <w:rStyle w:val="Hyperlink"/>
            <w:rFonts w:asciiTheme="minorHAnsi" w:eastAsiaTheme="majorEastAsia" w:hAnsiTheme="minorHAnsi" w:cstheme="minorHAnsi"/>
            <w:color w:val="2B72D6"/>
            <w:bdr w:val="none" w:sz="0" w:space="0" w:color="auto" w:frame="1"/>
          </w:rPr>
          <w:t>Battery Operated System for Community Outreach (BOSCO) Uganda</w:t>
        </w:r>
      </w:hyperlink>
      <w:r w:rsidRPr="008C5E30">
        <w:rPr>
          <w:rFonts w:asciiTheme="minorHAnsi" w:hAnsiTheme="minorHAnsi" w:cstheme="minorHAnsi"/>
          <w:color w:val="0C1C2C"/>
        </w:rPr>
        <w:t xml:space="preserve"> is a not-for-profit organisation under the trusteeship of the Catholic Archdiocese of </w:t>
      </w:r>
      <w:proofErr w:type="spellStart"/>
      <w:r w:rsidRPr="008C5E30">
        <w:rPr>
          <w:rFonts w:asciiTheme="minorHAnsi" w:hAnsiTheme="minorHAnsi" w:cstheme="minorHAnsi"/>
          <w:color w:val="0C1C2C"/>
        </w:rPr>
        <w:t>Gulu</w:t>
      </w:r>
      <w:proofErr w:type="spellEnd"/>
      <w:r w:rsidRPr="008C5E30">
        <w:rPr>
          <w:rFonts w:asciiTheme="minorHAnsi" w:hAnsiTheme="minorHAnsi" w:cstheme="minorHAnsi"/>
          <w:color w:val="0C1C2C"/>
        </w:rPr>
        <w:t xml:space="preserve"> founded in 2007. Its mission is to provide innovative information and communication technology (ICT) solutions using a collaborative and web-based approach to foster socioeconomic development and peace building in rural communities in northern Uganda. </w:t>
      </w:r>
      <w:r w:rsidRPr="008C5E30">
        <w:rPr>
          <w:rFonts w:asciiTheme="minorHAnsi" w:hAnsiTheme="minorHAnsi" w:cstheme="minorHAnsi"/>
          <w:color w:val="0C1C2C"/>
        </w:rPr>
        <w:lastRenderedPageBreak/>
        <w:t xml:space="preserve">BOSCO supports 48 ICT and Development Centres with over 60,000 beneficiaries in the Northern and West Nile regions in Uganda. It was awarded the 2010 Breaking Borders Award in Technology from Google and Global Voices, and the Rural E-Services Award from the Uganda Communications Commission in 2012.BOSCO operates over 30 solar-powered ICT labs, and five larger microgrids, two of which at 30 </w:t>
      </w:r>
      <w:proofErr w:type="spellStart"/>
      <w:r w:rsidRPr="008C5E30">
        <w:rPr>
          <w:rFonts w:asciiTheme="minorHAnsi" w:hAnsiTheme="minorHAnsi" w:cstheme="minorHAnsi"/>
          <w:color w:val="0C1C2C"/>
        </w:rPr>
        <w:t>kWp</w:t>
      </w:r>
      <w:proofErr w:type="spellEnd"/>
      <w:r w:rsidRPr="008C5E30">
        <w:rPr>
          <w:rFonts w:asciiTheme="minorHAnsi" w:hAnsiTheme="minorHAnsi" w:cstheme="minorHAnsi"/>
          <w:color w:val="0C1C2C"/>
        </w:rPr>
        <w:t xml:space="preserve"> are sustainable economically with a slow payback of capital expense.</w:t>
      </w:r>
    </w:p>
    <w:p w14:paraId="0DB33BD4" w14:textId="77777777" w:rsidR="008C5E30" w:rsidRPr="008C5E30" w:rsidRDefault="008C5E30" w:rsidP="001F4D7E">
      <w:pPr>
        <w:pStyle w:val="ListParagraph"/>
        <w:numPr>
          <w:ilvl w:val="0"/>
          <w:numId w:val="45"/>
        </w:numPr>
        <w:tabs>
          <w:tab w:val="clear" w:pos="794"/>
          <w:tab w:val="clear" w:pos="1191"/>
          <w:tab w:val="clear" w:pos="1588"/>
          <w:tab w:val="clear" w:pos="1985"/>
        </w:tabs>
        <w:overflowPunct/>
        <w:autoSpaceDE/>
        <w:autoSpaceDN/>
        <w:adjustRightInd/>
        <w:ind w:left="567" w:hanging="567"/>
        <w:contextualSpacing w:val="0"/>
        <w:textAlignment w:val="auto"/>
        <w:rPr>
          <w:rFonts w:asciiTheme="minorHAnsi" w:hAnsiTheme="minorHAnsi" w:cstheme="minorHAnsi"/>
          <w:szCs w:val="24"/>
        </w:rPr>
      </w:pPr>
      <w:r w:rsidRPr="008C5E30">
        <w:rPr>
          <w:rFonts w:asciiTheme="minorHAnsi" w:eastAsia="Calibri" w:hAnsiTheme="minorHAnsi" w:cstheme="minorHAnsi"/>
          <w:b/>
          <w:szCs w:val="24"/>
        </w:rPr>
        <w:t xml:space="preserve">Zimbabwe - </w:t>
      </w:r>
      <w:proofErr w:type="spellStart"/>
      <w:r w:rsidRPr="008C5E30">
        <w:rPr>
          <w:rFonts w:asciiTheme="minorHAnsi" w:eastAsia="Calibri" w:hAnsiTheme="minorHAnsi" w:cstheme="minorHAnsi"/>
          <w:b/>
          <w:szCs w:val="24"/>
        </w:rPr>
        <w:t>Murambinda</w:t>
      </w:r>
      <w:proofErr w:type="spellEnd"/>
      <w:r w:rsidRPr="008C5E30">
        <w:rPr>
          <w:rFonts w:asciiTheme="minorHAnsi" w:eastAsia="Calibri" w:hAnsiTheme="minorHAnsi" w:cstheme="minorHAnsi"/>
          <w:b/>
          <w:szCs w:val="24"/>
        </w:rPr>
        <w:t xml:space="preserve"> Works</w:t>
      </w:r>
      <w:r w:rsidRPr="008C5E30">
        <w:rPr>
          <w:rFonts w:asciiTheme="minorHAnsi" w:eastAsia="Calibri" w:hAnsiTheme="minorHAnsi" w:cstheme="minorHAnsi"/>
          <w:szCs w:val="24"/>
        </w:rPr>
        <w:t xml:space="preserve">: </w:t>
      </w:r>
      <w:proofErr w:type="spellStart"/>
      <w:r w:rsidRPr="008C5E30">
        <w:rPr>
          <w:rFonts w:asciiTheme="minorHAnsi" w:hAnsiTheme="minorHAnsi" w:cstheme="minorHAnsi"/>
          <w:szCs w:val="24"/>
        </w:rPr>
        <w:t>Murambinda</w:t>
      </w:r>
      <w:proofErr w:type="spellEnd"/>
      <w:r w:rsidRPr="008C5E30">
        <w:rPr>
          <w:rFonts w:asciiTheme="minorHAnsi" w:hAnsiTheme="minorHAnsi" w:cstheme="minorHAnsi"/>
          <w:szCs w:val="24"/>
        </w:rPr>
        <w:t xml:space="preserve"> Works is a community network in Zimbabwe’s rural </w:t>
      </w:r>
      <w:proofErr w:type="spellStart"/>
      <w:r w:rsidRPr="008C5E30">
        <w:rPr>
          <w:rFonts w:asciiTheme="minorHAnsi" w:hAnsiTheme="minorHAnsi" w:cstheme="minorHAnsi"/>
          <w:szCs w:val="24"/>
        </w:rPr>
        <w:t>Buhera</w:t>
      </w:r>
      <w:proofErr w:type="spellEnd"/>
      <w:r w:rsidRPr="008C5E30">
        <w:rPr>
          <w:rFonts w:asciiTheme="minorHAnsi" w:hAnsiTheme="minorHAnsi" w:cstheme="minorHAnsi"/>
          <w:szCs w:val="24"/>
        </w:rPr>
        <w:t xml:space="preserve"> district.</w:t>
      </w:r>
      <w:r w:rsidRPr="008C5E30">
        <w:rPr>
          <w:rFonts w:asciiTheme="minorHAnsi" w:hAnsiTheme="minorHAnsi" w:cstheme="minorHAnsi"/>
          <w:szCs w:val="24"/>
          <w:vertAlign w:val="superscript"/>
        </w:rPr>
        <w:footnoteReference w:id="4"/>
      </w:r>
      <w:r w:rsidRPr="008C5E30">
        <w:rPr>
          <w:rFonts w:asciiTheme="minorHAnsi" w:hAnsiTheme="minorHAnsi" w:cstheme="minorHAnsi"/>
          <w:szCs w:val="24"/>
        </w:rPr>
        <w:t xml:space="preserve"> The connectivity project works closely with local schools and the country’s Ministry of Education to provide e-learning services to schools.</w:t>
      </w:r>
      <w:r w:rsidRPr="008C5E30">
        <w:rPr>
          <w:rFonts w:asciiTheme="minorHAnsi" w:hAnsiTheme="minorHAnsi" w:cstheme="minorHAnsi"/>
          <w:szCs w:val="24"/>
          <w:vertAlign w:val="superscript"/>
        </w:rPr>
        <w:footnoteReference w:id="5"/>
      </w:r>
      <w:r w:rsidRPr="008C5E30">
        <w:rPr>
          <w:rFonts w:asciiTheme="minorHAnsi" w:hAnsiTheme="minorHAnsi" w:cstheme="minorHAnsi"/>
          <w:szCs w:val="24"/>
        </w:rPr>
        <w:t xml:space="preserve"> The publicly owned </w:t>
      </w:r>
      <w:proofErr w:type="spellStart"/>
      <w:r w:rsidRPr="008C5E30">
        <w:rPr>
          <w:rFonts w:asciiTheme="minorHAnsi" w:hAnsiTheme="minorHAnsi" w:cstheme="minorHAnsi"/>
          <w:szCs w:val="24"/>
        </w:rPr>
        <w:t>TelOne</w:t>
      </w:r>
      <w:proofErr w:type="spellEnd"/>
      <w:r w:rsidRPr="008C5E30">
        <w:rPr>
          <w:rFonts w:asciiTheme="minorHAnsi" w:hAnsiTheme="minorHAnsi" w:cstheme="minorHAnsi"/>
          <w:szCs w:val="24"/>
        </w:rPr>
        <w:t xml:space="preserve"> Zimbabwe ISP partnered with </w:t>
      </w:r>
      <w:proofErr w:type="spellStart"/>
      <w:r w:rsidRPr="008C5E30">
        <w:rPr>
          <w:rFonts w:asciiTheme="minorHAnsi" w:hAnsiTheme="minorHAnsi" w:cstheme="minorHAnsi"/>
          <w:szCs w:val="24"/>
        </w:rPr>
        <w:t>Murambinda</w:t>
      </w:r>
      <w:proofErr w:type="spellEnd"/>
      <w:r w:rsidRPr="008C5E30">
        <w:rPr>
          <w:rFonts w:asciiTheme="minorHAnsi" w:hAnsiTheme="minorHAnsi" w:cstheme="minorHAnsi"/>
          <w:szCs w:val="24"/>
        </w:rPr>
        <w:t xml:space="preserve"> Works to provide Internet connection, and the telecommunications regulator has granted preliminary approval for the pilot to go ahead. The initiative is continued discussions with the regulator for approval of a license. </w:t>
      </w:r>
    </w:p>
    <w:p w14:paraId="2BAAB21B" w14:textId="6D6C11ED" w:rsidR="008C5E30" w:rsidRPr="008C5E30" w:rsidRDefault="008C5E30" w:rsidP="001F4D7E">
      <w:pPr>
        <w:pStyle w:val="NormalWeb"/>
        <w:numPr>
          <w:ilvl w:val="0"/>
          <w:numId w:val="45"/>
        </w:numPr>
        <w:shd w:val="clear" w:color="auto" w:fill="FFFFFF" w:themeFill="background1"/>
        <w:spacing w:before="120" w:beforeAutospacing="0" w:after="0" w:afterAutospacing="0"/>
        <w:ind w:left="567" w:hanging="567"/>
        <w:rPr>
          <w:rFonts w:asciiTheme="minorHAnsi" w:hAnsiTheme="minorHAnsi" w:cstheme="minorHAnsi"/>
          <w:color w:val="0C1C2C"/>
        </w:rPr>
      </w:pPr>
      <w:r w:rsidRPr="008C5E30">
        <w:rPr>
          <w:rFonts w:asciiTheme="minorHAnsi" w:hAnsiTheme="minorHAnsi" w:cstheme="minorHAnsi"/>
          <w:b/>
          <w:bCs/>
          <w:color w:val="0C1C2C"/>
        </w:rPr>
        <w:t>Democratic Republic of Congo,</w:t>
      </w:r>
      <w:r>
        <w:rPr>
          <w:rFonts w:asciiTheme="minorHAnsi" w:hAnsiTheme="minorHAnsi" w:cstheme="minorHAnsi"/>
          <w:b/>
          <w:bCs/>
          <w:color w:val="0C1C2C"/>
        </w:rPr>
        <w:t xml:space="preserve"> </w:t>
      </w:r>
      <w:proofErr w:type="spellStart"/>
      <w:r w:rsidRPr="008C5E30">
        <w:rPr>
          <w:rFonts w:asciiTheme="minorHAnsi" w:hAnsiTheme="minorHAnsi" w:cstheme="minorHAnsi"/>
          <w:color w:val="0C1C2C"/>
        </w:rPr>
        <w:t>PamojaNet</w:t>
      </w:r>
      <w:proofErr w:type="spellEnd"/>
      <w:r w:rsidRPr="008C5E30">
        <w:rPr>
          <w:rFonts w:asciiTheme="minorHAnsi" w:hAnsiTheme="minorHAnsi" w:cstheme="minorHAnsi"/>
          <w:color w:val="0C1C2C"/>
        </w:rPr>
        <w:t xml:space="preserve"> - Pamoja, “together” in Swahili, is an initiative of Ensemble which began in 2016 to install the island’s first Wi-Fi network, </w:t>
      </w:r>
      <w:hyperlink r:id="rId14" w:history="1">
        <w:r w:rsidRPr="008C5E30">
          <w:rPr>
            <w:rStyle w:val="Hyperlink"/>
            <w:rFonts w:asciiTheme="minorHAnsi" w:eastAsiaTheme="majorEastAsia" w:hAnsiTheme="minorHAnsi" w:cstheme="minorHAnsi"/>
            <w:color w:val="2B72D6"/>
            <w:bdr w:val="none" w:sz="0" w:space="0" w:color="auto" w:frame="1"/>
          </w:rPr>
          <w:t>Pamoja Net</w:t>
        </w:r>
      </w:hyperlink>
      <w:r w:rsidRPr="008C5E30">
        <w:rPr>
          <w:rFonts w:asciiTheme="minorHAnsi" w:hAnsiTheme="minorHAnsi" w:cstheme="minorHAnsi"/>
          <w:color w:val="0C1C2C"/>
        </w:rPr>
        <w:t>. Over 3,900 people have now benefitted from free access to Pamoja Net. Research carried out by Ensemble revealed that 98% of users felt that Pamoja Net had contributed to a positive change in their life from a new-found ability to connect with family and friends to conducting educational research, making job applications, checking weather reports before fishing on Lake Kivu and saving money.</w:t>
      </w:r>
    </w:p>
    <w:p w14:paraId="0AC8923F" w14:textId="77777777" w:rsidR="008C5E30" w:rsidRPr="008C5E30" w:rsidRDefault="008C5E30" w:rsidP="001F4D7E">
      <w:pPr>
        <w:pStyle w:val="NormalWeb"/>
        <w:keepNext/>
        <w:shd w:val="clear" w:color="auto" w:fill="FFFFFF"/>
        <w:overflowPunct w:val="0"/>
        <w:autoSpaceDE w:val="0"/>
        <w:autoSpaceDN w:val="0"/>
        <w:adjustRightInd w:val="0"/>
        <w:spacing w:before="120" w:beforeAutospacing="0" w:after="0" w:afterAutospacing="0"/>
        <w:textAlignment w:val="baseline"/>
        <w:rPr>
          <w:rFonts w:asciiTheme="minorHAnsi" w:hAnsiTheme="minorHAnsi" w:cstheme="minorHAnsi"/>
          <w:color w:val="0C1C2C"/>
        </w:rPr>
      </w:pPr>
      <w:r w:rsidRPr="008C5E30">
        <w:rPr>
          <w:rFonts w:asciiTheme="minorHAnsi" w:hAnsiTheme="minorHAnsi" w:cstheme="minorHAnsi"/>
        </w:rPr>
        <w:t>We request that ATU colleagues consider the importance of Community Networks and other alternative local-access networks to provide much needed affordable connectivity to the underserved in rural and remote areas, working with the Internet Society and other partners to encourage their deployment and uptake.</w:t>
      </w:r>
    </w:p>
    <w:p w14:paraId="326112E0" w14:textId="0FA21CC9" w:rsidR="008C5E30" w:rsidRPr="008C5E30" w:rsidRDefault="008C5E30" w:rsidP="00D07744">
      <w:pPr>
        <w:keepNext/>
        <w:rPr>
          <w:rFonts w:asciiTheme="minorHAnsi" w:hAnsiTheme="minorHAnsi" w:cstheme="minorHAnsi"/>
          <w:b/>
          <w:bCs/>
          <w:szCs w:val="24"/>
        </w:rPr>
      </w:pPr>
      <w:r w:rsidRPr="008C5E30">
        <w:rPr>
          <w:rFonts w:asciiTheme="minorHAnsi" w:hAnsiTheme="minorHAnsi" w:cstheme="minorHAnsi"/>
          <w:b/>
          <w:bCs/>
          <w:szCs w:val="24"/>
        </w:rPr>
        <w:t>Additional Resources:</w:t>
      </w:r>
    </w:p>
    <w:p w14:paraId="511DEC12" w14:textId="77777777" w:rsidR="008C5E30" w:rsidRPr="008C5E30" w:rsidRDefault="008C5E30" w:rsidP="001F4D7E">
      <w:pPr>
        <w:pStyle w:val="ListParagraph"/>
        <w:numPr>
          <w:ilvl w:val="0"/>
          <w:numId w:val="47"/>
        </w:numPr>
        <w:tabs>
          <w:tab w:val="clear" w:pos="794"/>
          <w:tab w:val="clear" w:pos="1191"/>
          <w:tab w:val="clear" w:pos="1588"/>
          <w:tab w:val="clear" w:pos="1985"/>
        </w:tabs>
        <w:overflowPunct/>
        <w:autoSpaceDE/>
        <w:autoSpaceDN/>
        <w:adjustRightInd/>
        <w:ind w:left="567" w:hanging="567"/>
        <w:contextualSpacing w:val="0"/>
        <w:textAlignment w:val="auto"/>
        <w:rPr>
          <w:rFonts w:asciiTheme="minorHAnsi" w:hAnsiTheme="minorHAnsi" w:cstheme="minorHAnsi"/>
          <w:szCs w:val="24"/>
        </w:rPr>
      </w:pPr>
      <w:r w:rsidRPr="008C5E30">
        <w:rPr>
          <w:rFonts w:asciiTheme="minorHAnsi" w:hAnsiTheme="minorHAnsi" w:cstheme="minorHAnsi"/>
          <w:szCs w:val="24"/>
        </w:rPr>
        <w:t xml:space="preserve">Unleashing Community Networks: Innovative Licensing Approaches: </w:t>
      </w:r>
      <w:hyperlink r:id="rId15" w:history="1">
        <w:r w:rsidRPr="008C5E30">
          <w:rPr>
            <w:rStyle w:val="Hyperlink"/>
            <w:rFonts w:asciiTheme="minorHAnsi" w:hAnsiTheme="minorHAnsi" w:cstheme="minorHAnsi"/>
            <w:szCs w:val="24"/>
          </w:rPr>
          <w:t>https://www.internetsociety.org/resources/2018/unleashing-community-networks-innovative-licensing-approaches/</w:t>
        </w:r>
      </w:hyperlink>
      <w:r w:rsidRPr="008C5E30">
        <w:rPr>
          <w:rFonts w:asciiTheme="minorHAnsi" w:hAnsiTheme="minorHAnsi" w:cstheme="minorHAnsi"/>
          <w:szCs w:val="24"/>
        </w:rPr>
        <w:t xml:space="preserve"> </w:t>
      </w:r>
    </w:p>
    <w:p w14:paraId="03F6606F" w14:textId="77777777" w:rsidR="008C5E30" w:rsidRPr="008C5E30" w:rsidRDefault="008C5E30" w:rsidP="001F4D7E">
      <w:pPr>
        <w:pStyle w:val="ListParagraph"/>
        <w:numPr>
          <w:ilvl w:val="0"/>
          <w:numId w:val="47"/>
        </w:numPr>
        <w:tabs>
          <w:tab w:val="clear" w:pos="794"/>
          <w:tab w:val="clear" w:pos="1191"/>
          <w:tab w:val="clear" w:pos="1588"/>
          <w:tab w:val="clear" w:pos="1985"/>
        </w:tabs>
        <w:overflowPunct/>
        <w:autoSpaceDE/>
        <w:autoSpaceDN/>
        <w:adjustRightInd/>
        <w:ind w:left="567" w:hanging="567"/>
        <w:contextualSpacing w:val="0"/>
        <w:textAlignment w:val="auto"/>
        <w:rPr>
          <w:rFonts w:asciiTheme="minorHAnsi" w:hAnsiTheme="minorHAnsi" w:cstheme="minorHAnsi"/>
          <w:szCs w:val="24"/>
        </w:rPr>
      </w:pPr>
      <w:r w:rsidRPr="008C5E30">
        <w:rPr>
          <w:rFonts w:asciiTheme="minorHAnsi" w:hAnsiTheme="minorHAnsi" w:cstheme="minorHAnsi"/>
          <w:szCs w:val="24"/>
        </w:rPr>
        <w:t xml:space="preserve">Policy Brief: Spectrum Approaches for Community Networks: </w:t>
      </w:r>
      <w:hyperlink r:id="rId16" w:history="1">
        <w:r w:rsidRPr="008C5E30">
          <w:rPr>
            <w:rStyle w:val="Hyperlink"/>
            <w:rFonts w:asciiTheme="minorHAnsi" w:hAnsiTheme="minorHAnsi" w:cstheme="minorHAnsi"/>
            <w:szCs w:val="24"/>
          </w:rPr>
          <w:t>https://www.internetsociety.org/wp-content/uploads/2017/10/Spectrum-Approaches-for-Community-Networks_20171010.pdf</w:t>
        </w:r>
      </w:hyperlink>
      <w:r w:rsidRPr="008C5E30">
        <w:rPr>
          <w:rFonts w:asciiTheme="minorHAnsi" w:hAnsiTheme="minorHAnsi" w:cstheme="minorHAnsi"/>
          <w:szCs w:val="24"/>
        </w:rPr>
        <w:t xml:space="preserve"> </w:t>
      </w:r>
    </w:p>
    <w:p w14:paraId="1DDE3966" w14:textId="77777777" w:rsidR="008C5E30" w:rsidRPr="008C5E30" w:rsidRDefault="008C5E30" w:rsidP="001F4D7E">
      <w:pPr>
        <w:pStyle w:val="ListParagraph"/>
        <w:numPr>
          <w:ilvl w:val="0"/>
          <w:numId w:val="47"/>
        </w:numPr>
        <w:tabs>
          <w:tab w:val="clear" w:pos="794"/>
          <w:tab w:val="clear" w:pos="1191"/>
          <w:tab w:val="clear" w:pos="1588"/>
          <w:tab w:val="clear" w:pos="1985"/>
        </w:tabs>
        <w:overflowPunct/>
        <w:autoSpaceDE/>
        <w:autoSpaceDN/>
        <w:adjustRightInd/>
        <w:ind w:left="567" w:hanging="567"/>
        <w:contextualSpacing w:val="0"/>
        <w:textAlignment w:val="auto"/>
        <w:rPr>
          <w:rFonts w:asciiTheme="minorHAnsi" w:hAnsiTheme="minorHAnsi" w:cstheme="minorHAnsi"/>
          <w:szCs w:val="24"/>
        </w:rPr>
      </w:pPr>
      <w:r w:rsidRPr="008C5E30">
        <w:rPr>
          <w:rFonts w:asciiTheme="minorHAnsi" w:hAnsiTheme="minorHAnsi" w:cstheme="minorHAnsi"/>
          <w:szCs w:val="24"/>
        </w:rPr>
        <w:t xml:space="preserve">Innovations in Spectrum Management: </w:t>
      </w:r>
      <w:hyperlink r:id="rId17" w:history="1">
        <w:r w:rsidRPr="008C5E30">
          <w:rPr>
            <w:rStyle w:val="Hyperlink"/>
            <w:rFonts w:asciiTheme="minorHAnsi" w:hAnsiTheme="minorHAnsi" w:cstheme="minorHAnsi"/>
            <w:szCs w:val="24"/>
          </w:rPr>
          <w:t>https://www.internetsociety.org/resources/doc/2019/innovations-in-spectrum-management/</w:t>
        </w:r>
      </w:hyperlink>
      <w:r w:rsidRPr="008C5E30">
        <w:rPr>
          <w:rFonts w:asciiTheme="minorHAnsi" w:hAnsiTheme="minorHAnsi" w:cstheme="minorHAnsi"/>
          <w:szCs w:val="24"/>
        </w:rPr>
        <w:t xml:space="preserve"> </w:t>
      </w:r>
    </w:p>
    <w:p w14:paraId="714CC4EF" w14:textId="77777777" w:rsidR="008C5E30" w:rsidRPr="008C5E30" w:rsidRDefault="008C5E30" w:rsidP="001F4D7E">
      <w:pPr>
        <w:pStyle w:val="ListParagraph"/>
        <w:numPr>
          <w:ilvl w:val="0"/>
          <w:numId w:val="47"/>
        </w:numPr>
        <w:tabs>
          <w:tab w:val="clear" w:pos="794"/>
          <w:tab w:val="clear" w:pos="1191"/>
          <w:tab w:val="clear" w:pos="1588"/>
          <w:tab w:val="clear" w:pos="1985"/>
        </w:tabs>
        <w:overflowPunct/>
        <w:autoSpaceDE/>
        <w:autoSpaceDN/>
        <w:adjustRightInd/>
        <w:ind w:left="567" w:hanging="567"/>
        <w:contextualSpacing w:val="0"/>
        <w:textAlignment w:val="auto"/>
        <w:rPr>
          <w:rFonts w:asciiTheme="minorHAnsi" w:hAnsiTheme="minorHAnsi" w:cstheme="minorHAnsi"/>
          <w:szCs w:val="24"/>
        </w:rPr>
      </w:pPr>
      <w:r w:rsidRPr="008C5E30">
        <w:rPr>
          <w:rFonts w:asciiTheme="minorHAnsi" w:hAnsiTheme="minorHAnsi" w:cstheme="minorHAnsi"/>
          <w:szCs w:val="24"/>
        </w:rPr>
        <w:t xml:space="preserve">Community Network Policies: A Collaborative Governance towards Enabling Frameworks: </w:t>
      </w:r>
      <w:hyperlink r:id="rId18">
        <w:r w:rsidRPr="008C5E30">
          <w:rPr>
            <w:rStyle w:val="Hyperlink"/>
            <w:rFonts w:asciiTheme="minorHAnsi" w:hAnsiTheme="minorHAnsi" w:cstheme="minorHAnsi"/>
            <w:szCs w:val="24"/>
          </w:rPr>
          <w:t>https://comconnectivity.org/wp-content/uploads/2020/05/building_community_network_policies_-_a_collaborative_governance_towards_enabling_frameworks.pdf</w:t>
        </w:r>
      </w:hyperlink>
      <w:r w:rsidRPr="008C5E30">
        <w:rPr>
          <w:rFonts w:asciiTheme="minorHAnsi" w:hAnsiTheme="minorHAnsi" w:cstheme="minorHAnsi"/>
          <w:szCs w:val="24"/>
        </w:rPr>
        <w:t xml:space="preserve"> </w:t>
      </w:r>
    </w:p>
    <w:p w14:paraId="292BFE96" w14:textId="0E5823F0" w:rsidR="008C5E30" w:rsidRPr="008C5E30" w:rsidRDefault="008C5E30" w:rsidP="001F4D7E">
      <w:pPr>
        <w:pStyle w:val="list-bullet1"/>
        <w:numPr>
          <w:ilvl w:val="0"/>
          <w:numId w:val="47"/>
        </w:numPr>
        <w:spacing w:before="120" w:beforeAutospacing="0" w:after="0" w:afterAutospacing="0"/>
        <w:ind w:left="567" w:hanging="567"/>
        <w:rPr>
          <w:rFonts w:asciiTheme="minorHAnsi" w:hAnsiTheme="minorHAnsi" w:cstheme="minorHAnsi"/>
        </w:rPr>
      </w:pPr>
      <w:r w:rsidRPr="008C5E30">
        <w:rPr>
          <w:rStyle w:val="author-10450825937"/>
          <w:rFonts w:asciiTheme="minorHAnsi" w:hAnsiTheme="minorHAnsi" w:cstheme="minorHAnsi"/>
          <w:color w:val="222222"/>
        </w:rPr>
        <w:t>COVID-19 Policy Recommendations</w:t>
      </w:r>
      <w:r>
        <w:rPr>
          <w:rStyle w:val="author-10450825937"/>
          <w:rFonts w:asciiTheme="minorHAnsi" w:hAnsiTheme="minorHAnsi" w:cstheme="minorHAnsi"/>
          <w:color w:val="222222"/>
        </w:rPr>
        <w:t xml:space="preserve"> </w:t>
      </w:r>
      <w:hyperlink r:id="rId19" w:tgtFrame="_blank" w:history="1">
        <w:r w:rsidRPr="008C5E30">
          <w:rPr>
            <w:rStyle w:val="Hyperlink"/>
            <w:rFonts w:asciiTheme="minorHAnsi" w:hAnsiTheme="minorHAnsi" w:cstheme="minorHAnsi"/>
          </w:rPr>
          <w:t>https://www.internetsociety.org/covid19-policy-recommendations</w:t>
        </w:r>
      </w:hyperlink>
    </w:p>
    <w:p w14:paraId="17D27A6A" w14:textId="77777777" w:rsidR="008C5E30" w:rsidRPr="008C5E30" w:rsidRDefault="008C5E30" w:rsidP="001F4D7E">
      <w:pPr>
        <w:pStyle w:val="list-bullet1"/>
        <w:numPr>
          <w:ilvl w:val="0"/>
          <w:numId w:val="47"/>
        </w:numPr>
        <w:spacing w:before="120" w:beforeAutospacing="0" w:after="0" w:afterAutospacing="0"/>
        <w:ind w:left="567" w:hanging="567"/>
        <w:rPr>
          <w:rFonts w:asciiTheme="minorHAnsi" w:hAnsiTheme="minorHAnsi" w:cstheme="minorHAnsi"/>
        </w:rPr>
      </w:pPr>
      <w:r w:rsidRPr="008C5E30">
        <w:rPr>
          <w:rStyle w:val="author-10450825937"/>
          <w:rFonts w:asciiTheme="minorHAnsi" w:hAnsiTheme="minorHAnsi" w:cstheme="minorHAnsi"/>
          <w:color w:val="222222"/>
        </w:rPr>
        <w:lastRenderedPageBreak/>
        <w:t xml:space="preserve">Supporting the Creation and Scalability of Affordable Access Solutions: Understanding Community Networks in Africa: </w:t>
      </w:r>
      <w:hyperlink r:id="rId20" w:tgtFrame="_blank" w:history="1">
        <w:r w:rsidRPr="008C5E30">
          <w:rPr>
            <w:rStyle w:val="Hyperlink"/>
            <w:rFonts w:asciiTheme="minorHAnsi" w:hAnsiTheme="minorHAnsi" w:cstheme="minorHAnsi"/>
          </w:rPr>
          <w:t>https://www.internetsociety.org/resources/doc/2017/supporting-the-creation-and-scalability-of-affordable-access-solutions-understanding-community-networks-in-africa/</w:t>
        </w:r>
      </w:hyperlink>
    </w:p>
    <w:p w14:paraId="00AEF7A6" w14:textId="77777777" w:rsidR="008C5E30" w:rsidRPr="008C5E30" w:rsidRDefault="008C5E30" w:rsidP="001F4D7E">
      <w:pPr>
        <w:pStyle w:val="list-bullet1"/>
        <w:numPr>
          <w:ilvl w:val="0"/>
          <w:numId w:val="47"/>
        </w:numPr>
        <w:spacing w:before="120" w:beforeAutospacing="0" w:after="0" w:afterAutospacing="0"/>
        <w:ind w:left="567" w:hanging="567"/>
        <w:rPr>
          <w:rFonts w:asciiTheme="minorHAnsi" w:hAnsiTheme="minorHAnsi" w:cstheme="minorHAnsi"/>
        </w:rPr>
      </w:pPr>
      <w:proofErr w:type="spellStart"/>
      <w:r w:rsidRPr="008C5E30">
        <w:rPr>
          <w:rStyle w:val="author-10450825937"/>
          <w:rFonts w:asciiTheme="minorHAnsi" w:hAnsiTheme="minorHAnsi" w:cstheme="minorHAnsi"/>
          <w:color w:val="222222"/>
        </w:rPr>
        <w:t>Murambinda</w:t>
      </w:r>
      <w:proofErr w:type="spellEnd"/>
      <w:r w:rsidRPr="008C5E30">
        <w:rPr>
          <w:rStyle w:val="author-10450825937"/>
          <w:rFonts w:asciiTheme="minorHAnsi" w:hAnsiTheme="minorHAnsi" w:cstheme="minorHAnsi"/>
          <w:color w:val="222222"/>
        </w:rPr>
        <w:t xml:space="preserve"> Works Community Engagement Workshop in </w:t>
      </w:r>
      <w:proofErr w:type="spellStart"/>
      <w:r w:rsidRPr="008C5E30">
        <w:rPr>
          <w:rStyle w:val="author-10450825937"/>
          <w:rFonts w:asciiTheme="minorHAnsi" w:hAnsiTheme="minorHAnsi" w:cstheme="minorHAnsi"/>
          <w:color w:val="222222"/>
        </w:rPr>
        <w:t>Buhera</w:t>
      </w:r>
      <w:proofErr w:type="spellEnd"/>
      <w:r w:rsidRPr="008C5E30">
        <w:rPr>
          <w:rStyle w:val="author-10450825937"/>
          <w:rFonts w:asciiTheme="minorHAnsi" w:hAnsiTheme="minorHAnsi" w:cstheme="minorHAnsi"/>
          <w:color w:val="222222"/>
        </w:rPr>
        <w:t xml:space="preserve">: Meeting Challenges with Opportunity: </w:t>
      </w:r>
      <w:hyperlink r:id="rId21" w:tgtFrame="_blank" w:history="1">
        <w:r w:rsidRPr="008C5E30">
          <w:rPr>
            <w:rStyle w:val="Hyperlink"/>
            <w:rFonts w:asciiTheme="minorHAnsi" w:hAnsiTheme="minorHAnsi" w:cstheme="minorHAnsi"/>
          </w:rPr>
          <w:t>https://www.internetsociety.org/blog/2018/12/murambinda-works-community-engagement-workshop/</w:t>
        </w:r>
      </w:hyperlink>
    </w:p>
    <w:p w14:paraId="09602BA4" w14:textId="1B9BC3BB" w:rsidR="00A02CAD" w:rsidRPr="00C04537" w:rsidRDefault="00A02CAD" w:rsidP="00C14FB0">
      <w:pPr>
        <w:tabs>
          <w:tab w:val="clear" w:pos="794"/>
          <w:tab w:val="clear" w:pos="1191"/>
          <w:tab w:val="clear" w:pos="1588"/>
          <w:tab w:val="clear" w:pos="1985"/>
          <w:tab w:val="left" w:pos="1134"/>
          <w:tab w:val="left" w:pos="1871"/>
          <w:tab w:val="left" w:pos="2268"/>
        </w:tabs>
        <w:jc w:val="center"/>
        <w:rPr>
          <w:szCs w:val="24"/>
        </w:rPr>
      </w:pPr>
      <w:r w:rsidRPr="00A02CAD">
        <w:rPr>
          <w:rFonts w:asciiTheme="minorHAnsi" w:hAnsiTheme="minorHAnsi"/>
          <w:szCs w:val="24"/>
        </w:rPr>
        <w:t>_______________</w:t>
      </w:r>
    </w:p>
    <w:sectPr w:rsidR="00A02CAD" w:rsidRPr="00C04537" w:rsidSect="001F4D7E">
      <w:headerReference w:type="default" r:id="rId22"/>
      <w:footerReference w:type="default" r:id="rId23"/>
      <w:footerReference w:type="first" r:id="rId24"/>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63632" w14:textId="77777777" w:rsidR="002B563B" w:rsidRDefault="002B563B">
      <w:r>
        <w:separator/>
      </w:r>
    </w:p>
  </w:endnote>
  <w:endnote w:type="continuationSeparator" w:id="0">
    <w:p w14:paraId="02977F6C" w14:textId="77777777" w:rsidR="002B563B" w:rsidRDefault="002B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15A55" w14:textId="769E7946" w:rsidR="00A02CAD" w:rsidRPr="00930F7E" w:rsidRDefault="00A02CAD" w:rsidP="00B055E8">
    <w:pPr>
      <w:tabs>
        <w:tab w:val="left" w:pos="8931"/>
        <w:tab w:val="right" w:pos="10206"/>
      </w:tabs>
      <w:ind w:firstLine="1"/>
      <w:rPr>
        <w:sz w:val="18"/>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Look w:val="04A0" w:firstRow="1" w:lastRow="0" w:firstColumn="1" w:lastColumn="0" w:noHBand="0" w:noVBand="1"/>
    </w:tblPr>
    <w:tblGrid>
      <w:gridCol w:w="1526"/>
      <w:gridCol w:w="2410"/>
      <w:gridCol w:w="5919"/>
    </w:tblGrid>
    <w:tr w:rsidR="008C5E30" w:rsidRPr="004D495C" w14:paraId="316DE335" w14:textId="77777777" w:rsidTr="008C5E30">
      <w:tc>
        <w:tcPr>
          <w:tcW w:w="1526" w:type="dxa"/>
          <w:tcBorders>
            <w:top w:val="single" w:sz="4" w:space="0" w:color="000000"/>
          </w:tcBorders>
          <w:shd w:val="clear" w:color="auto" w:fill="auto"/>
        </w:tcPr>
        <w:p w14:paraId="5943982F" w14:textId="77777777" w:rsidR="008C5E30" w:rsidRPr="004D495C" w:rsidRDefault="008C5E30" w:rsidP="008C5E3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113215A6" w14:textId="77777777" w:rsidR="008C5E30" w:rsidRPr="004D495C" w:rsidRDefault="008C5E30" w:rsidP="008C5E30">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tcPr>
        <w:p w14:paraId="4F7096C7" w14:textId="523571CB" w:rsidR="008C5E30" w:rsidRPr="00103886" w:rsidRDefault="008C5E30" w:rsidP="008C5E30">
          <w:pPr>
            <w:pStyle w:val="FirstFooter"/>
            <w:tabs>
              <w:tab w:val="left" w:pos="2302"/>
            </w:tabs>
            <w:rPr>
              <w:sz w:val="18"/>
              <w:szCs w:val="18"/>
              <w:lang w:val="en-US"/>
            </w:rPr>
          </w:pPr>
          <w:proofErr w:type="spellStart"/>
          <w:r>
            <w:rPr>
              <w:sz w:val="18"/>
              <w:szCs w:val="18"/>
              <w:lang w:val="en-US"/>
            </w:rPr>
            <w:t>Mr</w:t>
          </w:r>
          <w:proofErr w:type="spellEnd"/>
          <w:r>
            <w:rPr>
              <w:sz w:val="18"/>
              <w:szCs w:val="18"/>
              <w:lang w:val="en-US"/>
            </w:rPr>
            <w:t xml:space="preserve"> </w:t>
          </w:r>
          <w:proofErr w:type="spellStart"/>
          <w:r>
            <w:rPr>
              <w:sz w:val="18"/>
              <w:szCs w:val="18"/>
              <w:lang w:val="en-US"/>
            </w:rPr>
            <w:t>Verengai</w:t>
          </w:r>
          <w:proofErr w:type="spellEnd"/>
          <w:r>
            <w:rPr>
              <w:sz w:val="18"/>
              <w:szCs w:val="18"/>
              <w:lang w:val="en-US"/>
            </w:rPr>
            <w:t xml:space="preserve"> Mabika, Internet Society, Switzerland</w:t>
          </w:r>
        </w:p>
      </w:tc>
      <w:bookmarkStart w:id="9" w:name="OrgName"/>
      <w:bookmarkEnd w:id="9"/>
    </w:tr>
    <w:tr w:rsidR="008C5E30" w:rsidRPr="004D495C" w14:paraId="6BEB2C1D" w14:textId="77777777" w:rsidTr="008C5E30">
      <w:tc>
        <w:tcPr>
          <w:tcW w:w="1526" w:type="dxa"/>
          <w:shd w:val="clear" w:color="auto" w:fill="auto"/>
        </w:tcPr>
        <w:p w14:paraId="5FB23880" w14:textId="77777777" w:rsidR="008C5E30" w:rsidRPr="004D495C" w:rsidRDefault="008C5E30" w:rsidP="008C5E30">
          <w:pPr>
            <w:pStyle w:val="FirstFooter"/>
            <w:tabs>
              <w:tab w:val="left" w:pos="1559"/>
              <w:tab w:val="left" w:pos="3828"/>
            </w:tabs>
            <w:rPr>
              <w:sz w:val="20"/>
              <w:lang w:val="en-US"/>
            </w:rPr>
          </w:pPr>
        </w:p>
      </w:tc>
      <w:tc>
        <w:tcPr>
          <w:tcW w:w="2410" w:type="dxa"/>
          <w:shd w:val="clear" w:color="auto" w:fill="auto"/>
        </w:tcPr>
        <w:p w14:paraId="532E74F2" w14:textId="77777777" w:rsidR="008C5E30" w:rsidRPr="004D495C" w:rsidRDefault="008C5E30" w:rsidP="008C5E30">
          <w:pPr>
            <w:pStyle w:val="FirstFooter"/>
            <w:tabs>
              <w:tab w:val="left" w:pos="2302"/>
            </w:tabs>
            <w:rPr>
              <w:sz w:val="18"/>
              <w:szCs w:val="18"/>
              <w:lang w:val="en-US"/>
            </w:rPr>
          </w:pPr>
          <w:r w:rsidRPr="004D495C">
            <w:rPr>
              <w:sz w:val="18"/>
              <w:szCs w:val="18"/>
              <w:lang w:val="en-US"/>
            </w:rPr>
            <w:t>Phone number:</w:t>
          </w:r>
        </w:p>
      </w:tc>
      <w:tc>
        <w:tcPr>
          <w:tcW w:w="5919" w:type="dxa"/>
        </w:tcPr>
        <w:p w14:paraId="39F00CFC" w14:textId="7BE795CB" w:rsidR="008C5E30" w:rsidRPr="00103886" w:rsidRDefault="008C5E30" w:rsidP="008C5E30">
          <w:pPr>
            <w:pStyle w:val="FirstFooter"/>
            <w:tabs>
              <w:tab w:val="left" w:pos="2302"/>
            </w:tabs>
            <w:rPr>
              <w:sz w:val="18"/>
              <w:szCs w:val="18"/>
              <w:lang w:val="en-US"/>
            </w:rPr>
          </w:pPr>
          <w:r>
            <w:rPr>
              <w:sz w:val="18"/>
              <w:szCs w:val="18"/>
              <w:lang w:val="en-US"/>
            </w:rPr>
            <w:t>+263773460466</w:t>
          </w:r>
        </w:p>
      </w:tc>
      <w:bookmarkStart w:id="10" w:name="PhoneNo"/>
      <w:bookmarkEnd w:id="10"/>
    </w:tr>
    <w:tr w:rsidR="008C5E30" w:rsidRPr="004D495C" w14:paraId="0064F51D" w14:textId="77777777" w:rsidTr="008C5E30">
      <w:tc>
        <w:tcPr>
          <w:tcW w:w="1526" w:type="dxa"/>
          <w:shd w:val="clear" w:color="auto" w:fill="auto"/>
        </w:tcPr>
        <w:p w14:paraId="38083D10" w14:textId="77777777" w:rsidR="008C5E30" w:rsidRPr="004D495C" w:rsidRDefault="008C5E30" w:rsidP="008C5E30">
          <w:pPr>
            <w:pStyle w:val="FirstFooter"/>
            <w:tabs>
              <w:tab w:val="left" w:pos="1559"/>
              <w:tab w:val="left" w:pos="3828"/>
            </w:tabs>
            <w:rPr>
              <w:sz w:val="20"/>
              <w:lang w:val="en-US"/>
            </w:rPr>
          </w:pPr>
        </w:p>
      </w:tc>
      <w:tc>
        <w:tcPr>
          <w:tcW w:w="2410" w:type="dxa"/>
          <w:shd w:val="clear" w:color="auto" w:fill="auto"/>
        </w:tcPr>
        <w:p w14:paraId="2F1B5146" w14:textId="77777777" w:rsidR="008C5E30" w:rsidRPr="004D495C" w:rsidRDefault="008C5E30" w:rsidP="008C5E30">
          <w:pPr>
            <w:pStyle w:val="FirstFooter"/>
            <w:tabs>
              <w:tab w:val="left" w:pos="2302"/>
            </w:tabs>
            <w:rPr>
              <w:sz w:val="18"/>
              <w:szCs w:val="18"/>
              <w:lang w:val="en-US"/>
            </w:rPr>
          </w:pPr>
          <w:r w:rsidRPr="004D495C">
            <w:rPr>
              <w:sz w:val="18"/>
              <w:szCs w:val="18"/>
              <w:lang w:val="en-US"/>
            </w:rPr>
            <w:t>E-mail:</w:t>
          </w:r>
        </w:p>
      </w:tc>
      <w:tc>
        <w:tcPr>
          <w:tcW w:w="5919" w:type="dxa"/>
        </w:tcPr>
        <w:p w14:paraId="2B52CEEE" w14:textId="008441C0" w:rsidR="008C5E30" w:rsidRPr="00103886" w:rsidRDefault="004E0334" w:rsidP="008C5E30">
          <w:pPr>
            <w:pStyle w:val="FirstFooter"/>
            <w:tabs>
              <w:tab w:val="left" w:pos="2302"/>
            </w:tabs>
            <w:rPr>
              <w:sz w:val="18"/>
              <w:szCs w:val="18"/>
              <w:lang w:val="en-US"/>
            </w:rPr>
          </w:pPr>
          <w:hyperlink r:id="rId1" w:history="1">
            <w:r w:rsidR="008C5E30" w:rsidRPr="00C30A2E">
              <w:rPr>
                <w:rStyle w:val="Hyperlink"/>
                <w:sz w:val="18"/>
                <w:szCs w:val="18"/>
                <w:lang w:val="en-US"/>
              </w:rPr>
              <w:t>mabika@isoc.org</w:t>
            </w:r>
          </w:hyperlink>
          <w:r w:rsidR="008C5E30">
            <w:rPr>
              <w:sz w:val="18"/>
              <w:szCs w:val="18"/>
              <w:lang w:val="en-US"/>
            </w:rPr>
            <w:t xml:space="preserve"> </w:t>
          </w:r>
        </w:p>
      </w:tc>
      <w:bookmarkStart w:id="11" w:name="Email"/>
      <w:bookmarkEnd w:id="11"/>
    </w:tr>
  </w:tbl>
  <w:p w14:paraId="3C1BFF99" w14:textId="457FB1BE" w:rsidR="00A02CAD" w:rsidRPr="00A02CAD" w:rsidRDefault="004E0334" w:rsidP="00560348">
    <w:pPr>
      <w:jc w:val="center"/>
      <w:rPr>
        <w:sz w:val="20"/>
        <w:szCs w:val="16"/>
      </w:rPr>
    </w:pPr>
    <w:hyperlink r:id="rId2" w:history="1">
      <w:r w:rsidR="00560348" w:rsidRPr="002654FD">
        <w:rPr>
          <w:rStyle w:val="Hyperlink"/>
          <w:sz w:val="20"/>
          <w:szCs w:val="16"/>
        </w:rPr>
        <w:t>RPM-AFR21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41B15" w14:textId="77777777" w:rsidR="002B563B" w:rsidRDefault="002B563B">
      <w:r>
        <w:separator/>
      </w:r>
    </w:p>
  </w:footnote>
  <w:footnote w:type="continuationSeparator" w:id="0">
    <w:p w14:paraId="68E357A0" w14:textId="77777777" w:rsidR="002B563B" w:rsidRDefault="002B563B">
      <w:r>
        <w:continuationSeparator/>
      </w:r>
    </w:p>
  </w:footnote>
  <w:footnote w:id="1">
    <w:p w14:paraId="23DD3F29" w14:textId="6B047ED4" w:rsidR="008C5E30" w:rsidRPr="008C5E30" w:rsidRDefault="008C5E30" w:rsidP="008C5E30">
      <w:pPr>
        <w:spacing w:before="0"/>
        <w:rPr>
          <w:rFonts w:asciiTheme="minorHAnsi" w:hAnsiTheme="minorHAnsi" w:cstheme="minorHAnsi"/>
          <w:color w:val="000000" w:themeColor="text1"/>
          <w:sz w:val="20"/>
          <w:lang w:val="en-ZW" w:eastAsia="en-GB"/>
        </w:rPr>
      </w:pPr>
      <w:r w:rsidRPr="008C5E30">
        <w:rPr>
          <w:rStyle w:val="FootnoteReference"/>
          <w:rFonts w:asciiTheme="minorHAnsi" w:hAnsiTheme="minorHAnsi" w:cstheme="minorHAnsi"/>
          <w:color w:val="000000" w:themeColor="text1"/>
          <w:sz w:val="20"/>
        </w:rPr>
        <w:footnoteRef/>
      </w:r>
      <w:r w:rsidRPr="008C5E30">
        <w:rPr>
          <w:rFonts w:asciiTheme="minorHAnsi" w:hAnsiTheme="minorHAnsi" w:cstheme="minorHAnsi"/>
          <w:color w:val="000000" w:themeColor="text1"/>
          <w:sz w:val="20"/>
        </w:rPr>
        <w:t xml:space="preserve"> </w:t>
      </w:r>
      <w:hyperlink r:id="rId1" w:history="1">
        <w:r w:rsidRPr="00C30A2E">
          <w:rPr>
            <w:rStyle w:val="Hyperlink"/>
            <w:rFonts w:asciiTheme="minorHAnsi" w:hAnsiTheme="minorHAnsi" w:cstheme="minorHAnsi"/>
            <w:sz w:val="20"/>
            <w:shd w:val="clear" w:color="auto" w:fill="FFFFFF"/>
            <w:lang w:val="en-ZW" w:eastAsia="en-GB"/>
          </w:rPr>
          <w:t>https://www.africaportal.org/features/covid-19-implications-of-the-pandemic-for-the-digital-divide-in-africa/</w:t>
        </w:r>
      </w:hyperlink>
      <w:r>
        <w:rPr>
          <w:rFonts w:asciiTheme="minorHAnsi" w:hAnsiTheme="minorHAnsi" w:cstheme="minorHAnsi"/>
          <w:color w:val="000000" w:themeColor="text1"/>
          <w:sz w:val="20"/>
          <w:shd w:val="clear" w:color="auto" w:fill="FFFFFF"/>
          <w:lang w:val="en-ZW" w:eastAsia="en-GB"/>
        </w:rPr>
        <w:t xml:space="preserve"> </w:t>
      </w:r>
    </w:p>
  </w:footnote>
  <w:footnote w:id="2">
    <w:p w14:paraId="79CCDD76" w14:textId="32FFF2ED" w:rsidR="008C5E30" w:rsidRPr="008C5E30" w:rsidRDefault="008C5E30" w:rsidP="008C5E30">
      <w:pPr>
        <w:pStyle w:val="FootnoteText"/>
        <w:spacing w:before="0"/>
        <w:ind w:left="0" w:firstLine="0"/>
        <w:rPr>
          <w:rFonts w:asciiTheme="minorHAnsi" w:hAnsiTheme="minorHAnsi" w:cstheme="minorHAnsi"/>
          <w:sz w:val="20"/>
          <w:lang w:val="en-US"/>
        </w:rPr>
      </w:pPr>
      <w:r w:rsidRPr="008C5E30">
        <w:rPr>
          <w:rStyle w:val="FootnoteReference"/>
          <w:rFonts w:asciiTheme="minorHAnsi" w:hAnsiTheme="minorHAnsi" w:cstheme="minorHAnsi"/>
          <w:sz w:val="20"/>
        </w:rPr>
        <w:footnoteRef/>
      </w:r>
      <w:r w:rsidRPr="008C5E30">
        <w:rPr>
          <w:rFonts w:asciiTheme="minorHAnsi" w:hAnsiTheme="minorHAnsi" w:cstheme="minorHAnsi"/>
          <w:sz w:val="20"/>
        </w:rPr>
        <w:t xml:space="preserve"> </w:t>
      </w:r>
      <w:hyperlink r:id="rId2" w:history="1">
        <w:r w:rsidRPr="00C30A2E">
          <w:rPr>
            <w:rStyle w:val="Hyperlink"/>
            <w:rFonts w:asciiTheme="minorHAnsi" w:hAnsiTheme="minorHAnsi" w:cstheme="minorHAnsi"/>
            <w:sz w:val="20"/>
          </w:rPr>
          <w:t>https://blogs.unicef.org/evidence-for-action/covid-19-and-education-the-digital-gender-divide-among-adolescents-in-sub-saharan-africa/</w:t>
        </w:r>
      </w:hyperlink>
      <w:r>
        <w:rPr>
          <w:rFonts w:asciiTheme="minorHAnsi" w:hAnsiTheme="minorHAnsi" w:cstheme="minorHAnsi"/>
          <w:sz w:val="20"/>
        </w:rPr>
        <w:t xml:space="preserve"> </w:t>
      </w:r>
    </w:p>
  </w:footnote>
  <w:footnote w:id="3">
    <w:p w14:paraId="4358E257" w14:textId="77777777" w:rsidR="008C5E30" w:rsidRPr="008C5E30" w:rsidRDefault="008C5E30" w:rsidP="008C5E30">
      <w:pPr>
        <w:pStyle w:val="FootnoteText"/>
        <w:spacing w:before="0"/>
        <w:ind w:left="0" w:firstLine="0"/>
        <w:rPr>
          <w:rFonts w:asciiTheme="minorHAnsi" w:hAnsiTheme="minorHAnsi" w:cstheme="minorHAnsi"/>
          <w:sz w:val="20"/>
          <w:lang w:val="en-US"/>
        </w:rPr>
      </w:pPr>
      <w:r w:rsidRPr="008C5E30">
        <w:rPr>
          <w:rStyle w:val="FootnoteReference"/>
          <w:rFonts w:asciiTheme="minorHAnsi" w:hAnsiTheme="minorHAnsi" w:cstheme="minorHAnsi"/>
          <w:sz w:val="20"/>
        </w:rPr>
        <w:footnoteRef/>
      </w:r>
      <w:r w:rsidRPr="008C5E30">
        <w:rPr>
          <w:rFonts w:asciiTheme="minorHAnsi" w:hAnsiTheme="minorHAnsi" w:cstheme="minorHAnsi"/>
          <w:sz w:val="20"/>
        </w:rPr>
        <w:t xml:space="preserve">See </w:t>
      </w:r>
      <w:hyperlink r:id="rId3" w:history="1">
        <w:r w:rsidRPr="008C5E30">
          <w:rPr>
            <w:rStyle w:val="Hyperlink"/>
            <w:rFonts w:asciiTheme="minorHAnsi" w:hAnsiTheme="minorHAnsi" w:cstheme="minorHAnsi"/>
            <w:sz w:val="20"/>
          </w:rPr>
          <w:t>https://www.internetsociety.org/wp-content/uploads/2017/10/Spectrum-Approaches-for-Community-Networks_20171010.pdf</w:t>
        </w:r>
      </w:hyperlink>
      <w:r w:rsidRPr="008C5E30">
        <w:rPr>
          <w:rStyle w:val="Hyperlink"/>
          <w:rFonts w:asciiTheme="minorHAnsi" w:hAnsiTheme="minorHAnsi" w:cstheme="minorHAnsi"/>
          <w:sz w:val="20"/>
        </w:rPr>
        <w:t xml:space="preserve"> </w:t>
      </w:r>
    </w:p>
  </w:footnote>
  <w:footnote w:id="4">
    <w:p w14:paraId="43F001CA" w14:textId="77777777" w:rsidR="008C5E30" w:rsidRPr="008C5E30" w:rsidRDefault="008C5E30" w:rsidP="008C5E30">
      <w:pPr>
        <w:spacing w:before="0"/>
        <w:rPr>
          <w:rFonts w:asciiTheme="minorHAnsi" w:hAnsiTheme="minorHAnsi" w:cstheme="minorHAnsi"/>
          <w:sz w:val="20"/>
        </w:rPr>
      </w:pPr>
      <w:r w:rsidRPr="008C5E30">
        <w:rPr>
          <w:rStyle w:val="FootnoteReference"/>
          <w:rFonts w:asciiTheme="minorHAnsi" w:hAnsiTheme="minorHAnsi" w:cstheme="minorHAnsi"/>
          <w:sz w:val="20"/>
        </w:rPr>
        <w:footnoteRef/>
      </w:r>
      <w:r w:rsidRPr="008C5E30">
        <w:rPr>
          <w:rFonts w:asciiTheme="minorHAnsi" w:hAnsiTheme="minorHAnsi" w:cstheme="minorHAnsi"/>
          <w:sz w:val="20"/>
        </w:rPr>
        <w:t xml:space="preserve"> </w:t>
      </w:r>
      <w:hyperlink r:id="rId4">
        <w:r w:rsidRPr="008C5E30">
          <w:rPr>
            <w:rFonts w:asciiTheme="minorHAnsi" w:hAnsiTheme="minorHAnsi" w:cstheme="minorHAnsi"/>
            <w:color w:val="1155CC"/>
            <w:sz w:val="20"/>
            <w:u w:val="single"/>
          </w:rPr>
          <w:t>https://www.tic-ac.org/</w:t>
        </w:r>
      </w:hyperlink>
      <w:r w:rsidRPr="008C5E30">
        <w:rPr>
          <w:rFonts w:asciiTheme="minorHAnsi" w:hAnsiTheme="minorHAnsi" w:cstheme="minorHAnsi"/>
          <w:sz w:val="20"/>
        </w:rPr>
        <w:t xml:space="preserve"> </w:t>
      </w:r>
    </w:p>
  </w:footnote>
  <w:footnote w:id="5">
    <w:p w14:paraId="69818895" w14:textId="77777777" w:rsidR="008C5E30" w:rsidRPr="008C5E30" w:rsidRDefault="008C5E30" w:rsidP="008C5E30">
      <w:pPr>
        <w:spacing w:before="0"/>
        <w:rPr>
          <w:rFonts w:asciiTheme="minorHAnsi" w:hAnsiTheme="minorHAnsi" w:cstheme="minorHAnsi"/>
          <w:sz w:val="20"/>
        </w:rPr>
      </w:pPr>
      <w:r w:rsidRPr="008C5E30">
        <w:rPr>
          <w:rStyle w:val="FootnoteReference"/>
          <w:rFonts w:asciiTheme="minorHAnsi" w:hAnsiTheme="minorHAnsi" w:cstheme="minorHAnsi"/>
          <w:sz w:val="20"/>
        </w:rPr>
        <w:footnoteRef/>
      </w:r>
      <w:r w:rsidRPr="008C5E30">
        <w:rPr>
          <w:rFonts w:asciiTheme="minorHAnsi" w:hAnsiTheme="minorHAnsi" w:cstheme="minorHAnsi"/>
          <w:sz w:val="20"/>
        </w:rPr>
        <w:t xml:space="preserve"> </w:t>
      </w:r>
      <w:hyperlink r:id="rId5">
        <w:r w:rsidRPr="008C5E30">
          <w:rPr>
            <w:rFonts w:asciiTheme="minorHAnsi" w:hAnsiTheme="minorHAnsi" w:cstheme="minorHAnsi"/>
            <w:color w:val="0563C1"/>
            <w:sz w:val="20"/>
            <w:u w:val="single"/>
          </w:rPr>
          <w:t>https://www.apc.org/en/users/murambinda-works</w:t>
        </w:r>
      </w:hyperlink>
      <w:r w:rsidRPr="008C5E30">
        <w:rPr>
          <w:rFonts w:asciiTheme="minorHAnsi" w:hAnsiTheme="minorHAnsi" w:cstheme="minorHAns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4C0A7" w14:textId="77F339B4" w:rsidR="00A02CAD" w:rsidRPr="00560348" w:rsidRDefault="00560348" w:rsidP="00560348">
    <w:pPr>
      <w:tabs>
        <w:tab w:val="clear" w:pos="794"/>
        <w:tab w:val="clear" w:pos="1191"/>
        <w:tab w:val="clear" w:pos="1588"/>
        <w:tab w:val="clear" w:pos="1985"/>
        <w:tab w:val="center" w:pos="4820"/>
        <w:tab w:val="right" w:pos="10206"/>
      </w:tabs>
      <w:spacing w:after="240"/>
      <w:rPr>
        <w:smallCaps/>
        <w:spacing w:val="24"/>
        <w:sz w:val="22"/>
        <w:szCs w:val="18"/>
        <w:lang w:val="es-ES_tradnl"/>
      </w:rPr>
    </w:pPr>
    <w:r w:rsidRPr="00560348">
      <w:rPr>
        <w:sz w:val="22"/>
        <w:szCs w:val="18"/>
      </w:rPr>
      <w:tab/>
    </w:r>
    <w:r w:rsidRPr="00560348">
      <w:rPr>
        <w:sz w:val="22"/>
        <w:szCs w:val="18"/>
        <w:lang w:val="es-ES_tradnl"/>
      </w:rPr>
      <w:t>ITU-D/</w:t>
    </w:r>
    <w:bookmarkStart w:id="7" w:name="DocRef2"/>
    <w:bookmarkEnd w:id="7"/>
    <w:r w:rsidRPr="00560348">
      <w:rPr>
        <w:sz w:val="22"/>
        <w:szCs w:val="18"/>
        <w:lang w:val="es-ES_tradnl"/>
      </w:rPr>
      <w:t>RPM-AFR21/</w:t>
    </w:r>
    <w:bookmarkStart w:id="8" w:name="DocNo2"/>
    <w:bookmarkEnd w:id="8"/>
    <w:r w:rsidRPr="00560348">
      <w:rPr>
        <w:sz w:val="22"/>
        <w:szCs w:val="18"/>
        <w:lang w:val="es-ES_tradnl"/>
      </w:rPr>
      <w:t>1</w:t>
    </w:r>
    <w:r w:rsidR="008C5E30">
      <w:rPr>
        <w:sz w:val="22"/>
        <w:szCs w:val="18"/>
        <w:lang w:val="es-ES_tradnl"/>
      </w:rPr>
      <w:t>3</w:t>
    </w:r>
    <w:r w:rsidRPr="00560348">
      <w:rPr>
        <w:sz w:val="22"/>
        <w:szCs w:val="18"/>
        <w:lang w:val="es-ES_tradnl"/>
      </w:rPr>
      <w:t>-E</w:t>
    </w:r>
    <w:r w:rsidRPr="00560348">
      <w:rPr>
        <w:sz w:val="22"/>
        <w:szCs w:val="18"/>
        <w:lang w:val="es-ES_tradnl"/>
      </w:rPr>
      <w:tab/>
      <w:t xml:space="preserve">Page </w:t>
    </w:r>
    <w:r w:rsidRPr="00560348">
      <w:rPr>
        <w:sz w:val="22"/>
        <w:szCs w:val="18"/>
      </w:rPr>
      <w:fldChar w:fldCharType="begin"/>
    </w:r>
    <w:r w:rsidRPr="00560348">
      <w:rPr>
        <w:sz w:val="22"/>
        <w:szCs w:val="18"/>
        <w:lang w:val="es-ES_tradnl"/>
      </w:rPr>
      <w:instrText xml:space="preserve"> PAGE </w:instrText>
    </w:r>
    <w:r w:rsidRPr="00560348">
      <w:rPr>
        <w:sz w:val="22"/>
        <w:szCs w:val="18"/>
      </w:rPr>
      <w:fldChar w:fldCharType="separate"/>
    </w:r>
    <w:r w:rsidRPr="00C14FB0">
      <w:rPr>
        <w:sz w:val="22"/>
        <w:szCs w:val="18"/>
        <w:lang w:val="es-ES"/>
      </w:rPr>
      <w:t>2</w:t>
    </w:r>
    <w:r w:rsidRPr="00560348">
      <w:rPr>
        <w:sz w:val="22"/>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DF6480"/>
    <w:multiLevelType w:val="hybridMultilevel"/>
    <w:tmpl w:val="84A632D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18373B05"/>
    <w:multiLevelType w:val="hybridMultilevel"/>
    <w:tmpl w:val="B2A85346"/>
    <w:lvl w:ilvl="0" w:tplc="E55A4BD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72D48"/>
    <w:multiLevelType w:val="hybridMultilevel"/>
    <w:tmpl w:val="C3EE3B96"/>
    <w:lvl w:ilvl="0" w:tplc="73F4BEB6">
      <w:start w:val="1"/>
      <w:numFmt w:val="decimal"/>
      <w:lvlText w:val="%1."/>
      <w:lvlJc w:val="left"/>
      <w:pPr>
        <w:ind w:left="2310" w:hanging="19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6458A8"/>
    <w:multiLevelType w:val="hybridMultilevel"/>
    <w:tmpl w:val="E6469C90"/>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A4313C"/>
    <w:multiLevelType w:val="hybridMultilevel"/>
    <w:tmpl w:val="083E7CB0"/>
    <w:lvl w:ilvl="0" w:tplc="4978F894">
      <w:numFmt w:val="bullet"/>
      <w:lvlText w:val="•"/>
      <w:lvlJc w:val="left"/>
      <w:pPr>
        <w:ind w:left="1155" w:hanging="79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2EB9354B"/>
    <w:multiLevelType w:val="hybridMultilevel"/>
    <w:tmpl w:val="5CA478E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389D3133"/>
    <w:multiLevelType w:val="hybridMultilevel"/>
    <w:tmpl w:val="25FC803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EC3D9C"/>
    <w:multiLevelType w:val="hybridMultilevel"/>
    <w:tmpl w:val="C2107ADC"/>
    <w:lvl w:ilvl="0" w:tplc="D8AA70EE">
      <w:start w:val="1"/>
      <w:numFmt w:val="bullet"/>
      <w:lvlText w:val=""/>
      <w:lvlJc w:val="left"/>
      <w:pPr>
        <w:tabs>
          <w:tab w:val="num" w:pos="720"/>
        </w:tabs>
        <w:ind w:left="720" w:hanging="360"/>
      </w:pPr>
      <w:rPr>
        <w:rFonts w:ascii="Symbol" w:hAnsi="Symbol" w:hint="default"/>
        <w:sz w:val="20"/>
      </w:rPr>
    </w:lvl>
    <w:lvl w:ilvl="1" w:tplc="9508D4F4" w:tentative="1">
      <w:start w:val="1"/>
      <w:numFmt w:val="bullet"/>
      <w:lvlText w:val="o"/>
      <w:lvlJc w:val="left"/>
      <w:pPr>
        <w:tabs>
          <w:tab w:val="num" w:pos="1440"/>
        </w:tabs>
        <w:ind w:left="1440" w:hanging="360"/>
      </w:pPr>
      <w:rPr>
        <w:rFonts w:ascii="Courier New" w:hAnsi="Courier New" w:hint="default"/>
        <w:sz w:val="20"/>
      </w:rPr>
    </w:lvl>
    <w:lvl w:ilvl="2" w:tplc="2E864574" w:tentative="1">
      <w:start w:val="1"/>
      <w:numFmt w:val="bullet"/>
      <w:lvlText w:val=""/>
      <w:lvlJc w:val="left"/>
      <w:pPr>
        <w:tabs>
          <w:tab w:val="num" w:pos="2160"/>
        </w:tabs>
        <w:ind w:left="2160" w:hanging="360"/>
      </w:pPr>
      <w:rPr>
        <w:rFonts w:ascii="Wingdings" w:hAnsi="Wingdings" w:hint="default"/>
        <w:sz w:val="20"/>
      </w:rPr>
    </w:lvl>
    <w:lvl w:ilvl="3" w:tplc="BEC89E94" w:tentative="1">
      <w:start w:val="1"/>
      <w:numFmt w:val="bullet"/>
      <w:lvlText w:val=""/>
      <w:lvlJc w:val="left"/>
      <w:pPr>
        <w:tabs>
          <w:tab w:val="num" w:pos="2880"/>
        </w:tabs>
        <w:ind w:left="2880" w:hanging="360"/>
      </w:pPr>
      <w:rPr>
        <w:rFonts w:ascii="Wingdings" w:hAnsi="Wingdings" w:hint="default"/>
        <w:sz w:val="20"/>
      </w:rPr>
    </w:lvl>
    <w:lvl w:ilvl="4" w:tplc="198449DE" w:tentative="1">
      <w:start w:val="1"/>
      <w:numFmt w:val="bullet"/>
      <w:lvlText w:val=""/>
      <w:lvlJc w:val="left"/>
      <w:pPr>
        <w:tabs>
          <w:tab w:val="num" w:pos="3600"/>
        </w:tabs>
        <w:ind w:left="3600" w:hanging="360"/>
      </w:pPr>
      <w:rPr>
        <w:rFonts w:ascii="Wingdings" w:hAnsi="Wingdings" w:hint="default"/>
        <w:sz w:val="20"/>
      </w:rPr>
    </w:lvl>
    <w:lvl w:ilvl="5" w:tplc="4B206D88" w:tentative="1">
      <w:start w:val="1"/>
      <w:numFmt w:val="bullet"/>
      <w:lvlText w:val=""/>
      <w:lvlJc w:val="left"/>
      <w:pPr>
        <w:tabs>
          <w:tab w:val="num" w:pos="4320"/>
        </w:tabs>
        <w:ind w:left="4320" w:hanging="360"/>
      </w:pPr>
      <w:rPr>
        <w:rFonts w:ascii="Wingdings" w:hAnsi="Wingdings" w:hint="default"/>
        <w:sz w:val="20"/>
      </w:rPr>
    </w:lvl>
    <w:lvl w:ilvl="6" w:tplc="83223F48" w:tentative="1">
      <w:start w:val="1"/>
      <w:numFmt w:val="bullet"/>
      <w:lvlText w:val=""/>
      <w:lvlJc w:val="left"/>
      <w:pPr>
        <w:tabs>
          <w:tab w:val="num" w:pos="5040"/>
        </w:tabs>
        <w:ind w:left="5040" w:hanging="360"/>
      </w:pPr>
      <w:rPr>
        <w:rFonts w:ascii="Wingdings" w:hAnsi="Wingdings" w:hint="default"/>
        <w:sz w:val="20"/>
      </w:rPr>
    </w:lvl>
    <w:lvl w:ilvl="7" w:tplc="36EC7D86" w:tentative="1">
      <w:start w:val="1"/>
      <w:numFmt w:val="bullet"/>
      <w:lvlText w:val=""/>
      <w:lvlJc w:val="left"/>
      <w:pPr>
        <w:tabs>
          <w:tab w:val="num" w:pos="5760"/>
        </w:tabs>
        <w:ind w:left="5760" w:hanging="360"/>
      </w:pPr>
      <w:rPr>
        <w:rFonts w:ascii="Wingdings" w:hAnsi="Wingdings" w:hint="default"/>
        <w:sz w:val="20"/>
      </w:rPr>
    </w:lvl>
    <w:lvl w:ilvl="8" w:tplc="E1E834A0"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31"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32"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A2FF2"/>
    <w:multiLevelType w:val="hybridMultilevel"/>
    <w:tmpl w:val="7976FF30"/>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8D5706A"/>
    <w:multiLevelType w:val="hybridMultilevel"/>
    <w:tmpl w:val="CEB693A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9C4F45"/>
    <w:multiLevelType w:val="hybridMultilevel"/>
    <w:tmpl w:val="AE441B9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5F54BC"/>
    <w:multiLevelType w:val="hybridMultilevel"/>
    <w:tmpl w:val="8EBE7738"/>
    <w:lvl w:ilvl="0" w:tplc="CC706F3A">
      <w:start w:val="1"/>
      <w:numFmt w:val="decimal"/>
      <w:lvlText w:val="%1."/>
      <w:lvlJc w:val="left"/>
      <w:pPr>
        <w:ind w:left="2310" w:hanging="19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29A4748"/>
    <w:multiLevelType w:val="hybridMultilevel"/>
    <w:tmpl w:val="D2A0D588"/>
    <w:lvl w:ilvl="0" w:tplc="D8AA7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3793A4B"/>
    <w:multiLevelType w:val="hybridMultilevel"/>
    <w:tmpl w:val="0E10E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3E56791"/>
    <w:multiLevelType w:val="hybridMultilevel"/>
    <w:tmpl w:val="EA4A9A58"/>
    <w:lvl w:ilvl="0" w:tplc="0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482282"/>
    <w:multiLevelType w:val="hybridMultilevel"/>
    <w:tmpl w:val="BA665656"/>
    <w:lvl w:ilvl="0" w:tplc="8AFA2634">
      <w:start w:val="1"/>
      <w:numFmt w:val="bullet"/>
      <w:lvlText w:val=""/>
      <w:lvlJc w:val="left"/>
      <w:pPr>
        <w:ind w:left="720" w:hanging="360"/>
      </w:pPr>
      <w:rPr>
        <w:rFonts w:ascii="Symbol" w:hAnsi="Symbol" w:hint="default"/>
        <w:lang w:val="en-Z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8"/>
  </w:num>
  <w:num w:numId="13">
    <w:abstractNumId w:val="36"/>
  </w:num>
  <w:num w:numId="14">
    <w:abstractNumId w:val="12"/>
  </w:num>
  <w:num w:numId="15">
    <w:abstractNumId w:val="21"/>
  </w:num>
  <w:num w:numId="16">
    <w:abstractNumId w:val="45"/>
  </w:num>
  <w:num w:numId="17">
    <w:abstractNumId w:val="33"/>
  </w:num>
  <w:num w:numId="18">
    <w:abstractNumId w:val="14"/>
  </w:num>
  <w:num w:numId="19">
    <w:abstractNumId w:val="22"/>
  </w:num>
  <w:num w:numId="20">
    <w:abstractNumId w:val="30"/>
  </w:num>
  <w:num w:numId="21">
    <w:abstractNumId w:val="35"/>
  </w:num>
  <w:num w:numId="22">
    <w:abstractNumId w:val="20"/>
  </w:num>
  <w:num w:numId="23">
    <w:abstractNumId w:val="24"/>
  </w:num>
  <w:num w:numId="24">
    <w:abstractNumId w:val="32"/>
  </w:num>
  <w:num w:numId="25">
    <w:abstractNumId w:val="32"/>
  </w:num>
  <w:num w:numId="26">
    <w:abstractNumId w:val="26"/>
  </w:num>
  <w:num w:numId="27">
    <w:abstractNumId w:val="19"/>
  </w:num>
  <w:num w:numId="28">
    <w:abstractNumId w:val="37"/>
  </w:num>
  <w:num w:numId="29">
    <w:abstractNumId w:val="11"/>
  </w:num>
  <w:num w:numId="30">
    <w:abstractNumId w:val="29"/>
  </w:num>
  <w:num w:numId="31">
    <w:abstractNumId w:val="41"/>
  </w:num>
  <w:num w:numId="32">
    <w:abstractNumId w:val="31"/>
  </w:num>
  <w:num w:numId="33">
    <w:abstractNumId w:val="39"/>
  </w:num>
  <w:num w:numId="34">
    <w:abstractNumId w:val="18"/>
  </w:num>
  <w:num w:numId="35">
    <w:abstractNumId w:val="38"/>
  </w:num>
  <w:num w:numId="36">
    <w:abstractNumId w:val="16"/>
  </w:num>
  <w:num w:numId="37">
    <w:abstractNumId w:val="17"/>
  </w:num>
  <w:num w:numId="38">
    <w:abstractNumId w:val="43"/>
  </w:num>
  <w:num w:numId="39">
    <w:abstractNumId w:val="42"/>
  </w:num>
  <w:num w:numId="40">
    <w:abstractNumId w:val="23"/>
  </w:num>
  <w:num w:numId="41">
    <w:abstractNumId w:val="44"/>
  </w:num>
  <w:num w:numId="42">
    <w:abstractNumId w:val="13"/>
  </w:num>
  <w:num w:numId="43">
    <w:abstractNumId w:val="40"/>
  </w:num>
  <w:num w:numId="44">
    <w:abstractNumId w:val="15"/>
  </w:num>
  <w:num w:numId="45">
    <w:abstractNumId w:val="46"/>
  </w:num>
  <w:num w:numId="46">
    <w:abstractNumId w:val="27"/>
  </w:num>
  <w:num w:numId="47">
    <w:abstractNumId w:val="34"/>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B5"/>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A3328"/>
    <w:rsid w:val="000C40F5"/>
    <w:rsid w:val="000D0403"/>
    <w:rsid w:val="000D61A2"/>
    <w:rsid w:val="000D7961"/>
    <w:rsid w:val="000E397B"/>
    <w:rsid w:val="000F1580"/>
    <w:rsid w:val="001003B9"/>
    <w:rsid w:val="00103886"/>
    <w:rsid w:val="001229F6"/>
    <w:rsid w:val="001322F7"/>
    <w:rsid w:val="0014380C"/>
    <w:rsid w:val="0015200D"/>
    <w:rsid w:val="0015553B"/>
    <w:rsid w:val="00156B35"/>
    <w:rsid w:val="00157BD9"/>
    <w:rsid w:val="00161A5A"/>
    <w:rsid w:val="00170AB9"/>
    <w:rsid w:val="00181928"/>
    <w:rsid w:val="00185090"/>
    <w:rsid w:val="001856D7"/>
    <w:rsid w:val="00187E51"/>
    <w:rsid w:val="00192DBD"/>
    <w:rsid w:val="0019399A"/>
    <w:rsid w:val="00196247"/>
    <w:rsid w:val="001A52E9"/>
    <w:rsid w:val="001B4B9B"/>
    <w:rsid w:val="001B63AC"/>
    <w:rsid w:val="001D3694"/>
    <w:rsid w:val="001E33AB"/>
    <w:rsid w:val="001E3BCF"/>
    <w:rsid w:val="001F12E6"/>
    <w:rsid w:val="001F4D7E"/>
    <w:rsid w:val="001F663E"/>
    <w:rsid w:val="00223163"/>
    <w:rsid w:val="00232096"/>
    <w:rsid w:val="00235915"/>
    <w:rsid w:val="00242FA4"/>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B563B"/>
    <w:rsid w:val="002C1BDA"/>
    <w:rsid w:val="002C67D8"/>
    <w:rsid w:val="002D0049"/>
    <w:rsid w:val="0030762F"/>
    <w:rsid w:val="00311BD3"/>
    <w:rsid w:val="00312685"/>
    <w:rsid w:val="00334C18"/>
    <w:rsid w:val="00347698"/>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19A5"/>
    <w:rsid w:val="00483313"/>
    <w:rsid w:val="00487A55"/>
    <w:rsid w:val="004A0340"/>
    <w:rsid w:val="004A28F0"/>
    <w:rsid w:val="004A34DD"/>
    <w:rsid w:val="004A564F"/>
    <w:rsid w:val="004C4C2E"/>
    <w:rsid w:val="004C4E14"/>
    <w:rsid w:val="004D0AC9"/>
    <w:rsid w:val="004D2D58"/>
    <w:rsid w:val="004D3DC4"/>
    <w:rsid w:val="004D495C"/>
    <w:rsid w:val="004E0334"/>
    <w:rsid w:val="004E3824"/>
    <w:rsid w:val="004F09F8"/>
    <w:rsid w:val="00502BFC"/>
    <w:rsid w:val="00511EDF"/>
    <w:rsid w:val="00523237"/>
    <w:rsid w:val="00523E05"/>
    <w:rsid w:val="005302F6"/>
    <w:rsid w:val="00542D84"/>
    <w:rsid w:val="00560348"/>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182"/>
    <w:rsid w:val="00663234"/>
    <w:rsid w:val="00667E12"/>
    <w:rsid w:val="00676C62"/>
    <w:rsid w:val="00677A58"/>
    <w:rsid w:val="00685848"/>
    <w:rsid w:val="006A6F8F"/>
    <w:rsid w:val="006C0E12"/>
    <w:rsid w:val="006C3164"/>
    <w:rsid w:val="006C7A7B"/>
    <w:rsid w:val="006D0B95"/>
    <w:rsid w:val="006E39F3"/>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05FC4"/>
    <w:rsid w:val="00810A21"/>
    <w:rsid w:val="00811068"/>
    <w:rsid w:val="00813980"/>
    <w:rsid w:val="00817846"/>
    <w:rsid w:val="00833A72"/>
    <w:rsid w:val="00833F2B"/>
    <w:rsid w:val="008340D6"/>
    <w:rsid w:val="0083540C"/>
    <w:rsid w:val="00835BBF"/>
    <w:rsid w:val="008369B9"/>
    <w:rsid w:val="00852CC6"/>
    <w:rsid w:val="00870D98"/>
    <w:rsid w:val="008740CF"/>
    <w:rsid w:val="008A27DC"/>
    <w:rsid w:val="008A357D"/>
    <w:rsid w:val="008C5E30"/>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66653"/>
    <w:rsid w:val="0097038C"/>
    <w:rsid w:val="009B17EA"/>
    <w:rsid w:val="009B6F98"/>
    <w:rsid w:val="009D19EA"/>
    <w:rsid w:val="009E270C"/>
    <w:rsid w:val="009E3FEB"/>
    <w:rsid w:val="009E50D3"/>
    <w:rsid w:val="009E72DB"/>
    <w:rsid w:val="009F7404"/>
    <w:rsid w:val="00A02CAD"/>
    <w:rsid w:val="00A059D3"/>
    <w:rsid w:val="00A13179"/>
    <w:rsid w:val="00A140EB"/>
    <w:rsid w:val="00A376C8"/>
    <w:rsid w:val="00A4593C"/>
    <w:rsid w:val="00A65745"/>
    <w:rsid w:val="00A824E0"/>
    <w:rsid w:val="00A825E2"/>
    <w:rsid w:val="00A840C6"/>
    <w:rsid w:val="00AA68A1"/>
    <w:rsid w:val="00AB4706"/>
    <w:rsid w:val="00AC3A1D"/>
    <w:rsid w:val="00AC7AC6"/>
    <w:rsid w:val="00AD1750"/>
    <w:rsid w:val="00AD799C"/>
    <w:rsid w:val="00AE1C97"/>
    <w:rsid w:val="00AE2BCA"/>
    <w:rsid w:val="00AF0A2E"/>
    <w:rsid w:val="00AF4619"/>
    <w:rsid w:val="00B03D07"/>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61AFA"/>
    <w:rsid w:val="00B830A9"/>
    <w:rsid w:val="00B8609C"/>
    <w:rsid w:val="00B95768"/>
    <w:rsid w:val="00BB67AF"/>
    <w:rsid w:val="00BC1350"/>
    <w:rsid w:val="00BC6A2F"/>
    <w:rsid w:val="00BD4E33"/>
    <w:rsid w:val="00BF1682"/>
    <w:rsid w:val="00BF269F"/>
    <w:rsid w:val="00C04537"/>
    <w:rsid w:val="00C14FB0"/>
    <w:rsid w:val="00C25C02"/>
    <w:rsid w:val="00C26729"/>
    <w:rsid w:val="00C33FEE"/>
    <w:rsid w:val="00C37A18"/>
    <w:rsid w:val="00C37B27"/>
    <w:rsid w:val="00C53CE6"/>
    <w:rsid w:val="00C551FC"/>
    <w:rsid w:val="00C648E4"/>
    <w:rsid w:val="00C67A0A"/>
    <w:rsid w:val="00C72F09"/>
    <w:rsid w:val="00C75DBB"/>
    <w:rsid w:val="00C77893"/>
    <w:rsid w:val="00C837F9"/>
    <w:rsid w:val="00C84158"/>
    <w:rsid w:val="00C84E60"/>
    <w:rsid w:val="00CF63E1"/>
    <w:rsid w:val="00D00614"/>
    <w:rsid w:val="00D028CA"/>
    <w:rsid w:val="00D07744"/>
    <w:rsid w:val="00D17DC5"/>
    <w:rsid w:val="00D35307"/>
    <w:rsid w:val="00D4563B"/>
    <w:rsid w:val="00D648E2"/>
    <w:rsid w:val="00D80072"/>
    <w:rsid w:val="00D830B5"/>
    <w:rsid w:val="00D92439"/>
    <w:rsid w:val="00DA1664"/>
    <w:rsid w:val="00DA2F6F"/>
    <w:rsid w:val="00DA3130"/>
    <w:rsid w:val="00DB5B1B"/>
    <w:rsid w:val="00DB6C98"/>
    <w:rsid w:val="00DE3F2D"/>
    <w:rsid w:val="00DE460C"/>
    <w:rsid w:val="00DF2EBE"/>
    <w:rsid w:val="00E20210"/>
    <w:rsid w:val="00E207C7"/>
    <w:rsid w:val="00E2379D"/>
    <w:rsid w:val="00E244D1"/>
    <w:rsid w:val="00E7475B"/>
    <w:rsid w:val="00E7476B"/>
    <w:rsid w:val="00E74841"/>
    <w:rsid w:val="00E82979"/>
    <w:rsid w:val="00E831B6"/>
    <w:rsid w:val="00E84413"/>
    <w:rsid w:val="00E96F85"/>
    <w:rsid w:val="00E97390"/>
    <w:rsid w:val="00E97800"/>
    <w:rsid w:val="00EA6520"/>
    <w:rsid w:val="00EA72D0"/>
    <w:rsid w:val="00ED33D6"/>
    <w:rsid w:val="00EF0656"/>
    <w:rsid w:val="00EF394B"/>
    <w:rsid w:val="00EF62C8"/>
    <w:rsid w:val="00EF7F73"/>
    <w:rsid w:val="00F2422E"/>
    <w:rsid w:val="00F40E2E"/>
    <w:rsid w:val="00F620CA"/>
    <w:rsid w:val="00F74154"/>
    <w:rsid w:val="00F842D3"/>
    <w:rsid w:val="00F87092"/>
    <w:rsid w:val="00FA0726"/>
    <w:rsid w:val="00FD281F"/>
    <w:rsid w:val="00FE4AFD"/>
    <w:rsid w:val="00FF2B4D"/>
    <w:rsid w:val="00FF2F76"/>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FF71A"/>
  <w15:chartTrackingRefBased/>
  <w15:docId w15:val="{058E1804-7536-421D-B834-24762090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uiPriority w:val="99"/>
    <w:rsid w:val="00930F7E"/>
    <w:rPr>
      <w:rFonts w:ascii="Calibri" w:hAnsi="Calibri"/>
      <w:position w:val="6"/>
      <w:sz w:val="18"/>
    </w:rPr>
  </w:style>
  <w:style w:type="paragraph" w:styleId="FootnoteText">
    <w:name w:val="footnote text"/>
    <w:basedOn w:val="Normal"/>
    <w:link w:val="FootnoteTextChar"/>
    <w:uiPriority w:val="99"/>
    <w:rsid w:val="00930F7E"/>
    <w:pPr>
      <w:keepLines/>
      <w:tabs>
        <w:tab w:val="left" w:pos="255"/>
      </w:tabs>
      <w:ind w:left="255" w:hanging="255"/>
    </w:pPr>
  </w:style>
  <w:style w:type="character" w:customStyle="1" w:styleId="FootnoteTextChar">
    <w:name w:val="Footnote Text Char"/>
    <w:link w:val="FootnoteText"/>
    <w:uiPriority w:val="99"/>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14380C"/>
    <w:pPr>
      <w:ind w:left="720"/>
      <w:contextualSpacing/>
    </w:pPr>
  </w:style>
  <w:style w:type="character" w:styleId="UnresolvedMention">
    <w:name w:val="Unresolved Mention"/>
    <w:basedOn w:val="DefaultParagraphFont"/>
    <w:uiPriority w:val="99"/>
    <w:semiHidden/>
    <w:unhideWhenUsed/>
    <w:rsid w:val="0014380C"/>
    <w:rPr>
      <w:color w:val="605E5C"/>
      <w:shd w:val="clear" w:color="auto" w:fill="E1DFDD"/>
    </w:rPr>
  </w:style>
  <w:style w:type="paragraph" w:customStyle="1" w:styleId="paragraph">
    <w:name w:val="paragraph"/>
    <w:basedOn w:val="Normal"/>
    <w:rsid w:val="00A4593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normaltextrun">
    <w:name w:val="normaltextrun"/>
    <w:basedOn w:val="DefaultParagraphFont"/>
    <w:rsid w:val="00A4593C"/>
  </w:style>
  <w:style w:type="character" w:customStyle="1" w:styleId="Heading1Char">
    <w:name w:val="Heading 1 Char"/>
    <w:basedOn w:val="DefaultParagraphFont"/>
    <w:link w:val="Heading1"/>
    <w:uiPriority w:val="9"/>
    <w:rsid w:val="00C33FEE"/>
    <w:rPr>
      <w:rFonts w:ascii="Calibri" w:eastAsia="Times New Roman" w:hAnsi="Calibri"/>
      <w:b/>
      <w:sz w:val="24"/>
      <w:lang w:val="en-GB" w:eastAsia="en-US"/>
    </w:rPr>
  </w:style>
  <w:style w:type="character" w:customStyle="1" w:styleId="Heading2Char">
    <w:name w:val="Heading 2 Char"/>
    <w:basedOn w:val="DefaultParagraphFont"/>
    <w:link w:val="Heading2"/>
    <w:uiPriority w:val="9"/>
    <w:rsid w:val="008C5E30"/>
    <w:rPr>
      <w:rFonts w:ascii="Calibri" w:eastAsia="Times New Roman" w:hAnsi="Calibri"/>
      <w:b/>
      <w:sz w:val="24"/>
      <w:lang w:val="en-GB" w:eastAsia="en-US"/>
    </w:rPr>
  </w:style>
  <w:style w:type="character" w:customStyle="1" w:styleId="author-10450825937">
    <w:name w:val="author-10450825937"/>
    <w:basedOn w:val="DefaultParagraphFont"/>
    <w:rsid w:val="008C5E30"/>
  </w:style>
  <w:style w:type="paragraph" w:customStyle="1" w:styleId="list-bullet1">
    <w:name w:val="list-bullet1"/>
    <w:basedOn w:val="Normal"/>
    <w:rsid w:val="008C5E3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ZW" w:eastAsia="en-GB"/>
    </w:rPr>
  </w:style>
  <w:style w:type="paragraph" w:styleId="NormalWeb">
    <w:name w:val="Normal (Web)"/>
    <w:basedOn w:val="Normal"/>
    <w:uiPriority w:val="99"/>
    <w:unhideWhenUsed/>
    <w:rsid w:val="008C5E3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ZW"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731023">
      <w:bodyDiv w:val="1"/>
      <w:marLeft w:val="0"/>
      <w:marRight w:val="0"/>
      <w:marTop w:val="0"/>
      <w:marBottom w:val="0"/>
      <w:divBdr>
        <w:top w:val="none" w:sz="0" w:space="0" w:color="auto"/>
        <w:left w:val="none" w:sz="0" w:space="0" w:color="auto"/>
        <w:bottom w:val="none" w:sz="0" w:space="0" w:color="auto"/>
        <w:right w:val="none" w:sz="0" w:space="0" w:color="auto"/>
      </w:divBdr>
    </w:div>
    <w:div w:id="19094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oscouganda.com/" TargetMode="External"/><Relationship Id="rId18" Type="http://schemas.openxmlformats.org/officeDocument/2006/relationships/hyperlink" Target="https://comconnectivity.org/wp-content/uploads/2020/05/building_community_network_policies_-_a_collaborative_governance_towards_enabling_frameworks.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nternetsociety.org/blog/2018/12/murambinda-works-community-engagement-workshop/" TargetMode="External"/><Relationship Id="rId7" Type="http://schemas.openxmlformats.org/officeDocument/2006/relationships/endnotes" Target="endnotes.xml"/><Relationship Id="rId12" Type="http://schemas.openxmlformats.org/officeDocument/2006/relationships/hyperlink" Target="https://www.itu.int/md/D18-SG01.RGQ-C-0338/" TargetMode="External"/><Relationship Id="rId17" Type="http://schemas.openxmlformats.org/officeDocument/2006/relationships/hyperlink" Target="https://www.internetsociety.org/resources/doc/2019/innovations-in-spectrum-manageme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ternetsociety.org/wp-content/uploads/2017/10/Spectrum-Approaches-for-Community-Networks_20171010.pdf" TargetMode="External"/><Relationship Id="rId20" Type="http://schemas.openxmlformats.org/officeDocument/2006/relationships/hyperlink" Target="https://www.internetsociety.org/resources/doc/2017/supporting-the-creation-and-scalability-of-affordable-access-solutions-understanding-community-networks-in-afr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int/en/documents/20200518/digital-transformation-strategy-africa-2020-203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ternetsociety.org/resources/2018/unleashing-community-networks-innovative-licensing-approaches/" TargetMode="External"/><Relationship Id="rId23" Type="http://schemas.openxmlformats.org/officeDocument/2006/relationships/footer" Target="footer1.xml"/><Relationship Id="rId10" Type="http://schemas.openxmlformats.org/officeDocument/2006/relationships/hyperlink" Target="https://www.internetsociety.org/issues/community-networks/" TargetMode="External"/><Relationship Id="rId19" Type="http://schemas.openxmlformats.org/officeDocument/2006/relationships/hyperlink" Target="https://www.internetsociety.org/covid19-policy-recommendations/"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la-difference.com/innovation-article-community-internet"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FR.aspx" TargetMode="External"/><Relationship Id="rId1" Type="http://schemas.openxmlformats.org/officeDocument/2006/relationships/hyperlink" Target="mailto:mabika@isoc.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ternetsociety.org/wp-content/uploads/2017/10/Spectrum-Approaches-for-Community-Networks_20171010.pdf" TargetMode="External"/><Relationship Id="rId2" Type="http://schemas.openxmlformats.org/officeDocument/2006/relationships/hyperlink" Target="https://blogs.unicef.org/evidence-for-action/covid-19-and-education-the-digital-gender-divide-among-adolescents-in-sub-saharan-africa/" TargetMode="External"/><Relationship Id="rId1" Type="http://schemas.openxmlformats.org/officeDocument/2006/relationships/hyperlink" Target="https://www.africaportal.org/features/covid-19-implications-of-the-pandemic-for-the-digital-divide-in-africa/" TargetMode="External"/><Relationship Id="rId5" Type="http://schemas.openxmlformats.org/officeDocument/2006/relationships/hyperlink" Target="https://www.apc.org/en/users/murambinda-works" TargetMode="External"/><Relationship Id="rId4" Type="http://schemas.openxmlformats.org/officeDocument/2006/relationships/hyperlink" Target="https://www.tic-ac.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ASP-2021\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1A463-D37D-4005-801B-7C464F40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1</TotalTime>
  <Pages>5</Pages>
  <Words>1329</Words>
  <Characters>10116</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BDT-nd</dc:creator>
  <cp:keywords/>
  <dc:description/>
  <cp:lastModifiedBy>Comas Barnes, Maite</cp:lastModifiedBy>
  <cp:revision>3</cp:revision>
  <cp:lastPrinted>2009-02-13T19:37:00Z</cp:lastPrinted>
  <dcterms:created xsi:type="dcterms:W3CDTF">2021-03-16T20:28:00Z</dcterms:created>
  <dcterms:modified xsi:type="dcterms:W3CDTF">2021-03-16T20:29:00Z</dcterms:modified>
</cp:coreProperties>
</file>