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3FD4" w14:textId="0D1E18BA" w:rsidR="000F1D2A" w:rsidRPr="004D1867" w:rsidRDefault="000F1D2A" w:rsidP="000F1D2A">
      <w:pPr>
        <w:pStyle w:val="Heading1"/>
        <w:rPr>
          <w:bCs/>
        </w:rPr>
      </w:pPr>
      <w:r w:rsidRPr="004D1867">
        <w:t>1</w:t>
      </w:r>
      <w:r w:rsidRPr="004D1867">
        <w:tab/>
        <w:t>Introduction</w:t>
      </w:r>
    </w:p>
    <w:p w14:paraId="67179FD3" w14:textId="77777777" w:rsidR="000F1D2A" w:rsidRPr="004D1867" w:rsidRDefault="000F1D2A" w:rsidP="000F1D2A">
      <w:r w:rsidRPr="004D1867">
        <w:t>L'Assemblée mondiale de normalisation des télécommunications (AMNT) s'est tenue à Yasmine Hammamet (Tunisie) du 25 octobre au 3 novembre 2016 et a été précédée par le Colloque mondial sur la normalisation (24 octobre 2016).</w:t>
      </w:r>
    </w:p>
    <w:p w14:paraId="105B4C94" w14:textId="0931168F" w:rsidR="000F1D2A" w:rsidRPr="004D1867" w:rsidRDefault="000F1D2A" w:rsidP="000F1D2A">
      <w:r w:rsidRPr="004D1867">
        <w:t>Les contributions soumises à l'AMNT peuvent, pour l'essentiel, être classées en trois grandes catégories: les propositions relatives aux travaux des commissions d'études de l'UIT-T, les propositions relatives aux Recommandations UIT-T et les propositions relatives aux Résolutions de l'AMNT.</w:t>
      </w:r>
    </w:p>
    <w:p w14:paraId="199584F6" w14:textId="287819E3" w:rsidR="000F1D2A" w:rsidRPr="004D1867" w:rsidRDefault="000F1D2A" w:rsidP="000F1D2A">
      <w:r w:rsidRPr="004D1867">
        <w:t>Un grand nombre de Résolutions adoptées par l'AMNT-16 portent sur les besoins des pays en développement en termes de TIC au service du développement et sont par conséquent liés aux travaux de l'UIT-D.</w:t>
      </w:r>
    </w:p>
    <w:p w14:paraId="03DD844C" w14:textId="56A75E74" w:rsidR="00AD41F8" w:rsidRPr="004D1867" w:rsidRDefault="000F1D2A" w:rsidP="000F1D2A">
      <w:r w:rsidRPr="004D1867">
        <w:t>Pour la plupart d'entre elles, il est fait mention, dans leur dispositif, de la collaboration et de la coopération avec l'UIT-D, avec ses commissions d'études et avec le Directeur du BDT. Dans certaines Résolutions, il est clairement indiqué qu'il convient de soutenir les efforts actuellement déployés par l'UIT-D.</w:t>
      </w:r>
    </w:p>
    <w:p w14:paraId="6DDF5B89" w14:textId="6614984F" w:rsidR="000F1D2A" w:rsidRPr="004D1867" w:rsidRDefault="000F1D2A" w:rsidP="000F1D2A">
      <w:pPr>
        <w:pStyle w:val="Heading1"/>
      </w:pPr>
      <w:r w:rsidRPr="004D1867">
        <w:t>2</w:t>
      </w:r>
      <w:r w:rsidRPr="004D1867">
        <w:tab/>
      </w:r>
      <w:r w:rsidR="00764374" w:rsidRPr="004D1867">
        <w:t>Principaux résultats</w:t>
      </w:r>
    </w:p>
    <w:p w14:paraId="3E80D34E" w14:textId="5B4C9F08" w:rsidR="000F1D2A" w:rsidRPr="004D1867" w:rsidRDefault="000F1D2A" w:rsidP="000F1D2A">
      <w:r w:rsidRPr="004D1867">
        <w:t xml:space="preserve">L'AMNT-16 a approuvé un nombre important de Résolutions, nouvelles ou révisées, aux termes desquelles l'UIT-D est appelé à collaborer à leur mise en </w:t>
      </w:r>
      <w:r w:rsidR="000C5952" w:rsidRPr="004D1867">
        <w:t>œuvre</w:t>
      </w:r>
      <w:r w:rsidRPr="004D1867">
        <w:t>.</w:t>
      </w:r>
    </w:p>
    <w:p w14:paraId="64C3F768" w14:textId="1EFADAE4" w:rsidR="000F1D2A" w:rsidRPr="004D1867" w:rsidRDefault="000F1D2A" w:rsidP="000F1D2A">
      <w:r w:rsidRPr="004D1867">
        <w:t xml:space="preserve">Les principaux sujets de plusieurs Résolutions, tels que le mandat des commissions d'études de l'UIT, l'Internet des objets, les applications OTT, la cybersécurité, l'itinérance mobile internationale (IMR), la réduction des disparités en matière d'inclusion financière, la contrefaçon, Smart Africa, la réduction de l'écart en matière de normalisation, le protocole IPv6, l'accessibilité, l'exposition des personnes aux champs électromagnétiques ou encore la cybersanté, sont liés aux principaux domaines d'activité de l'UIT-D, dans la mesure où ils nécessitent qu'une assistance soit fournie aux </w:t>
      </w:r>
      <w:r w:rsidR="000C5952" w:rsidRPr="004D1867">
        <w:t>États</w:t>
      </w:r>
      <w:r w:rsidRPr="004D1867">
        <w:t xml:space="preserve"> Membres, en particulier aux pays en développement, essentiellement sous forme de sensibilisation, d'organisation d'ateliers et de séminaires, de mise en place de plate</w:t>
      </w:r>
      <w:r w:rsidR="000C5952" w:rsidRPr="004D1867">
        <w:t>s-</w:t>
      </w:r>
      <w:r w:rsidRPr="004D1867">
        <w:t>formes de dialogue ainsi que de renforcement des capacités humaines et institutionnelles.</w:t>
      </w:r>
    </w:p>
    <w:p w14:paraId="62DF8FE2" w14:textId="61F7E201" w:rsidR="000F1D2A" w:rsidRPr="004D1867" w:rsidRDefault="00764374" w:rsidP="000C5952">
      <w:pPr>
        <w:spacing w:after="240"/>
      </w:pPr>
      <w:r w:rsidRPr="004D1867">
        <w:t>Le tableau suivant présente les Résolutions de l'AMNT ayant une incidence sur les travaux de l'UIT</w:t>
      </w:r>
      <w:r w:rsidRPr="004D1867">
        <w:noBreakHyphen/>
        <w:t>D. On trouvera dans l'</w:t>
      </w:r>
      <w:r w:rsidRPr="004D1867">
        <w:rPr>
          <w:b/>
          <w:bCs/>
        </w:rPr>
        <w:t>Appendice</w:t>
      </w:r>
      <w:r w:rsidRPr="004D1867">
        <w:t xml:space="preserve"> les extraits </w:t>
      </w:r>
      <w:r w:rsidR="00DE2547" w:rsidRPr="004D1867">
        <w:t xml:space="preserve">du </w:t>
      </w:r>
      <w:r w:rsidRPr="004D1867">
        <w:t>texte détaillé concernant l'UIT-D.</w:t>
      </w:r>
    </w:p>
    <w:tbl>
      <w:tblPr>
        <w:tblStyle w:val="GridTable4-Accent11"/>
        <w:tblW w:w="0" w:type="auto"/>
        <w:tblLook w:val="04A0" w:firstRow="1" w:lastRow="0" w:firstColumn="1" w:lastColumn="0" w:noHBand="0" w:noVBand="1"/>
      </w:tblPr>
      <w:tblGrid>
        <w:gridCol w:w="1031"/>
        <w:gridCol w:w="1454"/>
        <w:gridCol w:w="7144"/>
      </w:tblGrid>
      <w:tr w:rsidR="000F1D2A" w:rsidRPr="004D1867" w14:paraId="40B3CCCE" w14:textId="77777777" w:rsidTr="007270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dxa"/>
          </w:tcPr>
          <w:p w14:paraId="6F6A8709" w14:textId="77777777" w:rsidR="000F1D2A" w:rsidRPr="004D1867" w:rsidRDefault="000F1D2A" w:rsidP="000F1D2A">
            <w:pPr>
              <w:pStyle w:val="Tablehead"/>
              <w:rPr>
                <w:b/>
                <w:bCs w:val="0"/>
              </w:rPr>
            </w:pPr>
            <w:r w:rsidRPr="004D1867">
              <w:rPr>
                <w:b/>
                <w:bCs w:val="0"/>
              </w:rPr>
              <w:t>Statut</w:t>
            </w:r>
          </w:p>
        </w:tc>
        <w:tc>
          <w:tcPr>
            <w:tcW w:w="1516" w:type="dxa"/>
          </w:tcPr>
          <w:p w14:paraId="64CB5590" w14:textId="77777777" w:rsidR="000F1D2A" w:rsidRPr="004D1867" w:rsidRDefault="000F1D2A" w:rsidP="000F1D2A">
            <w:pPr>
              <w:pStyle w:val="Tablehead"/>
              <w:cnfStyle w:val="100000000000" w:firstRow="1" w:lastRow="0" w:firstColumn="0" w:lastColumn="0" w:oddVBand="0" w:evenVBand="0" w:oddHBand="0" w:evenHBand="0" w:firstRowFirstColumn="0" w:firstRowLastColumn="0" w:lastRowFirstColumn="0" w:lastRowLastColumn="0"/>
              <w:rPr>
                <w:b/>
                <w:bCs w:val="0"/>
              </w:rPr>
            </w:pPr>
            <w:r w:rsidRPr="004D1867">
              <w:rPr>
                <w:b/>
                <w:bCs w:val="0"/>
              </w:rPr>
              <w:t>Numéro</w:t>
            </w:r>
          </w:p>
        </w:tc>
        <w:tc>
          <w:tcPr>
            <w:tcW w:w="7650" w:type="dxa"/>
          </w:tcPr>
          <w:p w14:paraId="679E5871" w14:textId="77777777" w:rsidR="000F1D2A" w:rsidRPr="004D1867" w:rsidRDefault="000F1D2A" w:rsidP="000F1D2A">
            <w:pPr>
              <w:pStyle w:val="Tablehead"/>
              <w:cnfStyle w:val="100000000000" w:firstRow="1" w:lastRow="0" w:firstColumn="0" w:lastColumn="0" w:oddVBand="0" w:evenVBand="0" w:oddHBand="0" w:evenHBand="0" w:firstRowFirstColumn="0" w:firstRowLastColumn="0" w:lastRowFirstColumn="0" w:lastRowLastColumn="0"/>
              <w:rPr>
                <w:b/>
                <w:bCs w:val="0"/>
              </w:rPr>
            </w:pPr>
            <w:r w:rsidRPr="004D1867">
              <w:rPr>
                <w:b/>
                <w:bCs w:val="0"/>
              </w:rPr>
              <w:t>Titre</w:t>
            </w:r>
          </w:p>
        </w:tc>
      </w:tr>
      <w:tr w:rsidR="000F1D2A" w:rsidRPr="004D1867" w14:paraId="52164882"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4CC4C7F0" w14:textId="77777777" w:rsidR="000F1D2A" w:rsidRPr="004D1867" w:rsidRDefault="000F1D2A" w:rsidP="002E05EF">
            <w:pPr>
              <w:pStyle w:val="Tabletext"/>
              <w:jc w:val="center"/>
              <w:rPr>
                <w:szCs w:val="22"/>
              </w:rPr>
            </w:pPr>
            <w:r w:rsidRPr="004D1867">
              <w:rPr>
                <w:szCs w:val="22"/>
              </w:rPr>
              <w:t>Nouvelle</w:t>
            </w:r>
          </w:p>
        </w:tc>
        <w:tc>
          <w:tcPr>
            <w:tcW w:w="1516" w:type="dxa"/>
          </w:tcPr>
          <w:p w14:paraId="34371882" w14:textId="602C05D0"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83</w:t>
            </w:r>
          </w:p>
        </w:tc>
        <w:tc>
          <w:tcPr>
            <w:tcW w:w="7650" w:type="dxa"/>
          </w:tcPr>
          <w:p w14:paraId="40B3F04B" w14:textId="1C1710B8" w:rsidR="000F1D2A" w:rsidRPr="004D1867" w:rsidRDefault="00764374"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É</w:t>
            </w:r>
            <w:r w:rsidR="000F1D2A" w:rsidRPr="004D1867">
              <w:rPr>
                <w:szCs w:val="22"/>
              </w:rPr>
              <w:t xml:space="preserve">valuation de la mise en </w:t>
            </w:r>
            <w:r w:rsidR="000C5952" w:rsidRPr="004D1867">
              <w:rPr>
                <w:szCs w:val="22"/>
              </w:rPr>
              <w:t>œuvre</w:t>
            </w:r>
            <w:r w:rsidR="000F1D2A" w:rsidRPr="004D1867">
              <w:rPr>
                <w:szCs w:val="22"/>
              </w:rPr>
              <w:t xml:space="preserve"> des Résolutions de l'Assemblée mondiale de normalisation des télécommunications</w:t>
            </w:r>
          </w:p>
        </w:tc>
      </w:tr>
      <w:tr w:rsidR="000F1D2A" w:rsidRPr="004D1867" w14:paraId="16CE2DAC"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BE88635" w14:textId="77777777" w:rsidR="000F1D2A" w:rsidRPr="004D1867" w:rsidRDefault="000F1D2A" w:rsidP="002E05EF">
            <w:pPr>
              <w:pStyle w:val="Tabletext"/>
              <w:jc w:val="center"/>
              <w:rPr>
                <w:szCs w:val="22"/>
              </w:rPr>
            </w:pPr>
            <w:r w:rsidRPr="004D1867">
              <w:rPr>
                <w:szCs w:val="22"/>
              </w:rPr>
              <w:t>Nouvelle</w:t>
            </w:r>
          </w:p>
        </w:tc>
        <w:tc>
          <w:tcPr>
            <w:tcW w:w="1516" w:type="dxa"/>
          </w:tcPr>
          <w:p w14:paraId="62717711" w14:textId="11A8AFDA"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84</w:t>
            </w:r>
          </w:p>
        </w:tc>
        <w:tc>
          <w:tcPr>
            <w:tcW w:w="7650" w:type="dxa"/>
          </w:tcPr>
          <w:p w14:paraId="35F1C2E2" w14:textId="2A73A80B" w:rsidR="000F1D2A" w:rsidRPr="004D1867" w:rsidRDefault="00764374"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É</w:t>
            </w:r>
            <w:r w:rsidR="000F1D2A" w:rsidRPr="004D1867">
              <w:rPr>
                <w:szCs w:val="22"/>
              </w:rPr>
              <w:t>tudes relatives à la protection des utilisateurs de services de télécommunication/TIC</w:t>
            </w:r>
          </w:p>
        </w:tc>
      </w:tr>
      <w:tr w:rsidR="000F1D2A" w:rsidRPr="004D1867" w14:paraId="0993176C"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7EBAE397" w14:textId="77777777" w:rsidR="000F1D2A" w:rsidRPr="004D1867" w:rsidRDefault="000F1D2A" w:rsidP="002E05EF">
            <w:pPr>
              <w:pStyle w:val="Tabletext"/>
              <w:jc w:val="center"/>
              <w:rPr>
                <w:szCs w:val="22"/>
              </w:rPr>
            </w:pPr>
            <w:r w:rsidRPr="004D1867">
              <w:rPr>
                <w:szCs w:val="22"/>
              </w:rPr>
              <w:t>Nouvelle</w:t>
            </w:r>
          </w:p>
        </w:tc>
        <w:tc>
          <w:tcPr>
            <w:tcW w:w="1516" w:type="dxa"/>
          </w:tcPr>
          <w:p w14:paraId="62BA1C54" w14:textId="3409D7DF"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86</w:t>
            </w:r>
          </w:p>
        </w:tc>
        <w:tc>
          <w:tcPr>
            <w:tcW w:w="7650" w:type="dxa"/>
          </w:tcPr>
          <w:p w14:paraId="18DDA1C1" w14:textId="778B9F26"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 xml:space="preserve">Faciliter la mise en </w:t>
            </w:r>
            <w:r w:rsidR="000C5952" w:rsidRPr="004D1867">
              <w:rPr>
                <w:szCs w:val="22"/>
              </w:rPr>
              <w:t>œuvre</w:t>
            </w:r>
            <w:r w:rsidRPr="004D1867">
              <w:rPr>
                <w:szCs w:val="22"/>
              </w:rPr>
              <w:t xml:space="preserve"> du Manifeste Smart Africa</w:t>
            </w:r>
          </w:p>
        </w:tc>
      </w:tr>
      <w:tr w:rsidR="000F1D2A" w:rsidRPr="004D1867" w14:paraId="5EF55A83"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6AF64773" w14:textId="77777777" w:rsidR="000F1D2A" w:rsidRPr="004D1867" w:rsidRDefault="000F1D2A" w:rsidP="002E05EF">
            <w:pPr>
              <w:pStyle w:val="Tabletext"/>
              <w:jc w:val="center"/>
              <w:rPr>
                <w:szCs w:val="22"/>
              </w:rPr>
            </w:pPr>
            <w:r w:rsidRPr="004D1867">
              <w:rPr>
                <w:szCs w:val="22"/>
              </w:rPr>
              <w:t>Nouvelle</w:t>
            </w:r>
          </w:p>
        </w:tc>
        <w:tc>
          <w:tcPr>
            <w:tcW w:w="1516" w:type="dxa"/>
          </w:tcPr>
          <w:p w14:paraId="051FEFFB" w14:textId="61A2DEB4"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88</w:t>
            </w:r>
          </w:p>
        </w:tc>
        <w:tc>
          <w:tcPr>
            <w:tcW w:w="7650" w:type="dxa"/>
          </w:tcPr>
          <w:p w14:paraId="3546248F" w14:textId="65D4BE54"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Itinérance mobile internationale</w:t>
            </w:r>
          </w:p>
        </w:tc>
      </w:tr>
      <w:tr w:rsidR="000F1D2A" w:rsidRPr="004D1867" w14:paraId="3C243757"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59E4842" w14:textId="77777777" w:rsidR="000F1D2A" w:rsidRPr="004D1867" w:rsidRDefault="000F1D2A" w:rsidP="002E05EF">
            <w:pPr>
              <w:pStyle w:val="Tabletext"/>
              <w:jc w:val="center"/>
              <w:rPr>
                <w:szCs w:val="22"/>
              </w:rPr>
            </w:pPr>
            <w:r w:rsidRPr="004D1867">
              <w:rPr>
                <w:szCs w:val="22"/>
              </w:rPr>
              <w:t>Nouvelle</w:t>
            </w:r>
          </w:p>
        </w:tc>
        <w:tc>
          <w:tcPr>
            <w:tcW w:w="1516" w:type="dxa"/>
          </w:tcPr>
          <w:p w14:paraId="2446B856" w14:textId="6AC81C8D"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89</w:t>
            </w:r>
          </w:p>
        </w:tc>
        <w:tc>
          <w:tcPr>
            <w:tcW w:w="7650" w:type="dxa"/>
          </w:tcPr>
          <w:p w14:paraId="481A8319"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Promouvoir l'utilisation des technologies de l'information et de la communication pour réduire les disparités en matière d'inclusion financière</w:t>
            </w:r>
          </w:p>
        </w:tc>
      </w:tr>
      <w:tr w:rsidR="000F1D2A" w:rsidRPr="004D1867" w14:paraId="6CDAABE6"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546BD59A" w14:textId="77777777" w:rsidR="000F1D2A" w:rsidRPr="004D1867" w:rsidRDefault="000F1D2A" w:rsidP="002E05EF">
            <w:pPr>
              <w:pStyle w:val="Tabletext"/>
              <w:jc w:val="center"/>
              <w:rPr>
                <w:szCs w:val="22"/>
              </w:rPr>
            </w:pPr>
            <w:r w:rsidRPr="004D1867">
              <w:rPr>
                <w:szCs w:val="22"/>
              </w:rPr>
              <w:lastRenderedPageBreak/>
              <w:t>Nouvelle</w:t>
            </w:r>
          </w:p>
        </w:tc>
        <w:tc>
          <w:tcPr>
            <w:tcW w:w="1516" w:type="dxa"/>
          </w:tcPr>
          <w:p w14:paraId="47EE5C59" w14:textId="7BFD25D6" w:rsidR="000F1D2A" w:rsidRPr="004D1867" w:rsidRDefault="000F1D2A" w:rsidP="000C5952">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92</w:t>
            </w:r>
          </w:p>
        </w:tc>
        <w:tc>
          <w:tcPr>
            <w:tcW w:w="7650" w:type="dxa"/>
          </w:tcPr>
          <w:p w14:paraId="1E598F49" w14:textId="4268E6C6" w:rsidR="000F1D2A" w:rsidRPr="004D1867" w:rsidRDefault="00DE2547" w:rsidP="000C5952">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 xml:space="preserve">Renforcer </w:t>
            </w:r>
            <w:r w:rsidR="000F1D2A" w:rsidRPr="004D1867">
              <w:rPr>
                <w:szCs w:val="22"/>
              </w:rPr>
              <w:t xml:space="preserve">les travaux de normalisation </w:t>
            </w:r>
            <w:r w:rsidR="00EF23CD" w:rsidRPr="004D1867">
              <w:rPr>
                <w:szCs w:val="22"/>
              </w:rPr>
              <w:t xml:space="preserve">relatifs aux </w:t>
            </w:r>
            <w:r w:rsidR="000F1D2A" w:rsidRPr="004D1867">
              <w:rPr>
                <w:szCs w:val="22"/>
              </w:rPr>
              <w:t>aspects non radioélectriques des Télécommunications mobiles internationales au sein du Secteur de la normalisation des télécommunications de l'UIT</w:t>
            </w:r>
          </w:p>
        </w:tc>
      </w:tr>
      <w:tr w:rsidR="000F1D2A" w:rsidRPr="004D1867" w14:paraId="607B4FB9"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1C01823B" w14:textId="77777777" w:rsidR="000F1D2A" w:rsidRPr="004D1867" w:rsidRDefault="000F1D2A" w:rsidP="002E05EF">
            <w:pPr>
              <w:pStyle w:val="Tabletext"/>
              <w:jc w:val="center"/>
              <w:rPr>
                <w:szCs w:val="22"/>
              </w:rPr>
            </w:pPr>
            <w:r w:rsidRPr="004D1867">
              <w:rPr>
                <w:szCs w:val="22"/>
              </w:rPr>
              <w:t>Nouvelle</w:t>
            </w:r>
          </w:p>
        </w:tc>
        <w:tc>
          <w:tcPr>
            <w:tcW w:w="1516" w:type="dxa"/>
          </w:tcPr>
          <w:p w14:paraId="00EDC5AA" w14:textId="0AB4C226"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95</w:t>
            </w:r>
          </w:p>
        </w:tc>
        <w:tc>
          <w:tcPr>
            <w:tcW w:w="7650" w:type="dxa"/>
          </w:tcPr>
          <w:p w14:paraId="3CC4AF06" w14:textId="3BC9432C"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Initiatives prises par le Secteur de la normalisation des télécommunications de l'UIT pour mieux faire connaître les bonnes pratiques et les politiques relatives à la qualité de service</w:t>
            </w:r>
          </w:p>
        </w:tc>
      </w:tr>
      <w:tr w:rsidR="000F1D2A" w:rsidRPr="004D1867" w14:paraId="3386C34F"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75AE49A4" w14:textId="77777777" w:rsidR="000F1D2A" w:rsidRPr="004D1867" w:rsidRDefault="000F1D2A" w:rsidP="002E05EF">
            <w:pPr>
              <w:pStyle w:val="Tabletext"/>
              <w:jc w:val="center"/>
              <w:rPr>
                <w:szCs w:val="22"/>
              </w:rPr>
            </w:pPr>
            <w:r w:rsidRPr="004D1867">
              <w:rPr>
                <w:szCs w:val="22"/>
              </w:rPr>
              <w:t>Nouvelle</w:t>
            </w:r>
          </w:p>
        </w:tc>
        <w:tc>
          <w:tcPr>
            <w:tcW w:w="1516" w:type="dxa"/>
          </w:tcPr>
          <w:p w14:paraId="3A4C05D3" w14:textId="7A620BC9"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96</w:t>
            </w:r>
          </w:p>
        </w:tc>
        <w:tc>
          <w:tcPr>
            <w:tcW w:w="7650" w:type="dxa"/>
          </w:tcPr>
          <w:p w14:paraId="11884333" w14:textId="12F60F8A" w:rsidR="000F1D2A" w:rsidRPr="004D1867" w:rsidRDefault="00764374"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É</w:t>
            </w:r>
            <w:r w:rsidR="000F1D2A" w:rsidRPr="004D1867">
              <w:rPr>
                <w:szCs w:val="22"/>
              </w:rPr>
              <w:t>tudes du Secteur de la normalisation des télécommunications de l'UIT visant à lutter contre la contrefaçon des dispositifs de télécommunication/technologies de l'information et de la communication</w:t>
            </w:r>
          </w:p>
        </w:tc>
      </w:tr>
      <w:tr w:rsidR="000F1D2A" w:rsidRPr="004D1867" w14:paraId="5E969283"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53FF87FD" w14:textId="77777777" w:rsidR="000F1D2A" w:rsidRPr="004D1867" w:rsidRDefault="000F1D2A" w:rsidP="002E05EF">
            <w:pPr>
              <w:pStyle w:val="Tabletext"/>
              <w:jc w:val="center"/>
              <w:rPr>
                <w:szCs w:val="22"/>
              </w:rPr>
            </w:pPr>
            <w:r w:rsidRPr="004D1867">
              <w:rPr>
                <w:szCs w:val="22"/>
              </w:rPr>
              <w:t>Nouvelle</w:t>
            </w:r>
          </w:p>
        </w:tc>
        <w:tc>
          <w:tcPr>
            <w:tcW w:w="1516" w:type="dxa"/>
          </w:tcPr>
          <w:p w14:paraId="0D10CA08" w14:textId="64474B81"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97</w:t>
            </w:r>
          </w:p>
        </w:tc>
        <w:tc>
          <w:tcPr>
            <w:tcW w:w="7650" w:type="dxa"/>
          </w:tcPr>
          <w:p w14:paraId="58235591" w14:textId="59EEABA6"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Lutter contre le vol de dispositifs de télécommunication mobiles</w:t>
            </w:r>
          </w:p>
        </w:tc>
      </w:tr>
      <w:tr w:rsidR="000F1D2A" w:rsidRPr="004D1867" w14:paraId="3A17EF44"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517F8893" w14:textId="77777777" w:rsidR="000F1D2A" w:rsidRPr="004D1867" w:rsidRDefault="000F1D2A" w:rsidP="002E05EF">
            <w:pPr>
              <w:pStyle w:val="Tabletext"/>
              <w:jc w:val="center"/>
              <w:rPr>
                <w:szCs w:val="22"/>
              </w:rPr>
            </w:pPr>
            <w:r w:rsidRPr="004D1867">
              <w:rPr>
                <w:szCs w:val="22"/>
              </w:rPr>
              <w:t>Nouvelle</w:t>
            </w:r>
          </w:p>
        </w:tc>
        <w:tc>
          <w:tcPr>
            <w:tcW w:w="1516" w:type="dxa"/>
          </w:tcPr>
          <w:p w14:paraId="24A75934" w14:textId="5487D05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98</w:t>
            </w:r>
          </w:p>
        </w:tc>
        <w:tc>
          <w:tcPr>
            <w:tcW w:w="7650" w:type="dxa"/>
          </w:tcPr>
          <w:p w14:paraId="4315E5A6" w14:textId="0AFF6F4C"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Renforcer la normalisation de l'Internet des objets ainsi que des villes et communautés intelligentes pour le développement à l'échelle mondiale</w:t>
            </w:r>
          </w:p>
        </w:tc>
      </w:tr>
      <w:tr w:rsidR="000F1D2A" w:rsidRPr="004D1867" w14:paraId="09257047"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4342D500" w14:textId="77777777" w:rsidR="000F1D2A" w:rsidRPr="004D1867" w:rsidRDefault="000F1D2A" w:rsidP="002E05EF">
            <w:pPr>
              <w:pStyle w:val="Tabletext"/>
              <w:jc w:val="center"/>
              <w:rPr>
                <w:szCs w:val="22"/>
              </w:rPr>
            </w:pPr>
            <w:r w:rsidRPr="004D1867">
              <w:rPr>
                <w:szCs w:val="22"/>
              </w:rPr>
              <w:t>Révisée</w:t>
            </w:r>
          </w:p>
        </w:tc>
        <w:tc>
          <w:tcPr>
            <w:tcW w:w="1516" w:type="dxa"/>
          </w:tcPr>
          <w:p w14:paraId="75F23DE8"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2</w:t>
            </w:r>
          </w:p>
        </w:tc>
        <w:tc>
          <w:tcPr>
            <w:tcW w:w="7650" w:type="dxa"/>
          </w:tcPr>
          <w:p w14:paraId="693DF679"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Domaine de compétence et mandat des commissions d'études du Secteur de la normalisation des télécommunications de l'UIT</w:t>
            </w:r>
          </w:p>
        </w:tc>
      </w:tr>
      <w:tr w:rsidR="000F1D2A" w:rsidRPr="004D1867" w14:paraId="22F2F4D1"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7C5111FB" w14:textId="77777777" w:rsidR="000F1D2A" w:rsidRPr="004D1867" w:rsidRDefault="000F1D2A" w:rsidP="002E05EF">
            <w:pPr>
              <w:pStyle w:val="Tabletext"/>
              <w:jc w:val="center"/>
              <w:rPr>
                <w:szCs w:val="22"/>
              </w:rPr>
            </w:pPr>
            <w:r w:rsidRPr="004D1867">
              <w:rPr>
                <w:szCs w:val="22"/>
              </w:rPr>
              <w:t>Révisée</w:t>
            </w:r>
          </w:p>
        </w:tc>
        <w:tc>
          <w:tcPr>
            <w:tcW w:w="1516" w:type="dxa"/>
          </w:tcPr>
          <w:p w14:paraId="4D2BC13F"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18</w:t>
            </w:r>
          </w:p>
        </w:tc>
        <w:tc>
          <w:tcPr>
            <w:tcW w:w="7650" w:type="dxa"/>
          </w:tcPr>
          <w:p w14:paraId="22A1597E" w14:textId="77777777" w:rsidR="000F1D2A" w:rsidRPr="004D1867" w:rsidRDefault="000F1D2A" w:rsidP="002E05EF">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4D1867">
              <w:rPr>
                <w:szCs w:val="22"/>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r>
      <w:tr w:rsidR="000F1D2A" w:rsidRPr="004D1867" w14:paraId="737BEBF9"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5DA6B8AF" w14:textId="77777777" w:rsidR="000F1D2A" w:rsidRPr="004D1867" w:rsidRDefault="000F1D2A" w:rsidP="002E05EF">
            <w:pPr>
              <w:pStyle w:val="Tabletext"/>
              <w:jc w:val="center"/>
              <w:rPr>
                <w:szCs w:val="22"/>
              </w:rPr>
            </w:pPr>
            <w:r w:rsidRPr="004D1867">
              <w:rPr>
                <w:szCs w:val="22"/>
              </w:rPr>
              <w:t>Révisée</w:t>
            </w:r>
          </w:p>
        </w:tc>
        <w:tc>
          <w:tcPr>
            <w:tcW w:w="1516" w:type="dxa"/>
          </w:tcPr>
          <w:p w14:paraId="60080BB5"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29</w:t>
            </w:r>
          </w:p>
        </w:tc>
        <w:tc>
          <w:tcPr>
            <w:tcW w:w="7650" w:type="dxa"/>
          </w:tcPr>
          <w:p w14:paraId="2FB5FB71"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Procédures d'appel alternatives utilisées sur les réseaux de télécommunication internationaux</w:t>
            </w:r>
          </w:p>
        </w:tc>
      </w:tr>
      <w:tr w:rsidR="000F1D2A" w:rsidRPr="004D1867" w14:paraId="6829F201"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7418AC0F" w14:textId="77777777" w:rsidR="000F1D2A" w:rsidRPr="004D1867" w:rsidRDefault="000F1D2A" w:rsidP="002E05EF">
            <w:pPr>
              <w:pStyle w:val="Tabletext"/>
              <w:jc w:val="center"/>
              <w:rPr>
                <w:szCs w:val="22"/>
              </w:rPr>
            </w:pPr>
            <w:r w:rsidRPr="004D1867">
              <w:rPr>
                <w:szCs w:val="22"/>
              </w:rPr>
              <w:t>Révisée</w:t>
            </w:r>
          </w:p>
        </w:tc>
        <w:tc>
          <w:tcPr>
            <w:tcW w:w="1516" w:type="dxa"/>
          </w:tcPr>
          <w:p w14:paraId="718DBE59"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44</w:t>
            </w:r>
          </w:p>
        </w:tc>
        <w:tc>
          <w:tcPr>
            <w:tcW w:w="7650" w:type="dxa"/>
          </w:tcPr>
          <w:p w14:paraId="65CC42C2"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Réduire l'écart en matière de normalisation entre pays en développement et pays développés</w:t>
            </w:r>
          </w:p>
        </w:tc>
      </w:tr>
      <w:tr w:rsidR="000F1D2A" w:rsidRPr="004D1867" w14:paraId="1AD72B65"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2C35EEED" w14:textId="77777777" w:rsidR="000F1D2A" w:rsidRPr="004D1867" w:rsidRDefault="000F1D2A" w:rsidP="002E05EF">
            <w:pPr>
              <w:pStyle w:val="Tabletext"/>
              <w:jc w:val="center"/>
              <w:rPr>
                <w:szCs w:val="22"/>
              </w:rPr>
            </w:pPr>
            <w:r w:rsidRPr="004D1867">
              <w:rPr>
                <w:szCs w:val="22"/>
              </w:rPr>
              <w:t>Révisée</w:t>
            </w:r>
          </w:p>
        </w:tc>
        <w:tc>
          <w:tcPr>
            <w:tcW w:w="1516" w:type="dxa"/>
          </w:tcPr>
          <w:p w14:paraId="2C1BB66B"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45</w:t>
            </w:r>
          </w:p>
        </w:tc>
        <w:tc>
          <w:tcPr>
            <w:tcW w:w="7650" w:type="dxa"/>
          </w:tcPr>
          <w:p w14:paraId="3E31E2D0"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Coordination efficace des travaux de normalisation entre les commissions d'études du Secteur de la normalisation des télécommunications de l'UIT et rôle du Groupe consultatif de la normalisation des télécommunications</w:t>
            </w:r>
          </w:p>
        </w:tc>
      </w:tr>
      <w:tr w:rsidR="000F1D2A" w:rsidRPr="004D1867" w14:paraId="047DFDD5"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4BA86F66" w14:textId="77777777" w:rsidR="000F1D2A" w:rsidRPr="004D1867" w:rsidRDefault="000F1D2A" w:rsidP="002E05EF">
            <w:pPr>
              <w:pStyle w:val="Tabletext"/>
              <w:jc w:val="center"/>
              <w:rPr>
                <w:szCs w:val="22"/>
              </w:rPr>
            </w:pPr>
            <w:r w:rsidRPr="004D1867">
              <w:rPr>
                <w:szCs w:val="22"/>
              </w:rPr>
              <w:t>Révisée</w:t>
            </w:r>
          </w:p>
        </w:tc>
        <w:tc>
          <w:tcPr>
            <w:tcW w:w="1516" w:type="dxa"/>
          </w:tcPr>
          <w:p w14:paraId="17C66E41"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50</w:t>
            </w:r>
          </w:p>
        </w:tc>
        <w:tc>
          <w:tcPr>
            <w:tcW w:w="7650" w:type="dxa"/>
          </w:tcPr>
          <w:p w14:paraId="3280710E"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Cybersécurité</w:t>
            </w:r>
          </w:p>
        </w:tc>
      </w:tr>
      <w:tr w:rsidR="000F1D2A" w:rsidRPr="004D1867" w14:paraId="6FB5EBB9"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707F7C63" w14:textId="77777777" w:rsidR="000F1D2A" w:rsidRPr="004D1867" w:rsidRDefault="000F1D2A" w:rsidP="002E05EF">
            <w:pPr>
              <w:pStyle w:val="Tabletext"/>
              <w:jc w:val="center"/>
              <w:rPr>
                <w:szCs w:val="22"/>
              </w:rPr>
            </w:pPr>
            <w:r w:rsidRPr="004D1867">
              <w:rPr>
                <w:szCs w:val="22"/>
              </w:rPr>
              <w:t>Révisée</w:t>
            </w:r>
          </w:p>
        </w:tc>
        <w:tc>
          <w:tcPr>
            <w:tcW w:w="1516" w:type="dxa"/>
          </w:tcPr>
          <w:p w14:paraId="65D3E204"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52</w:t>
            </w:r>
          </w:p>
        </w:tc>
        <w:tc>
          <w:tcPr>
            <w:tcW w:w="7650" w:type="dxa"/>
          </w:tcPr>
          <w:p w14:paraId="0C929DA1"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Lutter contre le spam</w:t>
            </w:r>
          </w:p>
        </w:tc>
      </w:tr>
      <w:tr w:rsidR="000F1D2A" w:rsidRPr="004D1867" w14:paraId="4A213AEF"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12107ED" w14:textId="77777777" w:rsidR="000F1D2A" w:rsidRPr="004D1867" w:rsidRDefault="000F1D2A" w:rsidP="002E05EF">
            <w:pPr>
              <w:pStyle w:val="Tabletext"/>
              <w:jc w:val="center"/>
              <w:rPr>
                <w:szCs w:val="22"/>
              </w:rPr>
            </w:pPr>
            <w:r w:rsidRPr="004D1867">
              <w:rPr>
                <w:szCs w:val="22"/>
              </w:rPr>
              <w:t>Révisée</w:t>
            </w:r>
          </w:p>
        </w:tc>
        <w:tc>
          <w:tcPr>
            <w:tcW w:w="1516" w:type="dxa"/>
          </w:tcPr>
          <w:p w14:paraId="5B39E257"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54</w:t>
            </w:r>
          </w:p>
        </w:tc>
        <w:tc>
          <w:tcPr>
            <w:tcW w:w="7650" w:type="dxa"/>
          </w:tcPr>
          <w:p w14:paraId="56AD1C3D"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Création de groupes régionaux et assistance à ces groupes</w:t>
            </w:r>
          </w:p>
        </w:tc>
      </w:tr>
      <w:tr w:rsidR="000F1D2A" w:rsidRPr="004D1867" w14:paraId="174E99F7"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77DEB671" w14:textId="77777777" w:rsidR="000F1D2A" w:rsidRPr="004D1867" w:rsidRDefault="000F1D2A" w:rsidP="002E05EF">
            <w:pPr>
              <w:pStyle w:val="Tabletext"/>
              <w:jc w:val="center"/>
              <w:rPr>
                <w:szCs w:val="22"/>
              </w:rPr>
            </w:pPr>
            <w:r w:rsidRPr="004D1867">
              <w:rPr>
                <w:szCs w:val="22"/>
              </w:rPr>
              <w:t>NOC</w:t>
            </w:r>
          </w:p>
        </w:tc>
        <w:tc>
          <w:tcPr>
            <w:tcW w:w="1516" w:type="dxa"/>
          </w:tcPr>
          <w:p w14:paraId="360A022A"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58</w:t>
            </w:r>
          </w:p>
        </w:tc>
        <w:tc>
          <w:tcPr>
            <w:tcW w:w="7650" w:type="dxa"/>
          </w:tcPr>
          <w:p w14:paraId="3901DB80"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Encourager la création d'équipes nationales d'intervention en cas d'incident informatique, en particulier pour les pays en développement</w:t>
            </w:r>
          </w:p>
        </w:tc>
      </w:tr>
      <w:tr w:rsidR="000F1D2A" w:rsidRPr="004D1867" w14:paraId="6CBF4FA3"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D7551C0" w14:textId="77777777" w:rsidR="000F1D2A" w:rsidRPr="004D1867" w:rsidRDefault="000F1D2A" w:rsidP="002E05EF">
            <w:pPr>
              <w:pStyle w:val="Tabletext"/>
              <w:jc w:val="center"/>
              <w:rPr>
                <w:szCs w:val="22"/>
              </w:rPr>
            </w:pPr>
            <w:r w:rsidRPr="004D1867">
              <w:rPr>
                <w:szCs w:val="22"/>
              </w:rPr>
              <w:t>Révisée</w:t>
            </w:r>
          </w:p>
        </w:tc>
        <w:tc>
          <w:tcPr>
            <w:tcW w:w="1516" w:type="dxa"/>
          </w:tcPr>
          <w:p w14:paraId="58CE155B"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64</w:t>
            </w:r>
          </w:p>
        </w:tc>
        <w:tc>
          <w:tcPr>
            <w:tcW w:w="7650" w:type="dxa"/>
          </w:tcPr>
          <w:p w14:paraId="75161F65"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Attribution des adresses IP et mesures propres à faciliter le passage au protocole IPv6 ainsi que le déploiement de ce protocole</w:t>
            </w:r>
          </w:p>
        </w:tc>
      </w:tr>
      <w:tr w:rsidR="000F1D2A" w:rsidRPr="004D1867" w14:paraId="55FAE65C"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025F1A6D" w14:textId="77777777" w:rsidR="000F1D2A" w:rsidRPr="004D1867" w:rsidRDefault="000F1D2A" w:rsidP="002E05EF">
            <w:pPr>
              <w:pStyle w:val="Tabletext"/>
              <w:jc w:val="center"/>
              <w:rPr>
                <w:szCs w:val="22"/>
              </w:rPr>
            </w:pPr>
            <w:r w:rsidRPr="004D1867">
              <w:rPr>
                <w:szCs w:val="22"/>
              </w:rPr>
              <w:t>Révisée</w:t>
            </w:r>
          </w:p>
        </w:tc>
        <w:tc>
          <w:tcPr>
            <w:tcW w:w="1516" w:type="dxa"/>
          </w:tcPr>
          <w:p w14:paraId="158584F8"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69</w:t>
            </w:r>
          </w:p>
        </w:tc>
        <w:tc>
          <w:tcPr>
            <w:tcW w:w="7650" w:type="dxa"/>
          </w:tcPr>
          <w:p w14:paraId="3E4AC882"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Accès non discriminatoire aux ressources de l'Internet et aux télécommunications/TIC et utilisation non discriminatoire</w:t>
            </w:r>
          </w:p>
        </w:tc>
      </w:tr>
      <w:tr w:rsidR="000F1D2A" w:rsidRPr="004D1867" w14:paraId="384FD7C6"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15644E09" w14:textId="77777777" w:rsidR="000F1D2A" w:rsidRPr="004D1867" w:rsidRDefault="000F1D2A" w:rsidP="002E05EF">
            <w:pPr>
              <w:pStyle w:val="Tabletext"/>
              <w:jc w:val="center"/>
              <w:rPr>
                <w:szCs w:val="22"/>
              </w:rPr>
            </w:pPr>
            <w:r w:rsidRPr="004D1867">
              <w:rPr>
                <w:szCs w:val="22"/>
              </w:rPr>
              <w:t>Révisée</w:t>
            </w:r>
          </w:p>
        </w:tc>
        <w:tc>
          <w:tcPr>
            <w:tcW w:w="1516" w:type="dxa"/>
          </w:tcPr>
          <w:p w14:paraId="4412775A"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72</w:t>
            </w:r>
          </w:p>
        </w:tc>
        <w:tc>
          <w:tcPr>
            <w:tcW w:w="7650" w:type="dxa"/>
          </w:tcPr>
          <w:p w14:paraId="1379877F" w14:textId="77777777" w:rsidR="000F1D2A" w:rsidRPr="004D1867" w:rsidRDefault="000F1D2A"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Problèmes de mesure et d'évaluation liés à l'exposition des personnes aux champs électromagnétiques</w:t>
            </w:r>
          </w:p>
        </w:tc>
      </w:tr>
      <w:tr w:rsidR="000F1D2A" w:rsidRPr="004D1867" w14:paraId="7A5F475F"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6A158917" w14:textId="77777777" w:rsidR="000F1D2A" w:rsidRPr="004D1867" w:rsidRDefault="000F1D2A" w:rsidP="002E05EF">
            <w:pPr>
              <w:pStyle w:val="Tabletext"/>
              <w:jc w:val="center"/>
              <w:rPr>
                <w:szCs w:val="22"/>
              </w:rPr>
            </w:pPr>
            <w:r w:rsidRPr="004D1867">
              <w:rPr>
                <w:szCs w:val="22"/>
              </w:rPr>
              <w:t>Révisée</w:t>
            </w:r>
          </w:p>
        </w:tc>
        <w:tc>
          <w:tcPr>
            <w:tcW w:w="1516" w:type="dxa"/>
          </w:tcPr>
          <w:p w14:paraId="5739201B"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73</w:t>
            </w:r>
          </w:p>
        </w:tc>
        <w:tc>
          <w:tcPr>
            <w:tcW w:w="7650" w:type="dxa"/>
          </w:tcPr>
          <w:p w14:paraId="4591831A"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Les technologies de l'information et de la communication, l'environnement et les changements climatiques</w:t>
            </w:r>
          </w:p>
        </w:tc>
      </w:tr>
      <w:tr w:rsidR="000F1D2A" w:rsidRPr="004D1867" w14:paraId="70C01EC1" w14:textId="77777777" w:rsidTr="00727077">
        <w:tc>
          <w:tcPr>
            <w:cnfStyle w:val="001000000000" w:firstRow="0" w:lastRow="0" w:firstColumn="1" w:lastColumn="0" w:oddVBand="0" w:evenVBand="0" w:oddHBand="0" w:evenHBand="0" w:firstRowFirstColumn="0" w:firstRowLastColumn="0" w:lastRowFirstColumn="0" w:lastRowLastColumn="0"/>
            <w:tcW w:w="1031" w:type="dxa"/>
          </w:tcPr>
          <w:p w14:paraId="3441F9EE" w14:textId="77777777" w:rsidR="000F1D2A" w:rsidRPr="004D1867" w:rsidRDefault="000F1D2A" w:rsidP="002E05EF">
            <w:pPr>
              <w:pStyle w:val="Tabletext"/>
              <w:jc w:val="center"/>
              <w:rPr>
                <w:szCs w:val="22"/>
              </w:rPr>
            </w:pPr>
            <w:r w:rsidRPr="004D1867">
              <w:rPr>
                <w:szCs w:val="22"/>
              </w:rPr>
              <w:t>Révisée</w:t>
            </w:r>
          </w:p>
        </w:tc>
        <w:tc>
          <w:tcPr>
            <w:tcW w:w="1516" w:type="dxa"/>
          </w:tcPr>
          <w:p w14:paraId="621DE105" w14:textId="77777777" w:rsidR="000F1D2A" w:rsidRPr="004D1867" w:rsidRDefault="000F1D2A" w:rsidP="002E05E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4D1867">
              <w:rPr>
                <w:szCs w:val="22"/>
              </w:rPr>
              <w:t>76</w:t>
            </w:r>
          </w:p>
        </w:tc>
        <w:tc>
          <w:tcPr>
            <w:tcW w:w="7650" w:type="dxa"/>
          </w:tcPr>
          <w:p w14:paraId="2F4E7A8C" w14:textId="28868820" w:rsidR="000F1D2A" w:rsidRPr="004D1867" w:rsidRDefault="00E82FBF" w:rsidP="002E05EF">
            <w:pPr>
              <w:pStyle w:val="Tabletext"/>
              <w:cnfStyle w:val="000000000000" w:firstRow="0" w:lastRow="0" w:firstColumn="0" w:lastColumn="0" w:oddVBand="0" w:evenVBand="0" w:oddHBand="0" w:evenHBand="0" w:firstRowFirstColumn="0" w:firstRowLastColumn="0" w:lastRowFirstColumn="0" w:lastRowLastColumn="0"/>
              <w:rPr>
                <w:szCs w:val="22"/>
              </w:rPr>
            </w:pPr>
            <w:r w:rsidRPr="004D1867">
              <w:rPr>
                <w:szCs w:val="22"/>
              </w:rPr>
              <w:t>É</w:t>
            </w:r>
            <w:r w:rsidR="000F1D2A" w:rsidRPr="004D1867">
              <w:rPr>
                <w:szCs w:val="22"/>
              </w:rPr>
              <w:t>tudes relatives aux tests de conformité et d'interopérabilité, assistance aux pays en développement et futur programme éventuel de marque UIT</w:t>
            </w:r>
          </w:p>
        </w:tc>
      </w:tr>
      <w:tr w:rsidR="000F1D2A" w:rsidRPr="004D1867" w14:paraId="360CBEDF" w14:textId="77777777" w:rsidTr="00727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14:paraId="1568C069" w14:textId="77777777" w:rsidR="000F1D2A" w:rsidRPr="004D1867" w:rsidRDefault="000F1D2A" w:rsidP="002E05EF">
            <w:pPr>
              <w:pStyle w:val="Tabletext"/>
              <w:jc w:val="center"/>
              <w:rPr>
                <w:szCs w:val="22"/>
              </w:rPr>
            </w:pPr>
            <w:r w:rsidRPr="004D1867">
              <w:rPr>
                <w:szCs w:val="22"/>
              </w:rPr>
              <w:t>Révisée</w:t>
            </w:r>
          </w:p>
        </w:tc>
        <w:tc>
          <w:tcPr>
            <w:tcW w:w="1516" w:type="dxa"/>
          </w:tcPr>
          <w:p w14:paraId="6EAA3E01" w14:textId="77777777" w:rsidR="000F1D2A" w:rsidRPr="004D1867" w:rsidRDefault="000F1D2A" w:rsidP="002E05EF">
            <w:pPr>
              <w:pStyle w:val="Tabletext"/>
              <w:jc w:val="center"/>
              <w:cnfStyle w:val="000000100000" w:firstRow="0" w:lastRow="0" w:firstColumn="0" w:lastColumn="0" w:oddVBand="0" w:evenVBand="0" w:oddHBand="1" w:evenHBand="0" w:firstRowFirstColumn="0" w:firstRowLastColumn="0" w:lastRowFirstColumn="0" w:lastRowLastColumn="0"/>
              <w:rPr>
                <w:szCs w:val="22"/>
              </w:rPr>
            </w:pPr>
            <w:r w:rsidRPr="004D1867">
              <w:rPr>
                <w:szCs w:val="22"/>
              </w:rPr>
              <w:t>78</w:t>
            </w:r>
          </w:p>
        </w:tc>
        <w:tc>
          <w:tcPr>
            <w:tcW w:w="7650" w:type="dxa"/>
          </w:tcPr>
          <w:p w14:paraId="14199F9B" w14:textId="77777777" w:rsidR="000F1D2A" w:rsidRPr="004D1867" w:rsidRDefault="000F1D2A" w:rsidP="002E05EF">
            <w:pPr>
              <w:pStyle w:val="Tabletext"/>
              <w:cnfStyle w:val="000000100000" w:firstRow="0" w:lastRow="0" w:firstColumn="0" w:lastColumn="0" w:oddVBand="0" w:evenVBand="0" w:oddHBand="1" w:evenHBand="0" w:firstRowFirstColumn="0" w:firstRowLastColumn="0" w:lastRowFirstColumn="0" w:lastRowLastColumn="0"/>
              <w:rPr>
                <w:szCs w:val="22"/>
              </w:rPr>
            </w:pPr>
            <w:r w:rsidRPr="004D1867">
              <w:rPr>
                <w:szCs w:val="22"/>
              </w:rPr>
              <w:t>Applications et normes relatives aux technologies de l'information et de la communication pour améliorer l'accès aux services de cybersanté</w:t>
            </w:r>
          </w:p>
        </w:tc>
      </w:tr>
    </w:tbl>
    <w:p w14:paraId="77487C81" w14:textId="77777777" w:rsidR="000F1D2A" w:rsidRPr="004D1867" w:rsidRDefault="000F1D2A" w:rsidP="000F1D2A">
      <w:pPr>
        <w:sectPr w:rsidR="000F1D2A" w:rsidRPr="004D1867" w:rsidSect="006F4E67">
          <w:headerReference w:type="default" r:id="rId6"/>
          <w:footerReference w:type="even" r:id="rId7"/>
          <w:footerReference w:type="default" r:id="rId8"/>
          <w:headerReference w:type="first" r:id="rId9"/>
          <w:footerReference w:type="first" r:id="rId10"/>
          <w:pgSz w:w="11907" w:h="16834"/>
          <w:pgMar w:top="1418" w:right="1134" w:bottom="1418" w:left="1134" w:header="720" w:footer="720" w:gutter="0"/>
          <w:paperSrc w:first="15" w:other="15"/>
          <w:cols w:space="720"/>
          <w:titlePg/>
          <w:docGrid w:linePitch="326"/>
        </w:sectPr>
      </w:pPr>
    </w:p>
    <w:p w14:paraId="5E89BD39" w14:textId="1A5CA166" w:rsidR="006F4E67" w:rsidRPr="004D1867" w:rsidRDefault="006F4E67" w:rsidP="000C5952">
      <w:pPr>
        <w:pStyle w:val="AppendixNotitle"/>
        <w:spacing w:after="240"/>
      </w:pPr>
      <w:bookmarkStart w:id="0" w:name="_GoBack"/>
      <w:bookmarkEnd w:id="0"/>
      <w:r w:rsidRPr="004D1867">
        <w:lastRenderedPageBreak/>
        <w:t>Appendice</w:t>
      </w:r>
      <w:r w:rsidRPr="004D1867">
        <w:br/>
      </w:r>
      <w:r w:rsidRPr="004D1867">
        <w:br/>
        <w:t>Detailed text of WTSA Resolutions relevant to the work of ITU-D</w:t>
      </w:r>
    </w:p>
    <w:tbl>
      <w:tblPr>
        <w:tblStyle w:val="GridTable4-Accent1"/>
        <w:tblW w:w="0" w:type="auto"/>
        <w:tblLook w:val="04A0" w:firstRow="1" w:lastRow="0" w:firstColumn="1" w:lastColumn="0" w:noHBand="0" w:noVBand="1"/>
      </w:tblPr>
      <w:tblGrid>
        <w:gridCol w:w="3895"/>
        <w:gridCol w:w="10093"/>
      </w:tblGrid>
      <w:tr w:rsidR="00727077" w:rsidRPr="004D1867" w14:paraId="1A462687" w14:textId="77777777" w:rsidTr="00F35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4DC0088" w14:textId="77777777" w:rsidR="00727077" w:rsidRPr="004D1867" w:rsidRDefault="00727077" w:rsidP="00F35AED">
            <w:pPr>
              <w:pStyle w:val="CEONormal"/>
              <w:spacing w:before="60" w:after="60"/>
              <w:jc w:val="center"/>
              <w:rPr>
                <w:rFonts w:asciiTheme="minorHAnsi" w:hAnsiTheme="minorHAnsi"/>
                <w:sz w:val="22"/>
                <w:szCs w:val="22"/>
                <w:lang w:val="fr-FR"/>
              </w:rPr>
            </w:pPr>
            <w:r w:rsidRPr="004D1867">
              <w:rPr>
                <w:rFonts w:asciiTheme="minorHAnsi" w:hAnsiTheme="minorHAnsi"/>
                <w:sz w:val="22"/>
                <w:szCs w:val="22"/>
                <w:lang w:val="fr-FR"/>
              </w:rPr>
              <w:t>Number  / Resolution</w:t>
            </w:r>
          </w:p>
        </w:tc>
        <w:tc>
          <w:tcPr>
            <w:tcW w:w="10111" w:type="dxa"/>
          </w:tcPr>
          <w:p w14:paraId="070D0A05" w14:textId="77777777" w:rsidR="00727077" w:rsidRPr="004D1867" w:rsidRDefault="00727077" w:rsidP="00F35AED">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fr-FR"/>
              </w:rPr>
            </w:pPr>
            <w:r w:rsidRPr="004D1867">
              <w:rPr>
                <w:rFonts w:asciiTheme="minorHAnsi" w:hAnsiTheme="minorHAnsi"/>
                <w:sz w:val="22"/>
                <w:szCs w:val="22"/>
                <w:lang w:val="fr-FR"/>
              </w:rPr>
              <w:t>Relevant text</w:t>
            </w:r>
          </w:p>
        </w:tc>
      </w:tr>
      <w:tr w:rsidR="00727077" w:rsidRPr="004D1867" w14:paraId="37BADBEC"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040D22D"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83</w:t>
            </w:r>
          </w:p>
          <w:p w14:paraId="21CBC69E"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cs="Calibri"/>
                <w:b w:val="0"/>
                <w:bCs w:val="0"/>
                <w:sz w:val="20"/>
                <w:szCs w:val="20"/>
                <w:lang w:val="fr-FR"/>
              </w:rPr>
              <w:t>Evaluation of the implementation of WTSA Resolutions</w:t>
            </w:r>
          </w:p>
        </w:tc>
        <w:tc>
          <w:tcPr>
            <w:tcW w:w="10111" w:type="dxa"/>
          </w:tcPr>
          <w:p w14:paraId="218F4CB4"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b/>
                <w:bCs/>
                <w:sz w:val="20"/>
                <w:szCs w:val="20"/>
                <w:lang w:val="fr-FR"/>
              </w:rPr>
              <w:t>instructs</w:t>
            </w:r>
            <w:r w:rsidRPr="004D1867">
              <w:rPr>
                <w:rFonts w:asciiTheme="minorHAnsi" w:hAnsiTheme="minorHAnsi" w:cs="Calibri"/>
                <w:sz w:val="20"/>
                <w:szCs w:val="20"/>
                <w:lang w:val="fr-FR"/>
              </w:rPr>
              <w:t xml:space="preserve"> </w:t>
            </w:r>
          </w:p>
          <w:p w14:paraId="117E5CCD"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4D1867">
              <w:rPr>
                <w:rFonts w:asciiTheme="minorHAnsi" w:hAnsiTheme="minorHAnsi" w:cs="Calibri"/>
                <w:sz w:val="20"/>
                <w:szCs w:val="20"/>
                <w:lang w:val="fr-FR"/>
              </w:rPr>
              <w:t>the Director of TSB in collaboration with Directors of the other Bureaux to take the necessary actions to assess the implementation of the WTSA Resolutions by all parties concerned</w:t>
            </w:r>
          </w:p>
        </w:tc>
      </w:tr>
      <w:tr w:rsidR="00727077" w:rsidRPr="004D1867" w14:paraId="3D12573D"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693B019"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84</w:t>
            </w:r>
          </w:p>
          <w:p w14:paraId="3AD76DDF"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Studies concerning the protection of users of telecommunication / information and communication technology services</w:t>
            </w:r>
          </w:p>
        </w:tc>
        <w:tc>
          <w:tcPr>
            <w:tcW w:w="10111" w:type="dxa"/>
          </w:tcPr>
          <w:p w14:paraId="759EE61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invites </w:t>
            </w:r>
          </w:p>
          <w:p w14:paraId="6BEDF7A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Director of the Telecommunication Standardization Bureau </w:t>
            </w:r>
          </w:p>
          <w:p w14:paraId="23422F0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b/>
                <w:sz w:val="20"/>
              </w:rPr>
            </w:pPr>
            <w:r w:rsidRPr="004D1867">
              <w:rPr>
                <w:rFonts w:cs="Calibri"/>
                <w:sz w:val="20"/>
              </w:rPr>
              <w:t>1</w:t>
            </w:r>
            <w:r w:rsidRPr="004D1867">
              <w:rPr>
                <w:rFonts w:cs="Calibri"/>
                <w:sz w:val="20"/>
              </w:rPr>
              <w:tab/>
              <w:t>to assist the Director of the Telecommunication Development Bureau in the implementation of Resolution 196 (Busan, 2014)</w:t>
            </w:r>
          </w:p>
        </w:tc>
      </w:tr>
      <w:tr w:rsidR="00727077" w:rsidRPr="004D1867" w14:paraId="392DD4BD"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3A98E23"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86</w:t>
            </w:r>
          </w:p>
          <w:p w14:paraId="1ABE996D" w14:textId="77777777" w:rsidR="00727077" w:rsidRPr="004D1867" w:rsidRDefault="00727077" w:rsidP="00F35AED">
            <w:pPr>
              <w:pStyle w:val="CEONormal"/>
              <w:spacing w:before="60" w:after="60"/>
              <w:rPr>
                <w:rFonts w:asciiTheme="minorHAnsi" w:hAnsiTheme="minorHAnsi"/>
                <w:b w:val="0"/>
                <w:sz w:val="20"/>
                <w:lang w:val="fr-FR"/>
              </w:rPr>
            </w:pPr>
            <w:r w:rsidRPr="004D1867">
              <w:rPr>
                <w:rFonts w:asciiTheme="minorHAnsi" w:hAnsiTheme="minorHAnsi" w:cs="Calibri"/>
                <w:b w:val="0"/>
                <w:bCs w:val="0"/>
                <w:sz w:val="20"/>
                <w:szCs w:val="20"/>
                <w:lang w:val="fr-FR"/>
              </w:rPr>
              <w:t>Facilitating the implementation of the Smart Africa Manifesto</w:t>
            </w:r>
          </w:p>
        </w:tc>
        <w:tc>
          <w:tcPr>
            <w:tcW w:w="10111" w:type="dxa"/>
          </w:tcPr>
          <w:p w14:paraId="1D10B3BB"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instructs </w:t>
            </w:r>
          </w:p>
          <w:p w14:paraId="24CBCB33"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the Director of the Telecommunication Standardization Bureau, in collaboration with the Director of the Telecommunication Development Bureau</w:t>
            </w:r>
          </w:p>
          <w:p w14:paraId="393F3B32"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establish mechanisms for collaboration and cooperation between ITU-T study groups and the Smart Africa office in the development of standards;</w:t>
            </w:r>
          </w:p>
          <w:p w14:paraId="49CEB492"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continue supporting the Smart Africa Manifesto in accordance with Resolution 195 (Busan, 2014);</w:t>
            </w:r>
          </w:p>
          <w:p w14:paraId="19F222DA"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provide assistance to Smart Africa and Africa regional groups from within the assigned budget in order to support pilot projects aimed at speeding up the implementation of ITU standards and Recommendations;</w:t>
            </w:r>
          </w:p>
          <w:p w14:paraId="792FC88D"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b/>
                <w:sz w:val="20"/>
              </w:rPr>
            </w:pPr>
            <w:r w:rsidRPr="004D1867">
              <w:rPr>
                <w:rFonts w:cs="Calibri"/>
                <w:sz w:val="20"/>
              </w:rPr>
              <w:t>4</w:t>
            </w:r>
            <w:r w:rsidRPr="004D1867">
              <w:rPr>
                <w:rFonts w:cs="Calibri"/>
                <w:sz w:val="20"/>
              </w:rPr>
              <w:tab/>
              <w:t>to strengthen training and guide Smart Africa member states, partner organizations and industries in their adoption of ITU-T standards</w:t>
            </w:r>
          </w:p>
        </w:tc>
      </w:tr>
      <w:tr w:rsidR="00727077" w:rsidRPr="004D1867" w14:paraId="3B3B26AA"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2E4738E4"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88</w:t>
            </w:r>
          </w:p>
          <w:p w14:paraId="7D5E61AF" w14:textId="77777777" w:rsidR="00727077" w:rsidRPr="004D1867" w:rsidRDefault="00727077" w:rsidP="00F35AED">
            <w:pPr>
              <w:pStyle w:val="CEONormal"/>
              <w:spacing w:before="60" w:after="60"/>
              <w:rPr>
                <w:rFonts w:asciiTheme="minorHAnsi" w:hAnsiTheme="minorHAnsi"/>
                <w:sz w:val="20"/>
                <w:lang w:val="fr-FR"/>
              </w:rPr>
            </w:pPr>
            <w:r w:rsidRPr="004D1867">
              <w:rPr>
                <w:rFonts w:asciiTheme="minorHAnsi" w:hAnsiTheme="minorHAnsi" w:cs="Calibri"/>
                <w:b w:val="0"/>
                <w:bCs w:val="0"/>
                <w:sz w:val="20"/>
                <w:szCs w:val="20"/>
                <w:lang w:val="fr-FR"/>
              </w:rPr>
              <w:t xml:space="preserve">International mobile roaming </w:t>
            </w:r>
          </w:p>
        </w:tc>
        <w:tc>
          <w:tcPr>
            <w:tcW w:w="10111" w:type="dxa"/>
          </w:tcPr>
          <w:p w14:paraId="28D6752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instructs </w:t>
            </w:r>
          </w:p>
          <w:p w14:paraId="465844E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Director of the Telecommunication Standardization Bureau </w:t>
            </w:r>
          </w:p>
          <w:p w14:paraId="43578065"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organize initiatives, in collaboration with the Director of the Telecommunication Development Bureau (BDT), to raise awareness on the consumer’s benefits of lowering international mobile roaming rates;</w:t>
            </w:r>
          </w:p>
          <w:p w14:paraId="0EE58AE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encourages </w:t>
            </w:r>
          </w:p>
          <w:p w14:paraId="170F264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4D1867">
              <w:rPr>
                <w:rFonts w:cs="Calibri"/>
                <w:sz w:val="20"/>
              </w:rPr>
              <w:t>the Directors of the three Bureaux to investigate new ways to improve the efficiency of ITU work on IMT,</w:t>
            </w:r>
          </w:p>
        </w:tc>
      </w:tr>
      <w:tr w:rsidR="00727077" w:rsidRPr="004D1867" w14:paraId="43DE27AA"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747112F"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89</w:t>
            </w:r>
          </w:p>
          <w:p w14:paraId="2C6B3894"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lastRenderedPageBreak/>
              <w:t>Promoting the use of information and communication technologies to bridge the financial inclusion gap</w:t>
            </w:r>
          </w:p>
        </w:tc>
        <w:tc>
          <w:tcPr>
            <w:tcW w:w="10111" w:type="dxa"/>
          </w:tcPr>
          <w:p w14:paraId="28664CF3"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lastRenderedPageBreak/>
              <w:t xml:space="preserve">instructs </w:t>
            </w:r>
          </w:p>
          <w:p w14:paraId="77A2CF2E"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lastRenderedPageBreak/>
              <w:t xml:space="preserve">the Director of the Telecommunication Standardization Bureau, in collaboration with the Directors of the other Bureaux </w:t>
            </w:r>
          </w:p>
          <w:p w14:paraId="3BF30DC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report on progress on the implementation of this resolution annually to the Council and to the 2020 world telecommunication standardization assembly; </w:t>
            </w:r>
          </w:p>
          <w:p w14:paraId="76652F23"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22CE3E5D"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3</w:t>
            </w:r>
            <w:r w:rsidRPr="004D1867">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5D3B37F2"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4</w:t>
            </w:r>
            <w:r w:rsidRPr="004D1867">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727077" w:rsidRPr="004D1867" w14:paraId="67D29E0F"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3CA47C0D"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NEW RESOLUTION 92</w:t>
            </w:r>
          </w:p>
          <w:p w14:paraId="0D37C9A8"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Enhancing the standardization activities in the ITU Telecommunication Standardization Sector related to non-radio aspects of international mobile telecommunications</w:t>
            </w:r>
          </w:p>
        </w:tc>
        <w:tc>
          <w:tcPr>
            <w:tcW w:w="10111" w:type="dxa"/>
          </w:tcPr>
          <w:p w14:paraId="303FD7B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4D1867">
              <w:rPr>
                <w:rFonts w:cs="Calibri"/>
                <w:b/>
                <w:sz w:val="20"/>
              </w:rPr>
              <w:t xml:space="preserve">instructs </w:t>
            </w:r>
          </w:p>
          <w:p w14:paraId="1C4395B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4D1867">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727077" w:rsidRPr="004D1867" w14:paraId="57472A3A"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606A1D5"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95</w:t>
            </w:r>
          </w:p>
          <w:p w14:paraId="177B2FF0"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ITU Telecommunication Standardization Sector initiatives to raise awareness on best practices and  policies related to service quality</w:t>
            </w:r>
          </w:p>
        </w:tc>
        <w:tc>
          <w:tcPr>
            <w:tcW w:w="10111" w:type="dxa"/>
          </w:tcPr>
          <w:p w14:paraId="6BEACF92"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instructs </w:t>
            </w:r>
          </w:p>
          <w:p w14:paraId="2A29F586"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the Director of the Telecommunication Standardization Bureau, in close collaboration with the Director of the Telecommunication Development Bureau</w:t>
            </w:r>
          </w:p>
          <w:p w14:paraId="26BCD54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assist developing and least developed countries in identifying human and institutional capacity-building opportunities for establishing national quality measurement frameworks;</w:t>
            </w:r>
          </w:p>
          <w:p w14:paraId="354F804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conduct activities in each region in order to identify and prioritize the problems faced by developing and least developed countries related to the provision of acceptable service quality to users;</w:t>
            </w:r>
          </w:p>
          <w:p w14:paraId="45F8079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3</w:t>
            </w:r>
            <w:r w:rsidRPr="004D1867">
              <w:rPr>
                <w:rFonts w:cs="Calibri"/>
                <w:sz w:val="20"/>
              </w:rPr>
              <w:tab/>
              <w:t>based on results of instructs 2 above, to assist developing and least developed countries in elaborating and implementing actions to improve service quality and keep users informed,</w:t>
            </w:r>
          </w:p>
        </w:tc>
      </w:tr>
      <w:tr w:rsidR="00727077" w:rsidRPr="004D1867" w14:paraId="24DDEDF9"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602BEA21"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96</w:t>
            </w:r>
          </w:p>
          <w:p w14:paraId="0FC1E5E2"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ITU-T studies for combating counterfeit telecommunication / Information Communication Technologies devices</w:t>
            </w:r>
          </w:p>
        </w:tc>
        <w:tc>
          <w:tcPr>
            <w:tcW w:w="10111" w:type="dxa"/>
          </w:tcPr>
          <w:p w14:paraId="1C9CC62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instructs </w:t>
            </w:r>
          </w:p>
          <w:p w14:paraId="456B733B"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the Telecommunication Standardization Bureau, in close collaboration with the Director of the Telecommunication Development Bureau</w:t>
            </w:r>
          </w:p>
          <w:p w14:paraId="463071D4"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organize workshops and events across ITU regions to promote the work in this field, involving all stakeholders and raising awareness of the impact of counterfeit and tampered telecommunication/ICT devices;</w:t>
            </w:r>
          </w:p>
          <w:p w14:paraId="4B8BB239"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assist developing countries in preparing human resources to combat the spread of counterfeit and tampered telecommunication/ICT devices, by providing capacity-building and training opportunities;</w:t>
            </w:r>
          </w:p>
          <w:p w14:paraId="4941173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3</w:t>
            </w:r>
            <w:r w:rsidRPr="004D1867">
              <w:rPr>
                <w:rFonts w:cs="Calibri"/>
                <w:sz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61255387"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to coordinate activities relating to combating counterfeit and tampered telecommunication/ICT devices through study groups, focus groups and other related groups.;</w:t>
            </w:r>
          </w:p>
          <w:p w14:paraId="7002501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to assist Member States in taking the necessary actions to apply relevant ITU-T Recommendations for combating counterfeit and tampered telecommunication/ICT devices, including use of conformity assessment systems</w:t>
            </w:r>
          </w:p>
          <w:p w14:paraId="23C83BD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Instruct </w:t>
            </w:r>
          </w:p>
          <w:p w14:paraId="53AD19C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TSB in close collaboration with the BDT and BR Directors</w:t>
            </w:r>
          </w:p>
          <w:p w14:paraId="32C38DC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132245D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2</w:t>
            </w:r>
            <w:r w:rsidRPr="004D1867">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727077" w:rsidRPr="004D1867" w14:paraId="479AD15E"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0FF2B04"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NEW RESOLUTION 97</w:t>
            </w:r>
          </w:p>
          <w:p w14:paraId="08223630"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Combating mobile telecommunication device theft</w:t>
            </w:r>
          </w:p>
        </w:tc>
        <w:tc>
          <w:tcPr>
            <w:tcW w:w="10111" w:type="dxa"/>
          </w:tcPr>
          <w:p w14:paraId="23857B1F"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 xml:space="preserve">resolves </w:t>
            </w:r>
          </w:p>
          <w:p w14:paraId="52D12A2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to instruct the Director of the Telecommunication Standardization Bureau in collaboration with the Directors of the Radiocommunication Bureau and Telecommunication Development Bureau</w:t>
            </w:r>
          </w:p>
          <w:p w14:paraId="3D4A13F9"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compile information on best practices developed by industry or governments and promising trends in combating mobile device theft;</w:t>
            </w:r>
          </w:p>
          <w:p w14:paraId="5DED0515"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68E8D75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3</w:t>
            </w:r>
            <w:r w:rsidRPr="004D1867">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4D1867">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727077" w:rsidRPr="004D1867" w14:paraId="0DB8DB03"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95EE109" w14:textId="77777777" w:rsidR="00727077" w:rsidRPr="004D1867" w:rsidRDefault="00727077" w:rsidP="00F35AED">
            <w:pPr>
              <w:pStyle w:val="CEONormal"/>
              <w:spacing w:before="60" w:after="60"/>
              <w:rPr>
                <w:rFonts w:asciiTheme="minorHAnsi" w:hAnsiTheme="minorHAnsi" w:cs="Calibri"/>
                <w:sz w:val="20"/>
                <w:szCs w:val="20"/>
                <w:lang w:val="fr-FR"/>
              </w:rPr>
            </w:pPr>
          </w:p>
          <w:p w14:paraId="67EBE099"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NEW RESOLUTION 98</w:t>
            </w:r>
          </w:p>
          <w:p w14:paraId="5F142E9D"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lastRenderedPageBreak/>
              <w:t>Enhancing the standardization of Internet of things and Smart Cities and Communities for global development</w:t>
            </w:r>
          </w:p>
        </w:tc>
        <w:tc>
          <w:tcPr>
            <w:tcW w:w="10111" w:type="dxa"/>
          </w:tcPr>
          <w:p w14:paraId="244D1F7E"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lastRenderedPageBreak/>
              <w:t xml:space="preserve">instructs </w:t>
            </w:r>
          </w:p>
          <w:p w14:paraId="3DBDF22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the Telecommunication Standardization Bureau, in collaboration with the Directors of the Telecommunication Development Bureau and the Radiocommunication Bureau</w:t>
            </w:r>
          </w:p>
          <w:p w14:paraId="3B00742D"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1</w:t>
            </w:r>
            <w:r w:rsidRPr="004D1867">
              <w:rPr>
                <w:rFonts w:cs="Calibri"/>
                <w:sz w:val="20"/>
              </w:rPr>
              <w:tab/>
              <w:t>to prepare reports considering, in particular, the needs of developing countries in terms of the study of IoT and its applications, sensor networks, services and infrastructure;</w:t>
            </w:r>
          </w:p>
          <w:p w14:paraId="1B75B54C" w14:textId="77777777" w:rsidR="00727077" w:rsidRPr="004D1867" w:rsidRDefault="00727077" w:rsidP="00F35AED">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2</w:t>
            </w:r>
            <w:r w:rsidRPr="004D1867">
              <w:rPr>
                <w:rFonts w:cs="Calibri"/>
                <w:sz w:val="20"/>
              </w:rPr>
              <w:tab/>
              <w:t>to continue disseminating ITU publications on IoT and SC&amp;C, as well as organizing forums, seminars and workshops on the subject, taking into account the needs of developing countries, in particular,</w:t>
            </w:r>
          </w:p>
        </w:tc>
      </w:tr>
      <w:tr w:rsidR="00727077" w:rsidRPr="004D1867" w14:paraId="052C0937"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7B6B0A0"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2</w:t>
            </w:r>
          </w:p>
          <w:p w14:paraId="06A295E3"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ITU Telecommunication Standardization Sector study group responsibility and mandates</w:t>
            </w:r>
          </w:p>
        </w:tc>
        <w:tc>
          <w:tcPr>
            <w:tcW w:w="10111" w:type="dxa"/>
          </w:tcPr>
          <w:p w14:paraId="265CDBF1"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ITU-T SG 13</w:t>
            </w:r>
          </w:p>
          <w:p w14:paraId="536E620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ITU-D.</w:t>
            </w:r>
          </w:p>
          <w:p w14:paraId="4CB45AB9"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ITU-T SG 20</w:t>
            </w:r>
          </w:p>
          <w:p w14:paraId="3E09486B"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Framework and roadmaps for the harmonized and coordinated development of Internet of things (IoT), including M2M communications, ubiquitous sensor networks and smart sustainable cities, in ITU-T and in close cooperation with ITU-D and ITU-R SGs and other regional and international standards organizations and industry forums;</w:t>
            </w:r>
          </w:p>
        </w:tc>
      </w:tr>
      <w:tr w:rsidR="00727077" w:rsidRPr="004D1867" w14:paraId="70C5D0CC"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056A3C61"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18</w:t>
            </w:r>
          </w:p>
          <w:p w14:paraId="579B0DF5"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Principles and procedures for the allocation of work to, and  strengthening coordination and cooperation among, the ITU Radiocommunication, ITU Telecommunication Standardization and ITU Telecommunication Development Sector</w:t>
            </w:r>
          </w:p>
        </w:tc>
        <w:tc>
          <w:tcPr>
            <w:tcW w:w="10111" w:type="dxa"/>
          </w:tcPr>
          <w:p w14:paraId="72735D1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invites</w:t>
            </w:r>
          </w:p>
          <w:p w14:paraId="4EC773E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r w:rsidRPr="004D1867">
              <w:rPr>
                <w:rFonts w:cs="Calibri"/>
                <w:sz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54B64D7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2</w:t>
            </w:r>
            <w:r w:rsidRPr="004D1867">
              <w:rPr>
                <w:rFonts w:cs="Calibri"/>
                <w:sz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727077" w:rsidRPr="004D1867" w14:paraId="7F2EBDD1"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FE81FC3"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29</w:t>
            </w:r>
          </w:p>
          <w:p w14:paraId="37176D35"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Alternative calling procedures on international telecommunication networks</w:t>
            </w:r>
          </w:p>
        </w:tc>
        <w:tc>
          <w:tcPr>
            <w:tcW w:w="10111" w:type="dxa"/>
          </w:tcPr>
          <w:p w14:paraId="18C55D5A"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instructs </w:t>
            </w:r>
          </w:p>
          <w:p w14:paraId="669B0A07"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the Director of the Telecommunication Standardization Bureau</w:t>
            </w:r>
          </w:p>
          <w:p w14:paraId="64DCA18E"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727077" w:rsidRPr="004D1867" w14:paraId="4F96DE24"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3F34F715"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44</w:t>
            </w:r>
          </w:p>
          <w:p w14:paraId="6DF7B9B7"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b w:val="0"/>
                <w:bCs w:val="0"/>
                <w:sz w:val="20"/>
                <w:szCs w:val="20"/>
                <w:lang w:val="fr-FR"/>
              </w:rPr>
              <w:t>Bridging the standardization gap between developing</w:t>
            </w:r>
            <w:r w:rsidRPr="004D1867">
              <w:rPr>
                <w:rStyle w:val="FootnoteReference"/>
                <w:rFonts w:cs="Calibri"/>
                <w:b w:val="0"/>
                <w:bCs w:val="0"/>
                <w:sz w:val="20"/>
                <w:szCs w:val="20"/>
                <w:lang w:val="fr-FR"/>
              </w:rPr>
              <w:footnoteReference w:id="1"/>
            </w:r>
            <w:r w:rsidRPr="004D1867">
              <w:rPr>
                <w:rFonts w:asciiTheme="minorHAnsi" w:hAnsiTheme="minorHAnsi" w:cs="Calibri"/>
                <w:b w:val="0"/>
                <w:bCs w:val="0"/>
                <w:sz w:val="20"/>
                <w:szCs w:val="20"/>
                <w:lang w:val="fr-FR"/>
              </w:rPr>
              <w:t xml:space="preserve"> and developed countries</w:t>
            </w:r>
          </w:p>
        </w:tc>
        <w:tc>
          <w:tcPr>
            <w:tcW w:w="10111" w:type="dxa"/>
          </w:tcPr>
          <w:p w14:paraId="539CA08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resolves</w:t>
            </w:r>
          </w:p>
          <w:p w14:paraId="3AC86A3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r w:rsidRPr="004D1867">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359E7DE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2</w:t>
            </w:r>
            <w:r w:rsidRPr="004D1867">
              <w:rPr>
                <w:rFonts w:cs="Calibri"/>
                <w:sz w:val="20"/>
              </w:rPr>
              <w:tab/>
              <w:t>that ITU-T, in collaboration with the other Sectors, especially the ITU Telecommunication Development Sector (ITU-D), as appropriate, shall develop a programme to:</w:t>
            </w:r>
          </w:p>
          <w:p w14:paraId="1C5168F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w:t>
            </w:r>
            <w:r w:rsidRPr="004D1867">
              <w:rPr>
                <w:rFonts w:cs="Calibri"/>
                <w:sz w:val="20"/>
              </w:rPr>
              <w:tab/>
              <w:t>assist developing countries in developing strategies and methods that facilitate the process of linking innovations to the standardization process;</w:t>
            </w:r>
          </w:p>
          <w:p w14:paraId="7A35190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w:t>
            </w:r>
            <w:r w:rsidRPr="004D1867">
              <w:rPr>
                <w:rFonts w:cs="Calibri"/>
                <w:sz w:val="20"/>
              </w:rPr>
              <w:tab/>
              <w:t>assist developing countries in developing means to align their national industrial and innovation strategies towards the goal of achieving highest impact on their socio-economic ecosystems;</w:t>
            </w:r>
          </w:p>
          <w:p w14:paraId="620E3C6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b/>
                <w:sz w:val="20"/>
              </w:rPr>
              <w:t>iii)</w:t>
            </w:r>
            <w:r w:rsidRPr="004D1867">
              <w:rPr>
                <w:rFonts w:cs="Calibri"/>
                <w:b/>
                <w:sz w:val="20"/>
              </w:rPr>
              <w:tab/>
            </w:r>
            <w:r w:rsidRPr="004D1867">
              <w:rPr>
                <w:rFonts w:cs="Calibri"/>
                <w:sz w:val="20"/>
              </w:rPr>
              <w:t>assist developing countries on developing strategies in establishing national/international test laboratories for emerging technologies;</w:t>
            </w:r>
          </w:p>
          <w:p w14:paraId="5730C01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04462FC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13A40E6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17C9843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t>that interpretation shall be provided, based on the requests of participants, and all study group and working party plenary meetings and the entire meeting of TSAG,</w:t>
            </w:r>
          </w:p>
          <w:p w14:paraId="28E158E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resolves further </w:t>
            </w:r>
          </w:p>
          <w:p w14:paraId="681BFDC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that ITU regional offices</w:t>
            </w:r>
          </w:p>
          <w:p w14:paraId="14E41BD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r w:rsidRPr="004D1867">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 and to provide the necessary assistance to the regional groups of ITU-T study groups;</w:t>
            </w:r>
          </w:p>
          <w:p w14:paraId="0E0D628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assist, within the offices' budgets, the vice-chairmen appointed with specific responsibilities, including, among others, the following: </w:t>
            </w:r>
          </w:p>
          <w:p w14:paraId="328875F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w:t>
            </w:r>
            <w:r w:rsidRPr="004D1867">
              <w:rPr>
                <w:rFonts w:cs="Calibri"/>
                <w:sz w:val="20"/>
              </w:rPr>
              <w:tab/>
              <w:t>closely work with ITU members in the region in order to mobilize them to participate in ITU standardization activities to assist in bridging the standardization gap;</w:t>
            </w:r>
          </w:p>
          <w:p w14:paraId="382301D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w:t>
            </w:r>
            <w:r w:rsidRPr="004D1867">
              <w:rPr>
                <w:rFonts w:cs="Calibri"/>
                <w:sz w:val="20"/>
              </w:rPr>
              <w:tab/>
              <w:t>make mobilization and participation reports to the ITU body concerning the region;</w:t>
            </w:r>
          </w:p>
          <w:p w14:paraId="320A5EE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iii)</w:t>
            </w:r>
            <w:r w:rsidRPr="004D1867">
              <w:rPr>
                <w:rFonts w:cs="Calibri"/>
                <w:sz w:val="20"/>
              </w:rPr>
              <w:tab/>
              <w:t>prepare and submit a mobilization programme for the regions that they represent at the first meeting of TSAG or a study group and send a report to TSAG;</w:t>
            </w:r>
          </w:p>
          <w:p w14:paraId="52E7E74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iv)</w:t>
            </w:r>
            <w:r w:rsidRPr="004D1867">
              <w:rPr>
                <w:rFonts w:cs="Calibri"/>
                <w:sz w:val="20"/>
              </w:rPr>
              <w:tab/>
              <w:t>inform ITU members of programmes and initiatives within ITU-D that could assist in bridging the standardization gap;</w:t>
            </w:r>
          </w:p>
          <w:p w14:paraId="259FCE4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organize and coordinate the activities of the regional groups of ITU-T study groups,</w:t>
            </w:r>
          </w:p>
          <w:p w14:paraId="7EB96AE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lastRenderedPageBreak/>
              <w:t xml:space="preserve">instructs </w:t>
            </w:r>
          </w:p>
          <w:p w14:paraId="2A48374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the Telecommunication Standardization Bureau, in collaboration with the Directors of Telecommunication Development Bureau and the Radiocommunication Bureau, within available resources</w:t>
            </w:r>
          </w:p>
          <w:p w14:paraId="2F7E752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continue implementing the objectives of the action plan annexed to this resolution;</w:t>
            </w:r>
          </w:p>
          <w:p w14:paraId="2160BCB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encourage the formation of partnerships under the patronage of ITU-T as one of the means for financing and implementing the objectives of the action plan annexed to this resolution;</w:t>
            </w:r>
          </w:p>
          <w:p w14:paraId="1733D19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consider, whenever possible, holding workshops concurrently with meetings of the ITU-T regional groups, in coordination and collaboration with the Director of BDT;</w:t>
            </w:r>
          </w:p>
          <w:p w14:paraId="39FCF21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to assist developing countries with their studies, particularly in respect of their priority questions and towards developing and implementing ITU-T Recommendations;</w:t>
            </w:r>
          </w:p>
          <w:p w14:paraId="37E01A7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to continue the activities of the implementation group established within TSB to organize, mobilize resources, coordinate efforts and monitor work related to this resolution and the associated action plan;</w:t>
            </w:r>
          </w:p>
          <w:p w14:paraId="2B645DB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t>to carry out the necessary studies on the role of innovation management and innovation stimulation programmes on bridging the standardization gap between the developed and developing countries;</w:t>
            </w:r>
          </w:p>
          <w:p w14:paraId="446AF89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7</w:t>
            </w:r>
            <w:r w:rsidRPr="004D1867">
              <w:rPr>
                <w:rFonts w:cs="Calibri"/>
                <w:sz w:val="20"/>
              </w:rPr>
              <w:tab/>
              <w:t>to include in the TSB budget proposal to Council funds identified for the implementation of this resolution, taking into account financial constraints and existing and planned BDT activities;</w:t>
            </w:r>
          </w:p>
          <w:p w14:paraId="56CF6F8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8</w:t>
            </w:r>
            <w:r w:rsidRPr="004D1867">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6EF764F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9</w:t>
            </w:r>
            <w:r w:rsidRPr="004D1867">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3EA25E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10</w:t>
            </w:r>
            <w:r w:rsidRPr="004D1867">
              <w:rPr>
                <w:rFonts w:cs="Calibri"/>
                <w:sz w:val="20"/>
              </w:rPr>
              <w:tab/>
              <w:t>to enhance use of electronic channels such as webinars or e-learning for education and training on implementation of ITU-T Recommendations;</w:t>
            </w:r>
          </w:p>
          <w:p w14:paraId="68BD39F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11</w:t>
            </w:r>
            <w:r w:rsidRPr="004D1867">
              <w:rPr>
                <w:rFonts w:cs="Calibri"/>
                <w:b/>
                <w:sz w:val="20"/>
              </w:rPr>
              <w:tab/>
            </w:r>
            <w:r w:rsidRPr="004D1867">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3E661FF6"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12</w:t>
            </w:r>
            <w:r w:rsidRPr="004D1867">
              <w:rPr>
                <w:rFonts w:cs="Calibri"/>
                <w:sz w:val="20"/>
              </w:rPr>
              <w:tab/>
              <w:t>to report on the effectiveness of the regional groups to Council;</w:t>
            </w:r>
          </w:p>
          <w:p w14:paraId="6EE4E8A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13</w:t>
            </w:r>
            <w:r w:rsidRPr="004D1867">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5EBEF33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14</w:t>
            </w:r>
            <w:r w:rsidRPr="004D1867">
              <w:rPr>
                <w:rFonts w:cs="Calibri"/>
                <w:sz w:val="20"/>
              </w:rPr>
              <w:tab/>
              <w:t>to provide remote participation, where possible, for more ITU-T workshops, seminars and forums, encouraging greater participation by developing countries;</w:t>
            </w:r>
          </w:p>
          <w:p w14:paraId="5E84571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15</w:t>
            </w:r>
            <w:r w:rsidRPr="004D1867">
              <w:rPr>
                <w:rFonts w:cs="Calibri"/>
                <w:sz w:val="20"/>
              </w:rPr>
              <w:tab/>
              <w:t>to leverage existing ITU-D platforms, such as the Global Innovation Platform, in order for developing countries to have greater involvement in ITU-T’s standardization work;</w:t>
            </w:r>
          </w:p>
          <w:p w14:paraId="160D373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16</w:t>
            </w:r>
            <w:r w:rsidRPr="004D1867">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40B0AA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further instructs the study groups</w:t>
            </w:r>
          </w:p>
          <w:p w14:paraId="06A35BF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3</w:t>
            </w:r>
            <w:r w:rsidRPr="004D1867">
              <w:rPr>
                <w:rFonts w:cs="Calibri"/>
                <w:sz w:val="20"/>
              </w:rPr>
              <w:tab/>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440BE34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invites </w:t>
            </w:r>
          </w:p>
          <w:p w14:paraId="171AFEC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the Director of the Telecommunication Standardization Bureau </w:t>
            </w:r>
          </w:p>
          <w:p w14:paraId="01ABCB1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b/>
                <w:sz w:val="20"/>
              </w:rPr>
              <w:t>1</w:t>
            </w:r>
            <w:r w:rsidRPr="004D1867">
              <w:rPr>
                <w:rFonts w:cs="Calibri"/>
                <w:b/>
                <w:sz w:val="20"/>
              </w:rPr>
              <w:tab/>
            </w:r>
            <w:r w:rsidRPr="004D1867">
              <w:rPr>
                <w:rFonts w:cs="Calibri"/>
                <w:sz w:val="20"/>
              </w:rPr>
              <w:t>to work closely with the Directors of BDT and the Radiocommunication Bureau (BR) in order to encourage the formation of partnerships under the patronage of ITU-T as one of the means for financing the action plan;</w:t>
            </w:r>
          </w:p>
          <w:p w14:paraId="369A114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consider, whenever possible, holding workshops concurrently with meetings of the ITU-T regional groups, in coordination and collaboration with the Director of BDT,</w:t>
            </w:r>
          </w:p>
        </w:tc>
      </w:tr>
      <w:tr w:rsidR="00727077" w:rsidRPr="004D1867" w14:paraId="4189083C"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9D4DEC5" w14:textId="77777777" w:rsidR="00727077" w:rsidRPr="004D1867" w:rsidRDefault="00727077" w:rsidP="00F35AED">
            <w:pPr>
              <w:spacing w:before="60" w:after="60"/>
              <w:rPr>
                <w:rFonts w:cs="Calibri"/>
                <w:bCs w:val="0"/>
                <w:sz w:val="20"/>
              </w:rPr>
            </w:pPr>
            <w:r w:rsidRPr="004D1867">
              <w:rPr>
                <w:rFonts w:cs="Calibri"/>
                <w:sz w:val="20"/>
              </w:rPr>
              <w:lastRenderedPageBreak/>
              <w:t>RESOLUTION 45</w:t>
            </w:r>
          </w:p>
          <w:p w14:paraId="267327A6" w14:textId="77777777" w:rsidR="00727077" w:rsidRPr="004D1867" w:rsidRDefault="00727077" w:rsidP="00F35AED">
            <w:pPr>
              <w:spacing w:before="60" w:after="60"/>
              <w:rPr>
                <w:rFonts w:cs="Calibri"/>
                <w:b w:val="0"/>
                <w:sz w:val="20"/>
              </w:rPr>
            </w:pPr>
            <w:r w:rsidRPr="004D1867">
              <w:rPr>
                <w:rFonts w:cs="Calibri"/>
                <w:b w:val="0"/>
                <w:sz w:val="20"/>
              </w:rPr>
              <w:t>Effective coordination of standardization work across  study groups in the ITU Telecommunication Standardization  Sector and the role of the ITU Telecommunication  Standardization Advisory Group</w:t>
            </w:r>
          </w:p>
        </w:tc>
        <w:tc>
          <w:tcPr>
            <w:tcW w:w="10111" w:type="dxa"/>
          </w:tcPr>
          <w:p w14:paraId="2AC4DD5A"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b/>
                <w:bCs/>
                <w:sz w:val="20"/>
                <w:szCs w:val="20"/>
                <w:lang w:val="fr-FR"/>
              </w:rPr>
              <w:t>resolves</w:t>
            </w:r>
            <w:r w:rsidRPr="004D1867">
              <w:rPr>
                <w:rFonts w:asciiTheme="minorHAnsi" w:hAnsiTheme="minorHAnsi" w:cs="Calibri"/>
                <w:sz w:val="20"/>
                <w:szCs w:val="20"/>
                <w:lang w:val="fr-FR"/>
              </w:rPr>
              <w:t xml:space="preserve"> </w:t>
            </w:r>
          </w:p>
          <w:p w14:paraId="5D6C9B90"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that the coordination of ITU</w:t>
            </w:r>
            <w:r w:rsidRPr="004D1867">
              <w:rPr>
                <w:rFonts w:asciiTheme="minorHAnsi" w:hAnsiTheme="minorHAnsi" w:cs="Calibri"/>
                <w:sz w:val="20"/>
                <w:szCs w:val="20"/>
                <w:lang w:val="fr-FR"/>
              </w:rPr>
              <w:noBreakHyphen/>
              <w:t>T activities in regard to high-priority standardization issues and work related to more than one study group should ensure:</w:t>
            </w:r>
          </w:p>
          <w:p w14:paraId="2A98C34C"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FR"/>
              </w:rPr>
            </w:pPr>
            <w:r w:rsidRPr="004D1867">
              <w:rPr>
                <w:rFonts w:asciiTheme="minorHAnsi" w:hAnsiTheme="minorHAnsi" w:cs="Calibri"/>
                <w:sz w:val="20"/>
                <w:szCs w:val="20"/>
                <w:lang w:val="fr-FR"/>
              </w:rPr>
              <w:t>V) cooperation and coordination with the ITU Radiocommunication and Telecommunication Development Sectors and with other, external, standardization bodies</w:t>
            </w:r>
          </w:p>
        </w:tc>
      </w:tr>
      <w:tr w:rsidR="00727077" w:rsidRPr="004D1867" w14:paraId="0F6F6757"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410DC688" w14:textId="77777777" w:rsidR="00727077" w:rsidRPr="004D1867" w:rsidRDefault="00727077" w:rsidP="00F35AED">
            <w:pPr>
              <w:spacing w:before="60" w:after="60"/>
              <w:rPr>
                <w:rFonts w:cs="Calibri"/>
                <w:sz w:val="20"/>
              </w:rPr>
            </w:pPr>
            <w:r w:rsidRPr="004D1867">
              <w:rPr>
                <w:rFonts w:cs="Calibri"/>
                <w:sz w:val="20"/>
              </w:rPr>
              <w:t>RESOLUTION 50</w:t>
            </w:r>
          </w:p>
          <w:p w14:paraId="488615FD" w14:textId="77777777" w:rsidR="00727077" w:rsidRPr="004D1867" w:rsidRDefault="00727077" w:rsidP="00F35AED">
            <w:pPr>
              <w:spacing w:before="60" w:after="60"/>
              <w:rPr>
                <w:rFonts w:cs="Calibri"/>
                <w:b w:val="0"/>
                <w:bCs w:val="0"/>
                <w:sz w:val="20"/>
              </w:rPr>
            </w:pPr>
            <w:r w:rsidRPr="004D1867">
              <w:rPr>
                <w:rFonts w:cs="Calibri"/>
                <w:b w:val="0"/>
                <w:sz w:val="20"/>
              </w:rPr>
              <w:t>Cybersecurity</w:t>
            </w:r>
          </w:p>
        </w:tc>
        <w:tc>
          <w:tcPr>
            <w:tcW w:w="10111" w:type="dxa"/>
          </w:tcPr>
          <w:p w14:paraId="5B0668CB"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lang w:val="fr-FR"/>
              </w:rPr>
            </w:pPr>
            <w:r w:rsidRPr="004D1867">
              <w:rPr>
                <w:rFonts w:asciiTheme="minorHAnsi" w:hAnsiTheme="minorHAnsi" w:cs="Calibri"/>
                <w:b/>
                <w:bCs/>
                <w:sz w:val="20"/>
                <w:szCs w:val="20"/>
                <w:lang w:val="fr-FR"/>
              </w:rPr>
              <w:t>noting</w:t>
            </w:r>
          </w:p>
          <w:p w14:paraId="1FEF2471"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4</w:t>
            </w:r>
            <w:r w:rsidRPr="004D1867">
              <w:rPr>
                <w:rFonts w:asciiTheme="minorHAnsi" w:hAnsiTheme="minorHAnsi" w:cs="Calibri"/>
                <w:sz w:val="20"/>
                <w:szCs w:val="20"/>
                <w:lang w:val="fr-FR"/>
              </w:rPr>
              <w:tab/>
              <w:t>that ITU-T should work closely with ITU-D, particularly in the context of Question3/2, Securing information and communication networks: Best practices for developing a culture of cybersecurity;</w:t>
            </w:r>
          </w:p>
          <w:p w14:paraId="3455BDB8"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lang w:val="fr-FR"/>
              </w:rPr>
            </w:pPr>
            <w:r w:rsidRPr="004D1867">
              <w:rPr>
                <w:rFonts w:asciiTheme="minorHAnsi" w:hAnsiTheme="minorHAnsi" w:cs="Calibri"/>
                <w:b/>
                <w:bCs/>
                <w:sz w:val="20"/>
                <w:szCs w:val="20"/>
                <w:lang w:val="fr-FR"/>
              </w:rPr>
              <w:t xml:space="preserve">instructs </w:t>
            </w:r>
          </w:p>
          <w:p w14:paraId="585C1E4C"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the Director of the Telecommunication Standardization Bureau</w:t>
            </w:r>
          </w:p>
          <w:p w14:paraId="61033D5F"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1</w:t>
            </w:r>
            <w:r w:rsidRPr="004D1867">
              <w:rPr>
                <w:rFonts w:asciiTheme="minorHAnsi" w:hAnsiTheme="minorHAnsi" w:cs="Calibri"/>
                <w:sz w:val="20"/>
                <w:szCs w:val="20"/>
                <w:lang w:val="fr-FR"/>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545657B4" w14:textId="77777777" w:rsidR="00727077" w:rsidRPr="004D1867" w:rsidRDefault="00727077" w:rsidP="00F35AED">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8</w:t>
            </w:r>
            <w:r w:rsidRPr="004D1867">
              <w:rPr>
                <w:rFonts w:asciiTheme="minorHAnsi" w:hAnsiTheme="minorHAnsi" w:cs="Calibri"/>
                <w:sz w:val="20"/>
                <w:szCs w:val="20"/>
                <w:lang w:val="fr-FR"/>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727077" w:rsidRPr="004D1867" w14:paraId="5E414A21"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DC2B01" w14:textId="77777777" w:rsidR="00727077" w:rsidRPr="004D1867" w:rsidRDefault="00727077" w:rsidP="00F35AED">
            <w:pPr>
              <w:spacing w:before="60" w:after="60"/>
              <w:rPr>
                <w:rFonts w:cs="Calibri"/>
                <w:sz w:val="20"/>
              </w:rPr>
            </w:pPr>
            <w:r w:rsidRPr="004D1867">
              <w:rPr>
                <w:rFonts w:cs="Calibri"/>
                <w:sz w:val="20"/>
              </w:rPr>
              <w:t>RESOLUTION 52</w:t>
            </w:r>
          </w:p>
          <w:p w14:paraId="7C6A9A41" w14:textId="77777777" w:rsidR="00727077" w:rsidRPr="004D1867" w:rsidRDefault="00727077" w:rsidP="00F35AED">
            <w:pPr>
              <w:spacing w:before="60" w:after="60"/>
              <w:rPr>
                <w:rFonts w:cs="Calibri"/>
                <w:b w:val="0"/>
                <w:bCs w:val="0"/>
                <w:sz w:val="20"/>
              </w:rPr>
            </w:pPr>
            <w:r w:rsidRPr="004D1867">
              <w:rPr>
                <w:rFonts w:cs="Calibri"/>
                <w:b w:val="0"/>
                <w:sz w:val="20"/>
              </w:rPr>
              <w:t>Countering and combating spam</w:t>
            </w:r>
          </w:p>
        </w:tc>
        <w:tc>
          <w:tcPr>
            <w:tcW w:w="10111" w:type="dxa"/>
          </w:tcPr>
          <w:p w14:paraId="20ACA81A"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lang w:val="fr-FR"/>
              </w:rPr>
            </w:pPr>
            <w:r w:rsidRPr="004D1867">
              <w:rPr>
                <w:rFonts w:asciiTheme="minorHAnsi" w:hAnsiTheme="minorHAnsi" w:cs="Calibri"/>
                <w:b/>
                <w:bCs/>
                <w:sz w:val="20"/>
                <w:szCs w:val="20"/>
                <w:lang w:val="fr-FR"/>
              </w:rPr>
              <w:t xml:space="preserve">resolves </w:t>
            </w:r>
          </w:p>
          <w:p w14:paraId="1AB9A3EC"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to instruct the relevant study groups</w:t>
            </w:r>
          </w:p>
          <w:p w14:paraId="5ED24A3B"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2</w:t>
            </w:r>
            <w:r w:rsidRPr="004D1867">
              <w:rPr>
                <w:rFonts w:asciiTheme="minorHAnsi" w:hAnsiTheme="minorHAnsi" w:cs="Calibri"/>
                <w:sz w:val="20"/>
                <w:szCs w:val="20"/>
                <w:lang w:val="fr-FR"/>
              </w:rPr>
              <w:tab/>
              <w:t xml:space="preserve">to continue collaboration with ITU-D and with the relevant organizations, including other relevant standards organizations (e.g. the Internet Engineering Task Force (IETF), in order to continue developing, as a matter of urgency, </w:t>
            </w:r>
            <w:r w:rsidRPr="004D1867">
              <w:rPr>
                <w:rFonts w:asciiTheme="minorHAnsi" w:hAnsiTheme="minorHAnsi" w:cs="Calibri"/>
                <w:sz w:val="20"/>
                <w:szCs w:val="20"/>
                <w:lang w:val="fr-FR"/>
              </w:rPr>
              <w:lastRenderedPageBreak/>
              <w:t>technical Recommendations with a view to exchanging best practices and disseminating information through joint workshops, training sessions, etc.,</w:t>
            </w:r>
          </w:p>
          <w:p w14:paraId="4476ADCC"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lang w:val="fr-FR"/>
              </w:rPr>
            </w:pPr>
            <w:r w:rsidRPr="004D1867">
              <w:rPr>
                <w:rFonts w:asciiTheme="minorHAnsi" w:hAnsiTheme="minorHAnsi" w:cs="Calibri"/>
                <w:b/>
                <w:bCs/>
                <w:sz w:val="20"/>
                <w:szCs w:val="20"/>
                <w:lang w:val="fr-FR"/>
              </w:rPr>
              <w:t xml:space="preserve">further instructs </w:t>
            </w:r>
          </w:p>
          <w:p w14:paraId="17F64853" w14:textId="77777777" w:rsidR="00727077" w:rsidRPr="004D1867" w:rsidRDefault="00727077" w:rsidP="00F35AED">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4D1867">
              <w:rPr>
                <w:rFonts w:asciiTheme="minorHAnsi" w:hAnsiTheme="minorHAnsi" w:cs="Calibri"/>
                <w:sz w:val="20"/>
                <w:szCs w:val="20"/>
                <w:lang w:val="fr-FR"/>
              </w:rPr>
              <w:t>2</w:t>
            </w:r>
            <w:r w:rsidRPr="004D1867">
              <w:rPr>
                <w:rFonts w:asciiTheme="minorHAnsi" w:hAnsiTheme="minorHAnsi" w:cs="Calibri"/>
                <w:sz w:val="20"/>
                <w:szCs w:val="20"/>
                <w:lang w:val="fr-FR"/>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727077" w:rsidRPr="004D1867" w14:paraId="516AF0F1"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09C5B3C0"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54</w:t>
            </w:r>
          </w:p>
          <w:p w14:paraId="008D857A"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Creation of, and assistance to, regional groups</w:t>
            </w:r>
          </w:p>
        </w:tc>
        <w:tc>
          <w:tcPr>
            <w:tcW w:w="10111" w:type="dxa"/>
          </w:tcPr>
          <w:p w14:paraId="504639B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instructs </w:t>
            </w:r>
          </w:p>
          <w:p w14:paraId="312000C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the Telecommunication Standardization Bureau, in collaboration with the Director of the Telecommunication Development Bureau, within the allocated or contributed resources that are available</w:t>
            </w:r>
          </w:p>
          <w:p w14:paraId="33CA066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provide all necessary support for creating and ensuring the smooth functioning of the regional groups;</w:t>
            </w:r>
          </w:p>
          <w:p w14:paraId="6864041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consider holding, whenever possible, workshops concurrently with meetings of the ITU-T regional groups, in the relevant regions, and vice versa;</w:t>
            </w:r>
          </w:p>
          <w:p w14:paraId="5FFDD76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take all necessary measures to facilitate the organization of meetings and workshops of the regional groups,</w:t>
            </w:r>
          </w:p>
          <w:p w14:paraId="283E27B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calls upon </w:t>
            </w:r>
          </w:p>
          <w:p w14:paraId="7387983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the Telecommunication Standardization Bureau to cooperate with the Director of the Telecommunication Development Bureau in order to:</w:t>
            </w:r>
          </w:p>
          <w:p w14:paraId="33E82B6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w:t>
            </w:r>
            <w:r w:rsidRPr="004D1867">
              <w:rPr>
                <w:rFonts w:cs="Calibri"/>
                <w:sz w:val="20"/>
              </w:rPr>
              <w:tab/>
              <w:t>continue to provide specific assistance to regional groups;</w:t>
            </w:r>
          </w:p>
          <w:p w14:paraId="6CD7220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ii)</w:t>
            </w:r>
            <w:r w:rsidRPr="004D1867">
              <w:rPr>
                <w:rFonts w:cs="Calibri"/>
                <w:sz w:val="20"/>
              </w:rPr>
              <w:tab/>
              <w:t>encourage the continuing development of computerized application tools related to their cost methodology by the members of the regional groups of Study Group 3;</w:t>
            </w:r>
          </w:p>
          <w:p w14:paraId="1442600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iii)</w:t>
            </w:r>
            <w:r w:rsidRPr="004D1867">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727077" w:rsidRPr="004D1867" w14:paraId="398DD5C4"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0EAA25D2"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58</w:t>
            </w:r>
          </w:p>
          <w:p w14:paraId="30799BB8"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Encouraging the creation of national computer incident response teams, particularly for developing countries</w:t>
            </w:r>
          </w:p>
        </w:tc>
        <w:tc>
          <w:tcPr>
            <w:tcW w:w="10111" w:type="dxa"/>
          </w:tcPr>
          <w:p w14:paraId="44579EB0"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instructs </w:t>
            </w:r>
          </w:p>
          <w:p w14:paraId="706F8C4B"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the Director of the Telecommunication Standardization Bureau, in collaboration with the Director of the Telecommunication Development Bureau</w:t>
            </w:r>
          </w:p>
          <w:p w14:paraId="02660898"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 to identify best practices to establish CIRTs;</w:t>
            </w:r>
          </w:p>
          <w:p w14:paraId="1F645FB3"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 to identify where CIRTs are needed;</w:t>
            </w:r>
          </w:p>
          <w:p w14:paraId="68B81D82"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3 to collaborate with international experts and bodies to establish national CIRTs;</w:t>
            </w:r>
          </w:p>
          <w:p w14:paraId="7A510001"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4 to provide support, as appropriate, within existing budgetary resources;</w:t>
            </w:r>
          </w:p>
          <w:p w14:paraId="107A2944" w14:textId="77777777" w:rsidR="00727077" w:rsidRPr="004D1867" w:rsidRDefault="00727077" w:rsidP="00F35AED">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5 to facilitate collaboration between national CIRTs, such as capacity building and exchange of information, within an appropriate framework,</w:t>
            </w:r>
          </w:p>
        </w:tc>
      </w:tr>
      <w:tr w:rsidR="00727077" w:rsidRPr="004D1867" w14:paraId="21B7CE4D"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14EA5A9"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64</w:t>
            </w:r>
          </w:p>
          <w:p w14:paraId="1135F5A0"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cs="Calibri"/>
                <w:b w:val="0"/>
                <w:bCs w:val="0"/>
                <w:sz w:val="20"/>
                <w:szCs w:val="20"/>
                <w:lang w:val="fr-FR"/>
              </w:rPr>
              <w:t>IP address allocation and facilitating the transition to and deployment of IPv6</w:t>
            </w:r>
          </w:p>
        </w:tc>
        <w:tc>
          <w:tcPr>
            <w:tcW w:w="10111" w:type="dxa"/>
          </w:tcPr>
          <w:p w14:paraId="5E1CBB9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recognizing </w:t>
            </w:r>
          </w:p>
          <w:p w14:paraId="0F54653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that future work on IPv6 human capacity building is to be continued and led by the Telecommunication Development Bureau (BDT), in collaboration with other relevant organizations, if required,</w:t>
            </w:r>
          </w:p>
          <w:p w14:paraId="33BCE4E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4D1867">
              <w:rPr>
                <w:rFonts w:cs="Calibri"/>
                <w:b/>
                <w:sz w:val="20"/>
              </w:rPr>
              <w:lastRenderedPageBreak/>
              <w:t xml:space="preserve">instructs </w:t>
            </w:r>
          </w:p>
          <w:p w14:paraId="70A527A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4D1867">
              <w:rPr>
                <w:rFonts w:cs="Calibri"/>
                <w:sz w:val="20"/>
              </w:rPr>
              <w:t xml:space="preserve">the Director of the Telecommunication Standardization Bureau, in close collaboration with the Director of the Telecommunication Development Bureau:  </w:t>
            </w:r>
          </w:p>
          <w:p w14:paraId="0AF05B4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41E9E86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4585100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1CC3E1B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to support BDT in relevant IPv6 training for engineers, network operators and content providers which can enhance their skills and further apply at their respective organisations,</w:t>
            </w:r>
          </w:p>
        </w:tc>
      </w:tr>
      <w:tr w:rsidR="00727077" w:rsidRPr="004D1867" w14:paraId="1BDDA771"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372341F"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69</w:t>
            </w:r>
          </w:p>
          <w:p w14:paraId="6F463C0F"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cs="Calibri"/>
                <w:b w:val="0"/>
                <w:bCs w:val="0"/>
                <w:sz w:val="20"/>
                <w:szCs w:val="20"/>
                <w:lang w:val="fr-FR"/>
              </w:rPr>
              <w:t>Non</w:t>
            </w:r>
            <w:r w:rsidRPr="004D1867">
              <w:rPr>
                <w:rFonts w:asciiTheme="minorHAnsi" w:hAnsiTheme="minorHAnsi" w:cs="Calibri"/>
                <w:b w:val="0"/>
                <w:bCs w:val="0"/>
                <w:sz w:val="20"/>
                <w:szCs w:val="20"/>
                <w:lang w:val="fr-FR"/>
              </w:rPr>
              <w:noBreakHyphen/>
              <w:t>discriminatory access and use of Internet resources and telecommunications/ICTs</w:t>
            </w:r>
          </w:p>
        </w:tc>
        <w:tc>
          <w:tcPr>
            <w:tcW w:w="10111" w:type="dxa"/>
          </w:tcPr>
          <w:p w14:paraId="747B117E"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invites </w:t>
            </w:r>
          </w:p>
          <w:p w14:paraId="305B0D54"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Directors of the Telecommunication Standardization Bureau, Radiocommunication Bureau and Telecommunication Development Bureau</w:t>
            </w:r>
          </w:p>
          <w:p w14:paraId="301B216A"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to contribute on the progress on resolution,</w:t>
            </w:r>
          </w:p>
        </w:tc>
      </w:tr>
      <w:tr w:rsidR="00727077" w:rsidRPr="004D1867" w14:paraId="0ED4E1CA"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216D5BEA"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t>RESOLUTION 70</w:t>
            </w:r>
          </w:p>
          <w:p w14:paraId="7B6BECE2"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Telecommunication/information and communication technology  accessibility for persons with disabilities and persons with specific needs</w:t>
            </w:r>
          </w:p>
        </w:tc>
        <w:tc>
          <w:tcPr>
            <w:tcW w:w="10111" w:type="dxa"/>
          </w:tcPr>
          <w:p w14:paraId="766B81E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instructs </w:t>
            </w:r>
          </w:p>
          <w:p w14:paraId="15625E3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the Telecommunication Standardization Bureau</w:t>
            </w:r>
          </w:p>
          <w:p w14:paraId="79C651B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483956C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invites the Director of the Telecommunication Standardization Bureau</w:t>
            </w:r>
          </w:p>
          <w:p w14:paraId="5AC3222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0B030B4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sz w:val="20"/>
              </w:rPr>
              <w:t>4</w:t>
            </w:r>
            <w:r w:rsidRPr="004D1867">
              <w:rPr>
                <w:rFonts w:cs="Calibri"/>
                <w:sz w:val="20"/>
              </w:rPr>
              <w:tab/>
              <w:t>to work collaboratively on accessibility-related activities with ITU-D, in particular developing programmes that enable developing countries to introduce services that allow persons with disabilities to utilize telecommunication services effectively</w:t>
            </w:r>
          </w:p>
        </w:tc>
      </w:tr>
      <w:tr w:rsidR="00727077" w:rsidRPr="004D1867" w14:paraId="2D3E4BD9"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7E6B5F0"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cs="Calibri"/>
                <w:sz w:val="20"/>
                <w:szCs w:val="20"/>
                <w:lang w:val="fr-FR"/>
              </w:rPr>
              <w:lastRenderedPageBreak/>
              <w:t>RESOLUTION 72</w:t>
            </w:r>
          </w:p>
          <w:p w14:paraId="08DE6A78"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Measurement and assessment concerns related to human exposure to electromagnetic fields</w:t>
            </w:r>
          </w:p>
        </w:tc>
        <w:tc>
          <w:tcPr>
            <w:tcW w:w="10111" w:type="dxa"/>
          </w:tcPr>
          <w:p w14:paraId="57A72C7F"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resolves</w:t>
            </w:r>
          </w:p>
          <w:p w14:paraId="4362F91A"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to invite ITU-T, in particular Study Group 5, to expand and continue its work and support in this domain, including but not limited to: </w:t>
            </w:r>
          </w:p>
          <w:p w14:paraId="46FB22AD"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iv)</w:t>
            </w:r>
            <w:r w:rsidRPr="004D1867">
              <w:rPr>
                <w:rFonts w:cs="Calibri"/>
                <w:sz w:val="20"/>
              </w:rPr>
              <w:tab/>
              <w:t>cooperating on these issues with ITU-R Study Groups 1 and 6, and with Study Group 2 of the ITU Telecommunication Development Sector (ITU-D) in the framework of Question 7/2;</w:t>
            </w:r>
          </w:p>
          <w:p w14:paraId="2B6E2496"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instructs </w:t>
            </w:r>
          </w:p>
          <w:p w14:paraId="3B7E4AE3"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the Director of the Telecommunication Standardization Bureau, in close collaboration with the Directors of the other two Bureaux, and within the available financial resources</w:t>
            </w:r>
          </w:p>
          <w:p w14:paraId="770BA95F"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156DA996"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regularly update the ITU-T portal on EMF activities including, but not limited to, the ITU EMF guide, links to websites and flyers;</w:t>
            </w:r>
          </w:p>
          <w:p w14:paraId="2B0F8D93"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hold workshops in developing countries with presentations and training on the use of equipment employed in assessing human exposure to RF energy;</w:t>
            </w:r>
          </w:p>
          <w:p w14:paraId="0EB70F15" w14:textId="77777777" w:rsidR="00727077" w:rsidRPr="004D1867" w:rsidRDefault="00727077" w:rsidP="00F35AED">
            <w:pPr>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4</w:t>
            </w:r>
            <w:r w:rsidRPr="004D1867">
              <w:rPr>
                <w:rFonts w:cs="Calibri"/>
                <w:sz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1FCA4178"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sz w:val="20"/>
              </w:rPr>
              <w:t>5</w:t>
            </w:r>
            <w:r w:rsidRPr="004D1867">
              <w:rPr>
                <w:rFonts w:cs="Calibri"/>
                <w:sz w:val="20"/>
              </w:rPr>
              <w:tab/>
              <w:t>to report to the next world telecommunication standardization assembly on measures taken to implement this resolution,</w:t>
            </w:r>
          </w:p>
        </w:tc>
      </w:tr>
      <w:tr w:rsidR="00727077" w:rsidRPr="004D1867" w14:paraId="752383BB"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49F08099"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sz w:val="20"/>
                <w:szCs w:val="20"/>
                <w:lang w:val="fr-FR"/>
              </w:rPr>
              <w:t xml:space="preserve">RESOLUTION 73 </w:t>
            </w:r>
          </w:p>
          <w:p w14:paraId="2A825356" w14:textId="77777777" w:rsidR="00727077" w:rsidRPr="004D1867" w:rsidRDefault="00727077" w:rsidP="00F35AED">
            <w:pPr>
              <w:pStyle w:val="CEONormal"/>
              <w:spacing w:before="60" w:after="60"/>
              <w:rPr>
                <w:rFonts w:asciiTheme="minorHAnsi" w:hAnsiTheme="minorHAnsi"/>
                <w:b w:val="0"/>
                <w:bCs w:val="0"/>
                <w:sz w:val="20"/>
                <w:szCs w:val="20"/>
                <w:lang w:val="fr-FR"/>
              </w:rPr>
            </w:pPr>
            <w:r w:rsidRPr="004D1867">
              <w:rPr>
                <w:rFonts w:asciiTheme="minorHAnsi" w:hAnsiTheme="minorHAnsi"/>
                <w:b w:val="0"/>
                <w:bCs w:val="0"/>
                <w:sz w:val="20"/>
                <w:szCs w:val="20"/>
                <w:lang w:val="fr-FR"/>
              </w:rPr>
              <w:t>Information and communication technologies, environment and climate change</w:t>
            </w:r>
          </w:p>
        </w:tc>
        <w:tc>
          <w:tcPr>
            <w:tcW w:w="10111" w:type="dxa"/>
          </w:tcPr>
          <w:p w14:paraId="64C3D757"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considering also</w:t>
            </w:r>
          </w:p>
          <w:p w14:paraId="48292149"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b)</w:t>
            </w:r>
            <w:r w:rsidRPr="004D1867">
              <w:rPr>
                <w:rFonts w:cs="Calibri"/>
                <w:sz w:val="20"/>
              </w:rPr>
              <w:tab/>
              <w:t>in addition to the work in ITU-T, the ITU Radiocommunication Sector (ITU-R) and ITU Telecommunication Development Sector (ITU-D) initiatives in considering climate change and the role of ICTs;</w:t>
            </w:r>
          </w:p>
          <w:p w14:paraId="6CEED0F2"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instructs </w:t>
            </w:r>
          </w:p>
          <w:p w14:paraId="20D2D58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all ITU-T study groups</w:t>
            </w:r>
          </w:p>
          <w:p w14:paraId="5356F24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4998DA1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instructs </w:t>
            </w:r>
          </w:p>
          <w:p w14:paraId="07F397D3"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the Director of the Telecommunication Standardization Bureau, in collaboration with the Directors of the other Bureaux</w:t>
            </w:r>
          </w:p>
          <w:p w14:paraId="2714299C"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lastRenderedPageBreak/>
              <w:t>1</w:t>
            </w:r>
            <w:r w:rsidRPr="004D1867">
              <w:rPr>
                <w:rFonts w:cs="Calibri"/>
                <w:sz w:val="20"/>
              </w:rPr>
              <w:tab/>
              <w:t>to report on progress on the application of this resolution annually to the ITU Council and to the next world telecommunication standardization assembly;</w:t>
            </w:r>
          </w:p>
          <w:p w14:paraId="4B8D02BD"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keep up to date the calendar of events relevant to ICTs, the environment and climate change based on proposals by TSAG and in close collaboration with the other two Sectors;</w:t>
            </w:r>
          </w:p>
          <w:p w14:paraId="7BAEE7E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launch pilot projects, aimed at bridging the standardization gap, on environmental sustainability issues, in particular in developing countries;</w:t>
            </w:r>
          </w:p>
          <w:p w14:paraId="00042BB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3B0DE35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5</w:t>
            </w:r>
            <w:r w:rsidRPr="004D1867">
              <w:rPr>
                <w:rFonts w:cs="Calibri"/>
                <w:sz w:val="20"/>
              </w:rPr>
              <w:tab/>
              <w:t>to organize forums, workshops and seminars for developing countries, to raise awareness and identify their particular needs and challenges on environment and climate-change issues;</w:t>
            </w:r>
          </w:p>
          <w:p w14:paraId="1ED88FD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6</w:t>
            </w:r>
            <w:r w:rsidRPr="004D1867">
              <w:rPr>
                <w:rFonts w:cs="Calibri"/>
                <w:sz w:val="20"/>
              </w:rPr>
              <w:tab/>
              <w:t xml:space="preserve">to develop, promote and disseminate information and training programmes on ICTs, environment and circular economy;  </w:t>
            </w:r>
          </w:p>
          <w:p w14:paraId="751270F5"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7</w:t>
            </w:r>
            <w:r w:rsidRPr="004D1867">
              <w:rPr>
                <w:rFonts w:cs="Calibri"/>
                <w:sz w:val="20"/>
              </w:rPr>
              <w:tab/>
              <w:t>to report on progress of the ITU/WMO/UNESCO IOC Joint Task Force to investigate the potential of using submarine telecommunication cables for ocean and climate monitoring and disaster warning;</w:t>
            </w:r>
          </w:p>
          <w:p w14:paraId="5F846901"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8</w:t>
            </w:r>
            <w:r w:rsidRPr="004D1867">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14:paraId="75BD2AE5"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9</w:t>
            </w:r>
            <w:r w:rsidRPr="004D1867">
              <w:rPr>
                <w:rFonts w:cs="Calibri"/>
                <w:sz w:val="20"/>
              </w:rPr>
              <w:tab/>
              <w:t>to report to TSAG on the progress regarding invites the Secretary-General below</w:t>
            </w:r>
          </w:p>
        </w:tc>
      </w:tr>
      <w:tr w:rsidR="00727077" w:rsidRPr="004D1867" w14:paraId="0968DFCF"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E81968A"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sz w:val="20"/>
                <w:szCs w:val="20"/>
                <w:lang w:val="fr-FR"/>
              </w:rPr>
              <w:lastRenderedPageBreak/>
              <w:t>RESOLUTION 76</w:t>
            </w:r>
          </w:p>
          <w:p w14:paraId="7C7924D7" w14:textId="77777777" w:rsidR="00727077" w:rsidRPr="004D1867" w:rsidRDefault="00727077" w:rsidP="00F35AED">
            <w:pPr>
              <w:pStyle w:val="CEONormal"/>
              <w:spacing w:before="60" w:after="60"/>
              <w:rPr>
                <w:rFonts w:asciiTheme="minorHAnsi" w:hAnsiTheme="minorHAnsi" w:cs="Calibri"/>
                <w:sz w:val="20"/>
                <w:szCs w:val="20"/>
                <w:lang w:val="fr-FR"/>
              </w:rPr>
            </w:pPr>
            <w:r w:rsidRPr="004D1867">
              <w:rPr>
                <w:rFonts w:asciiTheme="minorHAnsi" w:hAnsiTheme="minorHAnsi"/>
                <w:b w:val="0"/>
                <w:bCs w:val="0"/>
                <w:sz w:val="20"/>
                <w:szCs w:val="20"/>
                <w:lang w:val="fr-FR"/>
              </w:rPr>
              <w:t>Studies related to conformance and interoperability testing, assistance to developing countries</w:t>
            </w:r>
            <w:r w:rsidRPr="004D1867">
              <w:rPr>
                <w:rFonts w:asciiTheme="minorHAnsi" w:hAnsiTheme="minorHAnsi"/>
                <w:b w:val="0"/>
                <w:bCs w:val="0"/>
                <w:sz w:val="20"/>
                <w:szCs w:val="20"/>
                <w:lang w:val="fr-FR"/>
              </w:rPr>
              <w:footnoteReference w:customMarkFollows="1" w:id="2"/>
              <w:t>1, and a possible future ITU Mark programme</w:t>
            </w:r>
          </w:p>
        </w:tc>
        <w:tc>
          <w:tcPr>
            <w:tcW w:w="10111" w:type="dxa"/>
          </w:tcPr>
          <w:p w14:paraId="4E873DE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invites </w:t>
            </w:r>
          </w:p>
          <w:p w14:paraId="355F5D47"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Member States and ITU-D Sector Members</w:t>
            </w:r>
          </w:p>
          <w:p w14:paraId="268A3EC4"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2096B41B"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4D1867">
              <w:rPr>
                <w:rFonts w:cs="Calibri"/>
                <w:b/>
                <w:sz w:val="20"/>
              </w:rPr>
              <w:t xml:space="preserve">instructs </w:t>
            </w:r>
          </w:p>
          <w:p w14:paraId="50882D8C"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 xml:space="preserve">the Director of the Telecommunication Standardization Bureau </w:t>
            </w:r>
          </w:p>
          <w:p w14:paraId="1348477A"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t>1</w:t>
            </w:r>
            <w:r w:rsidRPr="004D1867">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56EAD136"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4D1867">
              <w:rPr>
                <w:rFonts w:cs="Calibri"/>
                <w:sz w:val="20"/>
              </w:rPr>
              <w:lastRenderedPageBreak/>
              <w:t>4</w:t>
            </w:r>
            <w:r w:rsidRPr="004D1867">
              <w:rPr>
                <w:rFonts w:cs="Calibri"/>
                <w:sz w:val="20"/>
              </w:rPr>
              <w:tab/>
              <w:t>in cooperation with the Director of BDT, to implement an ITU C&amp;I programme for possible introduction of a database identifying products’ conformance and origin;</w:t>
            </w:r>
          </w:p>
        </w:tc>
      </w:tr>
      <w:tr w:rsidR="00727077" w:rsidRPr="004D1867" w14:paraId="6DC2708E" w14:textId="77777777" w:rsidTr="00F35AED">
        <w:tc>
          <w:tcPr>
            <w:cnfStyle w:val="001000000000" w:firstRow="0" w:lastRow="0" w:firstColumn="1" w:lastColumn="0" w:oddVBand="0" w:evenVBand="0" w:oddHBand="0" w:evenHBand="0" w:firstRowFirstColumn="0" w:firstRowLastColumn="0" w:lastRowFirstColumn="0" w:lastRowLastColumn="0"/>
            <w:tcW w:w="3897" w:type="dxa"/>
          </w:tcPr>
          <w:p w14:paraId="175EBDDA" w14:textId="77777777" w:rsidR="00727077" w:rsidRPr="004D1867" w:rsidRDefault="00727077" w:rsidP="00F35AED">
            <w:pPr>
              <w:pStyle w:val="CEONormal"/>
              <w:spacing w:before="60" w:after="60"/>
              <w:rPr>
                <w:rFonts w:asciiTheme="minorHAnsi" w:hAnsiTheme="minorHAnsi"/>
                <w:sz w:val="20"/>
                <w:szCs w:val="20"/>
                <w:lang w:val="fr-FR"/>
              </w:rPr>
            </w:pPr>
            <w:r w:rsidRPr="004D1867">
              <w:rPr>
                <w:rFonts w:asciiTheme="minorHAnsi" w:hAnsiTheme="minorHAnsi"/>
                <w:sz w:val="20"/>
                <w:szCs w:val="20"/>
                <w:lang w:val="fr-FR"/>
              </w:rPr>
              <w:lastRenderedPageBreak/>
              <w:t>RESOLUTION 78</w:t>
            </w:r>
          </w:p>
          <w:p w14:paraId="28A609C5" w14:textId="77777777" w:rsidR="00727077" w:rsidRPr="004D1867" w:rsidRDefault="00727077" w:rsidP="00F35AED">
            <w:pPr>
              <w:pStyle w:val="CEONormal"/>
              <w:spacing w:before="60" w:after="60"/>
              <w:rPr>
                <w:rFonts w:asciiTheme="minorHAnsi" w:hAnsiTheme="minorHAnsi" w:cs="Calibri"/>
                <w:b w:val="0"/>
                <w:bCs w:val="0"/>
                <w:sz w:val="20"/>
                <w:szCs w:val="20"/>
                <w:lang w:val="fr-FR"/>
              </w:rPr>
            </w:pPr>
            <w:r w:rsidRPr="004D1867">
              <w:rPr>
                <w:rFonts w:asciiTheme="minorHAnsi" w:hAnsiTheme="minorHAnsi" w:cs="Calibri"/>
                <w:b w:val="0"/>
                <w:bCs w:val="0"/>
                <w:sz w:val="20"/>
                <w:szCs w:val="20"/>
                <w:lang w:val="fr-FR"/>
              </w:rPr>
              <w:t xml:space="preserve">Information and communication technologies and standards for improved access to e-health services </w:t>
            </w:r>
          </w:p>
        </w:tc>
        <w:tc>
          <w:tcPr>
            <w:tcW w:w="10111" w:type="dxa"/>
          </w:tcPr>
          <w:p w14:paraId="04D19F8A"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noting</w:t>
            </w:r>
          </w:p>
          <w:p w14:paraId="78E223DB"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a)</w:t>
            </w:r>
            <w:r w:rsidRPr="004D1867">
              <w:rPr>
                <w:rFonts w:cs="Calibri"/>
                <w:sz w:val="20"/>
              </w:rPr>
              <w:tab/>
              <w:t>ongoing work and studies in Study Group 2 of the ITU Telecommunication Development Sector (ITU-D) under Question 14-3/2, on information and telecommunications/ICT for e-health;</w:t>
            </w:r>
          </w:p>
          <w:p w14:paraId="168687A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e)</w:t>
            </w:r>
            <w:r w:rsidRPr="004D1867">
              <w:rPr>
                <w:rFonts w:cs="Calibri"/>
                <w:sz w:val="20"/>
              </w:rPr>
              <w:tab/>
              <w:t>ongoing work in ITU-D to reduce the digital divide in the area of e-health</w:t>
            </w:r>
          </w:p>
          <w:p w14:paraId="420E5474"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4D1867">
              <w:rPr>
                <w:rFonts w:cs="Calibri"/>
                <w:b/>
                <w:sz w:val="20"/>
              </w:rPr>
              <w:t xml:space="preserve">resolves </w:t>
            </w:r>
          </w:p>
          <w:p w14:paraId="3ACAB09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0CE68C5F"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1</w:t>
            </w:r>
            <w:r w:rsidRPr="004D1867">
              <w:rPr>
                <w:rFonts w:cs="Calibri"/>
                <w:sz w:val="20"/>
              </w:rPr>
              <w:tab/>
              <w:t>to consider with priority the enhancement of telecommunication/ICT initiatives in e health and to coordinate their related standardization activities;</w:t>
            </w:r>
          </w:p>
          <w:p w14:paraId="03A3CC5E"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2</w:t>
            </w:r>
            <w:r w:rsidRPr="004D1867">
              <w:rPr>
                <w:rFonts w:cs="Calibri"/>
                <w:sz w:val="20"/>
              </w:rPr>
              <w:tab/>
              <w:t>to continue and further develop ITU activities on telecommunication/ICT applications for e-health in order to contribute to the wider global efforts concerning e-health;</w:t>
            </w:r>
          </w:p>
          <w:p w14:paraId="3DE3D9F0"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3</w:t>
            </w:r>
            <w:r w:rsidRPr="004D1867">
              <w:rPr>
                <w:rFonts w:cs="Calibri"/>
                <w:sz w:val="20"/>
              </w:rPr>
              <w:tab/>
              <w:t>to work collaboratively with WHO, academia and other relevant organizations on activities related to e-health in general and to this resolution in particular;</w:t>
            </w:r>
          </w:p>
          <w:p w14:paraId="692C90F8" w14:textId="77777777" w:rsidR="00727077" w:rsidRPr="004D1867" w:rsidRDefault="00727077" w:rsidP="00F35AED">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4D1867">
              <w:rPr>
                <w:rFonts w:cs="Calibri"/>
                <w:sz w:val="20"/>
              </w:rPr>
              <w:t>4</w:t>
            </w:r>
            <w:r w:rsidRPr="004D1867">
              <w:rPr>
                <w:rFonts w:cs="Calibri"/>
                <w:sz w:val="20"/>
              </w:rPr>
              <w:tab/>
              <w:t>to organize seminars and workshops on e-health for developing countries1 and gauge the needs of the developing countries, which are the countries with the greatest need for e-health applications,</w:t>
            </w:r>
          </w:p>
        </w:tc>
      </w:tr>
      <w:tr w:rsidR="00727077" w:rsidRPr="004D1867" w14:paraId="1A6844BA" w14:textId="77777777" w:rsidTr="00F35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5764D818" w14:textId="77777777" w:rsidR="00727077" w:rsidRPr="004D1867" w:rsidRDefault="00727077" w:rsidP="00F35AED">
            <w:pPr>
              <w:pStyle w:val="CEONormal"/>
              <w:spacing w:before="60" w:after="60"/>
              <w:rPr>
                <w:rFonts w:asciiTheme="minorHAnsi" w:hAnsiTheme="minorHAnsi" w:cs="Calibri"/>
                <w:sz w:val="20"/>
                <w:szCs w:val="20"/>
                <w:lang w:val="fr-FR"/>
              </w:rPr>
            </w:pPr>
          </w:p>
        </w:tc>
        <w:tc>
          <w:tcPr>
            <w:tcW w:w="10111" w:type="dxa"/>
          </w:tcPr>
          <w:p w14:paraId="52C2E8C2" w14:textId="77777777" w:rsidR="00727077" w:rsidRPr="004D1867" w:rsidRDefault="00727077" w:rsidP="00F35AED">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3CC1490C" w14:textId="77777777" w:rsidR="008A272B" w:rsidRPr="004D1867" w:rsidRDefault="008A272B" w:rsidP="008A272B">
      <w:pPr>
        <w:spacing w:before="360"/>
        <w:jc w:val="center"/>
      </w:pPr>
      <w:r w:rsidRPr="004D1867">
        <w:t>______________</w:t>
      </w:r>
    </w:p>
    <w:sectPr w:rsidR="008A272B" w:rsidRPr="004D1867" w:rsidSect="007E4764">
      <w:headerReference w:type="default" r:id="rId11"/>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C887C" w14:textId="77777777" w:rsidR="000F1D2A" w:rsidRDefault="000F1D2A">
      <w:r>
        <w:separator/>
      </w:r>
    </w:p>
  </w:endnote>
  <w:endnote w:type="continuationSeparator" w:id="0">
    <w:p w14:paraId="690DF037" w14:textId="77777777" w:rsidR="000F1D2A" w:rsidRDefault="000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B5A9" w14:textId="537B76CA" w:rsidR="00AD41F8" w:rsidRPr="004721D7" w:rsidRDefault="00417C1F">
    <w:pPr>
      <w:pStyle w:val="Footer"/>
    </w:pPr>
    <w:r>
      <w:fldChar w:fldCharType="begin"/>
    </w:r>
    <w:r w:rsidRPr="004721D7">
      <w:instrText xml:space="preserve"> FILENAME \p \* MERGEFORMAT </w:instrText>
    </w:r>
    <w:r>
      <w:fldChar w:fldCharType="separate"/>
    </w:r>
    <w:r w:rsidR="004721D7">
      <w:t>P:\TRAD\F\ITU-D\CONF-D\RPMS\EUR\000\005ANN3FMontage.docx</w:t>
    </w:r>
    <w:r>
      <w:rPr>
        <w:lang w:val="en-US"/>
      </w:rPr>
      <w:fldChar w:fldCharType="end"/>
    </w:r>
    <w:r w:rsidR="00AD41F8" w:rsidRPr="004721D7">
      <w:tab/>
    </w:r>
    <w:r w:rsidR="00AD41F8">
      <w:fldChar w:fldCharType="begin"/>
    </w:r>
    <w:r w:rsidR="00AD41F8">
      <w:instrText xml:space="preserve"> savedate \@ dd.MM.yy </w:instrText>
    </w:r>
    <w:r w:rsidR="00AD41F8">
      <w:fldChar w:fldCharType="separate"/>
    </w:r>
    <w:r w:rsidR="00384CED">
      <w:t>14.12.20</w:t>
    </w:r>
    <w:r w:rsidR="00AD41F8">
      <w:fldChar w:fldCharType="end"/>
    </w:r>
    <w:r w:rsidR="00AD41F8" w:rsidRPr="004721D7">
      <w:tab/>
    </w:r>
    <w:r w:rsidR="00AD41F8">
      <w:fldChar w:fldCharType="begin"/>
    </w:r>
    <w:r w:rsidR="00AD41F8">
      <w:instrText xml:space="preserve"> printdate \@ dd.MM.yy </w:instrText>
    </w:r>
    <w:r w:rsidR="00AD41F8">
      <w:fldChar w:fldCharType="separate"/>
    </w:r>
    <w:r w:rsidR="004721D7">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D83D8" w14:textId="7E1A6CAC" w:rsidR="00AD41F8" w:rsidRPr="006F4E67" w:rsidRDefault="006F4E67">
    <w:pPr>
      <w:pStyle w:val="Footer"/>
    </w:pPr>
    <w:r>
      <w:fldChar w:fldCharType="begin"/>
    </w:r>
    <w:r w:rsidRPr="006F4E67">
      <w:instrText xml:space="preserve"> FILENAME \p \* MERGEFORMAT </w:instrText>
    </w:r>
    <w:r>
      <w:fldChar w:fldCharType="separate"/>
    </w:r>
    <w:r w:rsidR="000C5952">
      <w:t>P:\FRA\ITU-D\CONF-D\RPMS\EUR\000\005ANN3F.docx</w:t>
    </w:r>
    <w:r>
      <w:rPr>
        <w:lang w:val="en-US"/>
      </w:rPr>
      <w:fldChar w:fldCharType="end"/>
    </w:r>
    <w:r w:rsidRPr="006F4E67">
      <w:t xml:space="preserve"> </w:t>
    </w:r>
    <w:r>
      <w:t>(481305)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53AC" w14:textId="72707B2E" w:rsidR="00AD41F8" w:rsidRPr="006F4E67" w:rsidRDefault="00417C1F">
    <w:pPr>
      <w:pStyle w:val="Footer"/>
    </w:pPr>
    <w:r>
      <w:fldChar w:fldCharType="begin"/>
    </w:r>
    <w:r w:rsidRPr="006F4E67">
      <w:instrText xml:space="preserve"> FILENAME \p \* MERGEFORMAT </w:instrText>
    </w:r>
    <w:r>
      <w:fldChar w:fldCharType="separate"/>
    </w:r>
    <w:r w:rsidR="00932B0D">
      <w:t>P:\FRA\ITU-D\CONF-D\RPMS\EUR\000\005ANN3F.docx</w:t>
    </w:r>
    <w:r>
      <w:rPr>
        <w:lang w:val="en-US"/>
      </w:rPr>
      <w:fldChar w:fldCharType="end"/>
    </w:r>
    <w:r w:rsidR="006F4E67" w:rsidRPr="006F4E67">
      <w:t xml:space="preserve"> </w:t>
    </w:r>
    <w:r w:rsidR="006F4E67">
      <w:t>(481305)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BE68" w14:textId="77777777" w:rsidR="000F1D2A" w:rsidRDefault="000F1D2A">
      <w:r>
        <w:t>____________________</w:t>
      </w:r>
    </w:p>
  </w:footnote>
  <w:footnote w:type="continuationSeparator" w:id="0">
    <w:p w14:paraId="0A86F27B" w14:textId="77777777" w:rsidR="000F1D2A" w:rsidRDefault="000F1D2A">
      <w:r>
        <w:continuationSeparator/>
      </w:r>
    </w:p>
  </w:footnote>
  <w:footnote w:id="1">
    <w:p w14:paraId="2D215CC7" w14:textId="77777777" w:rsidR="00727077" w:rsidRPr="009E2D78" w:rsidRDefault="00727077" w:rsidP="00727077">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2">
    <w:p w14:paraId="73F10386" w14:textId="77777777" w:rsidR="00727077" w:rsidRDefault="00727077" w:rsidP="007270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79EB" w14:textId="0D58098C" w:rsidR="006F4E67" w:rsidRPr="006F4E67" w:rsidRDefault="006F4E67" w:rsidP="004721D7">
    <w:pPr>
      <w:tabs>
        <w:tab w:val="clear" w:pos="794"/>
        <w:tab w:val="clear" w:pos="1191"/>
        <w:tab w:val="clear" w:pos="1588"/>
        <w:tab w:val="clear" w:pos="1985"/>
        <w:tab w:val="center" w:pos="4820"/>
        <w:tab w:val="right" w:pos="14017"/>
      </w:tabs>
      <w:ind w:right="1"/>
      <w:rPr>
        <w:rFonts w:ascii="Calibri" w:hAnsi="Calibri"/>
        <w:lang w:val="fr-CH"/>
      </w:rPr>
    </w:pPr>
    <w:r>
      <w:rPr>
        <w:sz w:val="22"/>
        <w:szCs w:val="22"/>
      </w:rPr>
      <w:tab/>
    </w:r>
    <w:r>
      <w:rPr>
        <w:sz w:val="22"/>
        <w:lang w:val="fr-CH"/>
      </w:rPr>
      <w:t>UIT</w:t>
    </w:r>
    <w:r w:rsidRPr="007B5FF0">
      <w:rPr>
        <w:sz w:val="22"/>
        <w:lang w:val="fr-CH"/>
      </w:rPr>
      <w:t>-D/</w:t>
    </w:r>
    <w:r w:rsidRPr="007B5FF0">
      <w:rPr>
        <w:sz w:val="22"/>
        <w:szCs w:val="22"/>
        <w:lang w:val="fr-CH"/>
      </w:rPr>
      <w:t>RPM-</w:t>
    </w:r>
    <w:r w:rsidR="00384CED">
      <w:rPr>
        <w:sz w:val="22"/>
        <w:szCs w:val="22"/>
        <w:lang w:val="fr-CH"/>
      </w:rPr>
      <w:t>AFR</w:t>
    </w:r>
    <w:r w:rsidRPr="007B5FF0">
      <w:rPr>
        <w:sz w:val="22"/>
        <w:szCs w:val="22"/>
        <w:lang w:val="fr-CH"/>
      </w:rPr>
      <w:t>21</w:t>
    </w:r>
    <w:r w:rsidRPr="007B5FF0">
      <w:rPr>
        <w:sz w:val="22"/>
        <w:lang w:val="fr-CH"/>
      </w:rPr>
      <w:t>/5</w:t>
    </w:r>
    <w:r w:rsidRPr="007B5FF0">
      <w:rPr>
        <w:sz w:val="22"/>
        <w:szCs w:val="22"/>
        <w:lang w:val="fr-CH"/>
      </w:rPr>
      <w:t>(A</w:t>
    </w:r>
    <w:r w:rsidRPr="007B5FF0">
      <w:rPr>
        <w:smallCaps/>
        <w:sz w:val="22"/>
        <w:szCs w:val="22"/>
        <w:lang w:val="fr-CH"/>
      </w:rPr>
      <w:t>nn</w:t>
    </w:r>
    <w:r w:rsidRPr="007B5FF0">
      <w:rPr>
        <w:sz w:val="22"/>
        <w:szCs w:val="22"/>
        <w:lang w:val="fr-CH"/>
      </w:rPr>
      <w:t>.3)-</w:t>
    </w:r>
    <w:r w:rsidR="00145BC8">
      <w:rPr>
        <w:sz w:val="22"/>
        <w:lang w:val="fr-CH"/>
      </w:rPr>
      <w:t>F</w:t>
    </w:r>
    <w:r w:rsidRPr="007B5FF0">
      <w:rPr>
        <w:sz w:val="22"/>
        <w:lang w:val="fr-CH"/>
      </w:rPr>
      <w:tab/>
      <w:t xml:space="preserve">Page </w:t>
    </w:r>
    <w:r>
      <w:rPr>
        <w:sz w:val="22"/>
        <w:szCs w:val="22"/>
      </w:rPr>
      <w:fldChar w:fldCharType="begin"/>
    </w:r>
    <w:r w:rsidRPr="007B5FF0">
      <w:rPr>
        <w:sz w:val="22"/>
        <w:szCs w:val="22"/>
        <w:lang w:val="fr-CH"/>
      </w:rPr>
      <w:instrText xml:space="preserve"> PAGE </w:instrText>
    </w:r>
    <w:r>
      <w:rPr>
        <w:sz w:val="22"/>
        <w:szCs w:val="22"/>
      </w:rPr>
      <w:fldChar w:fldCharType="separate"/>
    </w:r>
    <w:r>
      <w:rPr>
        <w:sz w:val="22"/>
        <w:szCs w:val="22"/>
      </w:rPr>
      <w:t>11</w:t>
    </w:r>
    <w:r>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1845" w14:textId="0E5B1F13" w:rsidR="00727077" w:rsidRPr="006F4E67" w:rsidRDefault="00727077" w:rsidP="00727077">
    <w:pPr>
      <w:tabs>
        <w:tab w:val="clear" w:pos="794"/>
        <w:tab w:val="clear" w:pos="1191"/>
        <w:tab w:val="clear" w:pos="1588"/>
        <w:tab w:val="clear" w:pos="1985"/>
        <w:tab w:val="center" w:pos="4820"/>
        <w:tab w:val="right" w:pos="14017"/>
      </w:tabs>
      <w:ind w:right="1"/>
      <w:rPr>
        <w:rFonts w:ascii="Calibri" w:hAnsi="Calibri"/>
        <w:lang w:val="fr-CH"/>
      </w:rPr>
    </w:pPr>
    <w:r>
      <w:rPr>
        <w:sz w:val="22"/>
        <w:szCs w:val="22"/>
      </w:rPr>
      <w:tab/>
    </w:r>
    <w:r>
      <w:rPr>
        <w:sz w:val="22"/>
        <w:lang w:val="fr-CH"/>
      </w:rPr>
      <w:t>UIT</w:t>
    </w:r>
    <w:r w:rsidRPr="007B5FF0">
      <w:rPr>
        <w:sz w:val="22"/>
        <w:lang w:val="fr-CH"/>
      </w:rPr>
      <w:t>-D/</w:t>
    </w:r>
    <w:r w:rsidRPr="007B5FF0">
      <w:rPr>
        <w:sz w:val="22"/>
        <w:szCs w:val="22"/>
        <w:lang w:val="fr-CH"/>
      </w:rPr>
      <w:t>RPM-</w:t>
    </w:r>
    <w:r w:rsidR="00384CED">
      <w:rPr>
        <w:sz w:val="22"/>
        <w:szCs w:val="22"/>
        <w:lang w:val="fr-CH"/>
      </w:rPr>
      <w:t>AFR</w:t>
    </w:r>
    <w:r w:rsidRPr="007B5FF0">
      <w:rPr>
        <w:sz w:val="22"/>
        <w:szCs w:val="22"/>
        <w:lang w:val="fr-CH"/>
      </w:rPr>
      <w:t>21</w:t>
    </w:r>
    <w:r w:rsidRPr="007B5FF0">
      <w:rPr>
        <w:sz w:val="22"/>
        <w:lang w:val="fr-CH"/>
      </w:rPr>
      <w:t>/5</w:t>
    </w:r>
    <w:r w:rsidRPr="007B5FF0">
      <w:rPr>
        <w:sz w:val="22"/>
        <w:szCs w:val="22"/>
        <w:lang w:val="fr-CH"/>
      </w:rPr>
      <w:t>(A</w:t>
    </w:r>
    <w:r w:rsidRPr="007B5FF0">
      <w:rPr>
        <w:smallCaps/>
        <w:sz w:val="22"/>
        <w:szCs w:val="22"/>
        <w:lang w:val="fr-CH"/>
      </w:rPr>
      <w:t>nn</w:t>
    </w:r>
    <w:r w:rsidRPr="007B5FF0">
      <w:rPr>
        <w:sz w:val="22"/>
        <w:szCs w:val="22"/>
        <w:lang w:val="fr-CH"/>
      </w:rPr>
      <w:t>.3)-</w:t>
    </w:r>
    <w:r>
      <w:rPr>
        <w:sz w:val="22"/>
        <w:lang w:val="fr-CH"/>
      </w:rPr>
      <w:t>F</w:t>
    </w:r>
    <w:r w:rsidRPr="007B5FF0">
      <w:rPr>
        <w:sz w:val="22"/>
        <w:lang w:val="fr-CH"/>
      </w:rPr>
      <w:tab/>
      <w:t xml:space="preserve">Page </w:t>
    </w:r>
    <w:r>
      <w:rPr>
        <w:sz w:val="22"/>
        <w:szCs w:val="22"/>
      </w:rPr>
      <w:fldChar w:fldCharType="begin"/>
    </w:r>
    <w:r w:rsidRPr="007B5FF0">
      <w:rPr>
        <w:sz w:val="22"/>
        <w:szCs w:val="22"/>
        <w:lang w:val="fr-CH"/>
      </w:rPr>
      <w:instrText xml:space="preserve"> PAGE </w:instrText>
    </w:r>
    <w:r>
      <w:rPr>
        <w:sz w:val="22"/>
        <w:szCs w:val="22"/>
      </w:rPr>
      <w:fldChar w:fldCharType="separate"/>
    </w:r>
    <w:r>
      <w:rPr>
        <w:sz w:val="22"/>
        <w:szCs w:val="22"/>
      </w:rPr>
      <w:t>2</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23E8" w14:textId="7C130315" w:rsidR="00145BC8" w:rsidRPr="006F4E67" w:rsidRDefault="00145BC8" w:rsidP="00145BC8">
    <w:pPr>
      <w:tabs>
        <w:tab w:val="clear" w:pos="794"/>
        <w:tab w:val="clear" w:pos="1191"/>
        <w:tab w:val="clear" w:pos="1588"/>
        <w:tab w:val="clear" w:pos="1985"/>
        <w:tab w:val="left" w:pos="5670"/>
        <w:tab w:val="right" w:pos="14017"/>
      </w:tabs>
      <w:ind w:right="1"/>
      <w:rPr>
        <w:rFonts w:ascii="Calibri" w:hAnsi="Calibri"/>
        <w:lang w:val="fr-CH"/>
      </w:rPr>
    </w:pPr>
    <w:r>
      <w:rPr>
        <w:sz w:val="22"/>
        <w:szCs w:val="22"/>
      </w:rPr>
      <w:tab/>
    </w:r>
    <w:r>
      <w:rPr>
        <w:sz w:val="22"/>
        <w:lang w:val="fr-CH"/>
      </w:rPr>
      <w:t>UIT</w:t>
    </w:r>
    <w:r w:rsidRPr="007B5FF0">
      <w:rPr>
        <w:sz w:val="22"/>
        <w:lang w:val="fr-CH"/>
      </w:rPr>
      <w:t>-D/</w:t>
    </w:r>
    <w:r w:rsidRPr="007B5FF0">
      <w:rPr>
        <w:sz w:val="22"/>
        <w:szCs w:val="22"/>
        <w:lang w:val="fr-CH"/>
      </w:rPr>
      <w:t>RPM-</w:t>
    </w:r>
    <w:r w:rsidR="00384CED">
      <w:rPr>
        <w:sz w:val="22"/>
        <w:szCs w:val="22"/>
        <w:lang w:val="fr-CH"/>
      </w:rPr>
      <w:t>AFR</w:t>
    </w:r>
    <w:r w:rsidRPr="007B5FF0">
      <w:rPr>
        <w:sz w:val="22"/>
        <w:szCs w:val="22"/>
        <w:lang w:val="fr-CH"/>
      </w:rPr>
      <w:t>21</w:t>
    </w:r>
    <w:r w:rsidRPr="007B5FF0">
      <w:rPr>
        <w:sz w:val="22"/>
        <w:lang w:val="fr-CH"/>
      </w:rPr>
      <w:t>/5</w:t>
    </w:r>
    <w:r w:rsidRPr="007B5FF0">
      <w:rPr>
        <w:sz w:val="22"/>
        <w:szCs w:val="22"/>
        <w:lang w:val="fr-CH"/>
      </w:rPr>
      <w:t>(A</w:t>
    </w:r>
    <w:r w:rsidRPr="007B5FF0">
      <w:rPr>
        <w:smallCaps/>
        <w:sz w:val="22"/>
        <w:szCs w:val="22"/>
        <w:lang w:val="fr-CH"/>
      </w:rPr>
      <w:t>nn</w:t>
    </w:r>
    <w:r w:rsidRPr="007B5FF0">
      <w:rPr>
        <w:sz w:val="22"/>
        <w:szCs w:val="22"/>
        <w:lang w:val="fr-CH"/>
      </w:rPr>
      <w:t>.3)-</w:t>
    </w:r>
    <w:r>
      <w:rPr>
        <w:sz w:val="22"/>
        <w:lang w:val="fr-CH"/>
      </w:rPr>
      <w:t>F</w:t>
    </w:r>
    <w:r w:rsidRPr="007B5FF0">
      <w:rPr>
        <w:sz w:val="22"/>
        <w:lang w:val="fr-CH"/>
      </w:rPr>
      <w:tab/>
      <w:t xml:space="preserve">Page </w:t>
    </w:r>
    <w:r>
      <w:rPr>
        <w:sz w:val="22"/>
        <w:szCs w:val="22"/>
      </w:rPr>
      <w:fldChar w:fldCharType="begin"/>
    </w:r>
    <w:r w:rsidRPr="007B5FF0">
      <w:rPr>
        <w:sz w:val="22"/>
        <w:szCs w:val="22"/>
        <w:lang w:val="fr-CH"/>
      </w:rPr>
      <w:instrText xml:space="preserve"> PAGE </w:instrText>
    </w:r>
    <w:r>
      <w:rPr>
        <w:sz w:val="22"/>
        <w:szCs w:val="22"/>
      </w:rPr>
      <w:fldChar w:fldCharType="separate"/>
    </w:r>
    <w:r>
      <w:rPr>
        <w:sz w:val="22"/>
        <w:szCs w:val="22"/>
      </w:rPr>
      <w:t>11</w:t>
    </w:r>
    <w:r>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2A"/>
    <w:rsid w:val="00096850"/>
    <w:rsid w:val="000C5952"/>
    <w:rsid w:val="000F1D2A"/>
    <w:rsid w:val="00145BC8"/>
    <w:rsid w:val="00384CED"/>
    <w:rsid w:val="00417C1F"/>
    <w:rsid w:val="004721D7"/>
    <w:rsid w:val="004D1867"/>
    <w:rsid w:val="006F4E67"/>
    <w:rsid w:val="00727077"/>
    <w:rsid w:val="00753602"/>
    <w:rsid w:val="00764374"/>
    <w:rsid w:val="007E4764"/>
    <w:rsid w:val="008A272B"/>
    <w:rsid w:val="00932B0D"/>
    <w:rsid w:val="00987728"/>
    <w:rsid w:val="00AD41F8"/>
    <w:rsid w:val="00B27CCE"/>
    <w:rsid w:val="00DE2547"/>
    <w:rsid w:val="00E82FBF"/>
    <w:rsid w:val="00EF23CD"/>
    <w:rsid w:val="00F10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C014A"/>
  <w15:docId w15:val="{3EC9A549-0CD2-4071-981C-C30F126D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rsid w:val="0072707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customStyle="1" w:styleId="GridTable4-Accent11">
    <w:name w:val="Grid Table 4 - Accent 11"/>
    <w:basedOn w:val="TableNormal"/>
    <w:uiPriority w:val="49"/>
    <w:rsid w:val="000F1D2A"/>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basedOn w:val="DefaultParagraphFont"/>
    <w:link w:val="FootnoteText"/>
    <w:rsid w:val="006F4E67"/>
    <w:rPr>
      <w:rFonts w:asciiTheme="minorHAnsi" w:hAnsiTheme="minorHAnsi"/>
      <w:sz w:val="24"/>
      <w:lang w:val="fr-FR" w:eastAsia="en-US"/>
    </w:rPr>
  </w:style>
  <w:style w:type="table" w:styleId="GridTable4-Accent1">
    <w:name w:val="Grid Table 4 Accent 1"/>
    <w:basedOn w:val="TableNormal"/>
    <w:uiPriority w:val="49"/>
    <w:rsid w:val="006F4E67"/>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EONormal">
    <w:name w:val="CEO_Normal"/>
    <w:link w:val="CEONormalChar"/>
    <w:rsid w:val="006F4E67"/>
    <w:pPr>
      <w:spacing w:before="120" w:after="120"/>
    </w:pPr>
    <w:rPr>
      <w:rFonts w:ascii="Verdana" w:eastAsia="SimSun" w:hAnsi="Verdana"/>
      <w:sz w:val="19"/>
      <w:szCs w:val="19"/>
      <w:lang w:val="en-GB" w:eastAsia="en-US"/>
    </w:rPr>
  </w:style>
  <w:style w:type="character" w:customStyle="1" w:styleId="CEONormalChar">
    <w:name w:val="CEO_Normal Char"/>
    <w:link w:val="CEONormal"/>
    <w:rsid w:val="006F4E67"/>
    <w:rPr>
      <w:rFonts w:ascii="Verdana" w:eastAsia="SimSun" w:hAnsi="Verdana"/>
      <w:sz w:val="19"/>
      <w:szCs w:val="19"/>
      <w:lang w:val="en-GB" w:eastAsia="en-US"/>
    </w:rPr>
  </w:style>
  <w:style w:type="paragraph" w:customStyle="1" w:styleId="Reasons">
    <w:name w:val="Reasons"/>
    <w:basedOn w:val="Normal"/>
    <w:qFormat/>
    <w:rsid w:val="008A272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18</TotalTime>
  <Pages>14</Pages>
  <Words>5445</Words>
  <Characters>33382</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BDT-nd</cp:lastModifiedBy>
  <cp:revision>8</cp:revision>
  <cp:lastPrinted>1993-03-24T09:25:00Z</cp:lastPrinted>
  <dcterms:created xsi:type="dcterms:W3CDTF">2020-12-14T08:59:00Z</dcterms:created>
  <dcterms:modified xsi:type="dcterms:W3CDTF">2021-02-11T12:30:00Z</dcterms:modified>
</cp:coreProperties>
</file>