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664"/>
        <w:gridCol w:w="283"/>
        <w:gridCol w:w="4416"/>
      </w:tblGrid>
      <w:tr w:rsidR="00E815AA" w:rsidTr="00BA351F">
        <w:trPr>
          <w:jc w:val="center"/>
        </w:trPr>
        <w:tc>
          <w:tcPr>
            <w:tcW w:w="9639" w:type="dxa"/>
            <w:gridSpan w:val="4"/>
            <w:vAlign w:val="center"/>
          </w:tcPr>
          <w:p w:rsidR="00E815AA" w:rsidRDefault="00E815AA" w:rsidP="00E815AA">
            <w:pPr>
              <w:pStyle w:val="BDTSeparator"/>
              <w:rPr>
                <w:lang w:eastAsia="zh-CN"/>
              </w:rPr>
            </w:pPr>
            <w:bookmarkStart w:id="0" w:name="_GoBack"/>
            <w:bookmarkEnd w:id="0"/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543F0C" w:rsidP="00E815AA">
            <w:pPr>
              <w:pStyle w:val="BDTRef"/>
              <w:rPr>
                <w:rFonts w:asciiTheme="minorHAnsi" w:eastAsiaTheme="minorEastAsia" w:hAnsiTheme="minorHAnsi"/>
                <w:szCs w:val="22"/>
              </w:rPr>
            </w:pPr>
            <w:r w:rsidRPr="00803078">
              <w:rPr>
                <w:rFonts w:asciiTheme="minorHAnsi" w:eastAsiaTheme="minorEastAsia" w:hAnsiTheme="minorHAnsi"/>
                <w:szCs w:val="22"/>
              </w:rPr>
              <w:t>文号：</w:t>
            </w:r>
          </w:p>
        </w:tc>
        <w:tc>
          <w:tcPr>
            <w:tcW w:w="3947" w:type="dxa"/>
            <w:gridSpan w:val="2"/>
            <w:vAlign w:val="center"/>
          </w:tcPr>
          <w:p w:rsidR="00E815AA" w:rsidRPr="00803078" w:rsidRDefault="00543F0C" w:rsidP="00E815AA">
            <w:pPr>
              <w:pStyle w:val="BDTRef-Details"/>
              <w:rPr>
                <w:rFonts w:asciiTheme="minorHAnsi" w:eastAsiaTheme="minorEastAsia" w:hAnsiTheme="minorHAnsi"/>
                <w:szCs w:val="22"/>
                <w:lang w:val="en-US" w:eastAsia="zh-CN"/>
              </w:rPr>
            </w:pPr>
            <w:r>
              <w:rPr>
                <w:color w:val="000000" w:themeColor="text1"/>
              </w:rPr>
              <w:t>BDT/IP/CSTG-3</w:t>
            </w:r>
            <w:r w:rsidRPr="00BC40E7">
              <w:rPr>
                <w:rFonts w:hint="eastAsia"/>
                <w:color w:val="000000" w:themeColor="text1"/>
              </w:rPr>
              <w:t>号通函</w:t>
            </w:r>
          </w:p>
        </w:tc>
        <w:tc>
          <w:tcPr>
            <w:tcW w:w="4416" w:type="dxa"/>
            <w:vAlign w:val="center"/>
          </w:tcPr>
          <w:p w:rsidR="00E815AA" w:rsidRPr="00803078" w:rsidRDefault="00543F0C" w:rsidP="005252FA">
            <w:pPr>
              <w:spacing w:before="120" w:after="120" w:line="240" w:lineRule="auto"/>
              <w:rPr>
                <w:rFonts w:asciiTheme="minorHAnsi" w:eastAsiaTheme="minorEastAsia" w:hAnsiTheme="minorHAnsi"/>
                <w:szCs w:val="22"/>
              </w:rPr>
            </w:pPr>
            <w:r w:rsidRPr="003D5CF3">
              <w:rPr>
                <w:rFonts w:hint="eastAsia"/>
              </w:rPr>
              <w:t>201</w:t>
            </w:r>
            <w:r>
              <w:t>8</w:t>
            </w:r>
            <w:r w:rsidRPr="003D5CF3">
              <w:rPr>
                <w:rFonts w:hint="eastAsia"/>
              </w:rPr>
              <w:t>年</w:t>
            </w:r>
            <w:r>
              <w:t>1</w:t>
            </w:r>
            <w:r w:rsidRPr="003D5CF3">
              <w:rPr>
                <w:rFonts w:hint="eastAsia"/>
              </w:rPr>
              <w:t>月</w:t>
            </w:r>
            <w:r>
              <w:t>18</w:t>
            </w:r>
            <w:r w:rsidRPr="003D5CF3">
              <w:rPr>
                <w:rFonts w:hint="eastAsia"/>
              </w:rPr>
              <w:t>日，日內瓦</w:t>
            </w:r>
          </w:p>
        </w:tc>
      </w:tr>
      <w:tr w:rsidR="00E815AA" w:rsidTr="00BA351F">
        <w:trPr>
          <w:jc w:val="center"/>
        </w:trPr>
        <w:tc>
          <w:tcPr>
            <w:tcW w:w="5223" w:type="dxa"/>
            <w:gridSpan w:val="3"/>
            <w:vAlign w:val="center"/>
          </w:tcPr>
          <w:p w:rsidR="00E815AA" w:rsidRPr="00803078" w:rsidRDefault="00E815AA" w:rsidP="00E815AA">
            <w:pPr>
              <w:pStyle w:val="BDTSeparato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4416" w:type="dxa"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/>
              </w:rPr>
            </w:pPr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E815AA" w:rsidP="00E815AA">
            <w:pPr>
              <w:pStyle w:val="BDTCont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E815AA" w:rsidRPr="00803078" w:rsidRDefault="00E815AA" w:rsidP="00E815AA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  <w:bookmarkStart w:id="1" w:name="Contact"/>
            <w:bookmarkEnd w:id="1"/>
          </w:p>
        </w:tc>
        <w:tc>
          <w:tcPr>
            <w:tcW w:w="283" w:type="dxa"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 w:val="restart"/>
            <w:vAlign w:val="center"/>
          </w:tcPr>
          <w:p w:rsidR="00543F0C" w:rsidRDefault="00543F0C" w:rsidP="00543F0C">
            <w:pPr>
              <w:pStyle w:val="BDTAddressee"/>
              <w:spacing w:before="240"/>
              <w:rPr>
                <w:rFonts w:asciiTheme="minorHAnsi" w:hAnsiTheme="minorHAnsi"/>
                <w:szCs w:val="22"/>
              </w:rPr>
            </w:pPr>
            <w:bookmarkStart w:id="2" w:name="lt_pId022"/>
            <w:r>
              <w:rPr>
                <w:rFonts w:asciiTheme="minorHAnsi" w:hAnsiTheme="minorHAnsi" w:hint="eastAsia"/>
                <w:szCs w:val="22"/>
                <w:lang w:eastAsia="zh-CN"/>
              </w:rPr>
              <w:t>致：</w:t>
            </w:r>
            <w:bookmarkEnd w:id="2"/>
          </w:p>
          <w:p w:rsidR="00543F0C" w:rsidRPr="00BC40E7" w:rsidRDefault="00543F0C" w:rsidP="00543F0C">
            <w:pPr>
              <w:pStyle w:val="NoSpacing"/>
              <w:numPr>
                <w:ilvl w:val="0"/>
                <w:numId w:val="20"/>
              </w:numPr>
              <w:ind w:left="357" w:hanging="357"/>
              <w:rPr>
                <w:rFonts w:asciiTheme="minorHAnsi" w:hAnsiTheme="minorHAnsi"/>
                <w:szCs w:val="22"/>
                <w:lang w:val="en-GB" w:eastAsia="zh-CN"/>
              </w:rPr>
            </w:pPr>
            <w:r w:rsidRPr="00BC40E7">
              <w:rPr>
                <w:rFonts w:asciiTheme="minorHAnsi" w:hAnsiTheme="minorHAnsi" w:hint="eastAsia"/>
                <w:szCs w:val="22"/>
                <w:lang w:val="en-GB" w:eastAsia="zh-CN"/>
              </w:rPr>
              <w:t>国际电联</w:t>
            </w:r>
            <w:r>
              <w:rPr>
                <w:rFonts w:asciiTheme="minorHAnsi" w:hAnsiTheme="minorHAnsi" w:hint="eastAsia"/>
                <w:szCs w:val="22"/>
                <w:lang w:val="en-GB" w:eastAsia="zh-CN"/>
              </w:rPr>
              <w:t>各</w:t>
            </w:r>
            <w:r w:rsidRPr="00BC40E7">
              <w:rPr>
                <w:rFonts w:asciiTheme="minorHAnsi" w:hAnsiTheme="minorHAnsi"/>
                <w:szCs w:val="22"/>
                <w:lang w:val="en-GB" w:eastAsia="zh-CN"/>
              </w:rPr>
              <w:t>成员国主管部门</w:t>
            </w:r>
          </w:p>
          <w:p w:rsidR="00543F0C" w:rsidRDefault="00543F0C" w:rsidP="00543F0C">
            <w:pPr>
              <w:pStyle w:val="NoSpacing"/>
              <w:numPr>
                <w:ilvl w:val="0"/>
                <w:numId w:val="20"/>
              </w:numPr>
              <w:ind w:left="357" w:hanging="357"/>
              <w:rPr>
                <w:rFonts w:asciiTheme="minorHAnsi" w:hAnsiTheme="minorHAnsi"/>
                <w:spacing w:val="-2"/>
                <w:szCs w:val="22"/>
                <w:lang w:val="en-GB" w:eastAsia="zh-CN"/>
              </w:rPr>
            </w:pPr>
            <w:r w:rsidRPr="00077D9A">
              <w:rPr>
                <w:rFonts w:asciiTheme="minorHAnsi" w:hAnsiTheme="minorHAnsi" w:hint="eastAsia"/>
                <w:spacing w:val="-2"/>
                <w:szCs w:val="22"/>
                <w:lang w:val="en-GB" w:eastAsia="zh-CN"/>
              </w:rPr>
              <w:t>第</w:t>
            </w:r>
            <w:r w:rsidRPr="00077D9A">
              <w:rPr>
                <w:rFonts w:asciiTheme="minorHAnsi" w:hAnsiTheme="minorHAnsi" w:hint="eastAsia"/>
                <w:spacing w:val="-2"/>
                <w:szCs w:val="22"/>
                <w:lang w:val="en-GB" w:eastAsia="zh-CN"/>
              </w:rPr>
              <w:t>99</w:t>
            </w:r>
            <w:r w:rsidRPr="00077D9A">
              <w:rPr>
                <w:rFonts w:asciiTheme="minorHAnsi" w:hAnsiTheme="minorHAnsi" w:hint="eastAsia"/>
                <w:spacing w:val="-2"/>
                <w:szCs w:val="22"/>
                <w:lang w:val="en-GB" w:eastAsia="zh-CN"/>
              </w:rPr>
              <w:t>号决议</w:t>
            </w:r>
            <w:r w:rsidRPr="00077D9A">
              <w:rPr>
                <w:rFonts w:asciiTheme="minorHAnsi" w:hAnsiTheme="minorHAnsi"/>
                <w:spacing w:val="-2"/>
                <w:szCs w:val="22"/>
                <w:lang w:val="en-GB" w:eastAsia="zh-CN"/>
              </w:rPr>
              <w:t>（</w:t>
            </w:r>
            <w:r w:rsidRPr="00077D9A">
              <w:rPr>
                <w:rFonts w:asciiTheme="minorHAnsi" w:hAnsiTheme="minorHAnsi" w:hint="eastAsia"/>
                <w:spacing w:val="-2"/>
                <w:szCs w:val="22"/>
                <w:lang w:val="en-GB" w:eastAsia="zh-CN"/>
              </w:rPr>
              <w:t>2014</w:t>
            </w:r>
            <w:r w:rsidRPr="00077D9A">
              <w:rPr>
                <w:rFonts w:asciiTheme="minorHAnsi" w:hAnsiTheme="minorHAnsi" w:hint="eastAsia"/>
                <w:spacing w:val="-2"/>
                <w:szCs w:val="22"/>
                <w:lang w:val="en-GB" w:eastAsia="zh-CN"/>
              </w:rPr>
              <w:t>年，</w:t>
            </w:r>
            <w:r w:rsidRPr="00077D9A">
              <w:rPr>
                <w:rFonts w:asciiTheme="minorHAnsi" w:hAnsiTheme="minorHAnsi"/>
                <w:spacing w:val="-2"/>
                <w:szCs w:val="22"/>
                <w:lang w:val="en-GB" w:eastAsia="zh-CN"/>
              </w:rPr>
              <w:t>釜山</w:t>
            </w:r>
            <w:r w:rsidRPr="00077D9A">
              <w:rPr>
                <w:rFonts w:asciiTheme="minorHAnsi" w:hAnsiTheme="minorHAnsi" w:hint="eastAsia"/>
                <w:spacing w:val="-2"/>
                <w:szCs w:val="22"/>
                <w:lang w:val="en-GB" w:eastAsia="zh-CN"/>
              </w:rPr>
              <w:t>，</w:t>
            </w:r>
            <w:r w:rsidRPr="00077D9A">
              <w:rPr>
                <w:rFonts w:asciiTheme="minorHAnsi" w:hAnsiTheme="minorHAnsi"/>
                <w:spacing w:val="-2"/>
                <w:szCs w:val="22"/>
                <w:lang w:val="en-GB" w:eastAsia="zh-CN"/>
              </w:rPr>
              <w:t>修订版）</w:t>
            </w:r>
          </w:p>
          <w:p w:rsidR="00E815AA" w:rsidRPr="00803078" w:rsidRDefault="00E815AA" w:rsidP="005252FA">
            <w:pPr>
              <w:pStyle w:val="BDTAddressee"/>
              <w:spacing w:after="120"/>
              <w:rPr>
                <w:rFonts w:asciiTheme="minorHAnsi" w:eastAsiaTheme="minorEastAsia" w:hAnsiTheme="minorHAnsi"/>
                <w:vanish/>
                <w:szCs w:val="22"/>
                <w:lang w:eastAsia="zh-CN"/>
              </w:rPr>
            </w:pPr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E815AA" w:rsidP="00E815AA">
            <w:pPr>
              <w:pStyle w:val="BDTContact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3664" w:type="dxa"/>
            <w:vAlign w:val="center"/>
          </w:tcPr>
          <w:p w:rsidR="00E815AA" w:rsidRPr="00803078" w:rsidRDefault="00E815AA" w:rsidP="00E815AA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283" w:type="dxa"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E815AA" w:rsidP="00E815AA">
            <w:pPr>
              <w:pStyle w:val="BDTContact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3664" w:type="dxa"/>
            <w:vAlign w:val="center"/>
          </w:tcPr>
          <w:p w:rsidR="00E815AA" w:rsidRPr="00803078" w:rsidRDefault="00E815AA" w:rsidP="00E815AA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283" w:type="dxa"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E815AA" w:rsidP="00E815AA">
            <w:pPr>
              <w:pStyle w:val="BDTContact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3664" w:type="dxa"/>
            <w:vAlign w:val="center"/>
          </w:tcPr>
          <w:p w:rsidR="00E815AA" w:rsidRPr="00803078" w:rsidRDefault="00E815AA" w:rsidP="00E815AA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283" w:type="dxa"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</w:tr>
      <w:tr w:rsidR="00E815AA" w:rsidTr="00BA351F">
        <w:trPr>
          <w:jc w:val="center"/>
        </w:trPr>
        <w:tc>
          <w:tcPr>
            <w:tcW w:w="9639" w:type="dxa"/>
            <w:gridSpan w:val="4"/>
            <w:vAlign w:val="center"/>
          </w:tcPr>
          <w:p w:rsidR="00E815AA" w:rsidRPr="00803078" w:rsidRDefault="00E815AA" w:rsidP="00E815AA">
            <w:pPr>
              <w:pStyle w:val="BDTSeparator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</w:tr>
      <w:tr w:rsidR="00E815AA" w:rsidRPr="00C910AD" w:rsidTr="00BA351F">
        <w:trPr>
          <w:jc w:val="center"/>
        </w:trPr>
        <w:tc>
          <w:tcPr>
            <w:tcW w:w="1276" w:type="dxa"/>
            <w:vAlign w:val="center"/>
          </w:tcPr>
          <w:p w:rsidR="00E815AA" w:rsidRPr="00C910AD" w:rsidRDefault="00E815AA" w:rsidP="00E815AA">
            <w:pPr>
              <w:pStyle w:val="BDTSubject"/>
              <w:spacing w:before="120" w:after="120"/>
              <w:rPr>
                <w:rFonts w:asciiTheme="minorHAnsi" w:eastAsiaTheme="minorEastAsia" w:hAnsiTheme="minorHAnsi"/>
                <w:b/>
                <w:bCs/>
                <w:szCs w:val="22"/>
              </w:rPr>
            </w:pPr>
            <w:r w:rsidRPr="00C910AD">
              <w:rPr>
                <w:rFonts w:asciiTheme="minorHAnsi" w:eastAsiaTheme="minorEastAsia" w:hAnsiTheme="minorHAnsi"/>
                <w:b/>
                <w:bCs/>
                <w:szCs w:val="22"/>
              </w:rPr>
              <w:t>事由：</w:t>
            </w:r>
          </w:p>
        </w:tc>
        <w:tc>
          <w:tcPr>
            <w:tcW w:w="8363" w:type="dxa"/>
            <w:gridSpan w:val="3"/>
            <w:vAlign w:val="center"/>
          </w:tcPr>
          <w:p w:rsidR="00E815AA" w:rsidRPr="00C910AD" w:rsidRDefault="00543F0C" w:rsidP="00E815AA">
            <w:pPr>
              <w:pStyle w:val="BDTSubjectDetails0"/>
              <w:spacing w:before="120" w:after="120"/>
              <w:rPr>
                <w:rFonts w:asciiTheme="minorHAnsi" w:eastAsiaTheme="minorEastAsia" w:hAnsiTheme="minorHAnsi"/>
                <w:b/>
                <w:bCs/>
                <w:szCs w:val="22"/>
                <w:lang w:eastAsia="zh-CN"/>
              </w:rPr>
            </w:pPr>
            <w:bookmarkStart w:id="3" w:name="Subject"/>
            <w:bookmarkStart w:id="4" w:name="lt_pId026"/>
            <w:bookmarkEnd w:id="3"/>
            <w:r w:rsidRPr="008323F2">
              <w:rPr>
                <w:rFonts w:asciiTheme="minorHAnsi" w:hAnsiTheme="minorHAnsi" w:hint="eastAsia"/>
                <w:b/>
                <w:bCs/>
                <w:lang w:eastAsia="zh-CN"/>
              </w:rPr>
              <w:t>实施中小企业参加</w:t>
            </w:r>
            <w:r w:rsidRPr="008323F2">
              <w:rPr>
                <w:rFonts w:asciiTheme="minorHAnsi" w:hAnsiTheme="minorHAnsi"/>
                <w:b/>
                <w:bCs/>
                <w:lang w:eastAsia="zh-CN"/>
              </w:rPr>
              <w:t>ITU-D</w:t>
            </w:r>
            <w:r w:rsidRPr="008323F2">
              <w:rPr>
                <w:rFonts w:asciiTheme="minorHAnsi" w:hAnsiTheme="minorHAnsi" w:hint="eastAsia"/>
                <w:b/>
                <w:bCs/>
                <w:lang w:eastAsia="zh-CN"/>
              </w:rPr>
              <w:t>研究组试点项目</w:t>
            </w:r>
            <w:bookmarkEnd w:id="4"/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E815AA" w:rsidP="00E815AA">
            <w:pPr>
              <w:pStyle w:val="BDTSeparator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815AA" w:rsidRPr="00803078" w:rsidRDefault="00E815AA" w:rsidP="00E815AA">
            <w:pPr>
              <w:pStyle w:val="BDTSeparator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</w:tr>
      <w:tr w:rsidR="00E815AA" w:rsidTr="00BA351F">
        <w:trPr>
          <w:jc w:val="center"/>
        </w:trPr>
        <w:tc>
          <w:tcPr>
            <w:tcW w:w="9639" w:type="dxa"/>
            <w:gridSpan w:val="4"/>
            <w:vAlign w:val="center"/>
          </w:tcPr>
          <w:p w:rsidR="00543F0C" w:rsidRPr="008323F2" w:rsidRDefault="00543F0C" w:rsidP="00543F0C">
            <w:pPr>
              <w:pStyle w:val="Normalaftertitle"/>
              <w:tabs>
                <w:tab w:val="left" w:pos="34"/>
              </w:tabs>
              <w:rPr>
                <w:lang w:eastAsia="zh-CN"/>
              </w:rPr>
            </w:pPr>
            <w:r w:rsidRPr="008323F2">
              <w:rPr>
                <w:rFonts w:hint="eastAsia"/>
                <w:lang w:val="es-ES_tradnl" w:eastAsia="zh-CN"/>
              </w:rPr>
              <w:t>尊敬的先生</w:t>
            </w:r>
            <w:r w:rsidRPr="008323F2">
              <w:rPr>
                <w:rFonts w:hint="eastAsia"/>
                <w:lang w:eastAsia="zh-CN"/>
              </w:rPr>
              <w:t>/</w:t>
            </w:r>
            <w:r w:rsidRPr="008323F2">
              <w:rPr>
                <w:rFonts w:hint="eastAsia"/>
                <w:lang w:val="es-ES_tradnl" w:eastAsia="zh-CN"/>
              </w:rPr>
              <w:t>女士</w:t>
            </w:r>
            <w:r w:rsidRPr="008323F2">
              <w:rPr>
                <w:rFonts w:hint="eastAsia"/>
                <w:lang w:eastAsia="zh-CN"/>
              </w:rPr>
              <w:t>：</w:t>
            </w:r>
          </w:p>
          <w:p w:rsidR="00543F0C" w:rsidRPr="008323F2" w:rsidRDefault="00543F0C" w:rsidP="00543F0C">
            <w:pPr>
              <w:spacing w:before="0"/>
              <w:ind w:firstLineChars="200" w:firstLine="440"/>
              <w:rPr>
                <w:rFonts w:asciiTheme="minorHAnsi" w:hAnsiTheme="minorHAnsi"/>
                <w:szCs w:val="22"/>
                <w:lang w:eastAsia="zh-CN"/>
              </w:rPr>
            </w:pP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根据理事会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2017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年会议有关尝试中小企业（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）参加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ITU-T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和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研究组活动的决定（见理事会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2017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年会议达成一致的职责范围附件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1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），我荣幸地通知您，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可参加即将召开的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研究组会议。试验期至国际电联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2018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年全权代表大会（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PP-18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）结束。</w:t>
            </w:r>
          </w:p>
          <w:p w:rsidR="00543F0C" w:rsidRPr="008323F2" w:rsidRDefault="00543F0C" w:rsidP="00543F0C">
            <w:pPr>
              <w:spacing w:before="0"/>
              <w:ind w:firstLineChars="200" w:firstLine="440"/>
              <w:rPr>
                <w:rFonts w:asciiTheme="minorHAnsi" w:hAnsiTheme="minorHAnsi"/>
                <w:szCs w:val="22"/>
                <w:lang w:eastAsia="zh-CN"/>
              </w:rPr>
            </w:pPr>
            <w:bookmarkStart w:id="5" w:name="lt_pId030"/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感兴趣的的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可与各自主管部门商讨可能的参与事宜。相关主管部门可将符合国家标准、考虑参与尝试的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通知国际电联。</w:t>
            </w:r>
            <w:bookmarkEnd w:id="5"/>
          </w:p>
          <w:p w:rsidR="00543F0C" w:rsidRDefault="00543F0C" w:rsidP="00543F0C">
            <w:pPr>
              <w:ind w:firstLineChars="200" w:firstLine="440"/>
              <w:rPr>
                <w:rFonts w:asciiTheme="minorHAnsi" w:hAnsiTheme="minorHAnsi"/>
                <w:szCs w:val="22"/>
                <w:lang w:eastAsia="zh-CN"/>
              </w:rPr>
            </w:pPr>
            <w:bookmarkStart w:id="6" w:name="lt_pId032"/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虽然被挑选的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不属于任何成员类别，除决策和管理职责外，它们可在试验期内全面参与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研究组的工作。</w:t>
            </w:r>
            <w:bookmarkEnd w:id="6"/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代表在线注册时，各主管部门指定的联系人将收到用于确认的电子邮件通知。</w:t>
            </w:r>
            <w:bookmarkStart w:id="7" w:name="lt_pId034"/>
            <w:bookmarkStart w:id="8" w:name="lt_pId028"/>
          </w:p>
          <w:p w:rsidR="00543F0C" w:rsidRPr="008323F2" w:rsidRDefault="00543F0C" w:rsidP="00543F0C">
            <w:pPr>
              <w:ind w:firstLineChars="200" w:firstLine="440"/>
              <w:rPr>
                <w:rFonts w:asciiTheme="minorHAnsi" w:hAnsiTheme="minorHAnsi"/>
                <w:szCs w:val="22"/>
                <w:lang w:eastAsia="zh-CN"/>
              </w:rPr>
            </w:pP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如需更多信息，请垂询</w:t>
            </w:r>
            <w:r>
              <w:rPr>
                <w:rFonts w:asciiTheme="minorHAnsi" w:hAnsiTheme="minorHAnsi" w:hint="eastAsia"/>
                <w:szCs w:val="22"/>
                <w:lang w:eastAsia="zh-CN"/>
              </w:rPr>
              <w:t>ITU-D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研究组秘书处</w:t>
            </w:r>
            <w:bookmarkEnd w:id="7"/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：</w:t>
            </w:r>
          </w:p>
          <w:p w:rsidR="00543F0C" w:rsidRPr="008323F2" w:rsidRDefault="00543F0C" w:rsidP="00543F0C">
            <w:pPr>
              <w:ind w:firstLineChars="200" w:firstLine="440"/>
              <w:rPr>
                <w:rFonts w:asciiTheme="minorHAnsi" w:hAnsiTheme="minorHAnsi"/>
                <w:lang w:eastAsia="zh-CN"/>
              </w:rPr>
            </w:pPr>
            <w:r w:rsidRPr="008323F2">
              <w:rPr>
                <w:rFonts w:asciiTheme="minorHAnsi" w:hAnsiTheme="minorHAnsi"/>
                <w:lang w:eastAsia="zh-CN"/>
              </w:rPr>
              <w:t>电话：</w:t>
            </w:r>
            <w:r w:rsidRPr="008323F2">
              <w:rPr>
                <w:rFonts w:asciiTheme="minorHAnsi" w:hAnsiTheme="minorHAnsi"/>
                <w:lang w:eastAsia="zh-CN"/>
              </w:rPr>
              <w:t>+41 22 730 5999</w:t>
            </w:r>
            <w:r w:rsidRPr="008323F2">
              <w:rPr>
                <w:rFonts w:asciiTheme="minorHAnsi" w:hAnsiTheme="minorHAnsi" w:hint="eastAsia"/>
                <w:lang w:eastAsia="zh-CN"/>
              </w:rPr>
              <w:t>，传真：</w:t>
            </w:r>
            <w:r w:rsidRPr="008323F2">
              <w:rPr>
                <w:rFonts w:asciiTheme="minorHAnsi" w:hAnsiTheme="minorHAnsi"/>
                <w:lang w:eastAsia="zh-CN"/>
              </w:rPr>
              <w:t>+41 22 730 5484</w:t>
            </w:r>
            <w:r w:rsidRPr="008323F2">
              <w:rPr>
                <w:rFonts w:asciiTheme="minorHAnsi" w:hAnsiTheme="minorHAnsi"/>
                <w:lang w:eastAsia="zh-CN"/>
              </w:rPr>
              <w:t>，电子邮件地址：</w:t>
            </w:r>
            <w:hyperlink r:id="rId7" w:history="1">
              <w:r w:rsidRPr="008323F2">
                <w:rPr>
                  <w:rStyle w:val="Hyperlink"/>
                  <w:rFonts w:asciiTheme="minorHAnsi" w:hAnsiTheme="minorHAnsi" w:cs="Simplified Arabic"/>
                  <w:lang w:eastAsia="zh-CN"/>
                </w:rPr>
                <w:t>devsg@itu.int</w:t>
              </w:r>
            </w:hyperlink>
            <w:r w:rsidRPr="008323F2">
              <w:rPr>
                <w:rFonts w:asciiTheme="minorHAnsi" w:hAnsiTheme="minorHAnsi"/>
                <w:lang w:eastAsia="zh-CN"/>
              </w:rPr>
              <w:t>。</w:t>
            </w:r>
          </w:p>
          <w:bookmarkEnd w:id="8"/>
          <w:p w:rsidR="00543F0C" w:rsidRPr="008323F2" w:rsidRDefault="00543F0C" w:rsidP="00543F0C">
            <w:pPr>
              <w:ind w:firstLineChars="200" w:firstLine="440"/>
              <w:rPr>
                <w:rFonts w:asciiTheme="minorHAnsi" w:hAnsiTheme="minorHAnsi" w:cs="Calibri"/>
                <w:b/>
                <w:bCs/>
                <w:szCs w:val="22"/>
                <w:lang w:eastAsia="zh-CN"/>
              </w:rPr>
            </w:pPr>
            <w:r w:rsidRPr="008323F2">
              <w:rPr>
                <w:rFonts w:asciiTheme="minorHAnsi" w:hAnsiTheme="minorHAnsi"/>
                <w:szCs w:val="22"/>
                <w:lang w:eastAsia="zh-CN"/>
              </w:rPr>
              <w:br w:type="page"/>
            </w:r>
            <w:bookmarkStart w:id="9" w:name="lt_pId039"/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期待您对这项能使</w:t>
            </w:r>
            <w:r w:rsidRPr="008323F2">
              <w:rPr>
                <w:rFonts w:asciiTheme="minorHAnsi" w:hAnsiTheme="minorHAnsi"/>
                <w:szCs w:val="22"/>
                <w:lang w:eastAsia="zh-CN"/>
              </w:rPr>
              <w:t>SME</w:t>
            </w:r>
            <w:r w:rsidRPr="008323F2">
              <w:rPr>
                <w:rFonts w:asciiTheme="minorHAnsi" w:hAnsiTheme="minorHAnsi" w:hint="eastAsia"/>
                <w:szCs w:val="22"/>
                <w:lang w:eastAsia="zh-CN"/>
              </w:rPr>
              <w:t>参加我们的研究组工作的试点项目做出反馈！</w:t>
            </w:r>
            <w:bookmarkEnd w:id="9"/>
          </w:p>
          <w:p w:rsidR="00543F0C" w:rsidRPr="008323F2" w:rsidRDefault="00543F0C" w:rsidP="00543F0C">
            <w:pPr>
              <w:spacing w:before="0"/>
              <w:rPr>
                <w:lang w:val="es-ES_tradnl" w:eastAsia="zh-CN"/>
              </w:rPr>
            </w:pPr>
          </w:p>
          <w:p w:rsidR="00543F0C" w:rsidRPr="008323F2" w:rsidRDefault="00543F0C" w:rsidP="00543F0C">
            <w:pPr>
              <w:rPr>
                <w:rFonts w:cs="Calibri"/>
                <w:lang w:eastAsia="zh-CN"/>
              </w:rPr>
            </w:pPr>
            <w:r w:rsidRPr="008323F2">
              <w:rPr>
                <w:rFonts w:cs="Calibri"/>
                <w:lang w:eastAsia="zh-CN"/>
              </w:rPr>
              <w:t>顺致敬意，</w:t>
            </w:r>
          </w:p>
          <w:p w:rsidR="00543F0C" w:rsidRPr="008323F2" w:rsidRDefault="00543F0C" w:rsidP="00543F0C">
            <w:pPr>
              <w:spacing w:before="0"/>
              <w:rPr>
                <w:lang w:val="es-ES_tradnl" w:eastAsia="zh-CN"/>
              </w:rPr>
            </w:pPr>
          </w:p>
          <w:p w:rsidR="00543F0C" w:rsidRDefault="00543F0C" w:rsidP="00543F0C">
            <w:pPr>
              <w:spacing w:before="0"/>
              <w:rPr>
                <w:lang w:val="es-ES_tradnl" w:eastAsia="zh-CN"/>
              </w:rPr>
            </w:pPr>
          </w:p>
          <w:p w:rsidR="00756052" w:rsidRPr="00756052" w:rsidRDefault="00756052" w:rsidP="00543F0C">
            <w:pPr>
              <w:spacing w:before="0"/>
              <w:rPr>
                <w:lang w:val="es-ES_tradnl" w:eastAsia="zh-CN"/>
              </w:rPr>
            </w:pPr>
          </w:p>
          <w:p w:rsidR="00543F0C" w:rsidRPr="008323F2" w:rsidRDefault="00543F0C" w:rsidP="00543F0C">
            <w:pPr>
              <w:tabs>
                <w:tab w:val="left" w:pos="9627"/>
              </w:tabs>
              <w:spacing w:before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8323F2">
              <w:rPr>
                <w:rFonts w:cs="Calibri"/>
                <w:lang w:val="en-GB" w:eastAsia="zh-CN"/>
              </w:rPr>
              <w:t>电信发展局主任</w:t>
            </w:r>
          </w:p>
          <w:p w:rsidR="00543F0C" w:rsidRPr="008323F2" w:rsidRDefault="00543F0C" w:rsidP="00543F0C">
            <w:pPr>
              <w:tabs>
                <w:tab w:val="left" w:pos="9627"/>
              </w:tabs>
              <w:spacing w:before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8323F2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布哈伊马</w:t>
            </w:r>
            <w:r w:rsidRPr="008323F2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•</w:t>
            </w:r>
            <w:r w:rsidRPr="008323F2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萨努</w:t>
            </w:r>
          </w:p>
          <w:p w:rsidR="00543F0C" w:rsidRPr="008323F2" w:rsidRDefault="00543F0C" w:rsidP="00543F0C">
            <w:pPr>
              <w:tabs>
                <w:tab w:val="left" w:pos="9627"/>
              </w:tabs>
              <w:spacing w:before="0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</w:p>
          <w:p w:rsidR="00543F0C" w:rsidRPr="008323F2" w:rsidRDefault="00543F0C" w:rsidP="00543F0C">
            <w:pPr>
              <w:pStyle w:val="BDTNormal"/>
              <w:spacing w:before="0" w:after="0"/>
              <w:rPr>
                <w:lang w:val="en-US" w:eastAsia="zh-CN"/>
              </w:rPr>
            </w:pPr>
            <w:bookmarkStart w:id="10" w:name="lt_pId043"/>
            <w:r>
              <w:rPr>
                <w:rFonts w:hint="eastAsia"/>
                <w:lang w:val="en-US" w:eastAsia="zh-CN"/>
              </w:rPr>
              <w:t>抄送：</w:t>
            </w:r>
            <w:bookmarkEnd w:id="10"/>
            <w:r w:rsidRPr="008323F2">
              <w:rPr>
                <w:lang w:val="en-US" w:eastAsia="zh-CN"/>
              </w:rPr>
              <w:tab/>
            </w:r>
            <w:bookmarkStart w:id="11" w:name="lt_pId044"/>
            <w:r>
              <w:rPr>
                <w:rFonts w:hint="eastAsia"/>
                <w:lang w:val="en-US" w:eastAsia="zh-CN"/>
              </w:rPr>
              <w:t>国际电联</w:t>
            </w:r>
            <w:r>
              <w:rPr>
                <w:lang w:val="en-US" w:eastAsia="zh-CN"/>
              </w:rPr>
              <w:t>区域代表处</w:t>
            </w:r>
            <w:bookmarkEnd w:id="11"/>
          </w:p>
          <w:p w:rsidR="00E815AA" w:rsidRPr="006D27D3" w:rsidRDefault="00543F0C" w:rsidP="00543F0C">
            <w:pPr>
              <w:pStyle w:val="BDTSignatureName"/>
              <w:spacing w:before="120" w:after="120"/>
              <w:rPr>
                <w:rFonts w:asciiTheme="minorHAnsi" w:eastAsiaTheme="minorEastAsia" w:hAnsiTheme="minorHAnsi" w:cstheme="minorHAnsi"/>
                <w:bCs w:val="0"/>
                <w:color w:val="auto"/>
                <w:szCs w:val="22"/>
                <w:lang w:val="en-US" w:eastAsia="zh-CN"/>
              </w:rPr>
            </w:pPr>
            <w:bookmarkStart w:id="12" w:name="lt_pId045"/>
            <w:r>
              <w:rPr>
                <w:lang w:eastAsia="zh-CN"/>
              </w:rPr>
              <w:t xml:space="preserve">               </w:t>
            </w:r>
            <w:r w:rsidRPr="008323F2">
              <w:t>ITU-D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正副主席</w:t>
            </w:r>
            <w:bookmarkEnd w:id="12"/>
          </w:p>
        </w:tc>
      </w:tr>
    </w:tbl>
    <w:p w:rsidR="00B57A7A" w:rsidRDefault="00B57A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57A7A" w:rsidTr="00B57A7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43F0C" w:rsidRDefault="00543F0C" w:rsidP="00543F0C">
            <w:pPr>
              <w:spacing w:before="0"/>
              <w:jc w:val="center"/>
              <w:rPr>
                <w:rFonts w:asciiTheme="minorHAnsi" w:hAnsiTheme="minorHAnsi"/>
                <w:szCs w:val="22"/>
                <w:lang w:eastAsia="zh-CN"/>
              </w:rPr>
            </w:pPr>
            <w:bookmarkStart w:id="13" w:name="lt_pId046"/>
            <w:r>
              <w:rPr>
                <w:rFonts w:asciiTheme="minorHAnsi" w:hAnsiTheme="minorHAnsi" w:hint="eastAsia"/>
                <w:szCs w:val="22"/>
                <w:lang w:eastAsia="zh-CN"/>
              </w:rPr>
              <w:lastRenderedPageBreak/>
              <w:t>附件</w:t>
            </w:r>
            <w:r>
              <w:rPr>
                <w:rFonts w:asciiTheme="minorHAnsi" w:hAnsiTheme="minorHAnsi"/>
                <w:szCs w:val="22"/>
                <w:lang w:eastAsia="zh-CN"/>
              </w:rPr>
              <w:t xml:space="preserve"> 1</w:t>
            </w:r>
            <w:bookmarkEnd w:id="13"/>
          </w:p>
          <w:p w:rsidR="00543F0C" w:rsidRDefault="00543F0C" w:rsidP="00543F0C">
            <w:pPr>
              <w:spacing w:before="0"/>
              <w:rPr>
                <w:rFonts w:asciiTheme="minorHAnsi" w:hAnsiTheme="minorHAnsi"/>
                <w:szCs w:val="22"/>
                <w:lang w:eastAsia="zh-CN"/>
              </w:rPr>
            </w:pPr>
          </w:p>
          <w:p w:rsidR="00543F0C" w:rsidRPr="00D7580D" w:rsidRDefault="00543F0C" w:rsidP="00543F0C">
            <w:pPr>
              <w:pStyle w:val="CEOHeading1Underlined"/>
              <w:keepLines w:val="0"/>
              <w:spacing w:before="24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bookmarkStart w:id="14" w:name="lt_pId047"/>
            <w:r w:rsidRPr="00D7580D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中小企业</w:t>
            </w:r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>（</w:t>
            </w:r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>SME</w:t>
            </w:r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>）</w:t>
            </w:r>
            <w:r w:rsidRPr="00D7580D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试点项目的职责范围</w:t>
            </w:r>
            <w:bookmarkEnd w:id="14"/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 </w:t>
            </w:r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bookmarkStart w:id="15" w:name="lt_pId048"/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>（</w:t>
            </w:r>
            <w:r w:rsidRPr="00D7580D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基于理事会</w:t>
            </w:r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>2017</w:t>
            </w:r>
            <w:r w:rsidRPr="00D7580D">
              <w:rPr>
                <w:rFonts w:asciiTheme="minorHAnsi" w:hAnsiTheme="minorHAnsi" w:hint="eastAsia"/>
                <w:sz w:val="22"/>
                <w:szCs w:val="22"/>
                <w:lang w:eastAsia="zh-CN"/>
              </w:rPr>
              <w:t>年会议的决定</w:t>
            </w:r>
            <w:r w:rsidRPr="00D7580D">
              <w:rPr>
                <w:rFonts w:asciiTheme="minorHAnsi" w:hAnsiTheme="minorHAnsi"/>
                <w:sz w:val="22"/>
                <w:szCs w:val="22"/>
                <w:lang w:eastAsia="zh-CN"/>
              </w:rPr>
              <w:t>）</w:t>
            </w:r>
            <w:bookmarkEnd w:id="15"/>
          </w:p>
          <w:p w:rsidR="00543F0C" w:rsidRPr="00D7580D" w:rsidRDefault="00543F0C" w:rsidP="00543F0C">
            <w:pPr>
              <w:ind w:left="601" w:hanging="567"/>
              <w:rPr>
                <w:lang w:eastAsia="zh-CN"/>
              </w:rPr>
            </w:pPr>
            <w:r w:rsidRPr="00D7580D">
              <w:rPr>
                <w:lang w:eastAsia="zh-CN"/>
              </w:rPr>
              <w:t>1</w:t>
            </w:r>
            <w:r w:rsidRPr="00D7580D">
              <w:rPr>
                <w:lang w:eastAsia="zh-CN"/>
              </w:rPr>
              <w:tab/>
            </w:r>
            <w:r w:rsidRPr="00D7580D">
              <w:rPr>
                <w:rFonts w:hint="eastAsia"/>
                <w:lang w:eastAsia="zh-CN"/>
              </w:rPr>
              <w:t>中小企业参与试验项目将面向</w:t>
            </w:r>
            <w:r w:rsidRPr="00D7580D">
              <w:rPr>
                <w:rFonts w:hint="eastAsia"/>
                <w:lang w:eastAsia="zh-CN"/>
              </w:rPr>
              <w:t>ITU-T</w:t>
            </w:r>
            <w:r w:rsidRPr="00D7580D">
              <w:rPr>
                <w:rFonts w:hint="eastAsia"/>
                <w:lang w:eastAsia="zh-CN"/>
              </w:rPr>
              <w:t>和</w:t>
            </w:r>
            <w:r w:rsidRPr="00D7580D">
              <w:rPr>
                <w:rFonts w:hint="eastAsia"/>
                <w:lang w:eastAsia="zh-CN"/>
              </w:rPr>
              <w:t>ITU-D</w:t>
            </w:r>
            <w:r w:rsidRPr="00D7580D">
              <w:rPr>
                <w:rFonts w:hint="eastAsia"/>
                <w:lang w:eastAsia="zh-CN"/>
              </w:rPr>
              <w:t>感兴趣的研究组。</w:t>
            </w:r>
          </w:p>
          <w:p w:rsidR="00543F0C" w:rsidRPr="00D7580D" w:rsidRDefault="00543F0C" w:rsidP="00543F0C">
            <w:pPr>
              <w:ind w:left="601" w:hanging="567"/>
              <w:rPr>
                <w:lang w:eastAsia="zh-CN"/>
              </w:rPr>
            </w:pPr>
            <w:r w:rsidRPr="00D7580D">
              <w:rPr>
                <w:lang w:eastAsia="zh-CN"/>
              </w:rPr>
              <w:t>2</w:t>
            </w:r>
            <w:r w:rsidRPr="00D7580D">
              <w:rPr>
                <w:lang w:eastAsia="zh-CN"/>
              </w:rPr>
              <w:tab/>
            </w:r>
            <w:r w:rsidRPr="00D7580D">
              <w:rPr>
                <w:rFonts w:hint="eastAsia"/>
                <w:lang w:eastAsia="zh-CN"/>
              </w:rPr>
              <w:t>将与相关局、区域组织、有关主管部门及国际电联区域代表处和地区办事处协作，与中小企业及中小企业协会联系推广该试验项目。</w:t>
            </w:r>
          </w:p>
          <w:p w:rsidR="00543F0C" w:rsidRPr="00D7580D" w:rsidRDefault="00543F0C" w:rsidP="00543F0C">
            <w:pPr>
              <w:ind w:left="601" w:hanging="567"/>
              <w:rPr>
                <w:lang w:eastAsia="zh-CN"/>
              </w:rPr>
            </w:pPr>
            <w:r w:rsidRPr="00D7580D">
              <w:rPr>
                <w:lang w:eastAsia="zh-CN"/>
              </w:rPr>
              <w:t>3</w:t>
            </w:r>
            <w:r w:rsidRPr="00D7580D">
              <w:rPr>
                <w:lang w:eastAsia="zh-CN"/>
              </w:rPr>
              <w:tab/>
            </w:r>
            <w:r w:rsidRPr="00D7580D">
              <w:rPr>
                <w:rFonts w:hint="eastAsia"/>
                <w:lang w:eastAsia="zh-CN"/>
              </w:rPr>
              <w:t>中小企业可全面出席参加本试验项目的研究组的会议，但不包括任何决策职责（其中包括担任领导岗位及采用任何批准程序通过决议和建议书）。</w:t>
            </w:r>
          </w:p>
          <w:p w:rsidR="00543F0C" w:rsidRPr="00D7580D" w:rsidRDefault="00543F0C" w:rsidP="00543F0C">
            <w:pPr>
              <w:ind w:left="601" w:hanging="567"/>
              <w:rPr>
                <w:lang w:eastAsia="zh-CN"/>
              </w:rPr>
            </w:pPr>
            <w:r w:rsidRPr="00D7580D">
              <w:rPr>
                <w:lang w:eastAsia="zh-CN"/>
              </w:rPr>
              <w:t>4</w:t>
            </w:r>
            <w:r w:rsidRPr="00D7580D">
              <w:rPr>
                <w:lang w:eastAsia="zh-CN"/>
              </w:rPr>
              <w:tab/>
            </w:r>
            <w:r w:rsidRPr="00D7580D">
              <w:rPr>
                <w:rFonts w:hint="eastAsia"/>
                <w:lang w:eastAsia="zh-CN"/>
              </w:rPr>
              <w:t>中小企业参与本试验项目的申请将通过相关主管部门提交，此主管部门应确认中小企业满足该国认可其为中小企业的标准（包括公司规模和年收入等因素）。</w:t>
            </w:r>
          </w:p>
          <w:p w:rsidR="00543F0C" w:rsidRPr="008323F2" w:rsidRDefault="00543F0C" w:rsidP="00543F0C">
            <w:pPr>
              <w:pStyle w:val="CEONormal"/>
              <w:spacing w:before="0" w:after="0"/>
              <w:ind w:left="601" w:hanging="567"/>
              <w:rPr>
                <w:rFonts w:asciiTheme="minorHAnsi" w:hAnsiTheme="minorHAnsi"/>
                <w:lang w:val="en-US" w:eastAsia="zh-CN"/>
              </w:rPr>
            </w:pPr>
            <w:r w:rsidRPr="00D7580D">
              <w:rPr>
                <w:lang w:eastAsia="zh-CN"/>
              </w:rPr>
              <w:t>5</w:t>
            </w:r>
            <w:r w:rsidRPr="00D7580D">
              <w:rPr>
                <w:lang w:eastAsia="zh-CN"/>
              </w:rPr>
              <w:tab/>
            </w:r>
            <w:r w:rsidRPr="00D7580D">
              <w:rPr>
                <w:rFonts w:hint="eastAsia"/>
                <w:lang w:eastAsia="zh-CN"/>
              </w:rPr>
              <w:t>试验项目将持续至</w:t>
            </w:r>
            <w:r w:rsidRPr="00D7580D">
              <w:rPr>
                <w:rFonts w:hint="eastAsia"/>
                <w:lang w:eastAsia="zh-CN"/>
              </w:rPr>
              <w:t>2018</w:t>
            </w:r>
            <w:r w:rsidRPr="00D7580D">
              <w:rPr>
                <w:rFonts w:hint="eastAsia"/>
                <w:lang w:eastAsia="zh-CN"/>
              </w:rPr>
              <w:t>年全权代表大会（</w:t>
            </w:r>
            <w:r w:rsidRPr="00D7580D">
              <w:rPr>
                <w:lang w:eastAsia="zh-CN"/>
              </w:rPr>
              <w:t>PP-18</w:t>
            </w:r>
            <w:r w:rsidRPr="00D7580D">
              <w:rPr>
                <w:rFonts w:hint="eastAsia"/>
                <w:lang w:eastAsia="zh-CN"/>
              </w:rPr>
              <w:t>）。秘书处将向理事会下一届会议提交一份进展报告，以便向</w:t>
            </w:r>
            <w:r w:rsidRPr="00D7580D">
              <w:rPr>
                <w:lang w:eastAsia="zh-CN"/>
              </w:rPr>
              <w:t>PP-18</w:t>
            </w:r>
            <w:r w:rsidRPr="00D7580D">
              <w:rPr>
                <w:rFonts w:hint="eastAsia"/>
                <w:lang w:eastAsia="zh-CN"/>
              </w:rPr>
              <w:t>全面报告获得的益处、财务影响和需解决问题等情况。</w:t>
            </w:r>
          </w:p>
          <w:p w:rsidR="00C910AD" w:rsidRDefault="00C910AD" w:rsidP="002525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lang w:eastAsia="zh-CN"/>
              </w:rPr>
            </w:pPr>
          </w:p>
        </w:tc>
      </w:tr>
    </w:tbl>
    <w:p w:rsidR="005252FA" w:rsidRDefault="005252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252FA" w:rsidTr="005252FA">
        <w:tc>
          <w:tcPr>
            <w:tcW w:w="9629" w:type="dxa"/>
          </w:tcPr>
          <w:p w:rsidR="00543F0C" w:rsidRPr="00D7580D" w:rsidRDefault="00543F0C" w:rsidP="00543F0C">
            <w:pPr>
              <w:spacing w:before="0"/>
              <w:jc w:val="center"/>
              <w:rPr>
                <w:szCs w:val="22"/>
                <w:lang w:eastAsia="zh-CN"/>
              </w:rPr>
            </w:pPr>
            <w:bookmarkStart w:id="16" w:name="lt_pId056"/>
            <w:r>
              <w:rPr>
                <w:rFonts w:hint="eastAsia"/>
                <w:szCs w:val="22"/>
                <w:lang w:eastAsia="zh-CN"/>
              </w:rPr>
              <w:lastRenderedPageBreak/>
              <w:t>附件</w:t>
            </w:r>
            <w:r w:rsidRPr="00D7580D">
              <w:rPr>
                <w:szCs w:val="22"/>
                <w:lang w:eastAsia="zh-CN"/>
              </w:rPr>
              <w:t xml:space="preserve"> 2</w:t>
            </w:r>
            <w:bookmarkEnd w:id="16"/>
          </w:p>
          <w:p w:rsidR="00543F0C" w:rsidRPr="00D7580D" w:rsidRDefault="00543F0C" w:rsidP="00543F0C">
            <w:pPr>
              <w:spacing w:before="0"/>
              <w:rPr>
                <w:szCs w:val="22"/>
                <w:lang w:eastAsia="zh-CN"/>
              </w:rPr>
            </w:pPr>
          </w:p>
          <w:p w:rsidR="00543F0C" w:rsidRPr="00D7580D" w:rsidRDefault="00543F0C" w:rsidP="00543F0C">
            <w:pPr>
              <w:spacing w:before="0"/>
              <w:rPr>
                <w:szCs w:val="22"/>
                <w:lang w:eastAsia="zh-CN"/>
              </w:rPr>
            </w:pPr>
          </w:p>
          <w:p w:rsidR="00543F0C" w:rsidRDefault="00543F0C" w:rsidP="00543F0C">
            <w:pPr>
              <w:pStyle w:val="CEOHeading1Underlined"/>
              <w:spacing w:before="240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bookmarkStart w:id="17" w:name="lt_pId057"/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2018-2021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年研究期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ITU-D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各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研究组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第一次会议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的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注册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– 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br/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第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研究组：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2018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年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月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30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至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5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月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日；第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研究组：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2018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年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5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月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7-11</w:t>
            </w:r>
            <w:r w:rsidRPr="008323F2">
              <w:rPr>
                <w:rFonts w:ascii="Calibri" w:hAnsi="Calibri" w:cs="Calibri"/>
                <w:sz w:val="22"/>
                <w:szCs w:val="22"/>
                <w:lang w:eastAsia="zh-CN"/>
              </w:rPr>
              <w:t>日</w:t>
            </w:r>
            <w:bookmarkEnd w:id="17"/>
          </w:p>
          <w:p w:rsidR="00543F0C" w:rsidRPr="005151E1" w:rsidRDefault="00543F0C" w:rsidP="00543F0C">
            <w:pPr>
              <w:pStyle w:val="CEONormal"/>
              <w:keepNext/>
              <w:keepLines/>
              <w:rPr>
                <w:rFonts w:ascii="KaiTi" w:eastAsia="KaiTi" w:hAnsi="KaiTi"/>
                <w:b/>
                <w:bCs/>
                <w:lang w:eastAsia="zh-CN"/>
              </w:rPr>
            </w:pPr>
            <w:r w:rsidRPr="005151E1">
              <w:rPr>
                <w:rFonts w:ascii="KaiTi" w:eastAsia="KaiTi" w:hAnsi="KaiTi" w:hint="eastAsia"/>
                <w:b/>
                <w:bCs/>
                <w:lang w:eastAsia="zh-CN"/>
              </w:rPr>
              <w:t>在线注册</w:t>
            </w:r>
          </w:p>
          <w:p w:rsidR="00543F0C" w:rsidRPr="005151E1" w:rsidRDefault="00543F0C" w:rsidP="00543F0C">
            <w:pPr>
              <w:pStyle w:val="CEONormal"/>
              <w:keepNext/>
              <w:keepLines/>
              <w:ind w:firstLineChars="200" w:firstLine="442"/>
              <w:rPr>
                <w:rFonts w:asciiTheme="minorHAnsi" w:hAnsiTheme="minorHAnsi"/>
                <w:lang w:eastAsia="zh-CN"/>
              </w:rPr>
            </w:pP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在线注册</w:t>
            </w:r>
            <w:r w:rsidRPr="005151E1">
              <w:rPr>
                <w:rFonts w:asciiTheme="minorHAnsi" w:hAnsiTheme="minorHAnsi" w:hint="eastAsia"/>
                <w:lang w:eastAsia="zh-CN"/>
              </w:rPr>
              <w:t>只能通过准备</w:t>
            </w:r>
            <w:r w:rsidRPr="005151E1">
              <w:rPr>
                <w:rFonts w:asciiTheme="minorHAnsi" w:hAnsiTheme="minorHAnsi"/>
                <w:lang w:eastAsia="zh-CN"/>
              </w:rPr>
              <w:t>参加会议的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每位与会者在线</w:t>
            </w:r>
            <w:r w:rsidRPr="005151E1">
              <w:rPr>
                <w:rFonts w:asciiTheme="minorHAnsi" w:hAnsiTheme="minorHAnsi"/>
                <w:lang w:eastAsia="zh-CN"/>
              </w:rPr>
              <w:t>办理</w:t>
            </w:r>
            <w:r w:rsidRPr="005151E1">
              <w:rPr>
                <w:rFonts w:asciiTheme="minorHAnsi" w:hAnsiTheme="minorHAnsi" w:hint="eastAsia"/>
                <w:lang w:eastAsia="zh-CN"/>
              </w:rPr>
              <w:t>并由有权参加会议的</w:t>
            </w:r>
            <w:r w:rsidRPr="005151E1">
              <w:rPr>
                <w:rFonts w:asciiTheme="minorHAnsi" w:hAnsiTheme="minorHAnsi"/>
                <w:lang w:eastAsia="zh-CN"/>
              </w:rPr>
              <w:t>主管部门</w:t>
            </w:r>
            <w:r w:rsidRPr="005151E1">
              <w:rPr>
                <w:rFonts w:asciiTheme="minorHAnsi" w:hAnsiTheme="minorHAnsi" w:hint="eastAsia"/>
                <w:lang w:eastAsia="zh-CN"/>
              </w:rPr>
              <w:t>和</w:t>
            </w:r>
            <w:r w:rsidRPr="005151E1">
              <w:rPr>
                <w:rFonts w:asciiTheme="minorHAnsi" w:hAnsiTheme="minorHAnsi"/>
                <w:lang w:eastAsia="zh-CN"/>
              </w:rPr>
              <w:t>实体</w:t>
            </w:r>
            <w:r w:rsidRPr="005151E1">
              <w:rPr>
                <w:rFonts w:asciiTheme="minorHAnsi" w:hAnsiTheme="minorHAnsi" w:hint="eastAsia"/>
                <w:lang w:eastAsia="zh-CN"/>
              </w:rPr>
              <w:t>的指定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联系人</w:t>
            </w:r>
            <w:r w:rsidRPr="005151E1">
              <w:rPr>
                <w:rFonts w:asciiTheme="minorHAnsi" w:hAnsiTheme="minorHAnsi" w:hint="eastAsia"/>
                <w:lang w:eastAsia="zh-CN"/>
              </w:rPr>
              <w:t>进行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审核</w:t>
            </w:r>
            <w:r w:rsidRPr="005151E1">
              <w:rPr>
                <w:rFonts w:asciiTheme="minorHAnsi" w:hAnsiTheme="minorHAnsi" w:hint="eastAsia"/>
                <w:lang w:eastAsia="zh-CN"/>
              </w:rPr>
              <w:t>。该平台已在以往研究组会议中经过试验。获得</w:t>
            </w:r>
            <w:r w:rsidRPr="005151E1">
              <w:rPr>
                <w:rFonts w:asciiTheme="minorHAnsi" w:hAnsiTheme="minorHAnsi"/>
                <w:lang w:eastAsia="zh-CN"/>
              </w:rPr>
              <w:t>TIES</w:t>
            </w:r>
            <w:r w:rsidRPr="005151E1">
              <w:rPr>
                <w:rFonts w:asciiTheme="minorHAnsi" w:hAnsiTheme="minorHAnsi" w:hint="eastAsia"/>
                <w:lang w:eastAsia="zh-CN"/>
              </w:rPr>
              <w:t>登录证书后，您可以注册两个组，即</w:t>
            </w:r>
            <w:r w:rsidRPr="005151E1">
              <w:rPr>
                <w:rFonts w:asciiTheme="minorHAnsi" w:hAnsiTheme="minorHAnsi"/>
                <w:lang w:eastAsia="zh-CN"/>
              </w:rPr>
              <w:t>ITU-D</w:t>
            </w:r>
            <w:r w:rsidRPr="005151E1">
              <w:rPr>
                <w:rFonts w:asciiTheme="minorHAnsi" w:hAnsiTheme="minorHAnsi" w:hint="eastAsia"/>
                <w:lang w:eastAsia="zh-CN"/>
              </w:rPr>
              <w:t>第</w:t>
            </w:r>
            <w:r w:rsidRPr="005151E1">
              <w:rPr>
                <w:rFonts w:asciiTheme="minorHAnsi" w:hAnsiTheme="minorHAnsi" w:hint="eastAsia"/>
                <w:lang w:eastAsia="zh-CN"/>
              </w:rPr>
              <w:t>1</w:t>
            </w:r>
            <w:r w:rsidRPr="005151E1">
              <w:rPr>
                <w:rFonts w:asciiTheme="minorHAnsi" w:hAnsiTheme="minorHAnsi" w:hint="eastAsia"/>
                <w:lang w:eastAsia="zh-CN"/>
              </w:rPr>
              <w:t>和第</w:t>
            </w:r>
            <w:r w:rsidRPr="005151E1">
              <w:rPr>
                <w:rFonts w:asciiTheme="minorHAnsi" w:hAnsiTheme="minorHAnsi" w:hint="eastAsia"/>
                <w:lang w:eastAsia="zh-CN"/>
              </w:rPr>
              <w:t>2</w:t>
            </w:r>
            <w:r w:rsidRPr="005151E1">
              <w:rPr>
                <w:rFonts w:asciiTheme="minorHAnsi" w:hAnsiTheme="minorHAnsi" w:hint="eastAsia"/>
                <w:lang w:eastAsia="zh-CN"/>
              </w:rPr>
              <w:t>研究组的会议，其中也包括两个研究组的报告人组会议。如果您没有</w:t>
            </w:r>
            <w:r w:rsidRPr="005151E1">
              <w:rPr>
                <w:rFonts w:asciiTheme="minorHAnsi" w:hAnsiTheme="minorHAnsi"/>
                <w:lang w:eastAsia="zh-CN"/>
              </w:rPr>
              <w:t>TIES</w:t>
            </w:r>
            <w:r w:rsidRPr="005151E1">
              <w:rPr>
                <w:rFonts w:asciiTheme="minorHAnsi" w:hAnsiTheme="minorHAnsi" w:hint="eastAsia"/>
                <w:lang w:eastAsia="zh-CN"/>
              </w:rPr>
              <w:t>账户，可在</w:t>
            </w:r>
            <w:hyperlink r:id="rId8" w:history="1">
              <w:r w:rsidRPr="005151E1">
                <w:rPr>
                  <w:rStyle w:val="Hyperlink"/>
                  <w:lang w:eastAsia="zh-CN"/>
                </w:rPr>
                <w:t>此处</w:t>
              </w:r>
            </w:hyperlink>
            <w:r w:rsidRPr="005151E1">
              <w:rPr>
                <w:rFonts w:asciiTheme="minorHAnsi" w:hAnsiTheme="minorHAnsi" w:hint="eastAsia"/>
                <w:lang w:eastAsia="zh-CN"/>
              </w:rPr>
              <w:t>生成用户账户。在线注册将于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2018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年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1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月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1</w:t>
            </w:r>
            <w:r w:rsidRPr="005151E1">
              <w:rPr>
                <w:rFonts w:asciiTheme="minorHAnsi" w:hAnsiTheme="minorHAnsi"/>
                <w:b/>
                <w:bCs/>
                <w:lang w:eastAsia="zh-CN"/>
              </w:rPr>
              <w:t>8</w:t>
            </w:r>
            <w:r w:rsidRPr="005151E1">
              <w:rPr>
                <w:rFonts w:asciiTheme="minorHAnsi" w:hAnsiTheme="minorHAnsi" w:hint="eastAsia"/>
                <w:b/>
                <w:bCs/>
                <w:lang w:eastAsia="zh-CN"/>
              </w:rPr>
              <w:t>日</w:t>
            </w:r>
            <w:r>
              <w:rPr>
                <w:rFonts w:asciiTheme="minorHAnsi" w:hAnsiTheme="minorHAnsi" w:hint="eastAsia"/>
                <w:b/>
                <w:bCs/>
                <w:lang w:eastAsia="zh-CN"/>
              </w:rPr>
              <w:t xml:space="preserve"> </w:t>
            </w:r>
            <w:r w:rsidRPr="005151E1">
              <w:rPr>
                <w:rFonts w:asciiTheme="minorHAnsi" w:hAnsiTheme="minorHAnsi" w:hint="eastAsia"/>
                <w:lang w:eastAsia="zh-CN"/>
              </w:rPr>
              <w:t>在注册系统中开放</w:t>
            </w:r>
            <w:r w:rsidRPr="005151E1">
              <w:rPr>
                <w:rFonts w:asciiTheme="minorHAnsi" w:hAnsiTheme="minorHAnsi"/>
                <w:lang w:eastAsia="zh-CN"/>
              </w:rPr>
              <w:t>，</w:t>
            </w:r>
            <w:r w:rsidRPr="005151E1">
              <w:rPr>
                <w:rFonts w:asciiTheme="minorHAnsi" w:hAnsiTheme="minorHAnsi" w:hint="eastAsia"/>
                <w:lang w:eastAsia="zh-CN"/>
              </w:rPr>
              <w:t>网址如下</w:t>
            </w:r>
            <w:hyperlink r:id="rId9" w:history="1">
              <w:r w:rsidRPr="005151E1">
                <w:rPr>
                  <w:rStyle w:val="Hyperlink"/>
                  <w:rFonts w:asciiTheme="minorHAnsi" w:hAnsiTheme="minorHAnsi"/>
                  <w:lang w:eastAsia="zh-CN"/>
                </w:rPr>
                <w:t>http://www.itu.int/net3/ITU-D/meetings/registration/</w:t>
              </w:r>
            </w:hyperlink>
            <w:r w:rsidRPr="005151E1">
              <w:rPr>
                <w:rFonts w:asciiTheme="minorHAnsi" w:hAnsiTheme="minorHAnsi" w:hint="eastAsia"/>
                <w:lang w:eastAsia="zh-CN"/>
              </w:rPr>
              <w:t>。</w:t>
            </w:r>
          </w:p>
          <w:p w:rsidR="00543F0C" w:rsidRPr="005151E1" w:rsidRDefault="00543F0C" w:rsidP="00543F0C">
            <w:pPr>
              <w:pStyle w:val="CEONormal"/>
              <w:ind w:firstLineChars="200" w:firstLine="440"/>
              <w:rPr>
                <w:rFonts w:asciiTheme="minorHAnsi" w:hAnsiTheme="minorHAnsi"/>
                <w:lang w:eastAsia="zh-CN"/>
              </w:rPr>
            </w:pPr>
            <w:bookmarkStart w:id="18" w:name="lt_pId069"/>
            <w:r w:rsidRPr="005151E1">
              <w:rPr>
                <w:rFonts w:asciiTheme="minorHAnsi" w:hAnsiTheme="minorHAnsi" w:hint="eastAsia"/>
                <w:lang w:eastAsia="zh-CN"/>
              </w:rPr>
              <w:t>以下通函</w:t>
            </w:r>
            <w:r w:rsidRPr="005151E1">
              <w:rPr>
                <w:rFonts w:asciiTheme="minorHAnsi" w:hAnsiTheme="minorHAnsi"/>
                <w:lang w:eastAsia="zh-CN"/>
              </w:rPr>
              <w:t>包含更多有关</w:t>
            </w:r>
            <w:r w:rsidRPr="005151E1">
              <w:rPr>
                <w:rFonts w:asciiTheme="minorHAnsi" w:hAnsiTheme="minorHAnsi"/>
                <w:lang w:eastAsia="zh-CN"/>
              </w:rPr>
              <w:t>ITU-D</w:t>
            </w:r>
            <w:r w:rsidRPr="005151E1">
              <w:rPr>
                <w:rFonts w:asciiTheme="minorHAnsi" w:hAnsiTheme="minorHAnsi"/>
                <w:lang w:eastAsia="zh-CN"/>
              </w:rPr>
              <w:t>第</w:t>
            </w:r>
            <w:r w:rsidRPr="005151E1">
              <w:rPr>
                <w:rFonts w:asciiTheme="minorHAnsi" w:hAnsiTheme="minorHAnsi" w:hint="eastAsia"/>
                <w:lang w:eastAsia="zh-CN"/>
              </w:rPr>
              <w:t>1</w:t>
            </w:r>
            <w:r w:rsidRPr="005151E1">
              <w:rPr>
                <w:rFonts w:asciiTheme="minorHAnsi" w:hAnsiTheme="minorHAnsi" w:hint="eastAsia"/>
                <w:lang w:eastAsia="zh-CN"/>
              </w:rPr>
              <w:t>和</w:t>
            </w:r>
            <w:r w:rsidRPr="005151E1">
              <w:rPr>
                <w:rFonts w:asciiTheme="minorHAnsi" w:hAnsiTheme="minorHAnsi"/>
                <w:lang w:eastAsia="zh-CN"/>
              </w:rPr>
              <w:t>第</w:t>
            </w:r>
            <w:r w:rsidRPr="005151E1">
              <w:rPr>
                <w:rFonts w:asciiTheme="minorHAnsi" w:hAnsiTheme="minorHAnsi" w:hint="eastAsia"/>
                <w:lang w:eastAsia="zh-CN"/>
              </w:rPr>
              <w:t>2</w:t>
            </w:r>
            <w:r w:rsidRPr="005151E1">
              <w:rPr>
                <w:rFonts w:asciiTheme="minorHAnsi" w:hAnsiTheme="minorHAnsi" w:hint="eastAsia"/>
                <w:lang w:eastAsia="zh-CN"/>
              </w:rPr>
              <w:t>研究组会议</w:t>
            </w:r>
            <w:r w:rsidRPr="005151E1">
              <w:rPr>
                <w:rFonts w:asciiTheme="minorHAnsi" w:hAnsiTheme="minorHAnsi"/>
                <w:lang w:eastAsia="zh-CN"/>
              </w:rPr>
              <w:t>的信息</w:t>
            </w:r>
            <w:bookmarkEnd w:id="18"/>
            <w:r w:rsidRPr="005151E1">
              <w:rPr>
                <w:rFonts w:asciiTheme="minorHAnsi" w:hAnsiTheme="minorHAnsi" w:hint="eastAsia"/>
                <w:lang w:eastAsia="zh-CN"/>
              </w:rPr>
              <w:t>：</w:t>
            </w:r>
            <w:hyperlink r:id="rId10" w:history="1">
              <w:bookmarkStart w:id="19" w:name="lt_pId070"/>
              <w:r w:rsidRPr="005151E1">
                <w:rPr>
                  <w:rStyle w:val="Hyperlink"/>
                  <w:rFonts w:asciiTheme="minorHAnsi" w:hAnsiTheme="minorHAnsi"/>
                  <w:lang w:eastAsia="zh-CN"/>
                </w:rPr>
                <w:t>https://www.itu.int/md/D18-CA-CIR-0002/</w:t>
              </w:r>
              <w:bookmarkEnd w:id="19"/>
            </w:hyperlink>
            <w:r w:rsidRPr="005151E1">
              <w:rPr>
                <w:rFonts w:asciiTheme="minorHAnsi" w:hAnsiTheme="minorHAnsi"/>
                <w:lang w:eastAsia="zh-CN"/>
              </w:rPr>
              <w:t xml:space="preserve">   </w:t>
            </w:r>
          </w:p>
          <w:p w:rsidR="00543F0C" w:rsidRPr="008323F2" w:rsidRDefault="00543F0C" w:rsidP="00543F0C">
            <w:pPr>
              <w:pStyle w:val="CEONormal"/>
              <w:rPr>
                <w:rFonts w:asciiTheme="minorHAnsi" w:hAnsiTheme="minorHAnsi"/>
                <w:lang w:eastAsia="zh-CN"/>
              </w:rPr>
            </w:pPr>
          </w:p>
          <w:p w:rsidR="005252FA" w:rsidRDefault="00543F0C" w:rsidP="00543F0C">
            <w:pPr>
              <w:pStyle w:val="CEONormal"/>
              <w:spacing w:before="0" w:after="0"/>
              <w:jc w:val="center"/>
              <w:rPr>
                <w:lang w:eastAsia="zh-CN"/>
              </w:rPr>
            </w:pPr>
            <w:r>
              <w:rPr>
                <w:rFonts w:asciiTheme="minorHAnsi" w:hAnsiTheme="minorHAnsi"/>
              </w:rPr>
              <w:t>________________</w:t>
            </w:r>
          </w:p>
        </w:tc>
      </w:tr>
    </w:tbl>
    <w:p w:rsidR="00ED2F3B" w:rsidRDefault="00ED2F3B" w:rsidP="002525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eastAsia="zh-CN"/>
        </w:rPr>
      </w:pPr>
    </w:p>
    <w:sectPr w:rsidR="00ED2F3B" w:rsidSect="004B2225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01" w:rsidRDefault="008F0A01">
      <w:r>
        <w:separator/>
      </w:r>
    </w:p>
    <w:p w:rsidR="008F0A01" w:rsidRDefault="008F0A01"/>
  </w:endnote>
  <w:endnote w:type="continuationSeparator" w:id="0">
    <w:p w:rsidR="008F0A01" w:rsidRDefault="008F0A01">
      <w:r>
        <w:continuationSeparator/>
      </w:r>
    </w:p>
    <w:p w:rsidR="008F0A01" w:rsidRDefault="008F0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96" w:rsidRDefault="00C83E96" w:rsidP="000E43E8">
    <w:pPr>
      <w:pStyle w:val="Footer"/>
      <w:jc w:val="center"/>
      <w:rPr>
        <w:rFonts w:eastAsia="SimHei"/>
        <w:sz w:val="18"/>
        <w:lang w:val="fr-CH"/>
      </w:rPr>
    </w:pPr>
  </w:p>
  <w:p w:rsidR="00C61295" w:rsidRPr="00C83E96" w:rsidRDefault="00B757A6" w:rsidP="000E43E8">
    <w:pPr>
      <w:pStyle w:val="Footer"/>
      <w:jc w:val="center"/>
      <w:rPr>
        <w:lang w:val="fr-CH"/>
      </w:rPr>
    </w:pPr>
    <w:r w:rsidRPr="00655E9A">
      <w:rPr>
        <w:rFonts w:eastAsia="SimHei"/>
        <w:sz w:val="18"/>
        <w:lang w:val="fr-CH"/>
      </w:rPr>
      <w:t xml:space="preserve">International Telecommunication Union • Place des Nations • CH-1211 Geneva 20 • Switzerland </w:t>
    </w:r>
    <w:r w:rsidRPr="00655E9A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655E9A">
        <w:rPr>
          <w:rStyle w:val="Hyperlink"/>
          <w:rFonts w:eastAsia="SimHei"/>
          <w:sz w:val="18"/>
          <w:szCs w:val="18"/>
          <w:lang w:val="fr-CH"/>
        </w:rPr>
        <w:t>bdtmail@itu.int</w:t>
      </w:r>
    </w:hyperlink>
    <w:r w:rsidR="00EA342C" w:rsidRPr="00655E9A">
      <w:rPr>
        <w:rFonts w:eastAsia="SimHei"/>
        <w:sz w:val="18"/>
        <w:lang w:val="fr-CH"/>
      </w:rPr>
      <w:t xml:space="preserve"> • </w:t>
    </w:r>
    <w:hyperlink r:id="rId2" w:history="1">
      <w:r w:rsidRPr="00655E9A">
        <w:rPr>
          <w:rStyle w:val="Hyperlink"/>
          <w:rFonts w:eastAsia="SimHei"/>
          <w:sz w:val="18"/>
          <w:lang w:val="fr-CH"/>
        </w:rPr>
        <w:t>www.itu.int</w:t>
      </w:r>
      <w:r w:rsidRPr="00C83E96">
        <w:rPr>
          <w:rStyle w:val="Hyperlink"/>
          <w:rFonts w:eastAsia="SimHei"/>
          <w:sz w:val="18"/>
          <w:lang w:val="fr-CH"/>
        </w:rPr>
        <w:t>/itu-d</w:t>
      </w:r>
    </w:hyperlink>
    <w:r w:rsidRPr="00C83E96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01" w:rsidRDefault="008F0A01">
      <w:r>
        <w:t>____________________</w:t>
      </w:r>
    </w:p>
    <w:p w:rsidR="008F0A01" w:rsidRDefault="008F0A01"/>
  </w:footnote>
  <w:footnote w:type="continuationSeparator" w:id="0">
    <w:p w:rsidR="008F0A01" w:rsidRDefault="008F0A01">
      <w:r>
        <w:continuationSeparator/>
      </w:r>
    </w:p>
    <w:p w:rsidR="008F0A01" w:rsidRDefault="008F0A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333D" w:rsidRPr="00FF333D" w:rsidRDefault="00FF333D" w:rsidP="00C910AD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117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2F3B" w:rsidRDefault="00C910AD" w:rsidP="00C910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FA" w:rsidRPr="00867A3D" w:rsidRDefault="005252FA" w:rsidP="005252FA">
    <w:pPr>
      <w:spacing w:line="360" w:lineRule="auto"/>
      <w:jc w:val="center"/>
      <w:rPr>
        <w:rStyle w:val="BDTName"/>
        <w:sz w:val="24"/>
        <w:szCs w:val="24"/>
      </w:rPr>
    </w:pPr>
    <w:r>
      <w:rPr>
        <w:rStyle w:val="BDTName"/>
        <w:noProof/>
        <w:lang w:eastAsia="zh-CN"/>
      </w:rPr>
      <w:drawing>
        <wp:inline distT="0" distB="0" distL="0" distR="0" wp14:anchorId="1E087F1B" wp14:editId="4700FEAF">
          <wp:extent cx="640080" cy="737870"/>
          <wp:effectExtent l="0" t="0" r="762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52FA" w:rsidRDefault="005252FA" w:rsidP="005252FA">
    <w:pPr>
      <w:spacing w:before="0"/>
      <w:rPr>
        <w:rStyle w:val="BDTName"/>
        <w:sz w:val="24"/>
        <w:szCs w:val="24"/>
      </w:rPr>
    </w:pPr>
  </w:p>
  <w:p w:rsidR="005252FA" w:rsidRDefault="005252FA" w:rsidP="005252FA">
    <w:pPr>
      <w:spacing w:before="0"/>
      <w:rPr>
        <w:rStyle w:val="BDTName"/>
        <w:sz w:val="24"/>
        <w:szCs w:val="24"/>
      </w:rPr>
    </w:pPr>
  </w:p>
  <w:p w:rsidR="005252FA" w:rsidRPr="00867A3D" w:rsidRDefault="005252FA" w:rsidP="005252FA">
    <w:pPr>
      <w:spacing w:before="0"/>
      <w:rPr>
        <w:rStyle w:val="BDTName"/>
        <w:sz w:val="24"/>
        <w:szCs w:val="24"/>
      </w:rPr>
    </w:pPr>
  </w:p>
  <w:p w:rsidR="00C910AD" w:rsidRPr="005252FA" w:rsidRDefault="00C910AD" w:rsidP="005252FA">
    <w:pPr>
      <w:pStyle w:val="Header"/>
      <w:spacing w:before="0" w:after="120" w:line="240" w:lineRule="auto"/>
      <w:rPr>
        <w:sz w:val="24"/>
        <w:szCs w:val="24"/>
        <w:lang w:eastAsia="zh-CN"/>
      </w:rPr>
    </w:pPr>
    <w:r w:rsidRPr="00C910AD">
      <w:rPr>
        <w:rStyle w:val="BDT-Name"/>
        <w:rFonts w:hint="eastAsia"/>
        <w:sz w:val="24"/>
        <w:szCs w:val="24"/>
        <w:lang w:eastAsia="zh-CN"/>
      </w:rPr>
      <w:t>电信发展局（</w:t>
    </w:r>
    <w:r w:rsidRPr="00C910AD">
      <w:rPr>
        <w:rStyle w:val="BDT-Name"/>
        <w:sz w:val="24"/>
        <w:szCs w:val="24"/>
        <w:lang w:eastAsia="zh-CN"/>
      </w:rPr>
      <w:t>BDT</w:t>
    </w:r>
    <w:r w:rsidRPr="00C910AD">
      <w:rPr>
        <w:rStyle w:val="BDT-Name"/>
        <w:rFonts w:hint="eastAsia"/>
        <w:sz w:val="24"/>
        <w:szCs w:val="24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1A3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E0C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B47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76E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9E2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C7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2D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2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20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3242D5"/>
    <w:multiLevelType w:val="hybridMultilevel"/>
    <w:tmpl w:val="5CB6324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26B12"/>
    <w:rsid w:val="00017548"/>
    <w:rsid w:val="000E43E8"/>
    <w:rsid w:val="00126DD9"/>
    <w:rsid w:val="0016553C"/>
    <w:rsid w:val="001D6D19"/>
    <w:rsid w:val="00213711"/>
    <w:rsid w:val="00223CE4"/>
    <w:rsid w:val="00235A29"/>
    <w:rsid w:val="00252538"/>
    <w:rsid w:val="00294688"/>
    <w:rsid w:val="002C57B9"/>
    <w:rsid w:val="002D3AE8"/>
    <w:rsid w:val="00320FF6"/>
    <w:rsid w:val="00326B12"/>
    <w:rsid w:val="0034705E"/>
    <w:rsid w:val="003603A7"/>
    <w:rsid w:val="004B2225"/>
    <w:rsid w:val="004E415B"/>
    <w:rsid w:val="004F3C9D"/>
    <w:rsid w:val="005072D7"/>
    <w:rsid w:val="005252FA"/>
    <w:rsid w:val="00543F0C"/>
    <w:rsid w:val="00577212"/>
    <w:rsid w:val="005A20C9"/>
    <w:rsid w:val="00614AC4"/>
    <w:rsid w:val="0063734D"/>
    <w:rsid w:val="00645B02"/>
    <w:rsid w:val="00655E9A"/>
    <w:rsid w:val="006D0B15"/>
    <w:rsid w:val="006D27D3"/>
    <w:rsid w:val="0070667B"/>
    <w:rsid w:val="00710D69"/>
    <w:rsid w:val="00732124"/>
    <w:rsid w:val="00751329"/>
    <w:rsid w:val="00756052"/>
    <w:rsid w:val="007A18C4"/>
    <w:rsid w:val="00803078"/>
    <w:rsid w:val="0085043D"/>
    <w:rsid w:val="00885EB0"/>
    <w:rsid w:val="008A5539"/>
    <w:rsid w:val="008C2E4F"/>
    <w:rsid w:val="008F0A01"/>
    <w:rsid w:val="00917393"/>
    <w:rsid w:val="00982DFA"/>
    <w:rsid w:val="00A370C3"/>
    <w:rsid w:val="00A556FF"/>
    <w:rsid w:val="00A740CC"/>
    <w:rsid w:val="00AA110A"/>
    <w:rsid w:val="00AC4589"/>
    <w:rsid w:val="00B53CE5"/>
    <w:rsid w:val="00B57A7A"/>
    <w:rsid w:val="00B757A6"/>
    <w:rsid w:val="00BA351F"/>
    <w:rsid w:val="00C54014"/>
    <w:rsid w:val="00C61295"/>
    <w:rsid w:val="00C62259"/>
    <w:rsid w:val="00C62A92"/>
    <w:rsid w:val="00C77AF6"/>
    <w:rsid w:val="00C83E96"/>
    <w:rsid w:val="00C910AD"/>
    <w:rsid w:val="00CB0AD3"/>
    <w:rsid w:val="00D11E02"/>
    <w:rsid w:val="00D272CA"/>
    <w:rsid w:val="00D46A24"/>
    <w:rsid w:val="00D51D34"/>
    <w:rsid w:val="00D54849"/>
    <w:rsid w:val="00D941AF"/>
    <w:rsid w:val="00DB628A"/>
    <w:rsid w:val="00E573D4"/>
    <w:rsid w:val="00E815AA"/>
    <w:rsid w:val="00E8389B"/>
    <w:rsid w:val="00EA342C"/>
    <w:rsid w:val="00EA5A14"/>
    <w:rsid w:val="00ED2F3B"/>
    <w:rsid w:val="00EE61ED"/>
    <w:rsid w:val="00F3621B"/>
    <w:rsid w:val="00F57D7A"/>
    <w:rsid w:val="00FB08BB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34B5094-8DB5-4470-990C-EACBD78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14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locked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link w:val="BDTNormalChar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540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4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locked/>
    <w:rsid w:val="00C6129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95"/>
    <w:rPr>
      <w:rFonts w:cs="Traditional Arabic"/>
      <w:szCs w:val="30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B53CE5"/>
    <w:rPr>
      <w:color w:val="0000FF" w:themeColor="hyperlink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B53CE5"/>
    <w:rPr>
      <w:rFonts w:ascii="Verdana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B53CE5"/>
    <w:pPr>
      <w:spacing w:before="120" w:after="120"/>
    </w:pPr>
    <w:rPr>
      <w:rFonts w:ascii="Verdana" w:hAnsi="Verdana" w:cs="Times New Roman"/>
      <w:lang w:val="en-GB" w:eastAsia="en-US"/>
    </w:rPr>
  </w:style>
  <w:style w:type="table" w:styleId="TableGrid">
    <w:name w:val="Table Grid"/>
    <w:basedOn w:val="TableNormal"/>
    <w:uiPriority w:val="59"/>
    <w:locked/>
    <w:rsid w:val="0057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blackbullets">
    <w:name w:val="BDT_blackbullets"/>
    <w:basedOn w:val="Normal"/>
    <w:uiPriority w:val="99"/>
    <w:rsid w:val="005252FA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character" w:customStyle="1" w:styleId="BDTNormalChar">
    <w:name w:val="BDT_Normal Char"/>
    <w:basedOn w:val="CEONormalCharChar"/>
    <w:link w:val="BDTNormal"/>
    <w:locked/>
    <w:rsid w:val="005252FA"/>
    <w:rPr>
      <w:rFonts w:ascii="Verdana" w:hAnsi="Verdana" w:cs="Traditional Arabic"/>
      <w:szCs w:val="30"/>
      <w:lang w:val="es-ES" w:eastAsia="en-US"/>
    </w:rPr>
  </w:style>
  <w:style w:type="paragraph" w:styleId="NoSpacing">
    <w:name w:val="No Spacing"/>
    <w:uiPriority w:val="1"/>
    <w:qFormat/>
    <w:rsid w:val="00543F0C"/>
    <w:rPr>
      <w:rFonts w:cs="Traditional Arabic"/>
      <w:szCs w:val="30"/>
      <w:lang w:eastAsia="en-US"/>
    </w:rPr>
  </w:style>
  <w:style w:type="paragraph" w:customStyle="1" w:styleId="Normalaftertitle">
    <w:name w:val="Normal_after_title"/>
    <w:basedOn w:val="Normal"/>
    <w:next w:val="Normal"/>
    <w:rsid w:val="00543F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543F0C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43F0C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3/ITU-D/meetings/registrat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vsg@itu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D18-CA-CIR-0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3/ITU-D/meetings/registratio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PC_BDT_Letter-Fax.dotx</Template>
  <TotalTime>0</TotalTime>
  <Pages>3</Pages>
  <Words>1000</Words>
  <Characters>623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Xu, Hui</dc:creator>
  <cp:lastModifiedBy>Baik, Aeree</cp:lastModifiedBy>
  <cp:revision>2</cp:revision>
  <cp:lastPrinted>2017-12-18T10:23:00Z</cp:lastPrinted>
  <dcterms:created xsi:type="dcterms:W3CDTF">2018-01-19T10:01:00Z</dcterms:created>
  <dcterms:modified xsi:type="dcterms:W3CDTF">2018-01-19T10:01:00Z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