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4B6902" w:rsidRDefault="00130081" w:rsidP="00B951D0">
            <w:pPr>
              <w:pStyle w:val="Committee"/>
              <w:framePr w:hSpace="0" w:wrap="auto" w:hAnchor="text" w:yAlign="inline"/>
            </w:pPr>
            <w:bookmarkStart w:id="2" w:name="dnum" w:colFirst="1" w:colLast="1"/>
            <w:bookmarkStart w:id="3" w:name="dmeeting" w:colFirst="0" w:colLast="0"/>
            <w:bookmarkEnd w:id="1"/>
            <w:r w:rsidRPr="004B6902">
              <w:t>PLENARY MEETING</w:t>
            </w:r>
          </w:p>
        </w:tc>
        <w:tc>
          <w:tcPr>
            <w:tcW w:w="3227" w:type="dxa"/>
          </w:tcPr>
          <w:p w:rsidR="00D83BF5" w:rsidRPr="004B6902" w:rsidRDefault="00820542" w:rsidP="008B5657">
            <w:pPr>
              <w:tabs>
                <w:tab w:val="left" w:pos="851"/>
              </w:tabs>
              <w:spacing w:before="0" w:line="240" w:lineRule="atLeast"/>
              <w:rPr>
                <w:rFonts w:cstheme="minorHAnsi"/>
                <w:szCs w:val="24"/>
                <w:lang w:val="es-ES_tradnl"/>
              </w:rPr>
            </w:pPr>
            <w:r>
              <w:rPr>
                <w:b/>
                <w:szCs w:val="24"/>
              </w:rPr>
              <w:t>Document WTDC-17/42</w:t>
            </w:r>
            <w:r w:rsidR="008C65C7" w:rsidRPr="004B6902">
              <w:rPr>
                <w:b/>
                <w:szCs w:val="24"/>
              </w:rPr>
              <w:t>-</w:t>
            </w:r>
            <w:r w:rsidR="00130081" w:rsidRPr="004B6902">
              <w:rPr>
                <w:b/>
                <w:szCs w:val="24"/>
              </w:rPr>
              <w:t>E</w:t>
            </w:r>
          </w:p>
        </w:tc>
      </w:tr>
      <w:tr w:rsidR="00D83BF5" w:rsidRPr="00C324A8" w:rsidTr="00B951D0">
        <w:trPr>
          <w:cantSplit/>
          <w:trHeight w:val="23"/>
        </w:trPr>
        <w:tc>
          <w:tcPr>
            <w:tcW w:w="6804" w:type="dxa"/>
            <w:gridSpan w:val="2"/>
            <w:shd w:val="clear" w:color="auto" w:fill="auto"/>
          </w:tcPr>
          <w:p w:rsidR="00D83BF5" w:rsidRPr="004B6902" w:rsidRDefault="00D83BF5" w:rsidP="00B951D0">
            <w:pPr>
              <w:tabs>
                <w:tab w:val="left" w:pos="851"/>
              </w:tabs>
              <w:spacing w:before="0" w:line="240" w:lineRule="atLeast"/>
              <w:rPr>
                <w:rFonts w:cstheme="minorHAnsi"/>
                <w:b/>
                <w:szCs w:val="24"/>
                <w:lang w:val="es-ES_tradnl"/>
              </w:rPr>
            </w:pPr>
            <w:bookmarkStart w:id="4" w:name="ddate" w:colFirst="1" w:colLast="1"/>
            <w:bookmarkStart w:id="5" w:name="dblank" w:colFirst="0" w:colLast="0"/>
            <w:bookmarkEnd w:id="2"/>
            <w:bookmarkEnd w:id="3"/>
          </w:p>
        </w:tc>
        <w:tc>
          <w:tcPr>
            <w:tcW w:w="3227" w:type="dxa"/>
          </w:tcPr>
          <w:p w:rsidR="00D83BF5" w:rsidRPr="004B6902" w:rsidRDefault="00820542" w:rsidP="00B951D0">
            <w:pPr>
              <w:spacing w:before="0" w:line="240" w:lineRule="atLeast"/>
              <w:rPr>
                <w:rFonts w:cstheme="minorHAnsi"/>
                <w:szCs w:val="24"/>
              </w:rPr>
            </w:pPr>
            <w:r>
              <w:rPr>
                <w:b/>
                <w:szCs w:val="24"/>
              </w:rPr>
              <w:t>22</w:t>
            </w:r>
            <w:r w:rsidR="00130081" w:rsidRPr="004B6902">
              <w:rPr>
                <w:b/>
                <w:szCs w:val="24"/>
              </w:rPr>
              <w:t xml:space="preserve"> September 2017</w:t>
            </w:r>
          </w:p>
        </w:tc>
      </w:tr>
      <w:tr w:rsidR="00D83BF5" w:rsidRPr="00C324A8" w:rsidTr="00B951D0">
        <w:trPr>
          <w:cantSplit/>
          <w:trHeight w:val="23"/>
        </w:trPr>
        <w:tc>
          <w:tcPr>
            <w:tcW w:w="6804" w:type="dxa"/>
            <w:gridSpan w:val="2"/>
            <w:shd w:val="clear" w:color="auto" w:fill="auto"/>
          </w:tcPr>
          <w:p w:rsidR="00D83BF5" w:rsidRPr="004B6902"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4B6902" w:rsidRDefault="00130081" w:rsidP="00B951D0">
            <w:pPr>
              <w:tabs>
                <w:tab w:val="left" w:pos="993"/>
              </w:tabs>
              <w:spacing w:before="0"/>
              <w:rPr>
                <w:rFonts w:cstheme="minorHAnsi"/>
                <w:b/>
                <w:szCs w:val="24"/>
              </w:rPr>
            </w:pPr>
            <w:r w:rsidRPr="004B6902">
              <w:rPr>
                <w:b/>
                <w:szCs w:val="24"/>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United States of America</w:t>
            </w:r>
          </w:p>
        </w:tc>
      </w:tr>
      <w:tr w:rsidR="00D83BF5" w:rsidRPr="00C324A8" w:rsidTr="00C26DD5">
        <w:trPr>
          <w:cantSplit/>
          <w:trHeight w:val="23"/>
        </w:trPr>
        <w:tc>
          <w:tcPr>
            <w:tcW w:w="10031" w:type="dxa"/>
            <w:gridSpan w:val="3"/>
            <w:shd w:val="clear" w:color="auto" w:fill="auto"/>
            <w:vAlign w:val="center"/>
          </w:tcPr>
          <w:p w:rsidR="00D83BF5" w:rsidRPr="00ED5132" w:rsidRDefault="00A6248C" w:rsidP="00A6248C">
            <w:pPr>
              <w:pStyle w:val="Title1"/>
              <w:spacing w:before="120" w:after="120"/>
            </w:pPr>
            <w:r w:rsidRPr="00A6248C">
              <w:rPr>
                <w:bCs/>
              </w:rPr>
              <w:t xml:space="preserve">Contribution of the United States of America to the </w:t>
            </w:r>
            <w:r>
              <w:rPr>
                <w:bCs/>
              </w:rPr>
              <w:br/>
            </w:r>
            <w:r w:rsidRPr="00A6248C">
              <w:rPr>
                <w:bCs/>
              </w:rPr>
              <w:t>2017 World Telecommunication Development Conference</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tbl>
    <w:bookmarkEnd w:id="6"/>
    <w:bookmarkEnd w:id="7"/>
    <w:p w:rsidR="00F35274" w:rsidRPr="00C61876" w:rsidRDefault="00F35274" w:rsidP="00787D58">
      <w:pPr>
        <w:keepNext/>
        <w:rPr>
          <w:b/>
          <w:iCs/>
          <w:szCs w:val="24"/>
        </w:rPr>
      </w:pPr>
      <w:r w:rsidRPr="00C61876">
        <w:rPr>
          <w:b/>
          <w:iCs/>
          <w:szCs w:val="24"/>
        </w:rPr>
        <w:t>Introduction</w:t>
      </w:r>
    </w:p>
    <w:p w:rsidR="00820542" w:rsidRDefault="00820542" w:rsidP="00787D58">
      <w:pPr>
        <w:pStyle w:val="CEOcontributionStart"/>
        <w:tabs>
          <w:tab w:val="left" w:pos="1951"/>
        </w:tabs>
        <w:spacing w:before="120"/>
        <w:rPr>
          <w:rFonts w:cs="Calibri"/>
          <w:bCs/>
          <w:szCs w:val="24"/>
        </w:rPr>
      </w:pPr>
      <w:r w:rsidRPr="002153FE">
        <w:rPr>
          <w:rFonts w:cs="Calibri"/>
          <w:bCs/>
          <w:szCs w:val="24"/>
        </w:rPr>
        <w:t xml:space="preserve">The United States </w:t>
      </w:r>
      <w:r>
        <w:rPr>
          <w:rFonts w:cs="Calibri"/>
          <w:bCs/>
          <w:szCs w:val="24"/>
        </w:rPr>
        <w:t xml:space="preserve">is pleased to participate in </w:t>
      </w:r>
      <w:r w:rsidRPr="002153FE">
        <w:rPr>
          <w:rFonts w:cs="Calibri"/>
          <w:bCs/>
          <w:szCs w:val="24"/>
        </w:rPr>
        <w:t xml:space="preserve">the </w:t>
      </w:r>
      <w:r>
        <w:rPr>
          <w:rFonts w:cs="Calibri"/>
          <w:bCs/>
          <w:szCs w:val="24"/>
        </w:rPr>
        <w:t xml:space="preserve">2017 </w:t>
      </w:r>
      <w:r w:rsidRPr="002153FE">
        <w:rPr>
          <w:rFonts w:cs="Calibri"/>
          <w:bCs/>
          <w:szCs w:val="24"/>
        </w:rPr>
        <w:t>International Telecommunication Union (ITU) World Telecommunication Development Conference (WTDC-1</w:t>
      </w:r>
      <w:r>
        <w:rPr>
          <w:rFonts w:cs="Calibri"/>
          <w:bCs/>
          <w:szCs w:val="24"/>
        </w:rPr>
        <w:t>7</w:t>
      </w:r>
      <w:r w:rsidRPr="002153FE">
        <w:rPr>
          <w:rFonts w:cs="Calibri"/>
          <w:bCs/>
          <w:szCs w:val="24"/>
        </w:rPr>
        <w:t xml:space="preserve">) in the </w:t>
      </w:r>
      <w:r>
        <w:rPr>
          <w:rFonts w:cs="Calibri"/>
          <w:bCs/>
          <w:szCs w:val="24"/>
        </w:rPr>
        <w:t>historic</w:t>
      </w:r>
      <w:r w:rsidRPr="002153FE">
        <w:rPr>
          <w:rFonts w:cs="Calibri"/>
          <w:bCs/>
          <w:szCs w:val="24"/>
        </w:rPr>
        <w:t xml:space="preserve"> city of </w:t>
      </w:r>
      <w:r>
        <w:rPr>
          <w:rFonts w:cs="Calibri"/>
          <w:bCs/>
          <w:szCs w:val="24"/>
        </w:rPr>
        <w:t xml:space="preserve">Buenos Aires.  We </w:t>
      </w:r>
      <w:r w:rsidRPr="002153FE">
        <w:rPr>
          <w:rFonts w:cs="Calibri"/>
          <w:bCs/>
          <w:szCs w:val="24"/>
        </w:rPr>
        <w:t>congratulate</w:t>
      </w:r>
      <w:r>
        <w:rPr>
          <w:rFonts w:cs="Calibri"/>
          <w:bCs/>
          <w:szCs w:val="24"/>
        </w:rPr>
        <w:t xml:space="preserve"> and thank</w:t>
      </w:r>
      <w:r w:rsidRPr="002153FE">
        <w:rPr>
          <w:rFonts w:cs="Calibri"/>
          <w:bCs/>
          <w:szCs w:val="24"/>
        </w:rPr>
        <w:t xml:space="preserve"> the Government of </w:t>
      </w:r>
      <w:r>
        <w:rPr>
          <w:rFonts w:cs="Calibri"/>
          <w:bCs/>
          <w:szCs w:val="24"/>
        </w:rPr>
        <w:t xml:space="preserve">Argentina and the ITU </w:t>
      </w:r>
      <w:r w:rsidRPr="002153FE">
        <w:rPr>
          <w:rFonts w:cs="Calibri"/>
          <w:bCs/>
          <w:szCs w:val="24"/>
        </w:rPr>
        <w:t>for hosting th</w:t>
      </w:r>
      <w:r>
        <w:rPr>
          <w:rFonts w:cs="Calibri"/>
          <w:bCs/>
          <w:szCs w:val="24"/>
        </w:rPr>
        <w:t>is important conference, noting that</w:t>
      </w:r>
      <w:r w:rsidRPr="002153FE">
        <w:rPr>
          <w:rFonts w:cs="Calibri"/>
          <w:bCs/>
          <w:szCs w:val="24"/>
        </w:rPr>
        <w:t xml:space="preserve"> </w:t>
      </w:r>
      <w:r>
        <w:rPr>
          <w:rFonts w:cs="Calibri"/>
          <w:bCs/>
          <w:szCs w:val="24"/>
        </w:rPr>
        <w:t xml:space="preserve">WTDC-17 has a special distinction because together we are celebrating the twenty-five years of achievements of the ITU Development Sector (ITU-D) in the city that hosted the world’s first WTDC in 1994.  </w:t>
      </w:r>
    </w:p>
    <w:p w:rsidR="00820542" w:rsidRPr="00AC59A6" w:rsidRDefault="00820542" w:rsidP="00820542">
      <w:pPr>
        <w:pStyle w:val="CEOcontributionStart"/>
        <w:tabs>
          <w:tab w:val="left" w:pos="1951"/>
        </w:tabs>
        <w:spacing w:before="120"/>
        <w:rPr>
          <w:rFonts w:cs="Calibri"/>
          <w:bCs/>
          <w:szCs w:val="24"/>
        </w:rPr>
      </w:pPr>
      <w:r>
        <w:rPr>
          <w:rFonts w:cs="Calibri"/>
          <w:bCs/>
          <w:szCs w:val="24"/>
        </w:rPr>
        <w:t xml:space="preserve">During the past quarter-century the world has </w:t>
      </w:r>
      <w:r w:rsidRPr="002153FE">
        <w:rPr>
          <w:rFonts w:cs="Calibri"/>
          <w:bCs/>
          <w:szCs w:val="24"/>
        </w:rPr>
        <w:t xml:space="preserve">made </w:t>
      </w:r>
      <w:r>
        <w:rPr>
          <w:rFonts w:cs="Calibri"/>
          <w:bCs/>
          <w:szCs w:val="24"/>
        </w:rPr>
        <w:t>tremendous</w:t>
      </w:r>
      <w:r w:rsidRPr="002153FE">
        <w:rPr>
          <w:rFonts w:cs="Calibri"/>
          <w:bCs/>
          <w:szCs w:val="24"/>
        </w:rPr>
        <w:t xml:space="preserve"> progress in the diffusion and uptake of </w:t>
      </w:r>
      <w:r>
        <w:rPr>
          <w:rFonts w:cs="Calibri"/>
          <w:bCs/>
          <w:szCs w:val="24"/>
        </w:rPr>
        <w:t>tele</w:t>
      </w:r>
      <w:r w:rsidRPr="002153FE">
        <w:rPr>
          <w:rFonts w:cs="Calibri"/>
          <w:bCs/>
          <w:szCs w:val="24"/>
        </w:rPr>
        <w:t>communications</w:t>
      </w:r>
      <w:r>
        <w:rPr>
          <w:rFonts w:cs="Calibri"/>
          <w:bCs/>
          <w:szCs w:val="24"/>
        </w:rPr>
        <w:t xml:space="preserve"> and information communication technology (ICT)</w:t>
      </w:r>
      <w:r w:rsidRPr="002153FE">
        <w:rPr>
          <w:rFonts w:cs="Calibri"/>
          <w:bCs/>
          <w:szCs w:val="24"/>
        </w:rPr>
        <w:t xml:space="preserve"> services and </w:t>
      </w:r>
      <w:r>
        <w:rPr>
          <w:rFonts w:cs="Calibri"/>
          <w:bCs/>
          <w:szCs w:val="24"/>
        </w:rPr>
        <w:t xml:space="preserve">in increasing </w:t>
      </w:r>
      <w:r w:rsidRPr="002153FE">
        <w:rPr>
          <w:rFonts w:cs="Calibri"/>
          <w:bCs/>
          <w:szCs w:val="24"/>
        </w:rPr>
        <w:t xml:space="preserve">access to </w:t>
      </w:r>
      <w:r>
        <w:rPr>
          <w:rFonts w:cs="Calibri"/>
          <w:bCs/>
          <w:szCs w:val="24"/>
        </w:rPr>
        <w:t>broadband</w:t>
      </w:r>
      <w:r w:rsidRPr="002153FE">
        <w:rPr>
          <w:rFonts w:cs="Calibri"/>
          <w:bCs/>
          <w:szCs w:val="24"/>
        </w:rPr>
        <w:t>.</w:t>
      </w:r>
      <w:r>
        <w:rPr>
          <w:rFonts w:cs="Calibri"/>
          <w:bCs/>
          <w:szCs w:val="24"/>
        </w:rPr>
        <w:t xml:space="preserve">  This progress</w:t>
      </w:r>
      <w:r w:rsidRPr="002153FE">
        <w:rPr>
          <w:rFonts w:cs="Calibri"/>
          <w:bCs/>
          <w:szCs w:val="24"/>
        </w:rPr>
        <w:t xml:space="preserve"> reflect</w:t>
      </w:r>
      <w:r>
        <w:rPr>
          <w:rFonts w:cs="Calibri"/>
          <w:bCs/>
          <w:szCs w:val="24"/>
        </w:rPr>
        <w:t>s the</w:t>
      </w:r>
      <w:r w:rsidRPr="002153FE">
        <w:rPr>
          <w:rFonts w:cs="Calibri"/>
          <w:bCs/>
          <w:szCs w:val="24"/>
        </w:rPr>
        <w:t xml:space="preserve"> </w:t>
      </w:r>
      <w:r>
        <w:rPr>
          <w:rFonts w:cs="Calibri"/>
          <w:bCs/>
          <w:szCs w:val="24"/>
        </w:rPr>
        <w:t xml:space="preserve">continued </w:t>
      </w:r>
      <w:r w:rsidRPr="002153FE">
        <w:rPr>
          <w:rFonts w:cs="Calibri"/>
          <w:bCs/>
          <w:szCs w:val="24"/>
        </w:rPr>
        <w:t xml:space="preserve">success of </w:t>
      </w:r>
      <w:r w:rsidRPr="00AF5E03">
        <w:rPr>
          <w:rFonts w:cs="Calibri"/>
          <w:bCs/>
          <w:szCs w:val="24"/>
        </w:rPr>
        <w:t>public-private</w:t>
      </w:r>
      <w:r w:rsidRPr="002153FE">
        <w:rPr>
          <w:rFonts w:cs="Calibri"/>
          <w:bCs/>
          <w:szCs w:val="24"/>
        </w:rPr>
        <w:t xml:space="preserve"> </w:t>
      </w:r>
      <w:r>
        <w:rPr>
          <w:rFonts w:cs="Calibri"/>
          <w:bCs/>
          <w:szCs w:val="24"/>
        </w:rPr>
        <w:t xml:space="preserve">and multi-stakeholder </w:t>
      </w:r>
      <w:r w:rsidRPr="002153FE">
        <w:rPr>
          <w:rFonts w:cs="Calibri"/>
          <w:bCs/>
          <w:szCs w:val="24"/>
        </w:rPr>
        <w:t xml:space="preserve">cooperation, market and regulatory reforms, technological innovation, </w:t>
      </w:r>
      <w:r>
        <w:rPr>
          <w:rFonts w:cs="Calibri"/>
          <w:bCs/>
          <w:szCs w:val="24"/>
        </w:rPr>
        <w:t>and</w:t>
      </w:r>
      <w:r w:rsidRPr="002153FE">
        <w:rPr>
          <w:rFonts w:cs="Calibri"/>
          <w:bCs/>
          <w:szCs w:val="24"/>
        </w:rPr>
        <w:t xml:space="preserve"> commitment</w:t>
      </w:r>
      <w:r>
        <w:rPr>
          <w:rFonts w:cs="Calibri"/>
          <w:bCs/>
          <w:szCs w:val="24"/>
        </w:rPr>
        <w:t>s</w:t>
      </w:r>
      <w:r w:rsidRPr="002153FE">
        <w:rPr>
          <w:rFonts w:cs="Calibri"/>
          <w:bCs/>
          <w:szCs w:val="24"/>
        </w:rPr>
        <w:t xml:space="preserve"> on the part of </w:t>
      </w:r>
      <w:r>
        <w:rPr>
          <w:rFonts w:cs="Calibri"/>
          <w:bCs/>
          <w:szCs w:val="24"/>
        </w:rPr>
        <w:t>diverse</w:t>
      </w:r>
      <w:r w:rsidRPr="002153FE">
        <w:rPr>
          <w:rFonts w:cs="Calibri"/>
          <w:bCs/>
          <w:szCs w:val="24"/>
        </w:rPr>
        <w:t xml:space="preserve"> stakeholders, including the </w:t>
      </w:r>
      <w:r>
        <w:rPr>
          <w:rFonts w:cs="Calibri"/>
          <w:bCs/>
          <w:szCs w:val="24"/>
        </w:rPr>
        <w:t xml:space="preserve">membership of the </w:t>
      </w:r>
      <w:r w:rsidRPr="002153FE">
        <w:rPr>
          <w:rFonts w:cs="Calibri"/>
          <w:bCs/>
          <w:szCs w:val="24"/>
        </w:rPr>
        <w:t>ITU.</w:t>
      </w:r>
      <w:r>
        <w:rPr>
          <w:rFonts w:cs="Calibri"/>
          <w:bCs/>
          <w:szCs w:val="24"/>
        </w:rPr>
        <w:t>  In that regard, the ITU-D’s</w:t>
      </w:r>
      <w:r w:rsidRPr="002153FE">
        <w:rPr>
          <w:rFonts w:cs="Calibri"/>
          <w:bCs/>
          <w:szCs w:val="24"/>
        </w:rPr>
        <w:t xml:space="preserve"> </w:t>
      </w:r>
      <w:r>
        <w:rPr>
          <w:rFonts w:cs="Calibri"/>
          <w:bCs/>
          <w:szCs w:val="24"/>
        </w:rPr>
        <w:t xml:space="preserve">studies, </w:t>
      </w:r>
      <w:r w:rsidRPr="002153FE">
        <w:rPr>
          <w:rFonts w:cs="Calibri"/>
          <w:bCs/>
          <w:szCs w:val="24"/>
        </w:rPr>
        <w:t>projects</w:t>
      </w:r>
      <w:r>
        <w:rPr>
          <w:rFonts w:cs="Calibri"/>
          <w:bCs/>
          <w:szCs w:val="24"/>
        </w:rPr>
        <w:t>,</w:t>
      </w:r>
      <w:r w:rsidRPr="002153FE">
        <w:rPr>
          <w:rFonts w:cs="Calibri"/>
          <w:bCs/>
          <w:szCs w:val="24"/>
        </w:rPr>
        <w:t xml:space="preserve"> </w:t>
      </w:r>
      <w:r>
        <w:rPr>
          <w:rFonts w:cs="Calibri"/>
          <w:bCs/>
          <w:szCs w:val="24"/>
        </w:rPr>
        <w:t>and regional initiatives supporting</w:t>
      </w:r>
      <w:r w:rsidRPr="002153FE">
        <w:rPr>
          <w:rFonts w:cs="Calibri"/>
          <w:bCs/>
          <w:szCs w:val="24"/>
        </w:rPr>
        <w:t xml:space="preserve"> </w:t>
      </w:r>
      <w:r>
        <w:rPr>
          <w:rFonts w:cs="Calibri"/>
          <w:bCs/>
          <w:szCs w:val="24"/>
        </w:rPr>
        <w:t xml:space="preserve">infrastructure </w:t>
      </w:r>
      <w:r w:rsidRPr="002153FE">
        <w:rPr>
          <w:rFonts w:cs="Calibri"/>
          <w:bCs/>
          <w:szCs w:val="24"/>
        </w:rPr>
        <w:t xml:space="preserve">development, </w:t>
      </w:r>
      <w:r>
        <w:rPr>
          <w:rFonts w:cs="Calibri"/>
          <w:bCs/>
          <w:szCs w:val="24"/>
        </w:rPr>
        <w:t>an enabling policy environment</w:t>
      </w:r>
      <w:r w:rsidRPr="002153FE">
        <w:rPr>
          <w:rFonts w:cs="Calibri"/>
          <w:bCs/>
          <w:szCs w:val="24"/>
        </w:rPr>
        <w:t xml:space="preserve">, digital inclusion, </w:t>
      </w:r>
      <w:r>
        <w:rPr>
          <w:rFonts w:cs="Calibri"/>
          <w:bCs/>
          <w:szCs w:val="24"/>
        </w:rPr>
        <w:t xml:space="preserve">and </w:t>
      </w:r>
      <w:r w:rsidRPr="002153FE">
        <w:rPr>
          <w:rFonts w:cs="Calibri"/>
          <w:bCs/>
          <w:szCs w:val="24"/>
        </w:rPr>
        <w:t>human and institutional capacity building</w:t>
      </w:r>
      <w:r>
        <w:rPr>
          <w:rFonts w:cs="Calibri"/>
          <w:bCs/>
          <w:szCs w:val="24"/>
        </w:rPr>
        <w:t xml:space="preserve"> </w:t>
      </w:r>
      <w:r w:rsidRPr="002153FE">
        <w:rPr>
          <w:rFonts w:cs="Calibri"/>
          <w:bCs/>
          <w:szCs w:val="24"/>
        </w:rPr>
        <w:t>have contributed significantly to accelerating the diffusion</w:t>
      </w:r>
      <w:r>
        <w:rPr>
          <w:rFonts w:cs="Calibri"/>
          <w:bCs/>
          <w:szCs w:val="24"/>
        </w:rPr>
        <w:t xml:space="preserve">, access, and use </w:t>
      </w:r>
      <w:r w:rsidRPr="002153FE">
        <w:rPr>
          <w:rFonts w:cs="Calibri"/>
          <w:bCs/>
          <w:szCs w:val="24"/>
        </w:rPr>
        <w:t>of</w:t>
      </w:r>
      <w:r>
        <w:rPr>
          <w:rFonts w:cs="Calibri"/>
          <w:bCs/>
          <w:szCs w:val="24"/>
        </w:rPr>
        <w:t xml:space="preserve"> telecommunications and ICTs, including broadband globally.</w:t>
      </w:r>
      <w:r w:rsidRPr="00AC59A6">
        <w:rPr>
          <w:rFonts w:cs="Calibri"/>
          <w:bCs/>
          <w:szCs w:val="24"/>
        </w:rPr>
        <w:t xml:space="preserve"> The ITU-D is ideally situated to facilitate the advancement of the global information economy.</w:t>
      </w:r>
    </w:p>
    <w:p w:rsidR="00F35274" w:rsidRDefault="00820542" w:rsidP="00787D58">
      <w:pPr>
        <w:keepNext/>
        <w:rPr>
          <w:b/>
          <w:i/>
          <w:szCs w:val="24"/>
        </w:rPr>
      </w:pPr>
      <w:r w:rsidRPr="00820542">
        <w:rPr>
          <w:b/>
          <w:i/>
          <w:szCs w:val="24"/>
        </w:rPr>
        <w:t>USA Priorities for WTDC-17</w:t>
      </w:r>
    </w:p>
    <w:p w:rsidR="00820542" w:rsidRDefault="00820542" w:rsidP="00820542">
      <w:pPr>
        <w:pStyle w:val="CEOcontributionStart"/>
        <w:tabs>
          <w:tab w:val="left" w:pos="1951"/>
        </w:tabs>
        <w:spacing w:before="120"/>
        <w:rPr>
          <w:rFonts w:cs="Calibri"/>
          <w:bCs/>
          <w:szCs w:val="24"/>
        </w:rPr>
      </w:pPr>
      <w:r>
        <w:rPr>
          <w:rFonts w:cs="Calibri"/>
          <w:bCs/>
          <w:szCs w:val="24"/>
        </w:rPr>
        <w:t xml:space="preserve">The United States believes that it is important for the Buenos Aires Action Plan to outline </w:t>
      </w:r>
      <w:r w:rsidRPr="002153FE">
        <w:rPr>
          <w:rFonts w:cs="Calibri"/>
          <w:bCs/>
          <w:szCs w:val="24"/>
        </w:rPr>
        <w:t xml:space="preserve">priorities and programs that </w:t>
      </w:r>
      <w:r>
        <w:rPr>
          <w:rFonts w:cs="Calibri"/>
          <w:bCs/>
          <w:szCs w:val="24"/>
        </w:rPr>
        <w:t xml:space="preserve">effectively </w:t>
      </w:r>
      <w:r w:rsidRPr="002153FE">
        <w:rPr>
          <w:rFonts w:cs="Calibri"/>
          <w:bCs/>
          <w:szCs w:val="24"/>
        </w:rPr>
        <w:t>address the needs of developing countries and</w:t>
      </w:r>
      <w:r>
        <w:rPr>
          <w:rFonts w:cs="Calibri"/>
          <w:bCs/>
          <w:szCs w:val="24"/>
        </w:rPr>
        <w:t xml:space="preserve"> lead to tangible outcomes through a strong, results-based Strategic Plan and output-based Action Plan.</w:t>
      </w:r>
      <w:r w:rsidRPr="002153FE">
        <w:rPr>
          <w:rFonts w:cs="Calibri"/>
          <w:bCs/>
          <w:szCs w:val="24"/>
        </w:rPr>
        <w:t xml:space="preserve">  </w:t>
      </w:r>
      <w:r w:rsidRPr="00AC59A6">
        <w:rPr>
          <w:rFonts w:cs="Calibri"/>
          <w:bCs/>
          <w:szCs w:val="24"/>
        </w:rPr>
        <w:t>The United States therefore approaches WTDC-17 with two overarching goals: (</w:t>
      </w:r>
      <w:proofErr w:type="spellStart"/>
      <w:r w:rsidRPr="00AC59A6">
        <w:rPr>
          <w:rFonts w:cs="Calibri"/>
          <w:bCs/>
          <w:szCs w:val="24"/>
        </w:rPr>
        <w:t>i</w:t>
      </w:r>
      <w:proofErr w:type="spellEnd"/>
      <w:r w:rsidRPr="00AC59A6">
        <w:rPr>
          <w:rFonts w:cs="Calibri"/>
          <w:bCs/>
          <w:szCs w:val="24"/>
        </w:rPr>
        <w:t xml:space="preserve">) building upon the gains achieved, to work with others to further advance ICTs in developing countries; and (ii) to preserve and enhance ITU-D’s role as a modern, forward-looking, knowledge platform to exchange experiences and views, engage in capacity building, and develop voluntary telecommunication and ICT best practices that are appropriate and useful for a diverse Membership, particularly developing countries. </w:t>
      </w:r>
    </w:p>
    <w:p w:rsidR="00820542" w:rsidRPr="00820542" w:rsidRDefault="00820542" w:rsidP="00787D58">
      <w:pPr>
        <w:keepNext/>
        <w:rPr>
          <w:b/>
          <w:i/>
          <w:szCs w:val="24"/>
        </w:rPr>
      </w:pPr>
      <w:r w:rsidRPr="00820542">
        <w:rPr>
          <w:b/>
          <w:i/>
          <w:szCs w:val="24"/>
        </w:rPr>
        <w:lastRenderedPageBreak/>
        <w:t>Advancing ICTs in Developing Countries</w:t>
      </w:r>
    </w:p>
    <w:p w:rsidR="00820542" w:rsidRPr="00AC59A6" w:rsidRDefault="00820542" w:rsidP="00820542">
      <w:pPr>
        <w:pStyle w:val="CEOcontributionStart"/>
        <w:tabs>
          <w:tab w:val="left" w:pos="1951"/>
        </w:tabs>
        <w:spacing w:before="120"/>
        <w:rPr>
          <w:rFonts w:cs="Calibri"/>
          <w:bCs/>
          <w:szCs w:val="24"/>
        </w:rPr>
      </w:pPr>
      <w:r w:rsidRPr="00AC59A6">
        <w:rPr>
          <w:rFonts w:cs="Calibri"/>
          <w:bCs/>
          <w:szCs w:val="24"/>
        </w:rPr>
        <w:t xml:space="preserve">The theme for WTDC-17, ICTs for Sustainable Development Goals (SDGs), is especially emblematic of our times. The United States recognizes the 2030 Agenda and the SDGs as a global framework for collective engagement for development and a milestone agreement in pursuit of global peace and prosperity.  As the first WTDC following the ten-year review of progress on the implementation of the outcomes of the World Summit on the Information Society (WSIS) and following the adoption of the 2030 Agenda for Sustainable Development, WTDC-17 offers an opportunity to reinforce the importance of telecommunications/ICT development and to establish priorities and objectives that will ensure continued progress and redoubled success. Per its strategic plan, the ITU-D has an important role in fostering the development of infrastructure and the establishment of an enabling policy and regulatory environment conducive to sustainable telecommunication/ICT development.  We support the ITU-D’s continued focus in these areas, through the framework provided by the WSIS Action Lines.  WTDC’s success lies in addressing issues related to telecommunications/ICTs to improve the lives of the world’s people, particularly those in developing countries. </w:t>
      </w:r>
    </w:p>
    <w:p w:rsidR="00820542" w:rsidRDefault="00820542" w:rsidP="00820542">
      <w:pPr>
        <w:rPr>
          <w:rFonts w:cstheme="minorHAnsi"/>
          <w:szCs w:val="24"/>
        </w:rPr>
      </w:pPr>
      <w:r>
        <w:rPr>
          <w:rFonts w:cstheme="minorHAnsi"/>
          <w:szCs w:val="24"/>
        </w:rPr>
        <w:t xml:space="preserve">The United States strongly supports national responsibility as stressed in the 2030 Agenda and the mobilization and effective use of domestic resources as part of the robust engagement of all stakeholders, including the private sector.  The 2030 Agenda is a common rallying point for the international community and the private sector to share the burdens and seize the opportunities inherent in addressing global development challenges; including, the benefits of the global information economy that should be available to all.  It </w:t>
      </w:r>
      <w:r w:rsidRPr="00A347BF">
        <w:rPr>
          <w:rFonts w:cstheme="minorHAnsi"/>
          <w:szCs w:val="24"/>
        </w:rPr>
        <w:t xml:space="preserve">is essential for ITU-D to promote the involvement of all stakeholders who play a part in the policy, regulatory, economic and financial aspects </w:t>
      </w:r>
      <w:r>
        <w:rPr>
          <w:rFonts w:cstheme="minorHAnsi"/>
          <w:szCs w:val="24"/>
        </w:rPr>
        <w:t>in the advancement of the global information economy</w:t>
      </w:r>
      <w:r w:rsidRPr="00A347BF">
        <w:rPr>
          <w:rFonts w:cstheme="minorHAnsi"/>
          <w:szCs w:val="24"/>
        </w:rPr>
        <w:t xml:space="preserve">.  </w:t>
      </w:r>
    </w:p>
    <w:p w:rsidR="00820542" w:rsidRDefault="00820542" w:rsidP="00820542">
      <w:pPr>
        <w:pStyle w:val="CEOcontributionStart"/>
        <w:tabs>
          <w:tab w:val="left" w:pos="1951"/>
        </w:tabs>
        <w:spacing w:before="120"/>
        <w:rPr>
          <w:rFonts w:cstheme="minorHAnsi"/>
          <w:b/>
          <w:sz w:val="28"/>
        </w:rPr>
      </w:pPr>
      <w:r w:rsidRPr="00841C6F">
        <w:rPr>
          <w:rFonts w:cstheme="minorHAnsi"/>
          <w:szCs w:val="24"/>
        </w:rPr>
        <w:t>In its 25</w:t>
      </w:r>
      <w:r w:rsidRPr="00841C6F">
        <w:rPr>
          <w:rFonts w:cstheme="minorHAnsi"/>
          <w:szCs w:val="24"/>
          <w:vertAlign w:val="superscript"/>
        </w:rPr>
        <w:t>th</w:t>
      </w:r>
      <w:r>
        <w:rPr>
          <w:rFonts w:cstheme="minorHAnsi"/>
          <w:szCs w:val="24"/>
        </w:rPr>
        <w:t xml:space="preserve"> Anniversary year, ITU-D</w:t>
      </w:r>
      <w:r w:rsidRPr="00841C6F">
        <w:rPr>
          <w:rFonts w:cstheme="minorHAnsi"/>
          <w:szCs w:val="24"/>
        </w:rPr>
        <w:t xml:space="preserve"> is well placed to promote partnerships between stakeholders as it works to ensure that the benefits of the global </w:t>
      </w:r>
      <w:r>
        <w:rPr>
          <w:rFonts w:cstheme="minorHAnsi"/>
          <w:szCs w:val="24"/>
        </w:rPr>
        <w:t xml:space="preserve">information economy </w:t>
      </w:r>
      <w:r w:rsidRPr="00841C6F">
        <w:rPr>
          <w:rFonts w:cstheme="minorHAnsi"/>
          <w:szCs w:val="24"/>
        </w:rPr>
        <w:t>are available to all.  Partnerships in this ecosystem will help mobilize resources and support capacity-building efforts in critical areas.  This, in turn, will foster international cooperation and an enabling environment that will provide pragmatic solutions to the challenges of the day.</w:t>
      </w:r>
    </w:p>
    <w:p w:rsidR="00820542" w:rsidRPr="00820542" w:rsidRDefault="00820542" w:rsidP="00787D58">
      <w:pPr>
        <w:keepNext/>
        <w:rPr>
          <w:b/>
          <w:i/>
          <w:szCs w:val="24"/>
        </w:rPr>
      </w:pPr>
      <w:r w:rsidRPr="00820542">
        <w:rPr>
          <w:b/>
          <w:i/>
          <w:szCs w:val="24"/>
        </w:rPr>
        <w:t>ITU-D’s Role as a Modern Platform for Knowledge</w:t>
      </w:r>
    </w:p>
    <w:p w:rsidR="00820542" w:rsidRDefault="00820542" w:rsidP="00820542">
      <w:pPr>
        <w:pStyle w:val="CEOcontributionStart"/>
        <w:tabs>
          <w:tab w:val="left" w:pos="1951"/>
        </w:tabs>
        <w:spacing w:before="120"/>
        <w:rPr>
          <w:rFonts w:cs="Calibri"/>
          <w:bCs/>
          <w:szCs w:val="24"/>
        </w:rPr>
      </w:pPr>
      <w:r>
        <w:rPr>
          <w:rFonts w:cstheme="minorHAnsi"/>
          <w:szCs w:val="24"/>
        </w:rPr>
        <w:t>I</w:t>
      </w:r>
      <w:r w:rsidRPr="00841C6F">
        <w:rPr>
          <w:rFonts w:cstheme="minorHAnsi"/>
          <w:szCs w:val="24"/>
        </w:rPr>
        <w:t>T</w:t>
      </w:r>
      <w:r>
        <w:rPr>
          <w:rFonts w:cstheme="minorHAnsi"/>
          <w:szCs w:val="24"/>
        </w:rPr>
        <w:t>U-D</w:t>
      </w:r>
      <w:r w:rsidRPr="00841C6F">
        <w:rPr>
          <w:rFonts w:cstheme="minorHAnsi"/>
          <w:szCs w:val="24"/>
        </w:rPr>
        <w:t xml:space="preserve"> is notable for its ability to engage with a broad array of stakeholders in an open and transparent manner, addressing timely and important issues that are generat</w:t>
      </w:r>
      <w:r>
        <w:rPr>
          <w:rFonts w:cstheme="minorHAnsi"/>
          <w:szCs w:val="24"/>
        </w:rPr>
        <w:t xml:space="preserve">ed through a bottom-up, Membership-driven process. </w:t>
      </w:r>
      <w:r>
        <w:rPr>
          <w:rFonts w:cs="Calibri"/>
          <w:bCs/>
          <w:szCs w:val="24"/>
        </w:rPr>
        <w:t xml:space="preserve">The development by Member States and Sector Members of voluntary guidelines and best practices substantially assists efforts to increase digital inclusion, develop advanced networks and create a stable and predictable regulatory environment.  </w:t>
      </w:r>
    </w:p>
    <w:p w:rsidR="00820542" w:rsidRPr="00841C6F" w:rsidRDefault="00820542" w:rsidP="00787D58">
      <w:pPr>
        <w:shd w:val="clear" w:color="auto" w:fill="FFFFFF"/>
        <w:spacing w:before="100" w:beforeAutospacing="1" w:after="100" w:afterAutospacing="1"/>
        <w:rPr>
          <w:rFonts w:cstheme="minorHAnsi"/>
          <w:szCs w:val="24"/>
        </w:rPr>
      </w:pPr>
      <w:r>
        <w:rPr>
          <w:rFonts w:cstheme="minorHAnsi"/>
          <w:szCs w:val="24"/>
        </w:rPr>
        <w:t>Furthermore, information exchange in the D Sector in such an open and non-binding environment best promotes the skills and mutual cooperation necessary for all Members to effectively participate within and across all three sectors of the ITU.  ITU-D</w:t>
      </w:r>
      <w:r w:rsidRPr="00841C6F">
        <w:rPr>
          <w:rFonts w:cstheme="minorHAnsi"/>
          <w:szCs w:val="24"/>
        </w:rPr>
        <w:t>’s continuing ability to meet members’ needs through voluntary guidelines, principles, information exchanges</w:t>
      </w:r>
      <w:r>
        <w:rPr>
          <w:rFonts w:cstheme="minorHAnsi"/>
          <w:szCs w:val="24"/>
        </w:rPr>
        <w:t>,</w:t>
      </w:r>
      <w:r w:rsidRPr="00841C6F">
        <w:rPr>
          <w:rFonts w:cstheme="minorHAnsi"/>
          <w:szCs w:val="24"/>
        </w:rPr>
        <w:t xml:space="preserve"> and best practices will continue to drive its forward-looking agenda.</w:t>
      </w:r>
      <w:r>
        <w:rPr>
          <w:rFonts w:cstheme="minorHAnsi"/>
          <w:szCs w:val="24"/>
        </w:rPr>
        <w:t xml:space="preserve">  Equally important, the Sector’s uniquely flexible approach successfully attracts private industry interested in sharing knowledge as part of capacity building.</w:t>
      </w:r>
    </w:p>
    <w:p w:rsidR="00820542" w:rsidRDefault="00820542" w:rsidP="00820542">
      <w:pPr>
        <w:shd w:val="clear" w:color="auto" w:fill="FFFFFF"/>
        <w:spacing w:before="100" w:beforeAutospacing="1" w:after="100" w:afterAutospacing="1"/>
        <w:rPr>
          <w:rFonts w:cstheme="minorHAnsi"/>
          <w:szCs w:val="24"/>
        </w:rPr>
      </w:pPr>
      <w:r>
        <w:rPr>
          <w:rFonts w:cstheme="minorHAnsi"/>
          <w:szCs w:val="24"/>
        </w:rPr>
        <w:lastRenderedPageBreak/>
        <w:t>These characteristics have</w:t>
      </w:r>
      <w:r w:rsidRPr="00841C6F">
        <w:rPr>
          <w:rFonts w:cstheme="minorHAnsi"/>
          <w:szCs w:val="24"/>
        </w:rPr>
        <w:t xml:space="preserve"> served the Sector well, generating timely and useful deliverables which reflect the </w:t>
      </w:r>
      <w:r>
        <w:rPr>
          <w:rFonts w:cstheme="minorHAnsi"/>
          <w:szCs w:val="24"/>
        </w:rPr>
        <w:t xml:space="preserve">experiences and </w:t>
      </w:r>
      <w:r w:rsidRPr="00841C6F">
        <w:rPr>
          <w:rFonts w:cstheme="minorHAnsi"/>
          <w:szCs w:val="24"/>
        </w:rPr>
        <w:t xml:space="preserve">best practices of many countries </w:t>
      </w:r>
      <w:r>
        <w:rPr>
          <w:rFonts w:cstheme="minorHAnsi"/>
          <w:szCs w:val="24"/>
        </w:rPr>
        <w:t>participating in WTDC-17</w:t>
      </w:r>
      <w:r w:rsidRPr="00841C6F">
        <w:rPr>
          <w:rFonts w:cstheme="minorHAnsi"/>
          <w:szCs w:val="24"/>
        </w:rPr>
        <w:t xml:space="preserve"> today</w:t>
      </w:r>
      <w:r>
        <w:rPr>
          <w:rFonts w:cstheme="minorHAnsi"/>
          <w:szCs w:val="24"/>
        </w:rPr>
        <w:t>. The United States</w:t>
      </w:r>
      <w:r w:rsidRPr="00841C6F">
        <w:rPr>
          <w:rFonts w:cstheme="minorHAnsi"/>
          <w:szCs w:val="24"/>
        </w:rPr>
        <w:t xml:space="preserve"> will continue to support such an open and forward-looking for</w:t>
      </w:r>
      <w:r>
        <w:rPr>
          <w:rFonts w:cstheme="minorHAnsi"/>
          <w:szCs w:val="24"/>
        </w:rPr>
        <w:t>um that tackles the challenges and hastens the fruits</w:t>
      </w:r>
      <w:r w:rsidRPr="00841C6F">
        <w:rPr>
          <w:rFonts w:cstheme="minorHAnsi"/>
          <w:szCs w:val="24"/>
        </w:rPr>
        <w:t xml:space="preserve"> of the global </w:t>
      </w:r>
      <w:r>
        <w:rPr>
          <w:rFonts w:cstheme="minorHAnsi"/>
          <w:szCs w:val="24"/>
        </w:rPr>
        <w:t xml:space="preserve">information economy. </w:t>
      </w:r>
    </w:p>
    <w:p w:rsidR="00820542" w:rsidRPr="00AF5E03" w:rsidRDefault="00820542" w:rsidP="00820542">
      <w:r>
        <w:rPr>
          <w:rFonts w:cstheme="minorHAnsi"/>
          <w:szCs w:val="24"/>
        </w:rPr>
        <w:t>WTDC-17</w:t>
      </w:r>
      <w:r w:rsidRPr="00841C6F">
        <w:rPr>
          <w:rFonts w:cstheme="minorHAnsi"/>
          <w:szCs w:val="24"/>
        </w:rPr>
        <w:t xml:space="preserve"> </w:t>
      </w:r>
      <w:r>
        <w:rPr>
          <w:rFonts w:cstheme="minorHAnsi"/>
          <w:szCs w:val="24"/>
        </w:rPr>
        <w:t xml:space="preserve">also is </w:t>
      </w:r>
      <w:r w:rsidRPr="00841C6F">
        <w:rPr>
          <w:rFonts w:cstheme="minorHAnsi"/>
          <w:szCs w:val="24"/>
        </w:rPr>
        <w:t>an important milestone on the path to the 2018 Plenipotentiary Conference</w:t>
      </w:r>
      <w:r>
        <w:rPr>
          <w:rFonts w:cstheme="minorHAnsi"/>
          <w:szCs w:val="24"/>
        </w:rPr>
        <w:t xml:space="preserve">. </w:t>
      </w:r>
      <w:r w:rsidR="00787D58">
        <w:rPr>
          <w:rFonts w:cstheme="minorHAnsi"/>
          <w:szCs w:val="24"/>
        </w:rPr>
        <w:t>We </w:t>
      </w:r>
      <w:r w:rsidRPr="00841C6F">
        <w:rPr>
          <w:rFonts w:cstheme="minorHAnsi"/>
          <w:szCs w:val="24"/>
        </w:rPr>
        <w:t>must work together, in the spirit of cooperation and collaboration</w:t>
      </w:r>
      <w:r>
        <w:rPr>
          <w:rFonts w:cstheme="minorHAnsi"/>
          <w:szCs w:val="24"/>
        </w:rPr>
        <w:t>,</w:t>
      </w:r>
      <w:r w:rsidRPr="00841C6F">
        <w:rPr>
          <w:rFonts w:cstheme="minorHAnsi"/>
          <w:szCs w:val="24"/>
        </w:rPr>
        <w:t xml:space="preserve"> to deliver </w:t>
      </w:r>
      <w:r>
        <w:rPr>
          <w:rFonts w:cstheme="minorHAnsi"/>
          <w:szCs w:val="24"/>
        </w:rPr>
        <w:t xml:space="preserve">sustainable and measurable </w:t>
      </w:r>
      <w:r w:rsidRPr="00841C6F">
        <w:rPr>
          <w:rFonts w:cstheme="minorHAnsi"/>
          <w:szCs w:val="24"/>
        </w:rPr>
        <w:t xml:space="preserve">results. </w:t>
      </w:r>
      <w:r w:rsidRPr="002153FE">
        <w:rPr>
          <w:rFonts w:cs="Calibri"/>
          <w:bCs/>
          <w:szCs w:val="24"/>
        </w:rPr>
        <w:t xml:space="preserve">We look forward to working with all participants to ensure a successful </w:t>
      </w:r>
      <w:r w:rsidR="00787D58">
        <w:rPr>
          <w:rFonts w:cs="Calibri"/>
          <w:bCs/>
          <w:szCs w:val="24"/>
        </w:rPr>
        <w:br/>
      </w:r>
      <w:r w:rsidRPr="002153FE">
        <w:rPr>
          <w:rFonts w:cs="Calibri"/>
          <w:bCs/>
          <w:szCs w:val="24"/>
        </w:rPr>
        <w:t>WTDC-1</w:t>
      </w:r>
      <w:r>
        <w:rPr>
          <w:rFonts w:cs="Calibri"/>
          <w:bCs/>
          <w:szCs w:val="24"/>
        </w:rPr>
        <w:t>7, and we invite support for the following proposals:</w:t>
      </w:r>
    </w:p>
    <w:p w:rsidR="00820542" w:rsidRPr="00820542" w:rsidRDefault="00820542" w:rsidP="00787D58">
      <w:pPr>
        <w:keepNext/>
        <w:rPr>
          <w:b/>
          <w:i/>
          <w:szCs w:val="24"/>
        </w:rPr>
      </w:pPr>
      <w:r w:rsidRPr="00820542">
        <w:rPr>
          <w:b/>
          <w:i/>
          <w:szCs w:val="24"/>
        </w:rPr>
        <w:t xml:space="preserve">Summary of United States Proposals </w:t>
      </w:r>
    </w:p>
    <w:p w:rsidR="00820542" w:rsidRDefault="00820542" w:rsidP="00820542">
      <w:pPr>
        <w:rPr>
          <w:rFonts w:cstheme="minorHAnsi"/>
          <w:szCs w:val="24"/>
        </w:rPr>
      </w:pPr>
      <w:r w:rsidRPr="0065788E">
        <w:rPr>
          <w:rFonts w:cstheme="minorHAnsi"/>
          <w:szCs w:val="24"/>
        </w:rPr>
        <w:t xml:space="preserve">The United States </w:t>
      </w:r>
      <w:r>
        <w:rPr>
          <w:rFonts w:cstheme="minorHAnsi"/>
          <w:szCs w:val="24"/>
        </w:rPr>
        <w:t>joins</w:t>
      </w:r>
      <w:r w:rsidRPr="0065788E">
        <w:rPr>
          <w:rFonts w:cstheme="minorHAnsi"/>
          <w:szCs w:val="24"/>
        </w:rPr>
        <w:t xml:space="preserve"> </w:t>
      </w:r>
      <w:r>
        <w:rPr>
          <w:rFonts w:cstheme="minorHAnsi"/>
          <w:szCs w:val="24"/>
        </w:rPr>
        <w:t xml:space="preserve">with our partners in </w:t>
      </w:r>
      <w:r w:rsidRPr="0065788E">
        <w:rPr>
          <w:rFonts w:cstheme="minorHAnsi"/>
          <w:szCs w:val="24"/>
        </w:rPr>
        <w:t xml:space="preserve">the Americas region to support </w:t>
      </w:r>
      <w:r>
        <w:rPr>
          <w:rFonts w:cstheme="minorHAnsi"/>
          <w:szCs w:val="24"/>
        </w:rPr>
        <w:t xml:space="preserve">a suite of </w:t>
      </w:r>
      <w:r w:rsidRPr="0065788E">
        <w:rPr>
          <w:rFonts w:cstheme="minorHAnsi"/>
          <w:szCs w:val="24"/>
        </w:rPr>
        <w:t>revisions to the Development Sector</w:t>
      </w:r>
      <w:r>
        <w:rPr>
          <w:rFonts w:cstheme="minorHAnsi"/>
          <w:szCs w:val="24"/>
        </w:rPr>
        <w:t>’s enabling texts, including the ITU-D</w:t>
      </w:r>
      <w:r w:rsidRPr="0065788E">
        <w:rPr>
          <w:rFonts w:cstheme="minorHAnsi"/>
          <w:szCs w:val="24"/>
        </w:rPr>
        <w:t xml:space="preserve"> contribution to the ITU Strategic Plan, the ITU-D Action Plan, and the Buenos Aires Declaration</w:t>
      </w:r>
      <w:r>
        <w:rPr>
          <w:rFonts w:cstheme="minorHAnsi"/>
          <w:szCs w:val="24"/>
        </w:rPr>
        <w:t xml:space="preserve"> that advance our conference theme and the U.S. commitment to Internet and broadband access</w:t>
      </w:r>
      <w:r w:rsidRPr="0065788E">
        <w:rPr>
          <w:rFonts w:cstheme="minorHAnsi"/>
          <w:szCs w:val="24"/>
        </w:rPr>
        <w:t>.</w:t>
      </w:r>
      <w:r>
        <w:rPr>
          <w:rFonts w:cstheme="minorHAnsi"/>
          <w:szCs w:val="24"/>
        </w:rPr>
        <w:t xml:space="preserve">  Our support for 19 CITEL Inter-American Proposals (IAPs) reflects the strong alignment within the Americas on our substantive priorities for the period </w:t>
      </w:r>
      <w:r w:rsidRPr="00907911">
        <w:rPr>
          <w:rFonts w:cstheme="minorHAnsi"/>
          <w:szCs w:val="24"/>
        </w:rPr>
        <w:t>2018 – 2021</w:t>
      </w:r>
      <w:r>
        <w:rPr>
          <w:rFonts w:cstheme="minorHAnsi"/>
          <w:szCs w:val="24"/>
        </w:rPr>
        <w:t xml:space="preserve">: </w:t>
      </w:r>
    </w:p>
    <w:p w:rsidR="00820542" w:rsidRPr="00A40658" w:rsidRDefault="00A40658" w:rsidP="00A40658">
      <w:pPr>
        <w:rPr>
          <w:rFonts w:cstheme="minorHAnsi"/>
          <w:szCs w:val="24"/>
        </w:rPr>
      </w:pPr>
      <w:r w:rsidRPr="008C49E4">
        <w:rPr>
          <w:rFonts w:eastAsia="Calibri"/>
          <w:lang w:val="en-US"/>
        </w:rPr>
        <w:t>•</w:t>
      </w:r>
      <w:r>
        <w:rPr>
          <w:rFonts w:eastAsia="Calibri"/>
          <w:lang w:val="en-US"/>
        </w:rPr>
        <w:tab/>
      </w:r>
      <w:r w:rsidR="00820542" w:rsidRPr="00A40658">
        <w:rPr>
          <w:rFonts w:cstheme="minorHAnsi"/>
          <w:szCs w:val="24"/>
        </w:rPr>
        <w:t xml:space="preserve">to promote and exchange information about new and innovative telecommunications/ICTs to expand broadband access in developing countries, including in rural areas and through wireless means; </w:t>
      </w:r>
    </w:p>
    <w:p w:rsidR="00820542" w:rsidRPr="00A40658" w:rsidRDefault="00A40658" w:rsidP="00A40658">
      <w:pPr>
        <w:rPr>
          <w:rFonts w:cstheme="minorHAnsi"/>
          <w:szCs w:val="24"/>
        </w:rPr>
      </w:pPr>
      <w:r w:rsidRPr="008C49E4">
        <w:rPr>
          <w:rFonts w:eastAsia="Calibri"/>
          <w:lang w:val="en-US"/>
        </w:rPr>
        <w:t>•</w:t>
      </w:r>
      <w:r>
        <w:rPr>
          <w:rFonts w:eastAsia="Calibri"/>
          <w:lang w:val="en-US"/>
        </w:rPr>
        <w:tab/>
      </w:r>
      <w:proofErr w:type="gramStart"/>
      <w:r w:rsidR="00820542" w:rsidRPr="00A40658">
        <w:rPr>
          <w:rFonts w:cstheme="minorHAnsi"/>
          <w:szCs w:val="24"/>
        </w:rPr>
        <w:t>to</w:t>
      </w:r>
      <w:proofErr w:type="gramEnd"/>
      <w:r w:rsidR="00820542" w:rsidRPr="00A40658">
        <w:rPr>
          <w:rFonts w:cstheme="minorHAnsi"/>
          <w:szCs w:val="24"/>
        </w:rPr>
        <w:t xml:space="preserve"> enable communications during emergencies and disasters; </w:t>
      </w:r>
    </w:p>
    <w:p w:rsidR="00820542" w:rsidRPr="00A40658" w:rsidRDefault="00A40658" w:rsidP="00A40658">
      <w:pPr>
        <w:rPr>
          <w:rFonts w:cstheme="minorHAnsi"/>
          <w:szCs w:val="24"/>
        </w:rPr>
      </w:pPr>
      <w:r w:rsidRPr="008C49E4">
        <w:rPr>
          <w:rFonts w:eastAsia="Calibri"/>
          <w:lang w:val="en-US"/>
        </w:rPr>
        <w:t>•</w:t>
      </w:r>
      <w:r>
        <w:rPr>
          <w:rFonts w:eastAsia="Calibri"/>
          <w:lang w:val="en-US"/>
        </w:rPr>
        <w:tab/>
      </w:r>
      <w:proofErr w:type="gramStart"/>
      <w:r w:rsidR="00820542" w:rsidRPr="00A40658">
        <w:rPr>
          <w:rFonts w:cstheme="minorHAnsi"/>
          <w:szCs w:val="24"/>
        </w:rPr>
        <w:t>to</w:t>
      </w:r>
      <w:proofErr w:type="gramEnd"/>
      <w:r w:rsidR="00820542" w:rsidRPr="00A40658">
        <w:rPr>
          <w:rFonts w:cstheme="minorHAnsi"/>
          <w:szCs w:val="24"/>
        </w:rPr>
        <w:t xml:space="preserve"> build capacity to strengthen cybersecurity;</w:t>
      </w:r>
    </w:p>
    <w:p w:rsidR="00820542" w:rsidRPr="00A40658" w:rsidRDefault="00A40658" w:rsidP="00A40658">
      <w:pPr>
        <w:rPr>
          <w:rFonts w:cstheme="minorHAnsi"/>
          <w:szCs w:val="24"/>
        </w:rPr>
      </w:pPr>
      <w:r w:rsidRPr="008C49E4">
        <w:rPr>
          <w:rFonts w:eastAsia="Calibri"/>
          <w:lang w:val="en-US"/>
        </w:rPr>
        <w:t>•</w:t>
      </w:r>
      <w:r>
        <w:rPr>
          <w:rFonts w:eastAsia="Calibri"/>
          <w:lang w:val="en-US"/>
        </w:rPr>
        <w:tab/>
      </w:r>
      <w:proofErr w:type="gramStart"/>
      <w:r w:rsidR="00820542" w:rsidRPr="00A40658">
        <w:rPr>
          <w:rFonts w:cstheme="minorHAnsi"/>
          <w:szCs w:val="24"/>
        </w:rPr>
        <w:t>to</w:t>
      </w:r>
      <w:proofErr w:type="gramEnd"/>
      <w:r w:rsidR="00820542" w:rsidRPr="00A40658">
        <w:rPr>
          <w:rFonts w:cstheme="minorHAnsi"/>
          <w:szCs w:val="24"/>
        </w:rPr>
        <w:t xml:space="preserve"> champion digital inclusion for women, youth and those with disabilities and specific needs; </w:t>
      </w:r>
    </w:p>
    <w:p w:rsidR="00820542" w:rsidRPr="00A40658" w:rsidRDefault="00A40658" w:rsidP="00A40658">
      <w:pPr>
        <w:rPr>
          <w:rFonts w:cstheme="minorHAnsi"/>
          <w:szCs w:val="24"/>
        </w:rPr>
      </w:pPr>
      <w:r w:rsidRPr="008C49E4">
        <w:rPr>
          <w:rFonts w:eastAsia="Calibri"/>
          <w:lang w:val="en-US"/>
        </w:rPr>
        <w:t>•</w:t>
      </w:r>
      <w:r>
        <w:rPr>
          <w:rFonts w:eastAsia="Calibri"/>
          <w:lang w:val="en-US"/>
        </w:rPr>
        <w:tab/>
      </w:r>
      <w:proofErr w:type="gramStart"/>
      <w:r w:rsidR="00820542" w:rsidRPr="00A40658">
        <w:rPr>
          <w:rFonts w:cstheme="minorHAnsi"/>
          <w:szCs w:val="24"/>
        </w:rPr>
        <w:t>to</w:t>
      </w:r>
      <w:proofErr w:type="gramEnd"/>
      <w:r w:rsidR="00820542" w:rsidRPr="00A40658">
        <w:rPr>
          <w:rFonts w:cstheme="minorHAnsi"/>
          <w:szCs w:val="24"/>
        </w:rPr>
        <w:t xml:space="preserve"> leverage the ITU’s role in the World Summit on the Information Society (WSIS) to help achieve the SDGs; </w:t>
      </w:r>
    </w:p>
    <w:p w:rsidR="00820542" w:rsidRPr="00A40658" w:rsidRDefault="00A40658" w:rsidP="00A40658">
      <w:pPr>
        <w:rPr>
          <w:rFonts w:cstheme="minorHAnsi"/>
          <w:szCs w:val="24"/>
        </w:rPr>
      </w:pPr>
      <w:r w:rsidRPr="008C49E4">
        <w:rPr>
          <w:rFonts w:eastAsia="Calibri"/>
          <w:lang w:val="en-US"/>
        </w:rPr>
        <w:t>•</w:t>
      </w:r>
      <w:r>
        <w:rPr>
          <w:rFonts w:eastAsia="Calibri"/>
          <w:lang w:val="en-US"/>
        </w:rPr>
        <w:tab/>
      </w:r>
      <w:r w:rsidR="00820542" w:rsidRPr="00A40658">
        <w:rPr>
          <w:rFonts w:cstheme="minorHAnsi"/>
          <w:szCs w:val="24"/>
        </w:rPr>
        <w:t>And, in so doing, to modernize, update and strengthen our work in the Development Sector by supporting IAPs that merge together similar Resolutions</w:t>
      </w:r>
      <w:r w:rsidR="00820542" w:rsidRPr="00851720">
        <w:rPr>
          <w:rStyle w:val="FootnoteReference"/>
          <w:rFonts w:cstheme="minorHAnsi"/>
          <w:szCs w:val="24"/>
        </w:rPr>
        <w:footnoteReference w:id="1"/>
      </w:r>
      <w:r w:rsidR="00820542" w:rsidRPr="00A40658">
        <w:rPr>
          <w:rFonts w:cstheme="minorHAnsi"/>
          <w:szCs w:val="24"/>
        </w:rPr>
        <w:t xml:space="preserve"> and suppress Resolutions that have completed their original design and fulfilled their mission.</w:t>
      </w:r>
      <w:r w:rsidR="00820542" w:rsidRPr="00660640">
        <w:rPr>
          <w:rStyle w:val="FootnoteReference"/>
          <w:rFonts w:cstheme="minorHAnsi"/>
          <w:szCs w:val="24"/>
        </w:rPr>
        <w:footnoteReference w:id="2"/>
      </w:r>
      <w:r w:rsidR="00820542" w:rsidRPr="00A40658">
        <w:rPr>
          <w:rFonts w:cstheme="minorHAnsi"/>
          <w:szCs w:val="24"/>
        </w:rPr>
        <w:t xml:space="preserve"> We encourage Members from all regions to join the United States to adopt these proposals.</w:t>
      </w:r>
    </w:p>
    <w:p w:rsidR="00820542" w:rsidRDefault="00820542" w:rsidP="00820542">
      <w:pPr>
        <w:pStyle w:val="CEOcontributionStart"/>
        <w:tabs>
          <w:tab w:val="left" w:pos="1951"/>
        </w:tabs>
        <w:spacing w:before="120"/>
        <w:rPr>
          <w:b/>
          <w:i/>
        </w:rPr>
      </w:pPr>
      <w:r>
        <w:rPr>
          <w:rFonts w:cs="Calibri"/>
          <w:bCs/>
          <w:szCs w:val="24"/>
        </w:rPr>
        <w:t>In this regard,</w:t>
      </w:r>
      <w:r>
        <w:rPr>
          <w:rFonts w:eastAsia="Calibri"/>
          <w:szCs w:val="24"/>
        </w:rPr>
        <w:t xml:space="preserve"> r</w:t>
      </w:r>
      <w:r w:rsidRPr="00BB0819">
        <w:rPr>
          <w:rFonts w:eastAsia="Calibri"/>
          <w:szCs w:val="24"/>
        </w:rPr>
        <w:t xml:space="preserve">evisions to the ITU-D </w:t>
      </w:r>
      <w:r>
        <w:rPr>
          <w:rFonts w:eastAsia="Calibri"/>
          <w:szCs w:val="24"/>
        </w:rPr>
        <w:t>rules of procedure proposed by the Americas region, among other things, would further enhance the ITU-D’s knowledge-sharing activities</w:t>
      </w:r>
      <w:r w:rsidRPr="00BB0819">
        <w:rPr>
          <w:rFonts w:eastAsia="Calibri"/>
          <w:szCs w:val="24"/>
        </w:rPr>
        <w:t>.</w:t>
      </w:r>
      <w:r>
        <w:rPr>
          <w:rFonts w:eastAsia="Calibri"/>
          <w:szCs w:val="24"/>
        </w:rPr>
        <w:t xml:space="preserve"> These proposed changes </w:t>
      </w:r>
      <w:r>
        <w:rPr>
          <w:rFonts w:eastAsia="Calibri"/>
        </w:rPr>
        <w:t>encourage</w:t>
      </w:r>
      <w:r w:rsidRPr="00BB0819">
        <w:rPr>
          <w:rFonts w:eastAsia="Calibri"/>
          <w:szCs w:val="24"/>
        </w:rPr>
        <w:t xml:space="preserve"> more interactive ways to organize the </w:t>
      </w:r>
      <w:r>
        <w:rPr>
          <w:rFonts w:eastAsia="Calibri"/>
          <w:szCs w:val="24"/>
        </w:rPr>
        <w:t xml:space="preserve">Sector’s </w:t>
      </w:r>
      <w:r w:rsidRPr="00BB0819">
        <w:rPr>
          <w:rFonts w:eastAsia="Calibri"/>
          <w:szCs w:val="24"/>
        </w:rPr>
        <w:t>wor</w:t>
      </w:r>
      <w:r>
        <w:rPr>
          <w:rFonts w:eastAsia="Calibri"/>
          <w:szCs w:val="24"/>
        </w:rPr>
        <w:t>k and help</w:t>
      </w:r>
      <w:r w:rsidRPr="00BB0819">
        <w:rPr>
          <w:rFonts w:eastAsia="Calibri"/>
          <w:szCs w:val="24"/>
        </w:rPr>
        <w:t xml:space="preserve"> </w:t>
      </w:r>
      <w:r>
        <w:rPr>
          <w:rFonts w:eastAsia="Calibri"/>
          <w:szCs w:val="24"/>
        </w:rPr>
        <w:t>capture and preserve the</w:t>
      </w:r>
      <w:r w:rsidRPr="00BB0819">
        <w:rPr>
          <w:rFonts w:eastAsia="Calibri"/>
          <w:szCs w:val="24"/>
        </w:rPr>
        <w:t xml:space="preserve"> experiences, ideas, </w:t>
      </w:r>
      <w:r>
        <w:rPr>
          <w:rFonts w:eastAsia="Calibri"/>
          <w:szCs w:val="24"/>
        </w:rPr>
        <w:t>and</w:t>
      </w:r>
      <w:r w:rsidRPr="00BB0819">
        <w:rPr>
          <w:rFonts w:eastAsia="Calibri"/>
          <w:szCs w:val="24"/>
        </w:rPr>
        <w:t xml:space="preserve"> best practices shared by ITU Membership and contributors</w:t>
      </w:r>
      <w:r>
        <w:rPr>
          <w:rFonts w:eastAsia="Calibri"/>
          <w:szCs w:val="24"/>
        </w:rPr>
        <w:t xml:space="preserve">; </w:t>
      </w:r>
      <w:r w:rsidRPr="00BB0819">
        <w:rPr>
          <w:rFonts w:eastAsia="Calibri"/>
          <w:szCs w:val="24"/>
        </w:rPr>
        <w:t xml:space="preserve">and </w:t>
      </w:r>
      <w:r>
        <w:rPr>
          <w:rFonts w:eastAsia="Calibri"/>
          <w:szCs w:val="24"/>
        </w:rPr>
        <w:t xml:space="preserve">they provide </w:t>
      </w:r>
      <w:r w:rsidRPr="00BB0819">
        <w:rPr>
          <w:rFonts w:eastAsia="Calibri"/>
          <w:szCs w:val="24"/>
        </w:rPr>
        <w:t xml:space="preserve">options for </w:t>
      </w:r>
      <w:r>
        <w:rPr>
          <w:rFonts w:eastAsia="Calibri"/>
          <w:szCs w:val="24"/>
        </w:rPr>
        <w:t xml:space="preserve">a </w:t>
      </w:r>
      <w:r w:rsidRPr="00BB0819">
        <w:rPr>
          <w:rFonts w:eastAsia="Calibri"/>
          <w:szCs w:val="24"/>
        </w:rPr>
        <w:t>more diverse range of deliverables and outputs to meet developing countries’ needs</w:t>
      </w:r>
      <w:r>
        <w:rPr>
          <w:rFonts w:eastAsia="Calibri"/>
          <w:szCs w:val="24"/>
        </w:rPr>
        <w:t xml:space="preserve"> </w:t>
      </w:r>
      <w:r w:rsidRPr="00BB0819">
        <w:rPr>
          <w:rFonts w:eastAsia="Calibri"/>
          <w:szCs w:val="24"/>
        </w:rPr>
        <w:t xml:space="preserve">earlier </w:t>
      </w:r>
      <w:r>
        <w:rPr>
          <w:rFonts w:eastAsia="Calibri"/>
          <w:szCs w:val="24"/>
        </w:rPr>
        <w:t>and more effectively during</w:t>
      </w:r>
      <w:r w:rsidRPr="00BB0819">
        <w:rPr>
          <w:rFonts w:eastAsia="Calibri"/>
          <w:szCs w:val="24"/>
        </w:rPr>
        <w:t xml:space="preserve"> the </w:t>
      </w:r>
      <w:r>
        <w:rPr>
          <w:rFonts w:eastAsia="Calibri"/>
          <w:szCs w:val="24"/>
        </w:rPr>
        <w:t>next 4-year</w:t>
      </w:r>
      <w:r w:rsidRPr="00BB0819">
        <w:rPr>
          <w:rFonts w:eastAsia="Calibri"/>
          <w:szCs w:val="24"/>
        </w:rPr>
        <w:t xml:space="preserve"> cycle</w:t>
      </w:r>
      <w:r>
        <w:rPr>
          <w:rFonts w:cs="Calibri"/>
          <w:bCs/>
          <w:szCs w:val="24"/>
        </w:rPr>
        <w:t>.</w:t>
      </w:r>
      <w:r>
        <w:rPr>
          <w:rStyle w:val="FootnoteReference"/>
          <w:rFonts w:cs="Calibri"/>
          <w:bCs/>
          <w:szCs w:val="24"/>
        </w:rPr>
        <w:footnoteReference w:id="3"/>
      </w:r>
    </w:p>
    <w:p w:rsidR="00820542" w:rsidRDefault="00820542" w:rsidP="002E73B9">
      <w:pPr>
        <w:pStyle w:val="CEOcontributionStart"/>
        <w:tabs>
          <w:tab w:val="left" w:pos="1951"/>
        </w:tabs>
        <w:spacing w:before="120"/>
        <w:rPr>
          <w:rFonts w:cs="Calibri"/>
          <w:bCs/>
          <w:szCs w:val="24"/>
        </w:rPr>
      </w:pPr>
      <w:r w:rsidRPr="002153FE">
        <w:rPr>
          <w:rFonts w:cs="Calibri"/>
          <w:bCs/>
          <w:szCs w:val="24"/>
        </w:rPr>
        <w:lastRenderedPageBreak/>
        <w:t xml:space="preserve">Finally, we </w:t>
      </w:r>
      <w:r>
        <w:rPr>
          <w:rFonts w:cs="Calibri"/>
          <w:bCs/>
          <w:szCs w:val="24"/>
        </w:rPr>
        <w:t xml:space="preserve">support continuation of the current scope of ITU-D activities, as well as renewed efforts to improve </w:t>
      </w:r>
      <w:r w:rsidRPr="002153FE">
        <w:rPr>
          <w:rFonts w:cs="Calibri"/>
          <w:bCs/>
          <w:szCs w:val="24"/>
        </w:rPr>
        <w:t xml:space="preserve">collaboration </w:t>
      </w:r>
      <w:r>
        <w:rPr>
          <w:rFonts w:cs="Calibri"/>
          <w:bCs/>
          <w:szCs w:val="24"/>
        </w:rPr>
        <w:t>and increase synergies among</w:t>
      </w:r>
      <w:r w:rsidRPr="002153FE">
        <w:rPr>
          <w:rFonts w:cs="Calibri"/>
          <w:bCs/>
          <w:szCs w:val="24"/>
        </w:rPr>
        <w:t xml:space="preserve"> </w:t>
      </w:r>
      <w:r>
        <w:rPr>
          <w:rFonts w:cs="Calibri"/>
          <w:bCs/>
          <w:szCs w:val="24"/>
        </w:rPr>
        <w:t>BDT work programs, regional initiatives and the study groups. W</w:t>
      </w:r>
      <w:r w:rsidRPr="002153FE">
        <w:rPr>
          <w:rFonts w:cs="Calibri"/>
          <w:bCs/>
          <w:szCs w:val="24"/>
        </w:rPr>
        <w:t xml:space="preserve">e invite the Conference to </w:t>
      </w:r>
      <w:r>
        <w:rPr>
          <w:rFonts w:cs="Calibri"/>
          <w:bCs/>
          <w:szCs w:val="24"/>
        </w:rPr>
        <w:t xml:space="preserve">give serious </w:t>
      </w:r>
      <w:r w:rsidRPr="002153FE">
        <w:rPr>
          <w:rFonts w:cs="Calibri"/>
          <w:bCs/>
          <w:szCs w:val="24"/>
        </w:rPr>
        <w:t>consider</w:t>
      </w:r>
      <w:r>
        <w:rPr>
          <w:rFonts w:cs="Calibri"/>
          <w:bCs/>
          <w:szCs w:val="24"/>
        </w:rPr>
        <w:t>ation to</w:t>
      </w:r>
      <w:r w:rsidRPr="002153FE">
        <w:rPr>
          <w:rFonts w:cs="Calibri"/>
          <w:bCs/>
          <w:szCs w:val="24"/>
        </w:rPr>
        <w:t xml:space="preserve"> proposals to combine study questions and to align study questions with </w:t>
      </w:r>
      <w:r>
        <w:rPr>
          <w:rFonts w:cs="Calibri"/>
          <w:bCs/>
          <w:szCs w:val="24"/>
        </w:rPr>
        <w:t xml:space="preserve">ITU-D’s mandate, objectives and, priorities.  We </w:t>
      </w:r>
      <w:r w:rsidRPr="002153FE">
        <w:rPr>
          <w:rFonts w:cs="Calibri"/>
          <w:bCs/>
          <w:szCs w:val="24"/>
        </w:rPr>
        <w:t>believe that clear link</w:t>
      </w:r>
      <w:r>
        <w:rPr>
          <w:rFonts w:cs="Calibri"/>
          <w:bCs/>
          <w:szCs w:val="24"/>
        </w:rPr>
        <w:t>s</w:t>
      </w:r>
      <w:r w:rsidRPr="002153FE">
        <w:rPr>
          <w:rFonts w:cs="Calibri"/>
          <w:bCs/>
          <w:szCs w:val="24"/>
        </w:rPr>
        <w:t xml:space="preserve"> </w:t>
      </w:r>
      <w:r>
        <w:rPr>
          <w:rFonts w:cs="Calibri"/>
          <w:bCs/>
          <w:szCs w:val="24"/>
        </w:rPr>
        <w:t>among</w:t>
      </w:r>
      <w:r w:rsidRPr="002153FE">
        <w:rPr>
          <w:rFonts w:cs="Calibri"/>
          <w:bCs/>
          <w:szCs w:val="24"/>
        </w:rPr>
        <w:t xml:space="preserve"> study questions, Regional Initiatives and projects</w:t>
      </w:r>
      <w:r>
        <w:rPr>
          <w:rFonts w:cs="Calibri"/>
          <w:bCs/>
          <w:szCs w:val="24"/>
        </w:rPr>
        <w:t>,</w:t>
      </w:r>
      <w:r w:rsidRPr="002153FE">
        <w:rPr>
          <w:rFonts w:cs="Calibri"/>
          <w:bCs/>
          <w:szCs w:val="24"/>
        </w:rPr>
        <w:t xml:space="preserve"> coupled with the membership-driven bottom-up approach</w:t>
      </w:r>
      <w:r>
        <w:rPr>
          <w:rFonts w:cs="Calibri"/>
          <w:bCs/>
          <w:szCs w:val="24"/>
        </w:rPr>
        <w:t>,</w:t>
      </w:r>
      <w:r w:rsidRPr="002153FE">
        <w:rPr>
          <w:rFonts w:cs="Calibri"/>
          <w:bCs/>
          <w:szCs w:val="24"/>
        </w:rPr>
        <w:t xml:space="preserve"> will allow the </w:t>
      </w:r>
      <w:r>
        <w:rPr>
          <w:rFonts w:cs="Calibri"/>
          <w:bCs/>
          <w:szCs w:val="24"/>
        </w:rPr>
        <w:t>ITU-D</w:t>
      </w:r>
      <w:r w:rsidRPr="002153FE">
        <w:rPr>
          <w:rFonts w:cs="Calibri"/>
          <w:bCs/>
          <w:szCs w:val="24"/>
        </w:rPr>
        <w:t xml:space="preserve"> to maximize the use of human and financial resources, </w:t>
      </w:r>
      <w:r>
        <w:rPr>
          <w:rFonts w:cs="Calibri"/>
          <w:bCs/>
          <w:szCs w:val="24"/>
        </w:rPr>
        <w:t>avoid</w:t>
      </w:r>
      <w:r w:rsidRPr="002153FE">
        <w:rPr>
          <w:rFonts w:cs="Calibri"/>
          <w:bCs/>
          <w:szCs w:val="24"/>
        </w:rPr>
        <w:t xml:space="preserve"> duplication, and most importantly, better meet the needs of developing countries.</w:t>
      </w:r>
    </w:p>
    <w:p w:rsidR="00820542" w:rsidRDefault="00820542" w:rsidP="00820542">
      <w:pPr>
        <w:pStyle w:val="CEOcontributionStart"/>
        <w:tabs>
          <w:tab w:val="left" w:pos="1951"/>
        </w:tabs>
      </w:pPr>
      <w:r>
        <w:rPr>
          <w:rFonts w:cs="Calibri"/>
          <w:bCs/>
          <w:szCs w:val="24"/>
        </w:rPr>
        <w:t>Together with the CITEL IAPs bearing the United States’ support, t</w:t>
      </w:r>
      <w:r w:rsidRPr="002153FE">
        <w:rPr>
          <w:rFonts w:cs="Calibri"/>
          <w:bCs/>
          <w:szCs w:val="24"/>
        </w:rPr>
        <w:t>he following proposals reflect</w:t>
      </w:r>
      <w:r>
        <w:rPr>
          <w:rFonts w:cs="Calibri"/>
          <w:bCs/>
          <w:szCs w:val="24"/>
        </w:rPr>
        <w:t xml:space="preserve"> </w:t>
      </w:r>
      <w:r w:rsidRPr="002153FE">
        <w:rPr>
          <w:rFonts w:cs="Calibri"/>
          <w:bCs/>
          <w:szCs w:val="24"/>
        </w:rPr>
        <w:t xml:space="preserve">our priorities and </w:t>
      </w:r>
      <w:r>
        <w:rPr>
          <w:rFonts w:cs="Calibri"/>
          <w:bCs/>
          <w:szCs w:val="24"/>
        </w:rPr>
        <w:t xml:space="preserve">recommended approaches for the ITU-D sector </w:t>
      </w:r>
      <w:r w:rsidRPr="002153FE">
        <w:rPr>
          <w:rFonts w:cs="Calibri"/>
          <w:bCs/>
          <w:szCs w:val="24"/>
        </w:rPr>
        <w:t xml:space="preserve">over the next four-year period. </w:t>
      </w:r>
      <w:bookmarkStart w:id="8" w:name="ProposalNo6"/>
      <w:bookmarkEnd w:id="8"/>
    </w:p>
    <w:p w:rsidR="00820542" w:rsidRPr="00C76543" w:rsidRDefault="00820542" w:rsidP="00820542">
      <w:pPr>
        <w:spacing w:before="240" w:after="240"/>
        <w:jc w:val="center"/>
        <w:rPr>
          <w:rFonts w:cstheme="minorHAnsi"/>
          <w:b/>
          <w:bCs/>
        </w:rPr>
      </w:pPr>
      <w:r w:rsidRPr="00C76543">
        <w:rPr>
          <w:rFonts w:cstheme="minorHAnsi"/>
          <w:b/>
          <w:bCs/>
        </w:rPr>
        <w:t>Table of proposals from United States of America</w:t>
      </w:r>
    </w:p>
    <w:tbl>
      <w:tblPr>
        <w:tblW w:w="502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441"/>
        <w:gridCol w:w="1712"/>
        <w:gridCol w:w="6526"/>
      </w:tblGrid>
      <w:tr w:rsidR="00820542" w:rsidRPr="009F4305" w:rsidTr="009C2FEA">
        <w:trPr>
          <w:cantSplit/>
          <w:tblHeader/>
          <w:jc w:val="center"/>
        </w:trPr>
        <w:tc>
          <w:tcPr>
            <w:tcW w:w="1471" w:type="dxa"/>
            <w:shd w:val="clear" w:color="auto" w:fill="BFBFBF" w:themeFill="background1" w:themeFillShade="BF"/>
          </w:tcPr>
          <w:p w:rsidR="00820542" w:rsidRPr="00CB523F" w:rsidRDefault="00820542" w:rsidP="009C2FEA">
            <w:pPr>
              <w:pStyle w:val="MOSDocInfo"/>
              <w:spacing w:before="120" w:after="120"/>
              <w:rPr>
                <w:b/>
                <w:bCs w:val="0"/>
                <w:lang w:val="en-US"/>
              </w:rPr>
            </w:pPr>
            <w:bookmarkStart w:id="9" w:name="_GoBack" w:colFirst="0" w:colLast="2"/>
            <w:r>
              <w:rPr>
                <w:b/>
                <w:bCs w:val="0"/>
                <w:lang w:val="en-US"/>
              </w:rPr>
              <w:t>Proposal Number</w:t>
            </w:r>
          </w:p>
        </w:tc>
        <w:tc>
          <w:tcPr>
            <w:tcW w:w="1749" w:type="dxa"/>
            <w:shd w:val="clear" w:color="auto" w:fill="BFBFBF" w:themeFill="background1" w:themeFillShade="BF"/>
          </w:tcPr>
          <w:p w:rsidR="00820542" w:rsidRPr="00CB523F" w:rsidRDefault="00820542" w:rsidP="009C2FEA">
            <w:pPr>
              <w:pStyle w:val="MOSDocInfo"/>
              <w:spacing w:before="240" w:after="120"/>
              <w:rPr>
                <w:b/>
                <w:bCs w:val="0"/>
                <w:lang w:val="en-US"/>
              </w:rPr>
            </w:pPr>
            <w:r>
              <w:rPr>
                <w:b/>
                <w:bCs w:val="0"/>
                <w:lang w:val="en-US"/>
              </w:rPr>
              <w:t>Addendum</w:t>
            </w:r>
          </w:p>
        </w:tc>
        <w:tc>
          <w:tcPr>
            <w:tcW w:w="6682" w:type="dxa"/>
            <w:shd w:val="clear" w:color="auto" w:fill="BFBFBF" w:themeFill="background1" w:themeFillShade="BF"/>
          </w:tcPr>
          <w:p w:rsidR="00820542" w:rsidRPr="00C76543" w:rsidRDefault="00820542" w:rsidP="009C2FEA">
            <w:pPr>
              <w:pStyle w:val="MOSDocInfo"/>
              <w:tabs>
                <w:tab w:val="clear" w:pos="851"/>
              </w:tabs>
              <w:spacing w:before="240" w:after="120"/>
              <w:rPr>
                <w:b/>
                <w:bCs w:val="0"/>
              </w:rPr>
            </w:pPr>
            <w:r>
              <w:rPr>
                <w:b/>
                <w:bCs w:val="0"/>
              </w:rPr>
              <w:t>Title</w:t>
            </w:r>
          </w:p>
        </w:tc>
      </w:tr>
      <w:tr w:rsidR="00820542" w:rsidRPr="00166133" w:rsidTr="009C2FEA">
        <w:trPr>
          <w:cantSplit/>
          <w:jc w:val="center"/>
        </w:trPr>
        <w:tc>
          <w:tcPr>
            <w:tcW w:w="1471" w:type="dxa"/>
          </w:tcPr>
          <w:p w:rsidR="00820542" w:rsidRPr="00CB523F" w:rsidRDefault="00820542" w:rsidP="009C2FEA">
            <w:pPr>
              <w:spacing w:before="20" w:after="20"/>
              <w:rPr>
                <w:rFonts w:cstheme="minorHAnsi"/>
                <w:lang w:val="en-US"/>
              </w:rPr>
            </w:pPr>
            <w:r>
              <w:rPr>
                <w:rFonts w:cstheme="minorHAnsi"/>
                <w:lang w:val="en-US"/>
              </w:rPr>
              <w:t>34 Rev. 1</w:t>
            </w:r>
          </w:p>
        </w:tc>
        <w:tc>
          <w:tcPr>
            <w:tcW w:w="1749" w:type="dxa"/>
          </w:tcPr>
          <w:p w:rsidR="00820542" w:rsidRPr="00405EDF" w:rsidRDefault="00820542" w:rsidP="009C2FEA">
            <w:pPr>
              <w:spacing w:before="20" w:after="20"/>
              <w:rPr>
                <w:rFonts w:cstheme="minorHAnsi"/>
              </w:rPr>
            </w:pPr>
          </w:p>
        </w:tc>
        <w:tc>
          <w:tcPr>
            <w:tcW w:w="6682" w:type="dxa"/>
          </w:tcPr>
          <w:p w:rsidR="00820542" w:rsidRPr="00FC6960" w:rsidRDefault="00820542" w:rsidP="009C2FEA">
            <w:pPr>
              <w:pStyle w:val="MOSDocInfo"/>
              <w:spacing w:before="20" w:after="20"/>
              <w:ind w:left="0"/>
            </w:pPr>
            <w:r>
              <w:t>Proposed Modification of Resolution 2</w:t>
            </w:r>
          </w:p>
        </w:tc>
      </w:tr>
      <w:tr w:rsidR="00820542" w:rsidRPr="00166133" w:rsidTr="009C2FEA">
        <w:trPr>
          <w:cantSplit/>
          <w:jc w:val="center"/>
        </w:trPr>
        <w:tc>
          <w:tcPr>
            <w:tcW w:w="1471" w:type="dxa"/>
          </w:tcPr>
          <w:p w:rsidR="00820542" w:rsidRPr="00CB523F" w:rsidRDefault="00820542" w:rsidP="009C2FEA">
            <w:pPr>
              <w:spacing w:before="20" w:after="20"/>
              <w:rPr>
                <w:rFonts w:cstheme="minorHAnsi"/>
                <w:lang w:val="en-US"/>
              </w:rPr>
            </w:pPr>
            <w:r>
              <w:rPr>
                <w:rFonts w:cstheme="minorHAnsi"/>
                <w:lang w:val="en-US"/>
              </w:rPr>
              <w:t>37 Rev. 1</w:t>
            </w:r>
          </w:p>
        </w:tc>
        <w:tc>
          <w:tcPr>
            <w:tcW w:w="1749" w:type="dxa"/>
          </w:tcPr>
          <w:p w:rsidR="00820542" w:rsidRPr="00CB523F" w:rsidRDefault="00820542" w:rsidP="009C2FEA">
            <w:pPr>
              <w:spacing w:before="20" w:after="20"/>
              <w:rPr>
                <w:rFonts w:cstheme="minorHAnsi"/>
                <w:lang w:val="en-US"/>
              </w:rPr>
            </w:pPr>
          </w:p>
        </w:tc>
        <w:tc>
          <w:tcPr>
            <w:tcW w:w="6682" w:type="dxa"/>
          </w:tcPr>
          <w:p w:rsidR="00820542" w:rsidRPr="00FC6960" w:rsidRDefault="00820542" w:rsidP="009C2FEA">
            <w:pPr>
              <w:pStyle w:val="MOSDocInfo"/>
              <w:spacing w:before="20" w:after="20"/>
              <w:ind w:left="0"/>
            </w:pPr>
            <w:r w:rsidRPr="005C41ED">
              <w:rPr>
                <w:u w:val="single"/>
              </w:rPr>
              <w:t>NOC</w:t>
            </w:r>
            <w:r>
              <w:t xml:space="preserve"> Proposal for Resolution 45: </w:t>
            </w:r>
            <w:r>
              <w:rPr>
                <w:szCs w:val="28"/>
              </w:rPr>
              <w:t>mechanisms for enhancing cooperation on cybersecurity, including countering and combatting spam</w:t>
            </w:r>
          </w:p>
        </w:tc>
      </w:tr>
      <w:tr w:rsidR="00A6248C" w:rsidRPr="00166133" w:rsidTr="009C2FEA">
        <w:trPr>
          <w:cantSplit/>
          <w:jc w:val="center"/>
        </w:trPr>
        <w:tc>
          <w:tcPr>
            <w:tcW w:w="1471" w:type="dxa"/>
          </w:tcPr>
          <w:p w:rsidR="00A6248C" w:rsidRPr="00F363D3" w:rsidRDefault="00A6248C" w:rsidP="009C2FEA">
            <w:pPr>
              <w:spacing w:before="20" w:after="20"/>
              <w:rPr>
                <w:rFonts w:cstheme="minorHAnsi"/>
                <w:lang w:val="en-US"/>
              </w:rPr>
            </w:pPr>
            <w:r>
              <w:rPr>
                <w:rFonts w:cstheme="minorHAnsi"/>
                <w:lang w:val="en-US"/>
              </w:rPr>
              <w:t>42</w:t>
            </w:r>
          </w:p>
        </w:tc>
        <w:tc>
          <w:tcPr>
            <w:tcW w:w="1749" w:type="dxa"/>
          </w:tcPr>
          <w:p w:rsidR="00A6248C" w:rsidRDefault="00A6248C" w:rsidP="009C2FEA">
            <w:pPr>
              <w:spacing w:before="20" w:after="20"/>
              <w:rPr>
                <w:rFonts w:cstheme="minorHAnsi"/>
                <w:lang w:val="en-US"/>
              </w:rPr>
            </w:pPr>
          </w:p>
        </w:tc>
        <w:tc>
          <w:tcPr>
            <w:tcW w:w="6682" w:type="dxa"/>
          </w:tcPr>
          <w:p w:rsidR="00A6248C" w:rsidRDefault="00C057CD" w:rsidP="00C057CD">
            <w:pPr>
              <w:pStyle w:val="MOSDocInfo"/>
              <w:spacing w:before="20" w:after="20"/>
              <w:ind w:left="0"/>
            </w:pPr>
            <w:r w:rsidRPr="00C057CD">
              <w:t>Contribution of the United States of America to the 2017 World Telecommunication Development Conference</w:t>
            </w:r>
          </w:p>
        </w:tc>
      </w:tr>
      <w:tr w:rsidR="00820542" w:rsidRPr="00166133" w:rsidTr="009C2FEA">
        <w:trPr>
          <w:cantSplit/>
          <w:jc w:val="center"/>
        </w:trPr>
        <w:tc>
          <w:tcPr>
            <w:tcW w:w="1471" w:type="dxa"/>
          </w:tcPr>
          <w:p w:rsidR="00820542" w:rsidRPr="00F363D3" w:rsidRDefault="00A554FA" w:rsidP="009C2FEA">
            <w:pPr>
              <w:spacing w:before="20" w:after="20"/>
              <w:rPr>
                <w:rFonts w:cstheme="minorHAnsi"/>
                <w:lang w:val="en-US"/>
              </w:rPr>
            </w:pPr>
            <w:r w:rsidRPr="00F363D3">
              <w:rPr>
                <w:rFonts w:cstheme="minorHAnsi"/>
                <w:lang w:val="en-US"/>
              </w:rPr>
              <w:t>42</w:t>
            </w:r>
          </w:p>
        </w:tc>
        <w:tc>
          <w:tcPr>
            <w:tcW w:w="1749" w:type="dxa"/>
          </w:tcPr>
          <w:p w:rsidR="00820542" w:rsidRPr="00CB523F" w:rsidRDefault="00820542" w:rsidP="009C2FEA">
            <w:pPr>
              <w:spacing w:before="20" w:after="20"/>
              <w:rPr>
                <w:rFonts w:cstheme="minorHAnsi"/>
                <w:lang w:val="en-US"/>
              </w:rPr>
            </w:pPr>
            <w:r>
              <w:rPr>
                <w:rFonts w:cstheme="minorHAnsi"/>
                <w:lang w:val="en-US"/>
              </w:rPr>
              <w:t>Add 1</w:t>
            </w:r>
          </w:p>
        </w:tc>
        <w:tc>
          <w:tcPr>
            <w:tcW w:w="6682" w:type="dxa"/>
          </w:tcPr>
          <w:p w:rsidR="00820542" w:rsidRPr="00FC6960" w:rsidRDefault="00820542" w:rsidP="009C2FEA">
            <w:pPr>
              <w:pStyle w:val="MOSDocInfo"/>
              <w:spacing w:before="20" w:after="20"/>
              <w:ind w:left="0"/>
            </w:pPr>
            <w:r>
              <w:t>Proposed modification of Study Question 1/1: Fixed Broadband Networks</w:t>
            </w:r>
          </w:p>
        </w:tc>
      </w:tr>
      <w:tr w:rsidR="00820542" w:rsidRPr="00166133" w:rsidTr="009C2FEA">
        <w:trPr>
          <w:cantSplit/>
          <w:jc w:val="center"/>
        </w:trPr>
        <w:tc>
          <w:tcPr>
            <w:tcW w:w="1471" w:type="dxa"/>
          </w:tcPr>
          <w:p w:rsidR="00820542" w:rsidRPr="00F363D3" w:rsidRDefault="00A554FA" w:rsidP="009C2FEA">
            <w:pPr>
              <w:spacing w:before="20" w:after="20"/>
              <w:rPr>
                <w:rFonts w:cstheme="minorHAnsi"/>
                <w:lang w:val="en-US"/>
              </w:rPr>
            </w:pPr>
            <w:r w:rsidRPr="00F363D3">
              <w:rPr>
                <w:rFonts w:cstheme="minorHAnsi"/>
                <w:lang w:val="en-US"/>
              </w:rPr>
              <w:t>42</w:t>
            </w:r>
          </w:p>
        </w:tc>
        <w:tc>
          <w:tcPr>
            <w:tcW w:w="1749" w:type="dxa"/>
          </w:tcPr>
          <w:p w:rsidR="00820542" w:rsidRPr="00405EDF" w:rsidRDefault="00820542" w:rsidP="009C2FEA">
            <w:pPr>
              <w:spacing w:before="20" w:after="20"/>
              <w:rPr>
                <w:rFonts w:cstheme="minorHAnsi"/>
              </w:rPr>
            </w:pPr>
            <w:r>
              <w:rPr>
                <w:rFonts w:cstheme="minorHAnsi"/>
              </w:rPr>
              <w:t>Add 2</w:t>
            </w:r>
          </w:p>
        </w:tc>
        <w:tc>
          <w:tcPr>
            <w:tcW w:w="6682" w:type="dxa"/>
          </w:tcPr>
          <w:p w:rsidR="00820542" w:rsidRPr="00FC6960" w:rsidRDefault="00820542" w:rsidP="009C2FEA">
            <w:pPr>
              <w:pStyle w:val="MOSDocInfo"/>
              <w:spacing w:before="20" w:after="20"/>
              <w:ind w:left="0"/>
            </w:pPr>
            <w:r>
              <w:t xml:space="preserve">Proposed modification of ITU-D Study Question 3/1: </w:t>
            </w:r>
            <w:r>
              <w:rPr>
                <w:szCs w:val="28"/>
              </w:rPr>
              <w:t>Access to cloud computing: challenges and opportunities for developing countries</w:t>
            </w:r>
          </w:p>
        </w:tc>
      </w:tr>
      <w:tr w:rsidR="00820542" w:rsidRPr="00166133" w:rsidTr="009C2FEA">
        <w:trPr>
          <w:cantSplit/>
          <w:jc w:val="center"/>
        </w:trPr>
        <w:tc>
          <w:tcPr>
            <w:tcW w:w="1471" w:type="dxa"/>
          </w:tcPr>
          <w:p w:rsidR="00820542" w:rsidRPr="00F363D3" w:rsidRDefault="00A554FA" w:rsidP="009C2FEA">
            <w:pPr>
              <w:spacing w:before="20" w:after="20"/>
              <w:rPr>
                <w:rFonts w:cstheme="minorHAnsi"/>
                <w:lang w:val="en-US"/>
              </w:rPr>
            </w:pPr>
            <w:r w:rsidRPr="00F363D3">
              <w:rPr>
                <w:rFonts w:cstheme="minorHAnsi"/>
                <w:lang w:val="en-US"/>
              </w:rPr>
              <w:t>42</w:t>
            </w:r>
          </w:p>
        </w:tc>
        <w:tc>
          <w:tcPr>
            <w:tcW w:w="1749" w:type="dxa"/>
          </w:tcPr>
          <w:p w:rsidR="00820542" w:rsidRPr="00405EDF" w:rsidRDefault="00820542" w:rsidP="009C2FEA">
            <w:pPr>
              <w:spacing w:before="20" w:after="20"/>
              <w:rPr>
                <w:rFonts w:cstheme="minorHAnsi"/>
              </w:rPr>
            </w:pPr>
            <w:r>
              <w:rPr>
                <w:rFonts w:cstheme="minorHAnsi"/>
              </w:rPr>
              <w:t>Add 3</w:t>
            </w:r>
          </w:p>
        </w:tc>
        <w:tc>
          <w:tcPr>
            <w:tcW w:w="6682" w:type="dxa"/>
          </w:tcPr>
          <w:p w:rsidR="00820542" w:rsidRPr="00FC6960" w:rsidRDefault="00820542" w:rsidP="009C2FEA">
            <w:pPr>
              <w:pStyle w:val="MOSDocInfo"/>
              <w:spacing w:before="20" w:after="20"/>
              <w:ind w:left="0"/>
            </w:pPr>
            <w:r w:rsidRPr="005C41ED">
              <w:rPr>
                <w:u w:val="single"/>
              </w:rPr>
              <w:t>NOC</w:t>
            </w:r>
            <w:r>
              <w:t xml:space="preserve"> Proposal for ITU-D Study Question 3/2 – securing information and communication networks: best practices for developing a culture of cybersecurity</w:t>
            </w:r>
          </w:p>
        </w:tc>
      </w:tr>
      <w:tr w:rsidR="00820542" w:rsidRPr="00166133" w:rsidTr="009C2FEA">
        <w:trPr>
          <w:cantSplit/>
          <w:jc w:val="center"/>
        </w:trPr>
        <w:tc>
          <w:tcPr>
            <w:tcW w:w="1471" w:type="dxa"/>
          </w:tcPr>
          <w:p w:rsidR="00820542" w:rsidRPr="00F363D3" w:rsidRDefault="00A554FA" w:rsidP="009C2FEA">
            <w:pPr>
              <w:spacing w:before="20" w:after="20"/>
              <w:rPr>
                <w:rFonts w:cstheme="minorHAnsi"/>
                <w:lang w:val="en-US"/>
              </w:rPr>
            </w:pPr>
            <w:r w:rsidRPr="00F363D3">
              <w:rPr>
                <w:rFonts w:cstheme="minorHAnsi"/>
                <w:lang w:val="en-US"/>
              </w:rPr>
              <w:t>42</w:t>
            </w:r>
          </w:p>
        </w:tc>
        <w:tc>
          <w:tcPr>
            <w:tcW w:w="1749" w:type="dxa"/>
          </w:tcPr>
          <w:p w:rsidR="00820542" w:rsidRPr="00405EDF" w:rsidRDefault="00820542" w:rsidP="009C2FEA">
            <w:pPr>
              <w:spacing w:before="20" w:after="20"/>
              <w:rPr>
                <w:rFonts w:cstheme="minorHAnsi"/>
              </w:rPr>
            </w:pPr>
            <w:r>
              <w:rPr>
                <w:rFonts w:cstheme="minorHAnsi"/>
              </w:rPr>
              <w:t>Add 4</w:t>
            </w:r>
          </w:p>
        </w:tc>
        <w:tc>
          <w:tcPr>
            <w:tcW w:w="6682" w:type="dxa"/>
          </w:tcPr>
          <w:p w:rsidR="00820542" w:rsidRPr="00FC6960" w:rsidRDefault="00820542" w:rsidP="009C2FEA">
            <w:pPr>
              <w:pStyle w:val="MOSDocInfo"/>
              <w:spacing w:before="20" w:after="20"/>
              <w:ind w:left="0"/>
            </w:pPr>
            <w:r>
              <w:rPr>
                <w:szCs w:val="28"/>
              </w:rPr>
              <w:t xml:space="preserve">Proposed suppression (SUP) of ITU-D Study Question 9/2 – Identification of study topics in the ITU-T and ITU-R Study Groups which are of particular interest to developing countries </w:t>
            </w:r>
          </w:p>
        </w:tc>
      </w:tr>
    </w:tbl>
    <w:bookmarkEnd w:id="9"/>
    <w:p w:rsidR="00502940" w:rsidRDefault="00B262E5" w:rsidP="00B262E5">
      <w:pPr>
        <w:pStyle w:val="Reasons"/>
        <w:jc w:val="center"/>
      </w:pPr>
      <w:r>
        <w:t>____________________</w:t>
      </w:r>
    </w:p>
    <w:sectPr w:rsidR="00502940" w:rsidSect="00122432">
      <w:headerReference w:type="default" r:id="rId14"/>
      <w:headerReference w:type="firs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AC7" w:rsidRDefault="00CB1AC7">
      <w:r>
        <w:separator/>
      </w:r>
    </w:p>
  </w:endnote>
  <w:endnote w:type="continuationSeparator" w:id="0">
    <w:p w:rsidR="00CB1AC7" w:rsidRDefault="00CB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2E73B9" w:rsidRPr="004D495C" w:rsidTr="009C2FEA">
      <w:tc>
        <w:tcPr>
          <w:tcW w:w="1526" w:type="dxa"/>
          <w:tcBorders>
            <w:top w:val="single" w:sz="4" w:space="0" w:color="000000"/>
          </w:tcBorders>
          <w:shd w:val="clear" w:color="auto" w:fill="auto"/>
        </w:tcPr>
        <w:p w:rsidR="002E73B9" w:rsidRPr="004D495C" w:rsidRDefault="002E73B9" w:rsidP="002E73B9">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2E73B9" w:rsidRPr="004D495C" w:rsidRDefault="002E73B9" w:rsidP="002E73B9">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2E73B9" w:rsidRPr="004D495C" w:rsidRDefault="00EA76A9" w:rsidP="002E73B9">
          <w:pPr>
            <w:pStyle w:val="FirstFooter"/>
            <w:tabs>
              <w:tab w:val="left" w:pos="2302"/>
            </w:tabs>
            <w:ind w:left="2302" w:hanging="2302"/>
            <w:rPr>
              <w:sz w:val="18"/>
              <w:szCs w:val="18"/>
              <w:highlight w:val="yellow"/>
              <w:lang w:val="en-US"/>
            </w:rPr>
          </w:pPr>
          <w:bookmarkStart w:id="10" w:name="OrgName"/>
          <w:bookmarkEnd w:id="10"/>
          <w:proofErr w:type="spellStart"/>
          <w:r>
            <w:rPr>
              <w:sz w:val="18"/>
              <w:szCs w:val="18"/>
              <w:lang w:val="en-US"/>
            </w:rPr>
            <w:t>Mr</w:t>
          </w:r>
          <w:proofErr w:type="spellEnd"/>
          <w:r>
            <w:rPr>
              <w:sz w:val="18"/>
              <w:szCs w:val="18"/>
              <w:lang w:val="en-US"/>
            </w:rPr>
            <w:t xml:space="preserve"> </w:t>
          </w:r>
          <w:r w:rsidR="002E73B9">
            <w:rPr>
              <w:sz w:val="18"/>
              <w:szCs w:val="18"/>
              <w:lang w:val="en-US"/>
            </w:rPr>
            <w:t xml:space="preserve">Paul </w:t>
          </w:r>
          <w:proofErr w:type="spellStart"/>
          <w:r w:rsidR="002E73B9">
            <w:rPr>
              <w:sz w:val="18"/>
              <w:szCs w:val="18"/>
              <w:lang w:val="en-US"/>
            </w:rPr>
            <w:t>Najarian</w:t>
          </w:r>
          <w:proofErr w:type="spellEnd"/>
          <w:r w:rsidR="002E73B9">
            <w:rPr>
              <w:sz w:val="18"/>
              <w:szCs w:val="18"/>
              <w:lang w:val="en-US"/>
            </w:rPr>
            <w:t>, United States of America</w:t>
          </w:r>
        </w:p>
      </w:tc>
    </w:tr>
    <w:tr w:rsidR="002E73B9" w:rsidRPr="004D495C" w:rsidTr="009C2FEA">
      <w:tc>
        <w:tcPr>
          <w:tcW w:w="1526" w:type="dxa"/>
          <w:shd w:val="clear" w:color="auto" w:fill="auto"/>
        </w:tcPr>
        <w:p w:rsidR="002E73B9" w:rsidRPr="004D495C" w:rsidRDefault="002E73B9" w:rsidP="002E73B9">
          <w:pPr>
            <w:pStyle w:val="FirstFooter"/>
            <w:tabs>
              <w:tab w:val="left" w:pos="1559"/>
              <w:tab w:val="left" w:pos="3828"/>
            </w:tabs>
            <w:rPr>
              <w:sz w:val="20"/>
              <w:lang w:val="en-US"/>
            </w:rPr>
          </w:pPr>
        </w:p>
      </w:tc>
      <w:tc>
        <w:tcPr>
          <w:tcW w:w="2410" w:type="dxa"/>
          <w:shd w:val="clear" w:color="auto" w:fill="auto"/>
        </w:tcPr>
        <w:p w:rsidR="002E73B9" w:rsidRPr="004D495C" w:rsidRDefault="002E73B9" w:rsidP="002E73B9">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rsidR="002E73B9" w:rsidRPr="004D495C" w:rsidRDefault="002E73B9" w:rsidP="002E73B9">
          <w:pPr>
            <w:pStyle w:val="FirstFooter"/>
            <w:tabs>
              <w:tab w:val="left" w:pos="2302"/>
            </w:tabs>
            <w:rPr>
              <w:sz w:val="18"/>
              <w:szCs w:val="18"/>
              <w:highlight w:val="yellow"/>
              <w:lang w:val="en-US"/>
            </w:rPr>
          </w:pPr>
          <w:bookmarkStart w:id="11" w:name="PhoneNo"/>
          <w:bookmarkEnd w:id="11"/>
          <w:r>
            <w:rPr>
              <w:sz w:val="18"/>
              <w:szCs w:val="18"/>
              <w:lang w:val="en-US"/>
            </w:rPr>
            <w:t>+1 202 647 7847</w:t>
          </w:r>
        </w:p>
      </w:tc>
    </w:tr>
    <w:tr w:rsidR="002E73B9" w:rsidRPr="004D495C" w:rsidTr="009C2FEA">
      <w:tc>
        <w:tcPr>
          <w:tcW w:w="1526" w:type="dxa"/>
          <w:shd w:val="clear" w:color="auto" w:fill="auto"/>
        </w:tcPr>
        <w:p w:rsidR="002E73B9" w:rsidRPr="004D495C" w:rsidRDefault="002E73B9" w:rsidP="002E73B9">
          <w:pPr>
            <w:pStyle w:val="FirstFooter"/>
            <w:tabs>
              <w:tab w:val="left" w:pos="1559"/>
              <w:tab w:val="left" w:pos="3828"/>
            </w:tabs>
            <w:rPr>
              <w:sz w:val="20"/>
              <w:lang w:val="en-US"/>
            </w:rPr>
          </w:pPr>
        </w:p>
      </w:tc>
      <w:tc>
        <w:tcPr>
          <w:tcW w:w="2410" w:type="dxa"/>
          <w:shd w:val="clear" w:color="auto" w:fill="auto"/>
        </w:tcPr>
        <w:p w:rsidR="002E73B9" w:rsidRPr="004D495C" w:rsidRDefault="002E73B9" w:rsidP="002E73B9">
          <w:pPr>
            <w:pStyle w:val="FirstFooter"/>
            <w:tabs>
              <w:tab w:val="left" w:pos="2302"/>
            </w:tabs>
            <w:rPr>
              <w:sz w:val="18"/>
              <w:szCs w:val="18"/>
              <w:lang w:val="en-US"/>
            </w:rPr>
          </w:pPr>
          <w:r w:rsidRPr="004D495C">
            <w:rPr>
              <w:sz w:val="18"/>
              <w:szCs w:val="18"/>
              <w:lang w:val="en-US"/>
            </w:rPr>
            <w:t>E-mail:</w:t>
          </w:r>
        </w:p>
      </w:tc>
      <w:bookmarkStart w:id="12" w:name="Email"/>
      <w:bookmarkEnd w:id="12"/>
      <w:tc>
        <w:tcPr>
          <w:tcW w:w="5987" w:type="dxa"/>
          <w:shd w:val="clear" w:color="auto" w:fill="auto"/>
        </w:tcPr>
        <w:p w:rsidR="002E73B9" w:rsidRPr="004D495C" w:rsidRDefault="002E73B9" w:rsidP="002E73B9">
          <w:pPr>
            <w:pStyle w:val="FirstFooter"/>
            <w:tabs>
              <w:tab w:val="left" w:pos="2302"/>
            </w:tabs>
            <w:rPr>
              <w:sz w:val="18"/>
              <w:szCs w:val="18"/>
              <w:highlight w:val="yellow"/>
              <w:lang w:val="en-US"/>
            </w:rPr>
          </w:pPr>
          <w:r>
            <w:rPr>
              <w:sz w:val="18"/>
              <w:szCs w:val="18"/>
              <w:lang w:val="en-US"/>
            </w:rPr>
            <w:fldChar w:fldCharType="begin"/>
          </w:r>
          <w:r>
            <w:rPr>
              <w:sz w:val="18"/>
              <w:szCs w:val="18"/>
              <w:lang w:val="en-US"/>
            </w:rPr>
            <w:instrText xml:space="preserve"> HYPERLINK "mailto:najarianpb@state.gov" </w:instrText>
          </w:r>
          <w:r>
            <w:rPr>
              <w:sz w:val="18"/>
              <w:szCs w:val="18"/>
              <w:lang w:val="en-US"/>
            </w:rPr>
            <w:fldChar w:fldCharType="separate"/>
          </w:r>
          <w:r w:rsidRPr="006211F6">
            <w:rPr>
              <w:rStyle w:val="Hyperlink"/>
              <w:sz w:val="18"/>
              <w:szCs w:val="18"/>
              <w:lang w:val="en-US"/>
            </w:rPr>
            <w:t>najarianpb@state.gov</w:t>
          </w:r>
          <w:r>
            <w:rPr>
              <w:sz w:val="18"/>
              <w:szCs w:val="18"/>
              <w:lang w:val="en-US"/>
            </w:rPr>
            <w:fldChar w:fldCharType="end"/>
          </w:r>
        </w:p>
      </w:tc>
    </w:tr>
  </w:tbl>
  <w:p w:rsidR="002E73B9" w:rsidRPr="00784E03" w:rsidRDefault="00C057CD" w:rsidP="002E73B9">
    <w:pPr>
      <w:jc w:val="center"/>
      <w:rPr>
        <w:sz w:val="20"/>
      </w:rPr>
    </w:pPr>
    <w:hyperlink r:id="rId1" w:history="1">
      <w:r w:rsidR="002E73B9"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AC7" w:rsidRDefault="00CB1AC7">
      <w:r>
        <w:rPr>
          <w:b/>
        </w:rPr>
        <w:t>_______________</w:t>
      </w:r>
    </w:p>
  </w:footnote>
  <w:footnote w:type="continuationSeparator" w:id="0">
    <w:p w:rsidR="00CB1AC7" w:rsidRDefault="00CB1AC7">
      <w:r>
        <w:continuationSeparator/>
      </w:r>
    </w:p>
  </w:footnote>
  <w:footnote w:id="1">
    <w:p w:rsidR="00820542" w:rsidRPr="00660640" w:rsidRDefault="00820542" w:rsidP="00820542">
      <w:pPr>
        <w:pStyle w:val="FootnoteText"/>
        <w:rPr>
          <w:sz w:val="20"/>
          <w:lang w:val="en-US"/>
        </w:rPr>
      </w:pPr>
      <w:r>
        <w:rPr>
          <w:rStyle w:val="FootnoteReference"/>
        </w:rPr>
        <w:footnoteRef/>
      </w:r>
      <w:r>
        <w:rPr>
          <w:sz w:val="20"/>
        </w:rPr>
        <w:t xml:space="preserve"> IAPs supported by the United States propose to merge </w:t>
      </w:r>
      <w:r w:rsidRPr="00660640">
        <w:rPr>
          <w:sz w:val="20"/>
        </w:rPr>
        <w:t xml:space="preserve">Resolutions 46 </w:t>
      </w:r>
      <w:r>
        <w:rPr>
          <w:sz w:val="20"/>
        </w:rPr>
        <w:t xml:space="preserve">(Doha, 2006) </w:t>
      </w:r>
      <w:r w:rsidRPr="00660640">
        <w:rPr>
          <w:sz w:val="20"/>
        </w:rPr>
        <w:t>and 68</w:t>
      </w:r>
      <w:r>
        <w:rPr>
          <w:sz w:val="20"/>
        </w:rPr>
        <w:t xml:space="preserve"> (Rev. Dubai, 2014) related to a</w:t>
      </w:r>
      <w:r w:rsidRPr="00660640">
        <w:rPr>
          <w:sz w:val="20"/>
        </w:rPr>
        <w:t>ssistance for indigenous peoples and communities</w:t>
      </w:r>
      <w:r>
        <w:rPr>
          <w:sz w:val="20"/>
        </w:rPr>
        <w:t xml:space="preserve">, and </w:t>
      </w:r>
      <w:r w:rsidRPr="00660640">
        <w:rPr>
          <w:sz w:val="20"/>
        </w:rPr>
        <w:t>Resolutions 50 and 54</w:t>
      </w:r>
      <w:r>
        <w:rPr>
          <w:sz w:val="20"/>
        </w:rPr>
        <w:t xml:space="preserve"> (Rev. Dubai, 2014) covering </w:t>
      </w:r>
      <w:r w:rsidRPr="00660640">
        <w:rPr>
          <w:sz w:val="20"/>
        </w:rPr>
        <w:t>ICT technology and applications</w:t>
      </w:r>
      <w:r>
        <w:rPr>
          <w:sz w:val="20"/>
        </w:rPr>
        <w:t>.</w:t>
      </w:r>
    </w:p>
  </w:footnote>
  <w:footnote w:id="2">
    <w:p w:rsidR="00820542" w:rsidRPr="00AC59A6" w:rsidRDefault="00820542" w:rsidP="00820542">
      <w:pPr>
        <w:pStyle w:val="Restitle"/>
        <w:jc w:val="left"/>
        <w:rPr>
          <w:b w:val="0"/>
          <w:sz w:val="20"/>
        </w:rPr>
      </w:pPr>
      <w:r w:rsidRPr="00660640">
        <w:rPr>
          <w:rStyle w:val="FootnoteReference"/>
          <w:b w:val="0"/>
        </w:rPr>
        <w:footnoteRef/>
      </w:r>
      <w:r>
        <w:rPr>
          <w:b w:val="0"/>
          <w:sz w:val="20"/>
        </w:rPr>
        <w:t xml:space="preserve"> </w:t>
      </w:r>
      <w:r w:rsidRPr="00080752">
        <w:rPr>
          <w:b w:val="0"/>
          <w:sz w:val="20"/>
        </w:rPr>
        <w:t>IAP</w:t>
      </w:r>
      <w:r w:rsidRPr="00EF5D27">
        <w:rPr>
          <w:b w:val="0"/>
          <w:sz w:val="20"/>
        </w:rPr>
        <w:t xml:space="preserve"> </w:t>
      </w:r>
      <w:r w:rsidRPr="00660640">
        <w:rPr>
          <w:b w:val="0"/>
          <w:sz w:val="20"/>
        </w:rPr>
        <w:t xml:space="preserve">1 </w:t>
      </w:r>
      <w:r w:rsidRPr="00EF5D27">
        <w:rPr>
          <w:b w:val="0"/>
          <w:sz w:val="20"/>
        </w:rPr>
        <w:t>would</w:t>
      </w:r>
      <w:r>
        <w:rPr>
          <w:b w:val="0"/>
          <w:sz w:val="20"/>
        </w:rPr>
        <w:t xml:space="preserve"> supress Resolution 39 (Istanbul, 2002), the </w:t>
      </w:r>
      <w:r w:rsidRPr="00660640">
        <w:rPr>
          <w:b w:val="0"/>
          <w:sz w:val="20"/>
        </w:rPr>
        <w:t>Agenda for connectivity in the Americas and Quito Action Plan</w:t>
      </w:r>
      <w:r>
        <w:rPr>
          <w:b w:val="0"/>
          <w:sz w:val="20"/>
        </w:rPr>
        <w:t>.</w:t>
      </w:r>
    </w:p>
  </w:footnote>
  <w:footnote w:id="3">
    <w:p w:rsidR="00820542" w:rsidRPr="00660640" w:rsidRDefault="00820542" w:rsidP="00820542">
      <w:pPr>
        <w:pStyle w:val="FootnoteText"/>
        <w:rPr>
          <w:lang w:val="en-US"/>
        </w:rPr>
      </w:pPr>
      <w:r>
        <w:rPr>
          <w:rStyle w:val="FootnoteReference"/>
        </w:rPr>
        <w:footnoteRef/>
      </w:r>
      <w:r>
        <w:rPr>
          <w:rFonts w:eastAsia="Calibri"/>
          <w:sz w:val="20"/>
        </w:rPr>
        <w:t xml:space="preserve"> The referenced p</w:t>
      </w:r>
      <w:r w:rsidRPr="00660640">
        <w:rPr>
          <w:rFonts w:eastAsia="Calibri"/>
          <w:sz w:val="20"/>
        </w:rPr>
        <w:t>roposed revisions to the ITU-D rul</w:t>
      </w:r>
      <w:r>
        <w:rPr>
          <w:rFonts w:eastAsia="Calibri"/>
          <w:sz w:val="20"/>
        </w:rPr>
        <w:t>es of procedure can be found in</w:t>
      </w:r>
      <w:r w:rsidRPr="00660640">
        <w:rPr>
          <w:rFonts w:eastAsia="Calibri"/>
          <w:sz w:val="20"/>
        </w:rPr>
        <w:t xml:space="preserve"> IAP 27.</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444" w:rsidRPr="00FB312D" w:rsidRDefault="00177444" w:rsidP="00175A41">
    <w:pPr>
      <w:tabs>
        <w:tab w:val="clear" w:pos="794"/>
        <w:tab w:val="clear" w:pos="1191"/>
        <w:tab w:val="clear" w:pos="1588"/>
        <w:tab w:val="clear" w:pos="1985"/>
        <w:tab w:val="center" w:pos="4820"/>
        <w:tab w:val="right" w:pos="14742"/>
      </w:tabs>
      <w:rPr>
        <w:sz w:val="22"/>
        <w:szCs w:val="22"/>
      </w:rPr>
    </w:pPr>
    <w:r w:rsidRPr="00FB312D">
      <w:rPr>
        <w:sz w:val="22"/>
        <w:szCs w:val="22"/>
      </w:rPr>
      <w:tab/>
    </w:r>
    <w:r w:rsidRPr="00A74B99">
      <w:rPr>
        <w:sz w:val="22"/>
        <w:szCs w:val="22"/>
        <w:lang w:val="de-CH"/>
      </w:rPr>
      <w:t>WTDC-17/</w:t>
    </w:r>
    <w:r w:rsidRPr="00A74B99">
      <w:rPr>
        <w:sz w:val="22"/>
        <w:szCs w:val="22"/>
      </w:rPr>
      <w:t>4</w:t>
    </w:r>
    <w:r w:rsidR="00175A41">
      <w:rPr>
        <w:sz w:val="22"/>
        <w:szCs w:val="22"/>
      </w:rPr>
      <w:t>2</w:t>
    </w:r>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C057CD">
      <w:rPr>
        <w:noProof/>
        <w:sz w:val="22"/>
        <w:szCs w:val="22"/>
      </w:rPr>
      <w:t>3</w:t>
    </w:r>
    <w:r w:rsidRPr="00FB312D">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444" w:rsidRPr="00FB312D" w:rsidRDefault="00177444" w:rsidP="004535BD">
    <w:pPr>
      <w:tabs>
        <w:tab w:val="clear" w:pos="794"/>
        <w:tab w:val="clear" w:pos="1191"/>
        <w:tab w:val="clear" w:pos="1588"/>
        <w:tab w:val="clear" w:pos="1985"/>
        <w:tab w:val="center" w:pos="4820"/>
        <w:tab w:val="right" w:pos="14742"/>
      </w:tabs>
      <w:rPr>
        <w:sz w:val="22"/>
        <w:szCs w:val="22"/>
      </w:rPr>
    </w:pPr>
    <w:r w:rsidRPr="00FB312D">
      <w:rPr>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FE27F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AC32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9EB9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1EE9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38F4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C2A8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E6F7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12CE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6218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0672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4F42B25"/>
    <w:multiLevelType w:val="hybridMultilevel"/>
    <w:tmpl w:val="E47AB2B6"/>
    <w:lvl w:ilvl="0" w:tplc="08090003">
      <w:start w:val="1"/>
      <w:numFmt w:val="bullet"/>
      <w:lvlText w:val="o"/>
      <w:lvlJc w:val="left"/>
      <w:pPr>
        <w:ind w:left="1514" w:hanging="360"/>
      </w:pPr>
      <w:rPr>
        <w:rFonts w:ascii="Courier New" w:hAnsi="Courier New" w:cs="Courier New"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153371F4"/>
    <w:multiLevelType w:val="hybridMultilevel"/>
    <w:tmpl w:val="C36A5C2E"/>
    <w:lvl w:ilvl="0" w:tplc="BE30DD02">
      <w:numFmt w:val="bullet"/>
      <w:lvlText w:val="–"/>
      <w:lvlJc w:val="left"/>
      <w:pPr>
        <w:ind w:left="360" w:hanging="360"/>
      </w:pPr>
      <w:rPr>
        <w:rFonts w:ascii="Calibri" w:eastAsia="SimSu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A154EED"/>
    <w:multiLevelType w:val="hybridMultilevel"/>
    <w:tmpl w:val="F93294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CC2CC3"/>
    <w:multiLevelType w:val="hybridMultilevel"/>
    <w:tmpl w:val="3BBE5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E228C5"/>
    <w:multiLevelType w:val="hybridMultilevel"/>
    <w:tmpl w:val="7E88C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145A0"/>
    <w:multiLevelType w:val="hybridMultilevel"/>
    <w:tmpl w:val="2AB0F52E"/>
    <w:lvl w:ilvl="0" w:tplc="B7665DD0">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8E7891"/>
    <w:multiLevelType w:val="hybridMultilevel"/>
    <w:tmpl w:val="AB0C9168"/>
    <w:lvl w:ilvl="0" w:tplc="BE30DD02">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6D4851"/>
    <w:multiLevelType w:val="hybridMultilevel"/>
    <w:tmpl w:val="8FCE37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98746EA"/>
    <w:multiLevelType w:val="hybridMultilevel"/>
    <w:tmpl w:val="BBA68950"/>
    <w:lvl w:ilvl="0" w:tplc="BE30DD02">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2" w15:restartNumberingAfterBreak="0">
    <w:nsid w:val="5FB3274E"/>
    <w:multiLevelType w:val="hybridMultilevel"/>
    <w:tmpl w:val="477CD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A741BC"/>
    <w:multiLevelType w:val="hybridMultilevel"/>
    <w:tmpl w:val="19D20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3"/>
  </w:num>
  <w:num w:numId="4">
    <w:abstractNumId w:val="12"/>
  </w:num>
  <w:num w:numId="5">
    <w:abstractNumId w:val="21"/>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7"/>
  </w:num>
  <w:num w:numId="16">
    <w:abstractNumId w:val="18"/>
  </w:num>
  <w:num w:numId="17">
    <w:abstractNumId w:val="19"/>
  </w:num>
  <w:num w:numId="18">
    <w:abstractNumId w:val="15"/>
  </w:num>
  <w:num w:numId="19">
    <w:abstractNumId w:val="13"/>
  </w:num>
  <w:num w:numId="20">
    <w:abstractNumId w:val="20"/>
  </w:num>
  <w:num w:numId="21">
    <w:abstractNumId w:val="22"/>
  </w:num>
  <w:num w:numId="22">
    <w:abstractNumId w:val="24"/>
  </w:num>
  <w:num w:numId="23">
    <w:abstractNumId w:val="14"/>
  </w:num>
  <w:num w:numId="24">
    <w:abstractNumId w:val="1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082E"/>
    <w:rsid w:val="00022A29"/>
    <w:rsid w:val="000355FD"/>
    <w:rsid w:val="0004315E"/>
    <w:rsid w:val="00051E39"/>
    <w:rsid w:val="00064F74"/>
    <w:rsid w:val="00075C63"/>
    <w:rsid w:val="00077239"/>
    <w:rsid w:val="00080905"/>
    <w:rsid w:val="000822BE"/>
    <w:rsid w:val="000824FA"/>
    <w:rsid w:val="00086491"/>
    <w:rsid w:val="00091346"/>
    <w:rsid w:val="000D0139"/>
    <w:rsid w:val="000F02B9"/>
    <w:rsid w:val="000F73FF"/>
    <w:rsid w:val="0011289D"/>
    <w:rsid w:val="00114CF7"/>
    <w:rsid w:val="00122432"/>
    <w:rsid w:val="00123B68"/>
    <w:rsid w:val="00126F2E"/>
    <w:rsid w:val="00130081"/>
    <w:rsid w:val="00135423"/>
    <w:rsid w:val="00146F6F"/>
    <w:rsid w:val="00147DA1"/>
    <w:rsid w:val="00152957"/>
    <w:rsid w:val="00175A41"/>
    <w:rsid w:val="00177444"/>
    <w:rsid w:val="00187BD9"/>
    <w:rsid w:val="00190B55"/>
    <w:rsid w:val="00194CFB"/>
    <w:rsid w:val="001A0F00"/>
    <w:rsid w:val="001B2ED3"/>
    <w:rsid w:val="001C3B5F"/>
    <w:rsid w:val="001D058F"/>
    <w:rsid w:val="001D7CE4"/>
    <w:rsid w:val="001F368B"/>
    <w:rsid w:val="002009EA"/>
    <w:rsid w:val="00201921"/>
    <w:rsid w:val="00202CA0"/>
    <w:rsid w:val="002154A6"/>
    <w:rsid w:val="002162CD"/>
    <w:rsid w:val="00217175"/>
    <w:rsid w:val="002255B3"/>
    <w:rsid w:val="00236E8A"/>
    <w:rsid w:val="00260F50"/>
    <w:rsid w:val="00271316"/>
    <w:rsid w:val="00280F6B"/>
    <w:rsid w:val="00296313"/>
    <w:rsid w:val="002D58BE"/>
    <w:rsid w:val="002E73B9"/>
    <w:rsid w:val="003013EE"/>
    <w:rsid w:val="00323DA5"/>
    <w:rsid w:val="00360D96"/>
    <w:rsid w:val="0037069D"/>
    <w:rsid w:val="0037527B"/>
    <w:rsid w:val="00377BD3"/>
    <w:rsid w:val="00384088"/>
    <w:rsid w:val="0038489B"/>
    <w:rsid w:val="0039169B"/>
    <w:rsid w:val="003A7F8C"/>
    <w:rsid w:val="003B532E"/>
    <w:rsid w:val="003B6F14"/>
    <w:rsid w:val="003D0F8B"/>
    <w:rsid w:val="004131D4"/>
    <w:rsid w:val="0041348E"/>
    <w:rsid w:val="00420097"/>
    <w:rsid w:val="00447308"/>
    <w:rsid w:val="004535BD"/>
    <w:rsid w:val="0046657C"/>
    <w:rsid w:val="004765FF"/>
    <w:rsid w:val="0048040C"/>
    <w:rsid w:val="0048292A"/>
    <w:rsid w:val="00492075"/>
    <w:rsid w:val="004969AD"/>
    <w:rsid w:val="004B13CB"/>
    <w:rsid w:val="004B4FDF"/>
    <w:rsid w:val="004B6902"/>
    <w:rsid w:val="004C0E17"/>
    <w:rsid w:val="004D5D5C"/>
    <w:rsid w:val="004E0A78"/>
    <w:rsid w:val="0050139F"/>
    <w:rsid w:val="00502940"/>
    <w:rsid w:val="00502F00"/>
    <w:rsid w:val="00521223"/>
    <w:rsid w:val="00524DF1"/>
    <w:rsid w:val="0055140B"/>
    <w:rsid w:val="00554C4F"/>
    <w:rsid w:val="00561D72"/>
    <w:rsid w:val="00562371"/>
    <w:rsid w:val="00580A7E"/>
    <w:rsid w:val="005964AB"/>
    <w:rsid w:val="005B44F5"/>
    <w:rsid w:val="005C099A"/>
    <w:rsid w:val="005C31A5"/>
    <w:rsid w:val="005D5C25"/>
    <w:rsid w:val="005E10C9"/>
    <w:rsid w:val="005E61DD"/>
    <w:rsid w:val="005E6321"/>
    <w:rsid w:val="006023DF"/>
    <w:rsid w:val="00606DF7"/>
    <w:rsid w:val="006126CF"/>
    <w:rsid w:val="00621860"/>
    <w:rsid w:val="006249A9"/>
    <w:rsid w:val="0062552F"/>
    <w:rsid w:val="0064322F"/>
    <w:rsid w:val="00657DE0"/>
    <w:rsid w:val="0067199F"/>
    <w:rsid w:val="00685313"/>
    <w:rsid w:val="006A6E9B"/>
    <w:rsid w:val="006B7C2A"/>
    <w:rsid w:val="006C23DA"/>
    <w:rsid w:val="006E3D45"/>
    <w:rsid w:val="006E6ABA"/>
    <w:rsid w:val="006E6F4E"/>
    <w:rsid w:val="007149F9"/>
    <w:rsid w:val="00730183"/>
    <w:rsid w:val="00733A30"/>
    <w:rsid w:val="007353FE"/>
    <w:rsid w:val="0074582C"/>
    <w:rsid w:val="00745AEE"/>
    <w:rsid w:val="007479EA"/>
    <w:rsid w:val="00750F10"/>
    <w:rsid w:val="007662E8"/>
    <w:rsid w:val="007742CA"/>
    <w:rsid w:val="00787D58"/>
    <w:rsid w:val="00792BC3"/>
    <w:rsid w:val="007C676D"/>
    <w:rsid w:val="007D06F0"/>
    <w:rsid w:val="007D45E3"/>
    <w:rsid w:val="007D5320"/>
    <w:rsid w:val="007E6A33"/>
    <w:rsid w:val="007F28CC"/>
    <w:rsid w:val="007F735C"/>
    <w:rsid w:val="00800972"/>
    <w:rsid w:val="00804475"/>
    <w:rsid w:val="00811633"/>
    <w:rsid w:val="00820542"/>
    <w:rsid w:val="00821CEF"/>
    <w:rsid w:val="00832828"/>
    <w:rsid w:val="0083645A"/>
    <w:rsid w:val="00840B0F"/>
    <w:rsid w:val="00853DCD"/>
    <w:rsid w:val="008711AE"/>
    <w:rsid w:val="00872F39"/>
    <w:rsid w:val="00872FC8"/>
    <w:rsid w:val="008801D3"/>
    <w:rsid w:val="00882EE5"/>
    <w:rsid w:val="0088351F"/>
    <w:rsid w:val="008845D0"/>
    <w:rsid w:val="008846AE"/>
    <w:rsid w:val="00895F28"/>
    <w:rsid w:val="008A204A"/>
    <w:rsid w:val="008B43F2"/>
    <w:rsid w:val="008B5657"/>
    <w:rsid w:val="008B61EA"/>
    <w:rsid w:val="008B6CFF"/>
    <w:rsid w:val="008C65C7"/>
    <w:rsid w:val="008D15D9"/>
    <w:rsid w:val="00910B26"/>
    <w:rsid w:val="009274B4"/>
    <w:rsid w:val="00934EA2"/>
    <w:rsid w:val="00944A5C"/>
    <w:rsid w:val="00952A66"/>
    <w:rsid w:val="00961AFE"/>
    <w:rsid w:val="0096335A"/>
    <w:rsid w:val="009725E9"/>
    <w:rsid w:val="00985F3E"/>
    <w:rsid w:val="009A2855"/>
    <w:rsid w:val="009A6BB6"/>
    <w:rsid w:val="009B34FC"/>
    <w:rsid w:val="009C56E5"/>
    <w:rsid w:val="009E5FC8"/>
    <w:rsid w:val="009E687A"/>
    <w:rsid w:val="00A03C5C"/>
    <w:rsid w:val="00A066F1"/>
    <w:rsid w:val="00A141AF"/>
    <w:rsid w:val="00A16D29"/>
    <w:rsid w:val="00A20E5E"/>
    <w:rsid w:val="00A30305"/>
    <w:rsid w:val="00A31D2D"/>
    <w:rsid w:val="00A40658"/>
    <w:rsid w:val="00A43C4D"/>
    <w:rsid w:val="00A4600A"/>
    <w:rsid w:val="00A538A6"/>
    <w:rsid w:val="00A54C25"/>
    <w:rsid w:val="00A554FA"/>
    <w:rsid w:val="00A61139"/>
    <w:rsid w:val="00A6248C"/>
    <w:rsid w:val="00A710E7"/>
    <w:rsid w:val="00A7372E"/>
    <w:rsid w:val="00A74B99"/>
    <w:rsid w:val="00A93B85"/>
    <w:rsid w:val="00AA0B18"/>
    <w:rsid w:val="00AA3F20"/>
    <w:rsid w:val="00AA666F"/>
    <w:rsid w:val="00AB4927"/>
    <w:rsid w:val="00AE5E5E"/>
    <w:rsid w:val="00AF36F2"/>
    <w:rsid w:val="00B004E5"/>
    <w:rsid w:val="00B0229C"/>
    <w:rsid w:val="00B15F9D"/>
    <w:rsid w:val="00B262E5"/>
    <w:rsid w:val="00B639E9"/>
    <w:rsid w:val="00B817CD"/>
    <w:rsid w:val="00B87300"/>
    <w:rsid w:val="00B911B2"/>
    <w:rsid w:val="00B914E6"/>
    <w:rsid w:val="00B951D0"/>
    <w:rsid w:val="00BB29C8"/>
    <w:rsid w:val="00BB3A95"/>
    <w:rsid w:val="00BC0382"/>
    <w:rsid w:val="00BF5E2A"/>
    <w:rsid w:val="00C0018F"/>
    <w:rsid w:val="00C057CD"/>
    <w:rsid w:val="00C20466"/>
    <w:rsid w:val="00C214ED"/>
    <w:rsid w:val="00C234E6"/>
    <w:rsid w:val="00C26DD5"/>
    <w:rsid w:val="00C324A8"/>
    <w:rsid w:val="00C47519"/>
    <w:rsid w:val="00C54517"/>
    <w:rsid w:val="00C61876"/>
    <w:rsid w:val="00C619BF"/>
    <w:rsid w:val="00C64CD8"/>
    <w:rsid w:val="00C94986"/>
    <w:rsid w:val="00C97C68"/>
    <w:rsid w:val="00CA1A47"/>
    <w:rsid w:val="00CB1AC7"/>
    <w:rsid w:val="00CC247A"/>
    <w:rsid w:val="00CD45EB"/>
    <w:rsid w:val="00CE5E47"/>
    <w:rsid w:val="00CF020F"/>
    <w:rsid w:val="00CF10D5"/>
    <w:rsid w:val="00CF2B5B"/>
    <w:rsid w:val="00D0080C"/>
    <w:rsid w:val="00D14CE0"/>
    <w:rsid w:val="00D33B51"/>
    <w:rsid w:val="00D36333"/>
    <w:rsid w:val="00D53A70"/>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73CC1"/>
    <w:rsid w:val="00E77344"/>
    <w:rsid w:val="00E976C1"/>
    <w:rsid w:val="00EA12E5"/>
    <w:rsid w:val="00EA76A9"/>
    <w:rsid w:val="00ED2D36"/>
    <w:rsid w:val="00ED5132"/>
    <w:rsid w:val="00EE49A8"/>
    <w:rsid w:val="00F00C71"/>
    <w:rsid w:val="00F02766"/>
    <w:rsid w:val="00F04067"/>
    <w:rsid w:val="00F05BD4"/>
    <w:rsid w:val="00F11A98"/>
    <w:rsid w:val="00F21A1D"/>
    <w:rsid w:val="00F3465E"/>
    <w:rsid w:val="00F35274"/>
    <w:rsid w:val="00F363D3"/>
    <w:rsid w:val="00F61242"/>
    <w:rsid w:val="00F65C19"/>
    <w:rsid w:val="00F86CF4"/>
    <w:rsid w:val="00F97807"/>
    <w:rsid w:val="00FB3E24"/>
    <w:rsid w:val="00FD16B8"/>
    <w:rsid w:val="00FD2546"/>
    <w:rsid w:val="00FD772E"/>
    <w:rsid w:val="00FE0519"/>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next w:val="enumlev1"/>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table" w:styleId="TableGrid">
    <w:name w:val="Table Grid"/>
    <w:basedOn w:val="TableNormal"/>
    <w:uiPriority w:val="59"/>
    <w:rsid w:val="00FE05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rsid w:val="00260F50"/>
    <w:rPr>
      <w:rFonts w:asciiTheme="minorHAnsi" w:hAnsiTheme="minorHAnsi"/>
      <w:sz w:val="24"/>
      <w:lang w:val="en-GB" w:eastAsia="en-US"/>
    </w:rPr>
  </w:style>
  <w:style w:type="character" w:customStyle="1" w:styleId="ResNoChar">
    <w:name w:val="Res_No Char"/>
    <w:basedOn w:val="DefaultParagraphFont"/>
    <w:link w:val="ResNo"/>
    <w:rsid w:val="00260F50"/>
    <w:rPr>
      <w:rFonts w:asciiTheme="minorHAnsi" w:hAnsiTheme="minorHAnsi"/>
      <w:caps/>
      <w:sz w:val="28"/>
      <w:lang w:val="en-GB" w:eastAsia="en-US"/>
    </w:rPr>
  </w:style>
  <w:style w:type="character" w:customStyle="1" w:styleId="HeadingbChar">
    <w:name w:val="Heading_b Char"/>
    <w:basedOn w:val="DefaultParagraphFont"/>
    <w:link w:val="Headingb"/>
    <w:locked/>
    <w:rsid w:val="00562371"/>
    <w:rPr>
      <w:rFonts w:asciiTheme="minorHAnsi" w:hAnsiTheme="minorHAnsi" w:cs="Times New Roman Bold"/>
      <w:b/>
      <w:sz w:val="24"/>
      <w:lang w:val="fr-CH" w:eastAsia="en-US"/>
    </w:rPr>
  </w:style>
  <w:style w:type="paragraph" w:customStyle="1" w:styleId="CEOcontributionStart">
    <w:name w:val="CEO_contributionStart"/>
    <w:next w:val="Normal"/>
    <w:rsid w:val="00820542"/>
    <w:pPr>
      <w:spacing w:before="360" w:after="120"/>
    </w:pPr>
    <w:rPr>
      <w:rFonts w:ascii="Calibri" w:eastAsia="SimHei" w:hAnsi="Calibri" w:cs="Simplified Arabic"/>
      <w:sz w:val="24"/>
      <w:szCs w:val="28"/>
      <w:lang w:val="en-GB" w:eastAsia="en-US"/>
    </w:rPr>
  </w:style>
  <w:style w:type="paragraph" w:customStyle="1" w:styleId="MOSDocInfo">
    <w:name w:val="MOSDocInfo"/>
    <w:basedOn w:val="Normal"/>
    <w:rsid w:val="00820542"/>
    <w:pPr>
      <w:tabs>
        <w:tab w:val="clear" w:pos="794"/>
        <w:tab w:val="clear" w:pos="1191"/>
        <w:tab w:val="clear" w:pos="1588"/>
        <w:tab w:val="clear" w:pos="1985"/>
        <w:tab w:val="left" w:pos="851"/>
      </w:tabs>
      <w:overflowPunct/>
      <w:autoSpaceDE/>
      <w:autoSpaceDN/>
      <w:adjustRightInd/>
      <w:spacing w:before="0" w:line="240" w:lineRule="atLeast"/>
      <w:ind w:left="97"/>
      <w:textAlignment w:val="auto"/>
    </w:pPr>
    <w:rPr>
      <w:rFonts w:ascii="Verdana" w:eastAsia="SimSun" w:hAnsi="Verdana"/>
      <w:bCs/>
      <w:sz w:val="20"/>
    </w:rPr>
  </w:style>
  <w:style w:type="character" w:customStyle="1" w:styleId="RestitleChar">
    <w:name w:val="Res_title Char"/>
    <w:link w:val="Restitle"/>
    <w:locked/>
    <w:rsid w:val="00820542"/>
    <w:rPr>
      <w:rFonts w:asciiTheme="minorHAnsi" w:hAnsiTheme="minorHAnsi"/>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D14-WTDC17-C-0034!!MSW-E</DPM_x0020_File_x0020_name>
    <DPM_x0020_Author xmlns="32a1a8c5-2265-4ebc-b7a0-2071e2c5c9bb" xsi:nil="false">DPM</DPM_x0020_Author>
    <DPM_x0020_Version xmlns="32a1a8c5-2265-4ebc-b7a0-2071e2c5c9bb" xsi:nil="false">DPM_2017.09.13.1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1D3FE9-ABCB-4AA1-A5EB-B4A74CA434B3}">
  <ds:schemaRefs>
    <ds:schemaRef ds:uri="http://schemas.microsoft.com/sharepoint/v3/contenttype/forms"/>
  </ds:schemaRefs>
</ds:datastoreItem>
</file>

<file path=customXml/itemProps3.xml><?xml version="1.0" encoding="utf-8"?>
<ds:datastoreItem xmlns:ds="http://schemas.openxmlformats.org/officeDocument/2006/customXml" ds:itemID="{935F524F-0471-42CE-8369-E0757DC0E7E1}">
  <ds:schemaRefs>
    <ds:schemaRef ds:uri="http://schemas.microsoft.com/sharepoint/events"/>
  </ds:schemaRefs>
</ds:datastoreItem>
</file>

<file path=customXml/itemProps4.xml><?xml version="1.0" encoding="utf-8"?>
<ds:datastoreItem xmlns:ds="http://schemas.openxmlformats.org/officeDocument/2006/customXml" ds:itemID="{11165ACF-04E6-4B14-8BBE-204C699BFC8A}">
  <ds:schemaRefs>
    <ds:schemaRef ds:uri="http://purl.org/dc/dcmitype/"/>
    <ds:schemaRef ds:uri="32a1a8c5-2265-4ebc-b7a0-2071e2c5c9bb"/>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www.w3.org/XML/1998/namespace"/>
    <ds:schemaRef ds:uri="996b2e75-67fd-4955-a3b0-5ab9934cb50b"/>
    <ds:schemaRef ds:uri="http://purl.org/dc/terms/"/>
  </ds:schemaRefs>
</ds:datastoreItem>
</file>

<file path=customXml/itemProps5.xml><?xml version="1.0" encoding="utf-8"?>
<ds:datastoreItem xmlns:ds="http://schemas.openxmlformats.org/officeDocument/2006/customXml" ds:itemID="{8F2F1238-7E4A-4D13-9550-97BBBA027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1522</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D14-WTDC17-C-0034!!MSW-E</vt:lpstr>
    </vt:vector>
  </TitlesOfParts>
  <Manager>General Secretariat - Pool</Manager>
  <Company>International Telecommunication Union (ITU)</Company>
  <LinksUpToDate>false</LinksUpToDate>
  <CharactersWithSpaces>10644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D14-WTDC17-C-0034!!MSW-E</dc:title>
  <dc:subject/>
  <dc:creator>Documents Proposals Manager (DPM)</dc:creator>
  <cp:keywords>DPM_v2017.9.18.1_prod</cp:keywords>
  <dc:description/>
  <cp:lastModifiedBy>BDT - mcb</cp:lastModifiedBy>
  <cp:revision>4</cp:revision>
  <cp:lastPrinted>2011-08-24T07:41:00Z</cp:lastPrinted>
  <dcterms:created xsi:type="dcterms:W3CDTF">2017-09-25T13:16:00Z</dcterms:created>
  <dcterms:modified xsi:type="dcterms:W3CDTF">2017-09-25T13:18:00Z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