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1F08BB" w:rsidTr="00047C6D">
        <w:tc>
          <w:tcPr>
            <w:tcW w:w="1430" w:type="dxa"/>
            <w:tcBorders>
              <w:bottom w:val="single" w:sz="12" w:space="0" w:color="auto"/>
            </w:tcBorders>
          </w:tcPr>
          <w:p w:rsidR="001F08BB" w:rsidRDefault="001F08BB" w:rsidP="00047C6D">
            <w:pPr>
              <w:pStyle w:val="Priorityarea"/>
              <w:rPr>
                <w:rtl/>
              </w:rPr>
            </w:pPr>
            <w:r w:rsidRPr="00CC1F10">
              <w:rPr>
                <w:noProof/>
                <w:lang w:eastAsia="zh-CN" w:bidi="ar-SA"/>
              </w:rPr>
              <w:drawing>
                <wp:inline distT="0" distB="0" distL="0" distR="0" wp14:anchorId="75EB6722" wp14:editId="62E08965">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2" w:type="dxa"/>
            <w:tcBorders>
              <w:bottom w:val="single" w:sz="12" w:space="0" w:color="auto"/>
            </w:tcBorders>
          </w:tcPr>
          <w:p w:rsidR="001F08BB" w:rsidRPr="002D6488" w:rsidRDefault="001F08BB" w:rsidP="00217529">
            <w:pPr>
              <w:spacing w:before="6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1F08BB" w:rsidRPr="002D6488" w:rsidRDefault="001F08BB" w:rsidP="00047C6D">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47" w:type="dxa"/>
            <w:tcBorders>
              <w:bottom w:val="single" w:sz="12" w:space="0" w:color="auto"/>
            </w:tcBorders>
          </w:tcPr>
          <w:p w:rsidR="001F08BB" w:rsidRDefault="001F08BB" w:rsidP="00047C6D">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14:anchorId="5B03E63E" wp14:editId="3FA4D0B5">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F08BB" w:rsidTr="00047C6D">
        <w:tc>
          <w:tcPr>
            <w:tcW w:w="1430" w:type="dxa"/>
            <w:tcBorders>
              <w:top w:val="single" w:sz="12" w:space="0" w:color="auto"/>
            </w:tcBorders>
          </w:tcPr>
          <w:p w:rsidR="001F08BB" w:rsidRDefault="001F08BB" w:rsidP="00047C6D">
            <w:pPr>
              <w:spacing w:before="0" w:line="300" w:lineRule="exact"/>
              <w:rPr>
                <w:rtl/>
                <w:lang w:bidi="ar-EG"/>
              </w:rPr>
            </w:pPr>
          </w:p>
        </w:tc>
        <w:tc>
          <w:tcPr>
            <w:tcW w:w="4962" w:type="dxa"/>
            <w:tcBorders>
              <w:top w:val="single" w:sz="12" w:space="0" w:color="auto"/>
            </w:tcBorders>
          </w:tcPr>
          <w:p w:rsidR="001F08BB" w:rsidRDefault="001F08BB" w:rsidP="00047C6D">
            <w:pPr>
              <w:spacing w:before="0" w:line="300" w:lineRule="exact"/>
              <w:rPr>
                <w:rtl/>
                <w:lang w:bidi="ar-EG"/>
              </w:rPr>
            </w:pPr>
          </w:p>
        </w:tc>
        <w:tc>
          <w:tcPr>
            <w:tcW w:w="3247" w:type="dxa"/>
            <w:tcBorders>
              <w:top w:val="single" w:sz="12" w:space="0" w:color="auto"/>
            </w:tcBorders>
          </w:tcPr>
          <w:p w:rsidR="001F08BB" w:rsidRDefault="001F08BB" w:rsidP="00047C6D">
            <w:pPr>
              <w:spacing w:before="0" w:line="300" w:lineRule="exact"/>
              <w:rPr>
                <w:rtl/>
                <w:lang w:bidi="ar-EG"/>
              </w:rPr>
            </w:pPr>
          </w:p>
        </w:tc>
      </w:tr>
      <w:tr w:rsidR="001F08BB" w:rsidTr="00047C6D">
        <w:tc>
          <w:tcPr>
            <w:tcW w:w="6392" w:type="dxa"/>
            <w:gridSpan w:val="2"/>
          </w:tcPr>
          <w:p w:rsidR="001F08BB" w:rsidRPr="003D0092" w:rsidRDefault="001F08BB" w:rsidP="00217529">
            <w:pPr>
              <w:pStyle w:val="Committee"/>
              <w:bidi/>
              <w:spacing w:line="300" w:lineRule="exact"/>
              <w:rPr>
                <w:rFonts w:ascii="Verdana Bold" w:hAnsi="Verdana Bold"/>
                <w:sz w:val="19"/>
                <w:rtl/>
                <w:lang w:bidi="ar-EG"/>
              </w:rPr>
            </w:pPr>
            <w:r w:rsidRPr="003D0092">
              <w:rPr>
                <w:rFonts w:ascii="Verdana Bold" w:hAnsi="Verdana Bold"/>
                <w:sz w:val="19"/>
                <w:rtl/>
              </w:rPr>
              <w:t>الجلسة العامة</w:t>
            </w:r>
          </w:p>
        </w:tc>
        <w:tc>
          <w:tcPr>
            <w:tcW w:w="3247" w:type="dxa"/>
          </w:tcPr>
          <w:p w:rsidR="001F08BB" w:rsidRPr="003D0092" w:rsidRDefault="001F08BB" w:rsidP="00217529">
            <w:pPr>
              <w:spacing w:before="60" w:after="60" w:line="300" w:lineRule="exact"/>
              <w:jc w:val="left"/>
              <w:rPr>
                <w:rFonts w:ascii="Verdana Bold" w:hAnsi="Verdana Bold"/>
                <w:b/>
                <w:bCs/>
                <w:sz w:val="19"/>
                <w:lang w:val="fr-FR"/>
              </w:rPr>
            </w:pPr>
            <w:r w:rsidRPr="003D0092">
              <w:rPr>
                <w:rFonts w:ascii="Verdana Bold" w:eastAsia="SimSun" w:hAnsi="Verdana Bold"/>
                <w:b/>
                <w:bCs/>
                <w:sz w:val="19"/>
                <w:rtl/>
              </w:rPr>
              <w:t xml:space="preserve">الوثيقة </w:t>
            </w:r>
            <w:r>
              <w:rPr>
                <w:rFonts w:ascii="Verdana Bold" w:eastAsia="SimSun" w:hAnsi="Verdana Bold"/>
                <w:b/>
                <w:bCs/>
                <w:sz w:val="19"/>
              </w:rPr>
              <w:t>WTDC-17/40-A</w:t>
            </w:r>
          </w:p>
        </w:tc>
      </w:tr>
      <w:tr w:rsidR="001F08BB" w:rsidTr="00047C6D">
        <w:tc>
          <w:tcPr>
            <w:tcW w:w="6392" w:type="dxa"/>
            <w:gridSpan w:val="2"/>
          </w:tcPr>
          <w:p w:rsidR="001F08BB" w:rsidRPr="003D0092" w:rsidRDefault="001F08BB" w:rsidP="00217529">
            <w:pPr>
              <w:spacing w:before="60" w:after="60" w:line="300" w:lineRule="exact"/>
              <w:rPr>
                <w:rFonts w:ascii="Verdana Bold" w:hAnsi="Verdana Bold"/>
                <w:b/>
                <w:bCs/>
                <w:sz w:val="19"/>
                <w:rtl/>
                <w:lang w:bidi="ar-EG"/>
              </w:rPr>
            </w:pPr>
          </w:p>
        </w:tc>
        <w:tc>
          <w:tcPr>
            <w:tcW w:w="3247" w:type="dxa"/>
          </w:tcPr>
          <w:p w:rsidR="001F08BB" w:rsidRPr="003D0092" w:rsidRDefault="001F08BB" w:rsidP="00217529">
            <w:pPr>
              <w:spacing w:before="60" w:after="60" w:line="300" w:lineRule="exact"/>
              <w:rPr>
                <w:rFonts w:ascii="Verdana Bold" w:hAnsi="Verdana Bold"/>
                <w:b/>
                <w:bCs/>
                <w:sz w:val="19"/>
                <w:rtl/>
                <w:lang w:val="fr-FR" w:bidi="ar-EG"/>
              </w:rPr>
            </w:pPr>
            <w:r>
              <w:rPr>
                <w:rFonts w:ascii="Verdana Bold" w:eastAsia="SimSun" w:hAnsi="Verdana Bold"/>
                <w:b/>
                <w:bCs/>
                <w:sz w:val="19"/>
              </w:rPr>
              <w:t>20</w:t>
            </w:r>
            <w:r w:rsidRPr="003D0092">
              <w:rPr>
                <w:rFonts w:ascii="Verdana Bold" w:eastAsia="SimSun" w:hAnsi="Verdana Bold"/>
                <w:b/>
                <w:bCs/>
                <w:sz w:val="19"/>
                <w:rtl/>
              </w:rPr>
              <w:t xml:space="preserve"> سبتمبر </w:t>
            </w:r>
            <w:r>
              <w:rPr>
                <w:rFonts w:ascii="Verdana Bold" w:eastAsia="SimSun" w:hAnsi="Verdana Bold"/>
                <w:b/>
                <w:bCs/>
                <w:sz w:val="19"/>
              </w:rPr>
              <w:t>2017</w:t>
            </w:r>
          </w:p>
        </w:tc>
      </w:tr>
      <w:tr w:rsidR="001F08BB" w:rsidTr="00047C6D">
        <w:tc>
          <w:tcPr>
            <w:tcW w:w="6392" w:type="dxa"/>
            <w:gridSpan w:val="2"/>
          </w:tcPr>
          <w:p w:rsidR="001F08BB" w:rsidRPr="003D0092" w:rsidRDefault="001F08BB" w:rsidP="00217529">
            <w:pPr>
              <w:spacing w:before="60" w:after="60" w:line="300" w:lineRule="exact"/>
              <w:rPr>
                <w:rFonts w:ascii="Verdana Bold" w:hAnsi="Verdana Bold"/>
                <w:b/>
                <w:bCs/>
                <w:sz w:val="19"/>
                <w:rtl/>
                <w:lang w:bidi="ar-EG"/>
              </w:rPr>
            </w:pPr>
          </w:p>
        </w:tc>
        <w:tc>
          <w:tcPr>
            <w:tcW w:w="3247" w:type="dxa"/>
          </w:tcPr>
          <w:p w:rsidR="001F08BB" w:rsidRPr="003D0092" w:rsidRDefault="001F08BB" w:rsidP="00217529">
            <w:pPr>
              <w:spacing w:before="60" w:after="60" w:line="300" w:lineRule="exact"/>
              <w:rPr>
                <w:rFonts w:ascii="Verdana Bold" w:hAnsi="Verdana Bold"/>
                <w:b/>
                <w:bCs/>
                <w:sz w:val="19"/>
                <w:rtl/>
                <w:lang w:bidi="ar-EG"/>
              </w:rPr>
            </w:pPr>
            <w:r w:rsidRPr="00B14461">
              <w:rPr>
                <w:rFonts w:ascii="Verdana Bold" w:hAnsi="Verdana Bold"/>
                <w:b/>
                <w:bCs/>
                <w:sz w:val="19"/>
                <w:rtl/>
              </w:rPr>
              <w:t xml:space="preserve">الأصل: </w:t>
            </w:r>
            <w:r w:rsidRPr="00AF32DA">
              <w:rPr>
                <w:rFonts w:ascii="Verdana Bold" w:hAnsi="Verdana Bold"/>
                <w:b/>
                <w:bCs/>
                <w:sz w:val="19"/>
                <w:rtl/>
              </w:rPr>
              <w:t>بالإنكليزية</w:t>
            </w:r>
          </w:p>
        </w:tc>
      </w:tr>
      <w:tr w:rsidR="001F08BB" w:rsidTr="00047C6D">
        <w:tc>
          <w:tcPr>
            <w:tcW w:w="9639" w:type="dxa"/>
            <w:gridSpan w:val="3"/>
          </w:tcPr>
          <w:p w:rsidR="001F08BB" w:rsidRPr="00217529" w:rsidRDefault="001F08BB" w:rsidP="003C6AE9">
            <w:pPr>
              <w:pStyle w:val="Source"/>
              <w:spacing w:before="240"/>
              <w:rPr>
                <w:rtl/>
              </w:rPr>
            </w:pPr>
            <w:r w:rsidRPr="00217529">
              <w:rPr>
                <w:rtl/>
              </w:rPr>
              <w:t xml:space="preserve">منظمة </w:t>
            </w:r>
            <w:r w:rsidR="000E18DB" w:rsidRPr="00217529">
              <w:rPr>
                <w:rFonts w:hint="cs"/>
                <w:rtl/>
              </w:rPr>
              <w:t>ال</w:t>
            </w:r>
            <w:r w:rsidR="000E18DB" w:rsidRPr="00217529">
              <w:rPr>
                <w:rtl/>
              </w:rPr>
              <w:t xml:space="preserve">كومنولث </w:t>
            </w:r>
            <w:r w:rsidR="000E18DB" w:rsidRPr="00217529">
              <w:rPr>
                <w:rFonts w:hint="cs"/>
                <w:rtl/>
              </w:rPr>
              <w:t>ل</w:t>
            </w:r>
            <w:r w:rsidRPr="00217529">
              <w:rPr>
                <w:rtl/>
              </w:rPr>
              <w:t>لاتصالات</w:t>
            </w:r>
            <w:r w:rsidRPr="00217529">
              <w:rPr>
                <w:rFonts w:hint="cs"/>
                <w:rtl/>
              </w:rPr>
              <w:t xml:space="preserve"> </w:t>
            </w:r>
            <w:r w:rsidRPr="00217529">
              <w:t>(CTO)</w:t>
            </w:r>
          </w:p>
        </w:tc>
      </w:tr>
      <w:tr w:rsidR="001F08BB" w:rsidTr="00047C6D">
        <w:tc>
          <w:tcPr>
            <w:tcW w:w="9639" w:type="dxa"/>
            <w:gridSpan w:val="3"/>
          </w:tcPr>
          <w:p w:rsidR="001F08BB" w:rsidRPr="00AF32DA" w:rsidRDefault="001F08BB" w:rsidP="00047C6D">
            <w:pPr>
              <w:pStyle w:val="Title1"/>
              <w:rPr>
                <w:highlight w:val="yellow"/>
              </w:rPr>
            </w:pPr>
            <w:r w:rsidRPr="000E18DB">
              <w:rPr>
                <w:rtl/>
                <w:lang w:bidi="ar-SA"/>
              </w:rPr>
              <w:t>مقترحات بشأن أعمال الـمؤتـمر</w:t>
            </w:r>
          </w:p>
        </w:tc>
      </w:tr>
      <w:tr w:rsidR="001F08BB" w:rsidTr="00047C6D">
        <w:tc>
          <w:tcPr>
            <w:tcW w:w="9639" w:type="dxa"/>
            <w:gridSpan w:val="3"/>
          </w:tcPr>
          <w:p w:rsidR="001F08BB" w:rsidRPr="00AF32DA" w:rsidRDefault="001F08BB" w:rsidP="00217529">
            <w:pPr>
              <w:pStyle w:val="Title2"/>
              <w:spacing w:before="240" w:after="360"/>
              <w:rPr>
                <w:highlight w:val="yellow"/>
              </w:rPr>
            </w:pPr>
            <w:r w:rsidRPr="000E18DB">
              <w:rPr>
                <w:rtl/>
                <w:lang w:bidi="ar-SA"/>
              </w:rPr>
              <w:t>مساهمة من</w:t>
            </w:r>
            <w:r w:rsidRPr="000E18DB">
              <w:rPr>
                <w:rFonts w:hint="cs"/>
                <w:rtl/>
                <w:lang w:bidi="ar-SA"/>
              </w:rPr>
              <w:t xml:space="preserve"> </w:t>
            </w:r>
            <w:r w:rsidRPr="000E18DB">
              <w:rPr>
                <w:rtl/>
                <w:lang w:bidi="ar-SA"/>
              </w:rPr>
              <w:t xml:space="preserve">منظمة </w:t>
            </w:r>
            <w:r w:rsidR="000E18DB">
              <w:rPr>
                <w:rFonts w:hint="cs"/>
                <w:rtl/>
                <w:lang w:bidi="ar-SA"/>
              </w:rPr>
              <w:t>ال</w:t>
            </w:r>
            <w:r w:rsidR="000E18DB">
              <w:rPr>
                <w:rtl/>
                <w:lang w:bidi="ar-SA"/>
              </w:rPr>
              <w:t xml:space="preserve">كومنولث </w:t>
            </w:r>
            <w:r w:rsidR="000E18DB">
              <w:rPr>
                <w:rFonts w:hint="cs"/>
                <w:rtl/>
                <w:lang w:bidi="ar-SA"/>
              </w:rPr>
              <w:t>ل</w:t>
            </w:r>
            <w:r w:rsidRPr="000E18DB">
              <w:rPr>
                <w:rtl/>
                <w:lang w:bidi="ar-SA"/>
              </w:rPr>
              <w:t>لاتصالات</w:t>
            </w:r>
          </w:p>
        </w:tc>
      </w:tr>
      <w:tr w:rsidR="001F08BB" w:rsidTr="00047C6D">
        <w:tc>
          <w:tcPr>
            <w:tcW w:w="9639" w:type="dxa"/>
            <w:gridSpan w:val="3"/>
            <w:tcBorders>
              <w:top w:val="single" w:sz="4" w:space="0" w:color="auto"/>
              <w:left w:val="single" w:sz="4" w:space="0" w:color="auto"/>
              <w:bottom w:val="single" w:sz="4" w:space="0" w:color="auto"/>
              <w:right w:val="single" w:sz="4" w:space="0" w:color="auto"/>
            </w:tcBorders>
          </w:tcPr>
          <w:p w:rsidR="003C6AE9" w:rsidRDefault="001F08BB" w:rsidP="003C6AE9">
            <w:pPr>
              <w:tabs>
                <w:tab w:val="clear" w:pos="1134"/>
                <w:tab w:val="left" w:pos="1370"/>
                <w:tab w:val="left" w:pos="1706"/>
              </w:tabs>
              <w:rPr>
                <w:rtl/>
                <w:lang w:bidi="ar-EG"/>
              </w:rPr>
            </w:pPr>
            <w:r w:rsidRPr="003D0092">
              <w:rPr>
                <w:rFonts w:eastAsia="SimSun"/>
                <w:b/>
                <w:bCs/>
                <w:rtl/>
              </w:rPr>
              <w:t>مجال الأولوية:</w:t>
            </w:r>
          </w:p>
          <w:p w:rsidR="001F08BB" w:rsidRPr="003D0092" w:rsidRDefault="001F08BB" w:rsidP="003C6AE9">
            <w:pPr>
              <w:tabs>
                <w:tab w:val="clear" w:pos="1134"/>
                <w:tab w:val="left" w:pos="1370"/>
                <w:tab w:val="left" w:pos="1706"/>
              </w:tabs>
              <w:ind w:left="794" w:hanging="794"/>
            </w:pPr>
            <w:r>
              <w:rPr>
                <w:rFonts w:hint="cs"/>
                <w:rtl/>
                <w:lang w:bidi="ar-EG"/>
              </w:rPr>
              <w:t>-</w:t>
            </w:r>
            <w:r>
              <w:rPr>
                <w:lang w:bidi="ar-EG"/>
              </w:rPr>
              <w:tab/>
            </w:r>
            <w:r w:rsidR="0063044F">
              <w:rPr>
                <w:rFonts w:eastAsia="SimSun" w:hint="cs"/>
                <w:rtl/>
              </w:rPr>
              <w:t>مقترحات أخرى</w:t>
            </w:r>
          </w:p>
          <w:p w:rsidR="001F08BB" w:rsidRPr="003D0092" w:rsidRDefault="001F08BB" w:rsidP="00047C6D">
            <w:r w:rsidRPr="003D0092">
              <w:rPr>
                <w:rFonts w:eastAsia="SimSun"/>
                <w:b/>
                <w:bCs/>
                <w:rtl/>
              </w:rPr>
              <w:t>ملخص:</w:t>
            </w:r>
          </w:p>
          <w:p w:rsidR="001F08BB" w:rsidRPr="0063044F" w:rsidRDefault="0063044F" w:rsidP="00217529">
            <w:pPr>
              <w:rPr>
                <w:rFonts w:hint="cs"/>
                <w:rtl/>
                <w:lang w:bidi="ar-EG"/>
              </w:rPr>
            </w:pPr>
            <w:r>
              <w:rPr>
                <w:rFonts w:hint="cs"/>
                <w:rtl/>
              </w:rPr>
              <w:t xml:space="preserve">تستند مساهمة منظمة الكومنولث للاتصالات </w:t>
            </w:r>
            <w:r w:rsidR="006852FA">
              <w:t>(</w:t>
            </w:r>
            <w:r w:rsidR="006852FA">
              <w:rPr>
                <w:rFonts w:eastAsia="SimSun"/>
                <w:bCs/>
                <w:szCs w:val="24"/>
              </w:rPr>
              <w:t>CTO</w:t>
            </w:r>
            <w:r w:rsidR="006852FA">
              <w:t>)</w:t>
            </w:r>
            <w:r>
              <w:rPr>
                <w:rFonts w:hint="cs"/>
                <w:rtl/>
              </w:rPr>
              <w:t xml:space="preserve"> في المؤتمر العالمي لتنمية الاتصالات لعام </w:t>
            </w:r>
            <w:r>
              <w:t>2017</w:t>
            </w:r>
            <w:r w:rsidR="00EF25B6">
              <w:rPr>
                <w:rFonts w:hint="cs"/>
                <w:rtl/>
                <w:lang w:bidi="ar-EG"/>
              </w:rPr>
              <w:t xml:space="preserve"> إلى مجالات الأولوية الرئيسية المحددة خلال الاجتماعات الإقليمية التحضيرية التي عُقدت في إفريقيا و</w:t>
            </w:r>
            <w:r w:rsidR="00D44A7E">
              <w:rPr>
                <w:rFonts w:hint="cs"/>
                <w:rtl/>
                <w:lang w:bidi="ar-EG"/>
              </w:rPr>
              <w:t xml:space="preserve">منطقة </w:t>
            </w:r>
            <w:r w:rsidR="00EF25B6">
              <w:rPr>
                <w:rFonts w:hint="cs"/>
                <w:rtl/>
                <w:lang w:bidi="ar-EG"/>
              </w:rPr>
              <w:t>آسيا والمحيط الهادئ والأمريكتين. وبناءً على هذه الأولويات، تقترح المنظمة المجالات التي ينبغي أن ينظر فيها قطاع تنمية الاتصالات من أجل خطة عمله للفترة</w:t>
            </w:r>
            <w:r w:rsidR="006852FA">
              <w:rPr>
                <w:rFonts w:hint="eastAsia"/>
                <w:rtl/>
                <w:lang w:bidi="ar-EG"/>
              </w:rPr>
              <w:t> </w:t>
            </w:r>
            <w:r w:rsidR="006852FA">
              <w:rPr>
                <w:rFonts w:eastAsia="SimSun"/>
                <w:bCs/>
                <w:szCs w:val="24"/>
              </w:rPr>
              <w:t>2021</w:t>
            </w:r>
            <w:r w:rsidR="006852FA">
              <w:rPr>
                <w:rFonts w:eastAsia="SimSun"/>
                <w:bCs/>
                <w:szCs w:val="24"/>
              </w:rPr>
              <w:noBreakHyphen/>
              <w:t>2018</w:t>
            </w:r>
            <w:r w:rsidR="00EF25B6" w:rsidRPr="00EF25B6">
              <w:rPr>
                <w:rFonts w:hint="cs"/>
                <w:rtl/>
                <w:lang w:bidi="ar-EG"/>
              </w:rPr>
              <w:t xml:space="preserve">. </w:t>
            </w:r>
            <w:r w:rsidR="00EF25B6">
              <w:rPr>
                <w:rFonts w:hint="cs"/>
                <w:rtl/>
                <w:lang w:bidi="ar-EG"/>
              </w:rPr>
              <w:t xml:space="preserve">وتتماشى هذه المساهمة مع موضوع المؤتمر العالمي لتنمية الاتصالات </w:t>
            </w:r>
            <w:proofErr w:type="gramStart"/>
            <w:r w:rsidR="00EF25B6">
              <w:rPr>
                <w:rFonts w:hint="cs"/>
                <w:rtl/>
                <w:lang w:bidi="ar-EG"/>
              </w:rPr>
              <w:t xml:space="preserve">- </w:t>
            </w:r>
            <w:r w:rsidR="00217529">
              <w:rPr>
                <w:rFonts w:hint="cs"/>
                <w:rtl/>
              </w:rPr>
              <w:t>تكنولوجيا</w:t>
            </w:r>
            <w:proofErr w:type="gramEnd"/>
            <w:r w:rsidR="00217529">
              <w:rPr>
                <w:rFonts w:hint="cs"/>
                <w:rtl/>
              </w:rPr>
              <w:t xml:space="preserve"> </w:t>
            </w:r>
            <w:r w:rsidR="00EF25B6" w:rsidRPr="00EF25B6">
              <w:rPr>
                <w:rFonts w:hint="eastAsia"/>
                <w:rtl/>
                <w:lang w:bidi="ar-EG"/>
              </w:rPr>
              <w:t>المعلومات</w:t>
            </w:r>
            <w:r w:rsidR="00EF25B6" w:rsidRPr="00EF25B6">
              <w:rPr>
                <w:rtl/>
                <w:lang w:bidi="ar-EG"/>
              </w:rPr>
              <w:t xml:space="preserve"> </w:t>
            </w:r>
            <w:r w:rsidR="00EF25B6" w:rsidRPr="00EF25B6">
              <w:rPr>
                <w:rFonts w:hint="eastAsia"/>
                <w:rtl/>
                <w:lang w:bidi="ar-EG"/>
              </w:rPr>
              <w:t>والاتصالات</w:t>
            </w:r>
            <w:r w:rsidR="00EF25B6" w:rsidRPr="00EF25B6">
              <w:rPr>
                <w:rtl/>
                <w:lang w:bidi="ar-EG"/>
              </w:rPr>
              <w:t xml:space="preserve"> </w:t>
            </w:r>
            <w:r w:rsidR="00EF25B6" w:rsidRPr="00EF25B6">
              <w:rPr>
                <w:rFonts w:hint="eastAsia"/>
                <w:rtl/>
                <w:lang w:bidi="ar-EG"/>
              </w:rPr>
              <w:t>من</w:t>
            </w:r>
            <w:r w:rsidR="00EF25B6" w:rsidRPr="00EF25B6">
              <w:rPr>
                <w:rtl/>
                <w:lang w:bidi="ar-EG"/>
              </w:rPr>
              <w:t xml:space="preserve"> </w:t>
            </w:r>
            <w:r w:rsidR="00EF25B6" w:rsidRPr="00EF25B6">
              <w:rPr>
                <w:rFonts w:hint="eastAsia"/>
                <w:rtl/>
                <w:lang w:bidi="ar-EG"/>
              </w:rPr>
              <w:t>أجل</w:t>
            </w:r>
            <w:r w:rsidR="00EF25B6" w:rsidRPr="00EF25B6">
              <w:rPr>
                <w:rtl/>
                <w:lang w:bidi="ar-EG"/>
              </w:rPr>
              <w:t xml:space="preserve"> </w:t>
            </w:r>
            <w:r w:rsidR="00EF25B6" w:rsidRPr="00EF25B6">
              <w:rPr>
                <w:rFonts w:hint="eastAsia"/>
                <w:rtl/>
                <w:lang w:bidi="ar-EG"/>
              </w:rPr>
              <w:t>تحقيق</w:t>
            </w:r>
            <w:r w:rsidR="00EF25B6" w:rsidRPr="00EF25B6">
              <w:rPr>
                <w:rtl/>
                <w:lang w:bidi="ar-EG"/>
              </w:rPr>
              <w:t xml:space="preserve"> </w:t>
            </w:r>
            <w:r w:rsidR="00EF25B6" w:rsidRPr="00EF25B6">
              <w:rPr>
                <w:rFonts w:hint="eastAsia"/>
                <w:rtl/>
                <w:lang w:bidi="ar-EG"/>
              </w:rPr>
              <w:t>أهداف</w:t>
            </w:r>
            <w:r w:rsidR="00EF25B6" w:rsidRPr="00EF25B6">
              <w:rPr>
                <w:rtl/>
                <w:lang w:bidi="ar-EG"/>
              </w:rPr>
              <w:t xml:space="preserve"> </w:t>
            </w:r>
            <w:r w:rsidR="00EF25B6" w:rsidRPr="00EF25B6">
              <w:rPr>
                <w:rFonts w:hint="eastAsia"/>
                <w:rtl/>
                <w:lang w:bidi="ar-EG"/>
              </w:rPr>
              <w:t>التنمية</w:t>
            </w:r>
            <w:r w:rsidR="00EF25B6" w:rsidRPr="00EF25B6">
              <w:rPr>
                <w:rtl/>
                <w:lang w:bidi="ar-EG"/>
              </w:rPr>
              <w:t xml:space="preserve"> </w:t>
            </w:r>
            <w:r w:rsidR="00EF25B6" w:rsidRPr="00EF25B6">
              <w:rPr>
                <w:rFonts w:hint="eastAsia"/>
                <w:rtl/>
                <w:lang w:bidi="ar-EG"/>
              </w:rPr>
              <w:t>المستدامة</w:t>
            </w:r>
            <w:r w:rsidR="004744C5">
              <w:rPr>
                <w:rFonts w:hint="cs"/>
                <w:rtl/>
                <w:lang w:bidi="ar-EG"/>
              </w:rPr>
              <w:t>، ومع الأهدا</w:t>
            </w:r>
            <w:r w:rsidR="00ED29EE">
              <w:rPr>
                <w:rFonts w:hint="cs"/>
                <w:rtl/>
                <w:lang w:bidi="ar-EG"/>
              </w:rPr>
              <w:t>ف الاستراتيجية الخاصة بالمنظمة.</w:t>
            </w:r>
          </w:p>
          <w:p w:rsidR="001F08BB" w:rsidRPr="003D0092" w:rsidRDefault="004744C5" w:rsidP="00047C6D">
            <w:r>
              <w:rPr>
                <w:rFonts w:eastAsia="SimSun"/>
                <w:b/>
                <w:bCs/>
                <w:rtl/>
              </w:rPr>
              <w:t>النتائج المتو</w:t>
            </w:r>
            <w:r w:rsidR="00985062">
              <w:rPr>
                <w:rFonts w:eastAsia="SimSun" w:hint="cs"/>
                <w:b/>
                <w:bCs/>
                <w:rtl/>
              </w:rPr>
              <w:t>خاة</w:t>
            </w:r>
            <w:r w:rsidR="001F08BB" w:rsidRPr="003D0092">
              <w:rPr>
                <w:rFonts w:eastAsia="SimSun"/>
                <w:b/>
                <w:bCs/>
                <w:rtl/>
              </w:rPr>
              <w:t>:</w:t>
            </w:r>
          </w:p>
          <w:p w:rsidR="001F08BB" w:rsidRPr="003D0092" w:rsidRDefault="0076609E" w:rsidP="00047C6D">
            <w:pPr>
              <w:spacing w:after="120"/>
              <w:rPr>
                <w:rtl/>
                <w:lang w:bidi="ar-EG"/>
              </w:rPr>
            </w:pPr>
            <w:r>
              <w:rPr>
                <w:rFonts w:hint="cs"/>
                <w:rtl/>
                <w:lang w:bidi="ar-EG"/>
              </w:rPr>
              <w:t>إثارة التفكير والنقاش بشأن بعض المجالات ذات الصلة بعمل قطاع تنمية الاتصالات.</w:t>
            </w:r>
          </w:p>
        </w:tc>
      </w:tr>
    </w:tbl>
    <w:p w:rsidR="00AC40BC" w:rsidRDefault="00AC40BC" w:rsidP="006852FA">
      <w:pPr>
        <w:tabs>
          <w:tab w:val="clear" w:pos="1134"/>
        </w:tabs>
        <w:spacing w:before="0" w:after="160" w:line="259" w:lineRule="auto"/>
        <w:jc w:val="left"/>
        <w:rPr>
          <w:rtl/>
          <w:lang w:bidi="ar-EG"/>
        </w:rPr>
      </w:pPr>
      <w:r>
        <w:rPr>
          <w:rtl/>
          <w:lang w:bidi="ar-EG"/>
        </w:rPr>
        <w:br w:type="page"/>
      </w:r>
    </w:p>
    <w:p w:rsidR="00280E20" w:rsidRPr="001F08BB" w:rsidRDefault="00CE31F8">
      <w:pPr>
        <w:pStyle w:val="Proposal"/>
        <w:rPr>
          <w:b w:val="0"/>
          <w:bCs w:val="0"/>
        </w:rPr>
      </w:pPr>
      <w:r>
        <w:lastRenderedPageBreak/>
        <w:tab/>
      </w:r>
      <w:r w:rsidRPr="001F08BB">
        <w:rPr>
          <w:b w:val="0"/>
          <w:bCs w:val="0"/>
        </w:rPr>
        <w:t>CTO/40/1</w:t>
      </w:r>
    </w:p>
    <w:p w:rsidR="00280E20" w:rsidRDefault="00CE31F8" w:rsidP="00CE31F8">
      <w:pPr>
        <w:pStyle w:val="Headingb"/>
        <w:rPr>
          <w:rtl/>
        </w:rPr>
      </w:pPr>
      <w:r>
        <w:rPr>
          <w:rFonts w:hint="cs"/>
          <w:rtl/>
        </w:rPr>
        <w:t>مقدمة</w:t>
      </w:r>
    </w:p>
    <w:p w:rsidR="0076609E" w:rsidRPr="0076609E" w:rsidRDefault="0076609E" w:rsidP="006852FA">
      <w:pPr>
        <w:rPr>
          <w:rtl/>
          <w:lang w:bidi="ar-EG"/>
        </w:rPr>
      </w:pPr>
      <w:r>
        <w:rPr>
          <w:rFonts w:hint="cs"/>
          <w:rtl/>
        </w:rPr>
        <w:t xml:space="preserve">تهنئ منظمة الكومنولث للاتصالات </w:t>
      </w:r>
      <w:r w:rsidR="006852FA">
        <w:t>(</w:t>
      </w:r>
      <w:r w:rsidR="006852FA" w:rsidRPr="00DA4F7A">
        <w:t>CTO</w:t>
      </w:r>
      <w:r w:rsidR="006852FA">
        <w:t>)</w:t>
      </w:r>
      <w:r>
        <w:rPr>
          <w:rFonts w:hint="cs"/>
          <w:rtl/>
        </w:rPr>
        <w:t xml:space="preserve"> الاتحاد الدولي للاتصالات </w:t>
      </w:r>
      <w:r w:rsidR="006852FA">
        <w:t>(</w:t>
      </w:r>
      <w:r w:rsidR="006852FA" w:rsidRPr="00DA4F7A">
        <w:t>ITU</w:t>
      </w:r>
      <w:r w:rsidR="006852FA">
        <w:t>)</w:t>
      </w:r>
      <w:r>
        <w:rPr>
          <w:rFonts w:hint="cs"/>
          <w:rtl/>
        </w:rPr>
        <w:t xml:space="preserve"> على استضافته للمؤتمر العالمي لتنمية الاتصالات لعام</w:t>
      </w:r>
      <w:r w:rsidR="006852FA">
        <w:rPr>
          <w:rFonts w:hint="eastAsia"/>
          <w:rtl/>
        </w:rPr>
        <w:t> </w:t>
      </w:r>
      <w:r>
        <w:t>2017</w:t>
      </w:r>
      <w:r>
        <w:rPr>
          <w:rFonts w:hint="cs"/>
          <w:rtl/>
          <w:lang w:bidi="ar-EG"/>
        </w:rPr>
        <w:t xml:space="preserve"> </w:t>
      </w:r>
      <w:r w:rsidR="006852FA">
        <w:rPr>
          <w:lang w:bidi="ar-EG"/>
        </w:rPr>
        <w:t>(</w:t>
      </w:r>
      <w:r w:rsidR="006852FA" w:rsidRPr="00DA4F7A">
        <w:t>WTDC-17</w:t>
      </w:r>
      <w:r w:rsidR="006852FA">
        <w:rPr>
          <w:lang w:bidi="ar-EG"/>
        </w:rPr>
        <w:t>)</w:t>
      </w:r>
      <w:r w:rsidR="003C6AE9">
        <w:rPr>
          <w:rFonts w:hint="cs"/>
          <w:rtl/>
          <w:lang w:bidi="ar-EG"/>
        </w:rPr>
        <w:t xml:space="preserve"> في مدينة بوينس آيرس الجميلة.</w:t>
      </w:r>
    </w:p>
    <w:p w:rsidR="0076609E" w:rsidRPr="00217529" w:rsidRDefault="0076609E" w:rsidP="00D44A7E">
      <w:pPr>
        <w:rPr>
          <w:spacing w:val="4"/>
          <w:rtl/>
          <w:lang w:bidi="ar-EG"/>
        </w:rPr>
      </w:pPr>
      <w:r w:rsidRPr="00217529">
        <w:rPr>
          <w:rFonts w:hint="cs"/>
          <w:spacing w:val="4"/>
          <w:rtl/>
        </w:rPr>
        <w:t xml:space="preserve">وتتقاسم الدول الأعضاء في المنظمة </w:t>
      </w:r>
      <w:r w:rsidR="00D44A7E" w:rsidRPr="00217529">
        <w:rPr>
          <w:rFonts w:hint="cs"/>
          <w:spacing w:val="4"/>
          <w:rtl/>
        </w:rPr>
        <w:t>قيم و</w:t>
      </w:r>
      <w:r w:rsidR="004A3BFF" w:rsidRPr="00217529">
        <w:rPr>
          <w:rFonts w:hint="cs"/>
          <w:spacing w:val="4"/>
          <w:rtl/>
        </w:rPr>
        <w:t>تطلعات الديمقراطية وحقوق الإنسان وسيادة القانون</w:t>
      </w:r>
      <w:r w:rsidR="00D44A7E" w:rsidRPr="00217529">
        <w:rPr>
          <w:rFonts w:hint="cs"/>
          <w:spacing w:val="4"/>
          <w:rtl/>
        </w:rPr>
        <w:t xml:space="preserve"> التي تجمع دول الكومنولث</w:t>
      </w:r>
      <w:r w:rsidR="004A3BFF" w:rsidRPr="00217529">
        <w:rPr>
          <w:rFonts w:hint="cs"/>
          <w:spacing w:val="4"/>
          <w:rtl/>
        </w:rPr>
        <w:t>، ونحن نعترف بدور المجتمع المدني في دعم أهداف الكومنولث و</w:t>
      </w:r>
      <w:r w:rsidR="00985062" w:rsidRPr="00217529">
        <w:rPr>
          <w:rFonts w:hint="cs"/>
          <w:spacing w:val="4"/>
          <w:rtl/>
        </w:rPr>
        <w:t>قيمه. وتعمل المنظمة من أجل دعم تطوير تكنولوجيا المعلومات والاتصالات واستعمالها داخل الكومنولث وخارجه، وتعزيز توفير تكنولوجيا المعلومات والاتصالات واستعمالها لتلبية احتياجات الأعضاء ودعم التنمية في البلدان الأعضاء وضمان دمج الأشخاص المهمشين، وتعزيز التعاون الفعال والشراكة الفعال</w:t>
      </w:r>
      <w:r w:rsidR="00687B22">
        <w:rPr>
          <w:rFonts w:hint="cs"/>
          <w:spacing w:val="4"/>
          <w:rtl/>
        </w:rPr>
        <w:t>ة بين أعضائنا والمنظمات الأخرى.</w:t>
      </w:r>
    </w:p>
    <w:p w:rsidR="00B32F1E" w:rsidRDefault="00B32F1E" w:rsidP="00217529">
      <w:pPr>
        <w:rPr>
          <w:rtl/>
        </w:rPr>
      </w:pPr>
      <w:r>
        <w:rPr>
          <w:rFonts w:hint="cs"/>
          <w:rtl/>
        </w:rPr>
        <w:t xml:space="preserve">ومن </w:t>
      </w:r>
      <w:r w:rsidR="00231075">
        <w:rPr>
          <w:rFonts w:hint="cs"/>
          <w:rtl/>
        </w:rPr>
        <w:t>المسلّم</w:t>
      </w:r>
      <w:r>
        <w:rPr>
          <w:rFonts w:hint="cs"/>
          <w:rtl/>
        </w:rPr>
        <w:t xml:space="preserve"> به جيداً أن تكنولوجيا المعلومات والاتصالات يجب أن تؤدي دوراً حاسماً في تحقيق </w:t>
      </w:r>
      <w:r w:rsidR="005B3C4E">
        <w:rPr>
          <w:rFonts w:hint="cs"/>
          <w:rtl/>
        </w:rPr>
        <w:t>ما ترنو إليه</w:t>
      </w:r>
      <w:r w:rsidR="00BE322A">
        <w:rPr>
          <w:rFonts w:hint="cs"/>
          <w:rtl/>
        </w:rPr>
        <w:t xml:space="preserve"> أهداف التنمية المستدامة</w:t>
      </w:r>
      <w:r w:rsidR="00217529">
        <w:rPr>
          <w:rFonts w:hint="eastAsia"/>
          <w:rtl/>
        </w:rPr>
        <w:t> </w:t>
      </w:r>
      <w:r w:rsidR="001C3020">
        <w:t>(</w:t>
      </w:r>
      <w:r w:rsidR="001C3020">
        <w:rPr>
          <w:rFonts w:cs="Arial"/>
        </w:rPr>
        <w:t>SDG</w:t>
      </w:r>
      <w:r w:rsidR="001C3020">
        <w:t>)</w:t>
      </w:r>
      <w:r w:rsidR="00BE322A">
        <w:rPr>
          <w:rFonts w:hint="cs"/>
          <w:rtl/>
        </w:rPr>
        <w:t>. فالتكنولوجيات الجديدة تمكّن من النفاذ إلى خدمات التعليم أو الرعاية الصحية عن ب</w:t>
      </w:r>
      <w:r w:rsidR="000D03AE">
        <w:rPr>
          <w:rFonts w:hint="cs"/>
          <w:rtl/>
        </w:rPr>
        <w:t>ُ</w:t>
      </w:r>
      <w:r w:rsidR="00BE322A">
        <w:rPr>
          <w:rFonts w:hint="cs"/>
          <w:rtl/>
        </w:rPr>
        <w:t xml:space="preserve">عد وتيسير البحث والابتكار ونشر المعلومات على الفور </w:t>
      </w:r>
      <w:r w:rsidR="000D03AE">
        <w:rPr>
          <w:rFonts w:hint="cs"/>
          <w:rtl/>
        </w:rPr>
        <w:t xml:space="preserve">وتعزيز الشراكات العالمية. </w:t>
      </w:r>
      <w:r w:rsidR="005B3C4E">
        <w:rPr>
          <w:rFonts w:hint="cs"/>
          <w:rtl/>
        </w:rPr>
        <w:t xml:space="preserve">وتؤدي </w:t>
      </w:r>
      <w:r w:rsidR="00231075">
        <w:rPr>
          <w:rFonts w:hint="cs"/>
          <w:rtl/>
        </w:rPr>
        <w:t>هذه ال</w:t>
      </w:r>
      <w:r w:rsidR="005B3C4E">
        <w:rPr>
          <w:rFonts w:hint="cs"/>
          <w:rtl/>
        </w:rPr>
        <w:t xml:space="preserve">تكنولوجيا كذلك دوراً في تعزيز المساواة بين الجنسين من خلال تمكين المشاركة في الشؤون السياسية، وفي الحد من استهلاك الطاقة والمساهمة في الجهود الرامية إلى التصدي لتغير المناخ، وفي زيادة إنتاج الأغذية من خلال </w:t>
      </w:r>
      <w:r w:rsidR="00853CA7">
        <w:rPr>
          <w:rFonts w:hint="cs"/>
          <w:rtl/>
        </w:rPr>
        <w:t>إتاحة سبل جديدة ل</w:t>
      </w:r>
      <w:r w:rsidR="005B3C4E">
        <w:rPr>
          <w:rFonts w:hint="cs"/>
          <w:rtl/>
        </w:rPr>
        <w:t xml:space="preserve">لمزارعين </w:t>
      </w:r>
      <w:r w:rsidR="00853CA7">
        <w:rPr>
          <w:rFonts w:hint="cs"/>
          <w:rtl/>
        </w:rPr>
        <w:t xml:space="preserve">من أجل النفاذ إلى المعلومات الأساسية والأسواق الجديدة، وفي الحد من مخاطر الكوارث من خلال الإنذار المبكر وتعزيز التوصيلية. </w:t>
      </w:r>
    </w:p>
    <w:p w:rsidR="00CE31F8" w:rsidRDefault="00853CA7" w:rsidP="00D44A7E">
      <w:r>
        <w:rPr>
          <w:rFonts w:hint="cs"/>
          <w:rtl/>
        </w:rPr>
        <w:t xml:space="preserve">ولا شك في أن جهوداً كبيرة قد بُذلت من أجل تحقيق النفاذ الشامل لجميع مواطني الكومنولث إلى تكنولوجيا المعلومات والاتصالات. ومع ذلك، كما هو الحال بالنسبة لبقية العالم، لا تزال هناك </w:t>
      </w:r>
      <w:r w:rsidR="00C42381">
        <w:rPr>
          <w:rFonts w:hint="cs"/>
          <w:rtl/>
        </w:rPr>
        <w:t>ثغرات</w:t>
      </w:r>
      <w:r>
        <w:rPr>
          <w:rFonts w:hint="cs"/>
          <w:rtl/>
        </w:rPr>
        <w:t xml:space="preserve"> كبيرة داخل بلداننا الأعضاء ولعل </w:t>
      </w:r>
      <w:r w:rsidR="00C42381">
        <w:rPr>
          <w:rFonts w:hint="cs"/>
          <w:rtl/>
        </w:rPr>
        <w:t>أبرزها</w:t>
      </w:r>
      <w:r>
        <w:rPr>
          <w:rFonts w:hint="cs"/>
          <w:rtl/>
        </w:rPr>
        <w:t xml:space="preserve"> هو عدد الأشخاص الذين ما زالوا </w:t>
      </w:r>
      <w:r w:rsidR="00C42381">
        <w:rPr>
          <w:rFonts w:hint="cs"/>
          <w:rtl/>
        </w:rPr>
        <w:t>لا يستخدمون الإنترنت:</w:t>
      </w:r>
    </w:p>
    <w:p w:rsidR="00CE31F8" w:rsidRDefault="00CE31F8" w:rsidP="00CE31F8">
      <w:pPr>
        <w:pStyle w:val="enumlev1"/>
        <w:rPr>
          <w:rtl/>
        </w:rPr>
      </w:pPr>
      <w:r>
        <w:rPr>
          <w:rtl/>
        </w:rPr>
        <w:t>•</w:t>
      </w:r>
      <w:r>
        <w:rPr>
          <w:rtl/>
        </w:rPr>
        <w:tab/>
      </w:r>
      <w:r w:rsidR="00C42381">
        <w:t>72</w:t>
      </w:r>
      <w:r w:rsidR="00C42381">
        <w:rPr>
          <w:rFonts w:hint="cs"/>
          <w:rtl/>
          <w:lang w:bidi="ar-EG"/>
        </w:rPr>
        <w:t xml:space="preserve"> في المائة من سكان إفريقيا ما زالوا لا يستخدمون الإنترنت</w:t>
      </w:r>
      <w:r>
        <w:rPr>
          <w:rFonts w:hint="cs"/>
          <w:rtl/>
        </w:rPr>
        <w:t>؛</w:t>
      </w:r>
    </w:p>
    <w:p w:rsidR="00CE31F8" w:rsidRDefault="00CE31F8" w:rsidP="00646801">
      <w:pPr>
        <w:pStyle w:val="enumlev1"/>
        <w:rPr>
          <w:rtl/>
        </w:rPr>
      </w:pPr>
      <w:r>
        <w:rPr>
          <w:rtl/>
        </w:rPr>
        <w:t>•</w:t>
      </w:r>
      <w:r>
        <w:rPr>
          <w:rtl/>
        </w:rPr>
        <w:tab/>
      </w:r>
      <w:r w:rsidR="00C42381">
        <w:t>65</w:t>
      </w:r>
      <w:r w:rsidR="00646801">
        <w:rPr>
          <w:rFonts w:hint="cs"/>
          <w:rtl/>
          <w:lang w:bidi="ar-EG"/>
        </w:rPr>
        <w:t xml:space="preserve"> في المائة من </w:t>
      </w:r>
      <w:r w:rsidR="00C42381">
        <w:rPr>
          <w:rFonts w:hint="cs"/>
          <w:rtl/>
          <w:lang w:bidi="ar-EG"/>
        </w:rPr>
        <w:t>سكان منطقة المحيط الهادئ لا يتمتعون بالنفاذ إلى الإنترنت</w:t>
      </w:r>
      <w:r>
        <w:rPr>
          <w:rFonts w:hint="cs"/>
          <w:rtl/>
        </w:rPr>
        <w:t>؛</w:t>
      </w:r>
    </w:p>
    <w:p w:rsidR="00CE31F8" w:rsidRPr="00646801" w:rsidRDefault="00CE31F8" w:rsidP="003C6AE9">
      <w:pPr>
        <w:pStyle w:val="enumlev1"/>
        <w:rPr>
          <w:rtl/>
          <w:lang w:bidi="ar-EG"/>
        </w:rPr>
      </w:pPr>
      <w:r>
        <w:rPr>
          <w:rtl/>
        </w:rPr>
        <w:t>•</w:t>
      </w:r>
      <w:r>
        <w:rPr>
          <w:rtl/>
        </w:rPr>
        <w:tab/>
      </w:r>
      <w:r w:rsidR="00C42381">
        <w:t>55</w:t>
      </w:r>
      <w:r w:rsidR="00C42381">
        <w:rPr>
          <w:rFonts w:hint="cs"/>
          <w:rtl/>
          <w:lang w:bidi="ar-EG"/>
        </w:rPr>
        <w:t xml:space="preserve"> في المائة </w:t>
      </w:r>
      <w:r w:rsidR="00646801">
        <w:rPr>
          <w:rFonts w:hint="cs"/>
          <w:rtl/>
          <w:lang w:bidi="ar-EG"/>
        </w:rPr>
        <w:t>من سكان منطقة آسيا و</w:t>
      </w:r>
      <w:r w:rsidR="00646801">
        <w:rPr>
          <w:lang w:bidi="ar-EG"/>
        </w:rPr>
        <w:t>35</w:t>
      </w:r>
      <w:r w:rsidR="00646801">
        <w:rPr>
          <w:rFonts w:hint="cs"/>
          <w:rtl/>
          <w:lang w:bidi="ar-EG"/>
        </w:rPr>
        <w:t xml:space="preserve"> في المائة من سكان الأمريكتين و</w:t>
      </w:r>
      <w:r w:rsidR="00646801">
        <w:rPr>
          <w:lang w:bidi="ar-EG"/>
        </w:rPr>
        <w:t>20</w:t>
      </w:r>
      <w:r w:rsidR="00646801">
        <w:rPr>
          <w:rFonts w:hint="cs"/>
          <w:rtl/>
          <w:lang w:bidi="ar-EG"/>
        </w:rPr>
        <w:t xml:space="preserve"> في المائة من سكان أوروبا لا</w:t>
      </w:r>
      <w:r w:rsidR="003C6AE9">
        <w:rPr>
          <w:rFonts w:hint="eastAsia"/>
          <w:rtl/>
          <w:lang w:bidi="ar-EG"/>
        </w:rPr>
        <w:t> </w:t>
      </w:r>
      <w:r w:rsidR="00646801">
        <w:rPr>
          <w:rFonts w:hint="cs"/>
          <w:rtl/>
          <w:lang w:bidi="ar-EG"/>
        </w:rPr>
        <w:t>يتم</w:t>
      </w:r>
      <w:r w:rsidR="001C3020">
        <w:rPr>
          <w:rFonts w:hint="cs"/>
          <w:rtl/>
          <w:lang w:bidi="ar-EG"/>
        </w:rPr>
        <w:t>ت</w:t>
      </w:r>
      <w:r w:rsidR="00646801">
        <w:rPr>
          <w:rFonts w:hint="cs"/>
          <w:rtl/>
          <w:lang w:bidi="ar-EG"/>
        </w:rPr>
        <w:t>عون بالنفاذ إلى الإنترنت.</w:t>
      </w:r>
    </w:p>
    <w:p w:rsidR="00646801" w:rsidRDefault="00646801" w:rsidP="00774F97">
      <w:pPr>
        <w:rPr>
          <w:rtl/>
        </w:rPr>
      </w:pPr>
      <w:r>
        <w:rPr>
          <w:rFonts w:hint="cs"/>
          <w:rtl/>
        </w:rPr>
        <w:t>والواقع أن نصف عدد سكان العالم ما زالوا غير موصولين بالإنترنت و</w:t>
      </w:r>
      <w:r w:rsidR="00EC29D5">
        <w:rPr>
          <w:rFonts w:hint="cs"/>
          <w:rtl/>
        </w:rPr>
        <w:t xml:space="preserve">أن </w:t>
      </w:r>
      <w:r>
        <w:rPr>
          <w:rFonts w:hint="cs"/>
          <w:rtl/>
        </w:rPr>
        <w:t xml:space="preserve">العزم على توصيل </w:t>
      </w:r>
      <w:r w:rsidR="00EC29D5">
        <w:rPr>
          <w:rFonts w:hint="cs"/>
          <w:rtl/>
        </w:rPr>
        <w:t xml:space="preserve">المليار التالي يتطلب حجماً أكبر بكثير من الاستثمار من </w:t>
      </w:r>
      <w:r w:rsidR="00231075">
        <w:rPr>
          <w:rFonts w:hint="cs"/>
          <w:rtl/>
        </w:rPr>
        <w:t>جانب</w:t>
      </w:r>
      <w:r w:rsidR="00EC29D5">
        <w:rPr>
          <w:rFonts w:hint="cs"/>
          <w:rtl/>
        </w:rPr>
        <w:t xml:space="preserve"> أصحاب المصلحة</w:t>
      </w:r>
      <w:r w:rsidR="00231075">
        <w:rPr>
          <w:rFonts w:hint="cs"/>
          <w:rtl/>
        </w:rPr>
        <w:t xml:space="preserve"> كافةً</w:t>
      </w:r>
      <w:r w:rsidR="00EC29D5">
        <w:rPr>
          <w:rFonts w:hint="cs"/>
          <w:rtl/>
        </w:rPr>
        <w:t xml:space="preserve">. </w:t>
      </w:r>
    </w:p>
    <w:p w:rsidR="00EC29D5" w:rsidRPr="004E3AEB" w:rsidRDefault="00EC29D5" w:rsidP="003C6AE9">
      <w:pPr>
        <w:rPr>
          <w:rtl/>
          <w:lang w:bidi="ar-EG"/>
        </w:rPr>
      </w:pPr>
      <w:r>
        <w:rPr>
          <w:rFonts w:hint="cs"/>
          <w:rtl/>
        </w:rPr>
        <w:t>وتشير التقديرات إلى أن الناتج المحلي الإجمالي</w:t>
      </w:r>
      <w:r w:rsidR="00A55772">
        <w:rPr>
          <w:rFonts w:hint="cs"/>
          <w:rtl/>
        </w:rPr>
        <w:t xml:space="preserve"> في البلدان النامية</w:t>
      </w:r>
      <w:r>
        <w:rPr>
          <w:rFonts w:hint="cs"/>
          <w:rtl/>
        </w:rPr>
        <w:t xml:space="preserve"> يمكن أن يرتفع بنسبة </w:t>
      </w:r>
      <w:r>
        <w:t>12</w:t>
      </w:r>
      <w:r>
        <w:rPr>
          <w:rFonts w:hint="cs"/>
          <w:rtl/>
          <w:lang w:bidi="ar-EG"/>
        </w:rPr>
        <w:t xml:space="preserve"> في المائة إذا </w:t>
      </w:r>
      <w:r w:rsidR="00A55772">
        <w:rPr>
          <w:rFonts w:hint="cs"/>
          <w:rtl/>
          <w:lang w:bidi="ar-EG"/>
        </w:rPr>
        <w:t xml:space="preserve">بلغت نسبة انتشار النطاق العريض </w:t>
      </w:r>
      <w:r w:rsidR="00A55772" w:rsidRPr="00DA4F7A">
        <w:t>%</w:t>
      </w:r>
      <w:r w:rsidR="001C3020">
        <w:rPr>
          <w:lang w:bidi="ar-EG"/>
        </w:rPr>
        <w:t>80</w:t>
      </w:r>
      <w:r w:rsidR="00A55772">
        <w:rPr>
          <w:rFonts w:hint="cs"/>
          <w:rtl/>
        </w:rPr>
        <w:t xml:space="preserve"> في عام </w:t>
      </w:r>
      <w:r w:rsidR="00A55772" w:rsidRPr="00DA4F7A">
        <w:t>2030</w:t>
      </w:r>
      <w:r w:rsidR="00A55772">
        <w:rPr>
          <w:rStyle w:val="FootnoteReference"/>
          <w:rtl/>
        </w:rPr>
        <w:footnoteReference w:id="1"/>
      </w:r>
      <w:r w:rsidR="00A55772">
        <w:rPr>
          <w:rFonts w:hint="cs"/>
          <w:rtl/>
        </w:rPr>
        <w:t xml:space="preserve">. </w:t>
      </w:r>
      <w:r w:rsidR="004E3AEB">
        <w:rPr>
          <w:rFonts w:hint="cs"/>
          <w:rtl/>
        </w:rPr>
        <w:t>ويُعتقد أيضاً أن تحفيز تحقيق أهداف التنمية المستدامة من شأنه أن يحقق مكسباً في</w:t>
      </w:r>
      <w:r w:rsidR="001C3020">
        <w:rPr>
          <w:rFonts w:hint="eastAsia"/>
          <w:rtl/>
        </w:rPr>
        <w:t> </w:t>
      </w:r>
      <w:r w:rsidR="004E3AEB">
        <w:rPr>
          <w:rFonts w:hint="cs"/>
          <w:rtl/>
        </w:rPr>
        <w:t xml:space="preserve">إيرادات قطاع تكنولوجيا المعلومات والاتصالات قد يصل إلى </w:t>
      </w:r>
      <w:r w:rsidR="004E3AEB">
        <w:t>2,1</w:t>
      </w:r>
      <w:r w:rsidR="004E3AEB">
        <w:rPr>
          <w:rFonts w:hint="cs"/>
          <w:rtl/>
          <w:lang w:bidi="ar-EG"/>
        </w:rPr>
        <w:t xml:space="preserve"> تريليون دولار أمريكي بحلول عام </w:t>
      </w:r>
      <w:r w:rsidR="004E3AEB">
        <w:rPr>
          <w:lang w:bidi="ar-EG"/>
        </w:rPr>
        <w:t>2030</w:t>
      </w:r>
      <w:r w:rsidR="004E3AEB">
        <w:rPr>
          <w:rStyle w:val="FootnoteReference"/>
          <w:rtl/>
          <w:lang w:bidi="ar-EG"/>
        </w:rPr>
        <w:footnoteReference w:id="2"/>
      </w:r>
      <w:r w:rsidR="004E3AEB">
        <w:rPr>
          <w:rFonts w:hint="cs"/>
          <w:rtl/>
        </w:rPr>
        <w:t>.</w:t>
      </w:r>
      <w:r w:rsidR="004E3AEB">
        <w:rPr>
          <w:rFonts w:hint="cs"/>
          <w:rtl/>
          <w:lang w:bidi="ar-EG"/>
        </w:rPr>
        <w:t xml:space="preserve"> ولذلك</w:t>
      </w:r>
      <w:r w:rsidR="00231075">
        <w:rPr>
          <w:rFonts w:hint="cs"/>
          <w:rtl/>
          <w:lang w:bidi="ar-EG"/>
        </w:rPr>
        <w:t xml:space="preserve">، يتضح </w:t>
      </w:r>
      <w:r w:rsidR="004E3AEB">
        <w:rPr>
          <w:rFonts w:hint="cs"/>
          <w:rtl/>
          <w:lang w:bidi="ar-EG"/>
        </w:rPr>
        <w:t xml:space="preserve">أن </w:t>
      </w:r>
      <w:r w:rsidR="00231075">
        <w:rPr>
          <w:rFonts w:hint="cs"/>
          <w:rtl/>
          <w:lang w:bidi="ar-EG"/>
        </w:rPr>
        <w:t xml:space="preserve">بإمكان </w:t>
      </w:r>
      <w:r w:rsidR="004E3AEB">
        <w:rPr>
          <w:rFonts w:hint="cs"/>
          <w:rtl/>
          <w:lang w:bidi="ar-EG"/>
        </w:rPr>
        <w:t>الاستثمار في</w:t>
      </w:r>
      <w:r w:rsidR="003C6AE9">
        <w:rPr>
          <w:rFonts w:hint="eastAsia"/>
          <w:rtl/>
          <w:lang w:bidi="ar-EG"/>
        </w:rPr>
        <w:t> </w:t>
      </w:r>
      <w:r w:rsidR="004E3AEB">
        <w:rPr>
          <w:rFonts w:hint="cs"/>
          <w:rtl/>
          <w:lang w:bidi="ar-EG"/>
        </w:rPr>
        <w:t xml:space="preserve">تكنولوجيا المعلومات والاتصالات أن يمكّن الحكومات في جميع أنحاء العالم من </w:t>
      </w:r>
      <w:r w:rsidR="0007717D">
        <w:rPr>
          <w:rFonts w:hint="cs"/>
          <w:rtl/>
          <w:lang w:bidi="ar-EG"/>
        </w:rPr>
        <w:t>تحقيق أهداف التنمية المستدامة وجني الفوائد التي يمكن أن تعود بها هذه التكنولوجيا على التنمية الاجتماع</w:t>
      </w:r>
      <w:r w:rsidR="00125103">
        <w:rPr>
          <w:rFonts w:hint="cs"/>
          <w:rtl/>
          <w:lang w:bidi="ar-EG"/>
        </w:rPr>
        <w:t>ي</w:t>
      </w:r>
      <w:r w:rsidR="0007717D">
        <w:rPr>
          <w:rFonts w:hint="cs"/>
          <w:rtl/>
          <w:lang w:bidi="ar-EG"/>
        </w:rPr>
        <w:t xml:space="preserve">ة والاقتصادية </w:t>
      </w:r>
      <w:r w:rsidR="00231075">
        <w:rPr>
          <w:rFonts w:hint="cs"/>
          <w:rtl/>
          <w:lang w:bidi="ar-EG"/>
        </w:rPr>
        <w:t>على الصعيد الوطني</w:t>
      </w:r>
      <w:r w:rsidR="00125103">
        <w:rPr>
          <w:rFonts w:hint="cs"/>
          <w:rtl/>
          <w:lang w:bidi="ar-EG"/>
        </w:rPr>
        <w:t xml:space="preserve">. </w:t>
      </w:r>
    </w:p>
    <w:p w:rsidR="00CE31F8" w:rsidRDefault="00125103" w:rsidP="003C6AE9">
      <w:pPr>
        <w:rPr>
          <w:lang w:bidi="ar-EG"/>
        </w:rPr>
      </w:pPr>
      <w:r>
        <w:rPr>
          <w:rFonts w:hint="cs"/>
          <w:rtl/>
        </w:rPr>
        <w:t xml:space="preserve">وبناءً على ذلك، تدعم منظمة الكومنولث للاتصالات </w:t>
      </w:r>
      <w:r w:rsidR="0099199E">
        <w:rPr>
          <w:rFonts w:hint="cs"/>
          <w:rtl/>
        </w:rPr>
        <w:t xml:space="preserve">دعماً كاملاً </w:t>
      </w:r>
      <w:r>
        <w:rPr>
          <w:rFonts w:hint="cs"/>
          <w:rtl/>
        </w:rPr>
        <w:t>موضوع المؤتمر العالمي لتنمية الاتصالات لعام</w:t>
      </w:r>
      <w:r w:rsidR="003C6AE9">
        <w:rPr>
          <w:rFonts w:hint="eastAsia"/>
          <w:rtl/>
        </w:rPr>
        <w:t> </w:t>
      </w:r>
      <w:r>
        <w:t>2017</w:t>
      </w:r>
      <w:r w:rsidR="003C6AE9">
        <w:rPr>
          <w:rFonts w:hint="eastAsia"/>
          <w:rtl/>
          <w:lang w:bidi="ar-EG"/>
        </w:rPr>
        <w:t> </w:t>
      </w:r>
      <w:r>
        <w:rPr>
          <w:rtl/>
          <w:lang w:bidi="ar-EG"/>
        </w:rPr>
        <w:t>–</w:t>
      </w:r>
      <w:r>
        <w:rPr>
          <w:rFonts w:hint="cs"/>
          <w:rtl/>
          <w:lang w:bidi="ar-EG"/>
        </w:rPr>
        <w:t xml:space="preserve"> "تكنولوجيا المعلومات والاتصالات من أجل</w:t>
      </w:r>
      <w:r w:rsidR="0099199E">
        <w:rPr>
          <w:rFonts w:hint="cs"/>
          <w:rtl/>
          <w:lang w:bidi="ar-EG"/>
        </w:rPr>
        <w:t xml:space="preserve"> تحقيق أهداف التنمية المستدامة". فهذا الموضوع بالفعل يتماشى إلى حد كبير مع العمل الذي تعكف عليه المنظمة، وهي شأنها شأن أي</w:t>
      </w:r>
      <w:r w:rsidR="00231075">
        <w:rPr>
          <w:rFonts w:hint="cs"/>
          <w:rtl/>
          <w:lang w:bidi="ar-EG"/>
        </w:rPr>
        <w:t>ّ</w:t>
      </w:r>
      <w:r w:rsidR="0099199E">
        <w:rPr>
          <w:rFonts w:hint="cs"/>
          <w:rtl/>
          <w:lang w:bidi="ar-EG"/>
        </w:rPr>
        <w:t xml:space="preserve"> منظمة أخرى قائمة على العضوية، تركز مواردها في المجالات التي تهم جل أعضائها، الذين تنتمي نسبة كبيرة منهم إلى الدول </w:t>
      </w:r>
      <w:r w:rsidR="008D567C">
        <w:rPr>
          <w:rFonts w:hint="cs"/>
          <w:rtl/>
          <w:lang w:bidi="ar-EG"/>
        </w:rPr>
        <w:t>الجزرية الصغيرة النامية وأقل البلدان نمواً</w:t>
      </w:r>
      <w:r w:rsidR="0022029E">
        <w:rPr>
          <w:rFonts w:hint="cs"/>
          <w:rtl/>
          <w:lang w:bidi="ar-EG"/>
        </w:rPr>
        <w:t xml:space="preserve"> والبلدان النامية غير الساحلية.</w:t>
      </w:r>
    </w:p>
    <w:p w:rsidR="00CE31F8" w:rsidRDefault="008D567C" w:rsidP="008D567C">
      <w:pPr>
        <w:pStyle w:val="Headingb"/>
        <w:rPr>
          <w:rtl/>
        </w:rPr>
      </w:pPr>
      <w:r>
        <w:rPr>
          <w:rFonts w:hint="cs"/>
          <w:rtl/>
        </w:rPr>
        <w:lastRenderedPageBreak/>
        <w:t>الأنشطة المقترحة استناداً إلى أولويات منظمة الكومنولث للاتصالات وأعضائها</w:t>
      </w:r>
    </w:p>
    <w:p w:rsidR="008D567C" w:rsidRDefault="008D567C" w:rsidP="008D567C">
      <w:pPr>
        <w:rPr>
          <w:rtl/>
        </w:rPr>
      </w:pPr>
      <w:r>
        <w:rPr>
          <w:rFonts w:hint="cs"/>
          <w:rtl/>
        </w:rPr>
        <w:t>حُدد العديد من مجالات الأولوية خلال مختلف الاجتماعات الإقليمية التحضيرية ل</w:t>
      </w:r>
      <w:r w:rsidR="006A017D">
        <w:rPr>
          <w:rFonts w:hint="cs"/>
          <w:rtl/>
        </w:rPr>
        <w:t>لمؤتمر العالمي لتنمية الاتصالات</w:t>
      </w:r>
      <w:r>
        <w:rPr>
          <w:rFonts w:hint="cs"/>
          <w:rtl/>
        </w:rPr>
        <w:t xml:space="preserve"> التي عُقدت خلال السنة الماضية. </w:t>
      </w:r>
      <w:r w:rsidR="006A017D">
        <w:rPr>
          <w:rFonts w:hint="cs"/>
          <w:rtl/>
        </w:rPr>
        <w:t xml:space="preserve">وعند إعداد هذه المساهمة، أخذت منظمة الكومنولث للاتصالات بعين الاعتبار مجالات الأولوية التي تتسم بأهمية خاصة لأعضاء المنظمة في إفريقيا والأمريكتين ومنطقة آسيا والمحيط الهادئ. </w:t>
      </w:r>
    </w:p>
    <w:p w:rsidR="00CE31F8" w:rsidRDefault="00FE0F29" w:rsidP="00E779D4">
      <w:r>
        <w:rPr>
          <w:rFonts w:hint="cs"/>
          <w:rtl/>
        </w:rPr>
        <w:t>واستناداً إلى القضايا الرئيسية التي حددتها هذه المناطق والمجالات المشار إليها في إطار خطة عمل قطاع تنمية الاتصالات، وضعت منظمة الكومنولث للاتصالات قائمة بالمجالات الرئيسية التي تحتاج إلى المزيد من أنشطة بناء القدر</w:t>
      </w:r>
      <w:r w:rsidR="00230BA5">
        <w:rPr>
          <w:rFonts w:hint="cs"/>
          <w:rtl/>
        </w:rPr>
        <w:t>ات. وتعترف المنظمة بأن الاحتياج</w:t>
      </w:r>
      <w:r>
        <w:rPr>
          <w:rFonts w:hint="cs"/>
          <w:rtl/>
        </w:rPr>
        <w:t xml:space="preserve">ات قد تختلف من بلد إلى آخر وفقاً لهياكل الإدارة والمساحة </w:t>
      </w:r>
      <w:r w:rsidR="00606378">
        <w:rPr>
          <w:rFonts w:hint="cs"/>
          <w:rtl/>
        </w:rPr>
        <w:t>والموارد والموقع الجغرافي</w:t>
      </w:r>
      <w:r w:rsidR="00354246">
        <w:rPr>
          <w:rFonts w:hint="cs"/>
          <w:rtl/>
        </w:rPr>
        <w:t>. ومن المهم مع ذلك الإشارة إلى أن الغرض من المجموعة الواسعة من الاقتراحات المعروضة أدناه هو إثارة التفكير والنقاش بشأن القضايا المتعلقة ب</w:t>
      </w:r>
      <w:r w:rsidR="00A16706">
        <w:rPr>
          <w:rFonts w:hint="cs"/>
          <w:rtl/>
        </w:rPr>
        <w:t>ما يمكن أن يقدمه قطاع تنمية</w:t>
      </w:r>
      <w:r w:rsidR="00E779D4">
        <w:rPr>
          <w:rFonts w:hint="eastAsia"/>
          <w:rtl/>
        </w:rPr>
        <w:t> </w:t>
      </w:r>
      <w:r w:rsidR="007418DC">
        <w:rPr>
          <w:rFonts w:hint="cs"/>
          <w:rtl/>
        </w:rPr>
        <w:t>الاتصالات.</w:t>
      </w:r>
    </w:p>
    <w:p w:rsidR="00CE31F8" w:rsidRDefault="00CE31F8" w:rsidP="0022029E">
      <w:pPr>
        <w:rPr>
          <w:lang w:bidi="ar-EG"/>
        </w:rPr>
      </w:pPr>
      <w:r>
        <w:t>1</w:t>
      </w:r>
      <w:r>
        <w:rPr>
          <w:rtl/>
          <w:lang w:bidi="ar-EG"/>
        </w:rPr>
        <w:tab/>
      </w:r>
      <w:r w:rsidR="00447865">
        <w:rPr>
          <w:rFonts w:hint="cs"/>
          <w:rtl/>
          <w:lang w:bidi="ar-EG"/>
        </w:rPr>
        <w:t>من الواضح جداً أن من شأن النطاق العريض أن يعزز العمالة ويشجع الابتكار ويرفع الإنتاجية ويحفز بالتالي النمو الاقتصادي. وترى المنظمة أن هناك حاجة أكبر لبناء القدرات في البلدان النامية، مما يمكّن من وضع وإنفاذ سياسات وأطر تنظيمية فعالة تتيح توصيلية شاملة وميسورة التكلفة وعالية الجودة للنطاق العريض وتشجع كذلك الاستثمار من جانب الجهات الفاعلة في</w:t>
      </w:r>
      <w:r w:rsidR="0022029E">
        <w:rPr>
          <w:rFonts w:hint="eastAsia"/>
          <w:rtl/>
          <w:lang w:bidi="ar-EG"/>
        </w:rPr>
        <w:t> </w:t>
      </w:r>
      <w:r w:rsidR="00447865">
        <w:rPr>
          <w:rFonts w:hint="cs"/>
          <w:rtl/>
          <w:lang w:bidi="ar-EG"/>
        </w:rPr>
        <w:t>السوق.</w:t>
      </w:r>
    </w:p>
    <w:p w:rsidR="00CE31F8" w:rsidRDefault="00CE31F8" w:rsidP="00D44A7E">
      <w:r>
        <w:t>2</w:t>
      </w:r>
      <w:r>
        <w:rPr>
          <w:rtl/>
          <w:lang w:bidi="ar-EG"/>
        </w:rPr>
        <w:tab/>
      </w:r>
      <w:r w:rsidR="00447865">
        <w:rPr>
          <w:rFonts w:hint="cs"/>
          <w:rtl/>
          <w:lang w:bidi="ar-EG"/>
        </w:rPr>
        <w:t>المدينة الذكية من تطلعات العصر الرقمي</w:t>
      </w:r>
      <w:r w:rsidR="00136FF7">
        <w:rPr>
          <w:rFonts w:hint="cs"/>
          <w:rtl/>
        </w:rPr>
        <w:t>، ولذلك تقترح المنظمة أن تشمل أنشطة بناء القدرات تركيزاً على تقديم إرشادات إلى الدول بشأن تحديث أطرها القانونية والتنظيمية لدعم استخدام التكنولوجيات المتقدمة بفعال</w:t>
      </w:r>
      <w:r w:rsidR="00840CB1">
        <w:rPr>
          <w:rFonts w:hint="cs"/>
          <w:rtl/>
        </w:rPr>
        <w:t>ية.</w:t>
      </w:r>
    </w:p>
    <w:p w:rsidR="00CE31F8" w:rsidRDefault="00CE31F8" w:rsidP="004B4BBB">
      <w:r>
        <w:t>3</w:t>
      </w:r>
      <w:r>
        <w:rPr>
          <w:rtl/>
          <w:lang w:bidi="ar-EG"/>
        </w:rPr>
        <w:tab/>
      </w:r>
      <w:r w:rsidR="00136FF7">
        <w:rPr>
          <w:rFonts w:hint="cs"/>
          <w:rtl/>
          <w:lang w:bidi="ar-EG"/>
        </w:rPr>
        <w:t xml:space="preserve">ما زالت بعض </w:t>
      </w:r>
      <w:r w:rsidR="00244B0B">
        <w:rPr>
          <w:rFonts w:hint="cs"/>
          <w:rtl/>
          <w:lang w:bidi="ar-EG"/>
        </w:rPr>
        <w:t xml:space="preserve">أنحاء العالم لم تشهد بعدُ تكنولوجيا الجيل الرابع </w:t>
      </w:r>
      <w:r w:rsidR="004B4BBB">
        <w:rPr>
          <w:lang w:bidi="ar-EG"/>
        </w:rPr>
        <w:t>(</w:t>
      </w:r>
      <w:r w:rsidR="004B4BBB" w:rsidRPr="00196974">
        <w:rPr>
          <w:rFonts w:cs="Tahoma"/>
        </w:rPr>
        <w:t>4G</w:t>
      </w:r>
      <w:proofErr w:type="gramStart"/>
      <w:r w:rsidR="004B4BBB">
        <w:rPr>
          <w:lang w:bidi="ar-EG"/>
        </w:rPr>
        <w:t>)</w:t>
      </w:r>
      <w:r w:rsidR="00244B0B">
        <w:rPr>
          <w:rFonts w:hint="cs"/>
          <w:rtl/>
          <w:lang w:bidi="ar-EG"/>
        </w:rPr>
        <w:t>،</w:t>
      </w:r>
      <w:proofErr w:type="gramEnd"/>
      <w:r w:rsidR="00244B0B">
        <w:rPr>
          <w:rFonts w:hint="cs"/>
          <w:rtl/>
          <w:lang w:bidi="ar-EG"/>
        </w:rPr>
        <w:t xml:space="preserve"> ومع ذلك فقد شرعت الحكومات والقطاع الخاص في إرساء الأسس لتكنولوجيا الجيل الخامس </w:t>
      </w:r>
      <w:r w:rsidR="004B4BBB">
        <w:rPr>
          <w:lang w:bidi="ar-EG"/>
        </w:rPr>
        <w:t>(</w:t>
      </w:r>
      <w:r w:rsidR="004B4BBB" w:rsidRPr="00196974">
        <w:rPr>
          <w:rFonts w:cs="Tahoma"/>
        </w:rPr>
        <w:t>5G</w:t>
      </w:r>
      <w:r w:rsidR="004B4BBB">
        <w:rPr>
          <w:lang w:bidi="ar-EG"/>
        </w:rPr>
        <w:t>)</w:t>
      </w:r>
      <w:r>
        <w:rPr>
          <w:rFonts w:hint="cs"/>
          <w:rtl/>
        </w:rPr>
        <w:t>.</w:t>
      </w:r>
      <w:r w:rsidR="00244B0B">
        <w:rPr>
          <w:rFonts w:hint="cs"/>
          <w:rtl/>
        </w:rPr>
        <w:t xml:space="preserve"> وهذا يعني أن من اللازم توفير مزيد من الطيف </w:t>
      </w:r>
      <w:r w:rsidR="003F3E8F">
        <w:rPr>
          <w:rFonts w:hint="cs"/>
          <w:rtl/>
        </w:rPr>
        <w:t>وتوزيع الطيف الموجود بكفاءة. وتماشياً مع دور مكتب تنمية الاتصالات المتمثل في تقديم المساعدة في مختلف جوانب إدارة الطيف، بما في</w:t>
      </w:r>
      <w:r w:rsidR="0022029E">
        <w:rPr>
          <w:rFonts w:hint="eastAsia"/>
          <w:rtl/>
        </w:rPr>
        <w:t> </w:t>
      </w:r>
      <w:r w:rsidR="003F3E8F">
        <w:rPr>
          <w:rFonts w:hint="cs"/>
          <w:rtl/>
        </w:rPr>
        <w:t>ذلك الأدوات الفعالة لإدارة الطيف، تقترح المنظمة أن تُبذل جهود لبناء قدرات الهيئات التنظيمية الوطنية من أجل تزويدها بالمعارف اللازمة لتوزيع الطيف بإنصاف وبتكاليف معقولة على مقدمي الخدمات ومن أجل التعامل أيضاً مع الطيف غير المستعمل.</w:t>
      </w:r>
    </w:p>
    <w:p w:rsidR="00CE31F8" w:rsidRDefault="00CE31F8" w:rsidP="0022029E">
      <w:pPr>
        <w:rPr>
          <w:lang w:bidi="ar-EG"/>
        </w:rPr>
      </w:pPr>
      <w:r>
        <w:t>4</w:t>
      </w:r>
      <w:r>
        <w:rPr>
          <w:rtl/>
          <w:lang w:bidi="ar-EG"/>
        </w:rPr>
        <w:tab/>
      </w:r>
      <w:r w:rsidR="0055672C">
        <w:rPr>
          <w:rFonts w:hint="cs"/>
          <w:rtl/>
          <w:lang w:bidi="ar-EG"/>
        </w:rPr>
        <w:t xml:space="preserve">لا بد من استثمار موارد في الأمن السيبراني من أجل بناء الثقة في قطاع تكنولوجيا المعلومات والاتصالات وضمان استفادة البلدان والمجتمعات المحلية استفادة كاملة من هذه التكنولوجيا. ويؤدي جميع أصحاب المصلحة أدوار هامة </w:t>
      </w:r>
      <w:r w:rsidR="00F74C8C">
        <w:rPr>
          <w:rFonts w:hint="cs"/>
          <w:rtl/>
          <w:lang w:bidi="ar-EG"/>
        </w:rPr>
        <w:t xml:space="preserve">في بناء الثقة والأمان في استعمال تكنولوجيا المعلومات والاتصالات. وبما أن الشركات الصغيرة والمتوسطة، بشكل خاص، تساهم بنسبة قد تصل إلى </w:t>
      </w:r>
      <w:r w:rsidR="00F74C8C" w:rsidRPr="006D6EBB">
        <w:rPr>
          <w:rFonts w:cs="Arial"/>
          <w:color w:val="000000" w:themeColor="text1"/>
        </w:rPr>
        <w:t>%</w:t>
      </w:r>
      <w:r w:rsidR="0022029E">
        <w:rPr>
          <w:lang w:bidi="ar-EG"/>
        </w:rPr>
        <w:t>40</w:t>
      </w:r>
      <w:r w:rsidR="00F74C8C">
        <w:rPr>
          <w:rFonts w:cs="Arial" w:hint="cs"/>
          <w:color w:val="000000" w:themeColor="text1"/>
          <w:rtl/>
        </w:rPr>
        <w:t xml:space="preserve"> </w:t>
      </w:r>
      <w:r w:rsidR="00F74C8C" w:rsidRPr="00F74C8C">
        <w:rPr>
          <w:rFonts w:hint="cs"/>
          <w:rtl/>
          <w:lang w:bidi="ar-EG"/>
        </w:rPr>
        <w:t xml:space="preserve">من الدخل الوطني </w:t>
      </w:r>
      <w:r w:rsidR="00F74C8C">
        <w:rPr>
          <w:rFonts w:hint="cs"/>
          <w:rtl/>
          <w:lang w:bidi="ar-EG"/>
        </w:rPr>
        <w:t>(الدخل الوطني الإجمالي</w:t>
      </w:r>
      <w:r w:rsidR="00217529">
        <w:rPr>
          <w:rFonts w:hint="cs"/>
          <w:rtl/>
          <w:lang w:bidi="ar-EG"/>
        </w:rPr>
        <w:t xml:space="preserve"> </w:t>
      </w:r>
      <w:r w:rsidR="00217529">
        <w:rPr>
          <w:lang w:bidi="ar-EG"/>
        </w:rPr>
        <w:t>(GDP)</w:t>
      </w:r>
      <w:r w:rsidR="00F74C8C">
        <w:rPr>
          <w:rFonts w:hint="cs"/>
          <w:rtl/>
          <w:lang w:bidi="ar-EG"/>
        </w:rPr>
        <w:t>) في الاقتصادات الناشئة، فإن المنظمة ترى أيضاً أن هناك حاجة إلى مساعدة هذه الشركات على تنفيذ التدابير اللازمة للحد من تعرضه</w:t>
      </w:r>
      <w:r w:rsidR="00BC7850">
        <w:rPr>
          <w:rFonts w:hint="cs"/>
          <w:rtl/>
          <w:lang w:bidi="ar-EG"/>
        </w:rPr>
        <w:t>ا للتهديدات السيبرانية الشائعة.</w:t>
      </w:r>
    </w:p>
    <w:p w:rsidR="00F74C8C" w:rsidRDefault="00CE31F8" w:rsidP="001A311E">
      <w:pPr>
        <w:rPr>
          <w:rtl/>
          <w:lang w:bidi="ar-EG"/>
        </w:rPr>
      </w:pPr>
      <w:r>
        <w:t>5</w:t>
      </w:r>
      <w:r>
        <w:rPr>
          <w:rtl/>
          <w:lang w:bidi="ar-EG"/>
        </w:rPr>
        <w:tab/>
      </w:r>
      <w:r w:rsidR="00F74C8C">
        <w:rPr>
          <w:rFonts w:hint="cs"/>
          <w:rtl/>
          <w:lang w:bidi="ar-EG"/>
        </w:rPr>
        <w:t xml:space="preserve">يمكن </w:t>
      </w:r>
      <w:r w:rsidR="005B5827">
        <w:rPr>
          <w:rFonts w:hint="cs"/>
          <w:rtl/>
          <w:lang w:bidi="ar-EG"/>
        </w:rPr>
        <w:t>ل</w:t>
      </w:r>
      <w:r w:rsidR="00F74C8C">
        <w:rPr>
          <w:rFonts w:hint="cs"/>
          <w:rtl/>
          <w:lang w:bidi="ar-EG"/>
        </w:rPr>
        <w:t>لكوارث</w:t>
      </w:r>
      <w:r w:rsidR="005B5827">
        <w:rPr>
          <w:rFonts w:hint="cs"/>
          <w:rtl/>
          <w:lang w:bidi="ar-EG"/>
        </w:rPr>
        <w:t xml:space="preserve">، سواء كانت </w:t>
      </w:r>
      <w:r w:rsidR="00F74C8C">
        <w:rPr>
          <w:rFonts w:hint="cs"/>
          <w:rtl/>
          <w:lang w:bidi="ar-EG"/>
        </w:rPr>
        <w:t xml:space="preserve">طبيعية أو </w:t>
      </w:r>
      <w:r w:rsidR="005B5827">
        <w:rPr>
          <w:rFonts w:hint="cs"/>
          <w:rtl/>
          <w:lang w:bidi="ar-EG"/>
        </w:rPr>
        <w:t>من صنع الإنسان</w:t>
      </w:r>
      <w:r w:rsidR="00F74C8C">
        <w:rPr>
          <w:rFonts w:hint="cs"/>
          <w:rtl/>
          <w:lang w:bidi="ar-EG"/>
        </w:rPr>
        <w:t xml:space="preserve">، </w:t>
      </w:r>
      <w:r w:rsidR="005B5827">
        <w:rPr>
          <w:rFonts w:hint="cs"/>
          <w:rtl/>
          <w:lang w:bidi="ar-EG"/>
        </w:rPr>
        <w:t>أن تشل حركة جميع قطاعات الاقتصاد وتؤثر سلباً على النمو والتنمية. وتتيح التطورات التي تشهدها تكنولوجيا المعلومات والاتصالات فرصاً لتعزيز قدرة البنى التحتية الحرجة على الصمود وزيادة التوصيلية. وتر</w:t>
      </w:r>
      <w:bookmarkStart w:id="0" w:name="_GoBack"/>
      <w:bookmarkEnd w:id="0"/>
      <w:r w:rsidR="005B5827">
        <w:rPr>
          <w:rFonts w:hint="cs"/>
          <w:rtl/>
          <w:lang w:bidi="ar-EG"/>
        </w:rPr>
        <w:t xml:space="preserve">ى المنظمة أن إنشاء مراكز لتخزين </w:t>
      </w:r>
      <w:r w:rsidR="00573711">
        <w:rPr>
          <w:rFonts w:hint="cs"/>
          <w:rtl/>
          <w:lang w:bidi="ar-EG"/>
        </w:rPr>
        <w:t xml:space="preserve">معدات الاستجابة في حالات الطوارئ داخل المناطق المعرضة للكوارث </w:t>
      </w:r>
      <w:r w:rsidR="001A311E">
        <w:rPr>
          <w:rFonts w:hint="cs"/>
          <w:rtl/>
          <w:lang w:bidi="ar-EG"/>
        </w:rPr>
        <w:t>تدبير</w:t>
      </w:r>
      <w:r w:rsidR="00573711">
        <w:rPr>
          <w:rFonts w:hint="cs"/>
          <w:rtl/>
          <w:lang w:bidi="ar-EG"/>
        </w:rPr>
        <w:t xml:space="preserve"> مفيد من شأنه أن يقلل من الوقت الذي ستستغرقه هذه المساع</w:t>
      </w:r>
      <w:r w:rsidR="00350BA8">
        <w:rPr>
          <w:rFonts w:hint="cs"/>
          <w:rtl/>
          <w:lang w:bidi="ar-EG"/>
        </w:rPr>
        <w:t>دة للوصول إلى المناطق المتضررة.</w:t>
      </w:r>
    </w:p>
    <w:p w:rsidR="00CE31F8" w:rsidRDefault="00217529" w:rsidP="00350BA8">
      <w:pPr>
        <w:rPr>
          <w:rtl/>
        </w:rPr>
      </w:pPr>
      <w:r>
        <w:rPr>
          <w:rFonts w:hint="cs"/>
          <w:rtl/>
        </w:rPr>
        <w:t>و</w:t>
      </w:r>
      <w:r w:rsidR="00573711">
        <w:rPr>
          <w:rFonts w:hint="cs"/>
          <w:rtl/>
        </w:rPr>
        <w:t xml:space="preserve">تتماشى جميع المجالات المشار إليها أعلاه مع الأهداف الاستراتيجية لمنظمة الكومنولث للاتصالات. </w:t>
      </w:r>
      <w:r w:rsidR="00D44A7E">
        <w:rPr>
          <w:rFonts w:hint="cs"/>
          <w:rtl/>
        </w:rPr>
        <w:t>ولا</w:t>
      </w:r>
      <w:r w:rsidR="00350BA8">
        <w:rPr>
          <w:rFonts w:hint="eastAsia"/>
          <w:rtl/>
        </w:rPr>
        <w:t> </w:t>
      </w:r>
      <w:r w:rsidR="00D44A7E">
        <w:rPr>
          <w:rFonts w:hint="cs"/>
          <w:rtl/>
        </w:rPr>
        <w:t>تزال</w:t>
      </w:r>
      <w:r w:rsidR="00573711">
        <w:rPr>
          <w:rFonts w:hint="cs"/>
          <w:rtl/>
        </w:rPr>
        <w:t xml:space="preserve"> المنظمة ملتزمة </w:t>
      </w:r>
      <w:r w:rsidR="00D44A7E">
        <w:rPr>
          <w:rFonts w:hint="cs"/>
          <w:rtl/>
        </w:rPr>
        <w:t>بالتعاون</w:t>
      </w:r>
      <w:r w:rsidR="00573711">
        <w:rPr>
          <w:rFonts w:hint="cs"/>
          <w:rtl/>
        </w:rPr>
        <w:t xml:space="preserve"> </w:t>
      </w:r>
      <w:r w:rsidR="00D44A7E">
        <w:rPr>
          <w:rFonts w:hint="cs"/>
          <w:rtl/>
        </w:rPr>
        <w:t>المستمر والمعزز</w:t>
      </w:r>
      <w:r w:rsidR="00573711">
        <w:rPr>
          <w:rFonts w:hint="cs"/>
          <w:rtl/>
        </w:rPr>
        <w:t xml:space="preserve"> مع قطاع تنمية الاتصالات في هذه المجالات، </w:t>
      </w:r>
      <w:r w:rsidR="00D44A7E">
        <w:rPr>
          <w:rFonts w:hint="cs"/>
          <w:rtl/>
        </w:rPr>
        <w:t>فضلاً عن الأهداف والنواتج المدرجة في مشروع خطة</w:t>
      </w:r>
      <w:r w:rsidR="0022029E">
        <w:rPr>
          <w:rFonts w:hint="eastAsia"/>
          <w:rtl/>
        </w:rPr>
        <w:t> </w:t>
      </w:r>
      <w:r w:rsidR="00D44A7E">
        <w:rPr>
          <w:rFonts w:hint="cs"/>
          <w:rtl/>
        </w:rPr>
        <w:t>العمل.</w:t>
      </w:r>
    </w:p>
    <w:p w:rsidR="003C6AE9" w:rsidRPr="00D44A7E" w:rsidRDefault="003C6AE9" w:rsidP="003C6AE9">
      <w:pPr>
        <w:pStyle w:val="Reasons"/>
      </w:pPr>
    </w:p>
    <w:p w:rsidR="00CE31F8" w:rsidRPr="00CE31F8" w:rsidRDefault="00CE31F8" w:rsidP="008566D9">
      <w:pPr>
        <w:spacing w:before="600"/>
        <w:jc w:val="center"/>
        <w:rPr>
          <w:rtl/>
          <w:lang w:bidi="ar-EG"/>
        </w:rPr>
      </w:pPr>
      <w:r>
        <w:rPr>
          <w:rtl/>
          <w:lang w:bidi="ar-EG"/>
        </w:rPr>
        <w:t>___________</w:t>
      </w:r>
    </w:p>
    <w:sectPr w:rsidR="00CE31F8" w:rsidRPr="00CE31F8" w:rsidSect="008B5B5D">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2029E" w:rsidRDefault="002D4DD1" w:rsidP="00CE31F8">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22029E">
      <w:rPr>
        <w:rFonts w:cs="Times New Roman"/>
        <w:sz w:val="16"/>
        <w:szCs w:val="16"/>
        <w:lang w:val="es-ES"/>
      </w:rPr>
      <w:instrText xml:space="preserve"> FILENAME \p \* MERGEFORMAT </w:instrText>
    </w:r>
    <w:r w:rsidRPr="002D4DD1">
      <w:rPr>
        <w:rFonts w:cs="Times New Roman"/>
        <w:sz w:val="16"/>
        <w:szCs w:val="16"/>
      </w:rPr>
      <w:fldChar w:fldCharType="separate"/>
    </w:r>
    <w:r w:rsidR="00217529">
      <w:rPr>
        <w:rFonts w:cs="Times New Roman"/>
        <w:noProof/>
        <w:sz w:val="16"/>
        <w:szCs w:val="16"/>
        <w:lang w:val="es-ES"/>
      </w:rPr>
      <w:t>P:\ARA\ITU-D\CONF-D\WTDC17\000\040A.docx</w:t>
    </w:r>
    <w:r w:rsidRPr="002D4DD1">
      <w:rPr>
        <w:rFonts w:cs="Times New Roman"/>
        <w:noProof/>
        <w:sz w:val="16"/>
        <w:szCs w:val="16"/>
      </w:rPr>
      <w:fldChar w:fldCharType="end"/>
    </w:r>
    <w:r w:rsidR="00BD2824" w:rsidRPr="0022029E">
      <w:rPr>
        <w:rFonts w:cs="Times New Roman"/>
        <w:sz w:val="16"/>
        <w:szCs w:val="16"/>
        <w:lang w:val="es-ES"/>
      </w:rPr>
      <w:t>   </w:t>
    </w:r>
    <w:r w:rsidRPr="0022029E">
      <w:rPr>
        <w:rFonts w:cs="Times New Roman"/>
        <w:sz w:val="16"/>
        <w:szCs w:val="16"/>
        <w:lang w:val="es-ES"/>
      </w:rPr>
      <w:t>(</w:t>
    </w:r>
    <w:r w:rsidR="00CE31F8">
      <w:rPr>
        <w:rFonts w:cs="Times New Roman" w:hint="cs"/>
        <w:sz w:val="16"/>
        <w:szCs w:val="16"/>
        <w:rtl/>
      </w:rPr>
      <w:t>424438</w:t>
    </w:r>
    <w:r w:rsidRPr="0022029E">
      <w:rPr>
        <w:rFonts w:cs="Times New Roman"/>
        <w:sz w:val="16"/>
        <w:szCs w:val="16"/>
        <w:lang w:val="es-ES"/>
      </w:rPr>
      <w:t>)</w:t>
    </w:r>
    <w:r w:rsidR="002F0028" w:rsidRPr="0022029E">
      <w:rPr>
        <w:rFonts w:cs="Times New Roman"/>
        <w:sz w:val="16"/>
        <w:szCs w:val="16"/>
        <w:lang w:val="es-E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186911" w:rsidTr="00186911">
      <w:tc>
        <w:tcPr>
          <w:tcW w:w="1417" w:type="dxa"/>
          <w:tcBorders>
            <w:top w:val="single" w:sz="4" w:space="0" w:color="auto"/>
            <w:left w:val="nil"/>
            <w:bottom w:val="nil"/>
            <w:right w:val="nil"/>
          </w:tcBorders>
          <w:shd w:val="clear" w:color="auto" w:fill="FFFFFF" w:themeFill="background1"/>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217529" w:rsidRDefault="0076609E" w:rsidP="006852FA">
          <w:pPr>
            <w:tabs>
              <w:tab w:val="clear" w:pos="1134"/>
              <w:tab w:val="center" w:pos="4153"/>
              <w:tab w:val="right" w:pos="8306"/>
            </w:tabs>
            <w:spacing w:before="60" w:after="60" w:line="260" w:lineRule="exact"/>
            <w:jc w:val="left"/>
            <w:rPr>
              <w:sz w:val="20"/>
              <w:szCs w:val="26"/>
              <w:highlight w:val="yellow"/>
              <w:rtl/>
              <w:lang w:bidi="ar-EG"/>
            </w:rPr>
          </w:pPr>
          <w:r w:rsidRPr="0076609E">
            <w:rPr>
              <w:sz w:val="20"/>
              <w:szCs w:val="26"/>
              <w:lang w:val="en-GB"/>
            </w:rPr>
            <w:t xml:space="preserve">Anita </w:t>
          </w:r>
          <w:proofErr w:type="spellStart"/>
          <w:r w:rsidRPr="0076609E">
            <w:rPr>
              <w:sz w:val="20"/>
              <w:szCs w:val="26"/>
              <w:lang w:val="en-GB"/>
            </w:rPr>
            <w:t>Soha</w:t>
          </w:r>
          <w:r w:rsidR="006852FA">
            <w:rPr>
              <w:sz w:val="20"/>
              <w:szCs w:val="26"/>
              <w:lang w:val="en-GB"/>
            </w:rPr>
            <w:t>n</w:t>
          </w:r>
          <w:proofErr w:type="spellEnd"/>
          <w:r w:rsidR="00217529">
            <w:rPr>
              <w:rFonts w:hint="cs"/>
              <w:sz w:val="20"/>
              <w:szCs w:val="26"/>
              <w:rtl/>
              <w:lang w:val="en-GB"/>
            </w:rPr>
            <w:t xml:space="preserve">، </w:t>
          </w:r>
          <w:r w:rsidR="00217529">
            <w:rPr>
              <w:sz w:val="20"/>
              <w:szCs w:val="26"/>
            </w:rPr>
            <w:t>Anita</w:t>
          </w:r>
        </w:p>
      </w:tc>
    </w:tr>
    <w:tr w:rsidR="00186911" w:rsidRPr="00186911" w:rsidTr="00186911">
      <w:tc>
        <w:tcPr>
          <w:tcW w:w="1417" w:type="dxa"/>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البريد الإلكتروني:</w:t>
          </w:r>
        </w:p>
      </w:tc>
      <w:tc>
        <w:tcPr>
          <w:tcW w:w="6286" w:type="dxa"/>
        </w:tcPr>
        <w:p w:rsidR="00186911" w:rsidRPr="00186911" w:rsidRDefault="008566D9" w:rsidP="00CE31F8">
          <w:pPr>
            <w:tabs>
              <w:tab w:val="clear" w:pos="1134"/>
              <w:tab w:val="center" w:pos="4153"/>
              <w:tab w:val="right" w:pos="8306"/>
            </w:tabs>
            <w:spacing w:before="60" w:after="60" w:line="260" w:lineRule="exact"/>
            <w:jc w:val="left"/>
            <w:rPr>
              <w:sz w:val="20"/>
              <w:szCs w:val="26"/>
              <w:lang w:val="en-GB"/>
            </w:rPr>
          </w:pPr>
          <w:hyperlink r:id="rId1" w:history="1">
            <w:r w:rsidR="00CE31F8" w:rsidRPr="00CE31F8">
              <w:rPr>
                <w:rStyle w:val="Hyperlink"/>
                <w:rFonts w:ascii="Calibri" w:hAnsi="Calibri"/>
                <w:sz w:val="20"/>
                <w:szCs w:val="26"/>
              </w:rPr>
              <w:t>a.sohan@cto.int</w:t>
            </w:r>
          </w:hyperlink>
        </w:p>
      </w:tc>
    </w:tr>
  </w:tbl>
  <w:p w:rsidR="002D4DD1" w:rsidRPr="00186911" w:rsidRDefault="008566D9"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 w:id="1">
    <w:p w:rsidR="00A55772" w:rsidRPr="008C3B10" w:rsidRDefault="00A55772" w:rsidP="00217529">
      <w:pPr>
        <w:pStyle w:val="FootnoteText"/>
        <w:rPr>
          <w:spacing w:val="-4"/>
        </w:rPr>
      </w:pPr>
      <w:r>
        <w:rPr>
          <w:rStyle w:val="FootnoteReference"/>
        </w:rPr>
        <w:footnoteRef/>
      </w:r>
      <w:r w:rsidR="00217529">
        <w:rPr>
          <w:rtl/>
        </w:rPr>
        <w:tab/>
      </w:r>
      <w:r w:rsidRPr="008C3B10">
        <w:rPr>
          <w:rFonts w:hint="cs"/>
          <w:spacing w:val="-4"/>
          <w:rtl/>
        </w:rPr>
        <w:t xml:space="preserve">تقرير </w:t>
      </w:r>
      <w:r w:rsidRPr="008C3B10">
        <w:rPr>
          <w:spacing w:val="-4"/>
        </w:rPr>
        <w:t xml:space="preserve">System </w:t>
      </w:r>
      <w:proofErr w:type="gramStart"/>
      <w:r w:rsidRPr="008C3B10">
        <w:rPr>
          <w:spacing w:val="-4"/>
        </w:rPr>
        <w:t xml:space="preserve">Transformation </w:t>
      </w:r>
      <w:r w:rsidRPr="008C3B10">
        <w:rPr>
          <w:rFonts w:hint="cs"/>
          <w:spacing w:val="-4"/>
          <w:rtl/>
        </w:rPr>
        <w:t>،</w:t>
      </w:r>
      <w:proofErr w:type="gramEnd"/>
      <w:r w:rsidRPr="008C3B10">
        <w:rPr>
          <w:rFonts w:hint="cs"/>
          <w:spacing w:val="-4"/>
          <w:rtl/>
        </w:rPr>
        <w:t xml:space="preserve"> المبادرة العالمية للاستدامة الإلكترونية </w:t>
      </w:r>
      <w:r w:rsidR="001C3020" w:rsidRPr="008C3B10">
        <w:rPr>
          <w:spacing w:val="-4"/>
        </w:rPr>
        <w:t>(</w:t>
      </w:r>
      <w:proofErr w:type="spellStart"/>
      <w:r w:rsidR="001C3020" w:rsidRPr="008C3B10">
        <w:rPr>
          <w:spacing w:val="-4"/>
        </w:rPr>
        <w:t>GeSI</w:t>
      </w:r>
      <w:proofErr w:type="spellEnd"/>
      <w:r w:rsidR="001C3020" w:rsidRPr="008C3B10">
        <w:rPr>
          <w:spacing w:val="-4"/>
        </w:rPr>
        <w:t>)</w:t>
      </w:r>
      <w:r w:rsidRPr="008C3B10">
        <w:rPr>
          <w:rFonts w:hint="cs"/>
          <w:spacing w:val="-4"/>
          <w:rtl/>
        </w:rPr>
        <w:t xml:space="preserve"> وشركة </w:t>
      </w:r>
      <w:r w:rsidRPr="008C3B10">
        <w:rPr>
          <w:spacing w:val="-4"/>
        </w:rPr>
        <w:t>Accenture</w:t>
      </w:r>
      <w:r w:rsidRPr="008C3B10">
        <w:rPr>
          <w:rFonts w:hint="cs"/>
          <w:spacing w:val="-4"/>
          <w:rtl/>
        </w:rPr>
        <w:t xml:space="preserve"> مع الاتحاد الدولي للاتصالات، يونيو</w:t>
      </w:r>
      <w:r w:rsidR="001C3020" w:rsidRPr="008C3B10">
        <w:rPr>
          <w:rFonts w:hint="eastAsia"/>
          <w:spacing w:val="-4"/>
          <w:rtl/>
        </w:rPr>
        <w:t> </w:t>
      </w:r>
      <w:r w:rsidRPr="008C3B10">
        <w:rPr>
          <w:spacing w:val="-4"/>
        </w:rPr>
        <w:t>2016</w:t>
      </w:r>
      <w:r w:rsidR="004E3AEB" w:rsidRPr="008C3B10">
        <w:rPr>
          <w:rFonts w:hint="cs"/>
          <w:spacing w:val="-4"/>
          <w:rtl/>
        </w:rPr>
        <w:t>.</w:t>
      </w:r>
    </w:p>
  </w:footnote>
  <w:footnote w:id="2">
    <w:p w:rsidR="004E3AEB" w:rsidRDefault="004E3AEB" w:rsidP="00217529">
      <w:pPr>
        <w:pStyle w:val="FootnoteText"/>
      </w:pPr>
      <w:r>
        <w:rPr>
          <w:rStyle w:val="FootnoteReference"/>
        </w:rPr>
        <w:footnoteRef/>
      </w:r>
      <w:r w:rsidR="00217529">
        <w:rPr>
          <w:rtl/>
        </w:rPr>
        <w:tab/>
      </w:r>
      <w:r>
        <w:rPr>
          <w:rFonts w:hint="cs"/>
          <w:rtl/>
        </w:rPr>
        <w:t>المرجع نفسه.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123868" w:rsidRDefault="00186911" w:rsidP="00744E36">
    <w:pPr>
      <w:pStyle w:val="Header"/>
      <w:tabs>
        <w:tab w:val="clear" w:pos="4680"/>
        <w:tab w:val="clear" w:pos="9360"/>
        <w:tab w:val="center" w:pos="4819"/>
        <w:tab w:val="right" w:pos="9639"/>
      </w:tabs>
      <w:spacing w:before="120" w:after="240"/>
      <w:rPr>
        <w:rtl/>
        <w:lang w:bidi="ar-EG"/>
      </w:rPr>
    </w:pPr>
    <w:r w:rsidRPr="00123868">
      <w:tab/>
    </w:r>
    <w:r w:rsidR="00744E36" w:rsidRPr="00123868">
      <w:rPr>
        <w:lang w:val="de-CH"/>
      </w:rPr>
      <w:t>WTDC-17/</w:t>
    </w:r>
    <w:bookmarkStart w:id="1" w:name="OLE_LINK3"/>
    <w:bookmarkStart w:id="2" w:name="OLE_LINK2"/>
    <w:bookmarkStart w:id="3" w:name="OLE_LINK1"/>
    <w:r w:rsidR="00744E36" w:rsidRPr="00123868">
      <w:t>40</w:t>
    </w:r>
    <w:bookmarkEnd w:id="1"/>
    <w:bookmarkEnd w:id="2"/>
    <w:bookmarkEnd w:id="3"/>
    <w:r w:rsidR="00744E36" w:rsidRPr="00123868">
      <w:t>-A</w:t>
    </w:r>
    <w:r w:rsidRPr="00123868">
      <w:rPr>
        <w:rtl/>
        <w:lang w:bidi="ar-EG"/>
      </w:rPr>
      <w:tab/>
    </w:r>
    <w:r w:rsidRPr="00123868">
      <w:rPr>
        <w:rFonts w:hint="cs"/>
        <w:rtl/>
      </w:rPr>
      <w:t xml:space="preserve">الصفحة </w:t>
    </w:r>
    <w:r w:rsidRPr="00123868">
      <w:rPr>
        <w:szCs w:val="22"/>
        <w:lang w:val="en-GB"/>
      </w:rPr>
      <w:fldChar w:fldCharType="begin"/>
    </w:r>
    <w:r w:rsidRPr="00123868">
      <w:rPr>
        <w:szCs w:val="22"/>
        <w:lang w:val="en-GB"/>
      </w:rPr>
      <w:instrText xml:space="preserve"> PAGE </w:instrText>
    </w:r>
    <w:r w:rsidRPr="00123868">
      <w:rPr>
        <w:szCs w:val="22"/>
        <w:lang w:val="en-GB"/>
      </w:rPr>
      <w:fldChar w:fldCharType="separate"/>
    </w:r>
    <w:r w:rsidR="008566D9">
      <w:rPr>
        <w:noProof/>
        <w:szCs w:val="22"/>
        <w:rtl/>
        <w:lang w:val="en-GB"/>
      </w:rPr>
      <w:t>3</w:t>
    </w:r>
    <w:r w:rsidRPr="00123868">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72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642E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08D9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8A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9E0B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8A0B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D00D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68A4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D0BF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4AE3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ar-SA"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en-GB" w:vendorID="64" w:dllVersion="131078" w:nlCheck="1" w:checkStyle="1"/>
  <w:activeWritingStyle w:appName="MSWord" w:lang="es-E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6023B"/>
    <w:rsid w:val="0007717D"/>
    <w:rsid w:val="0008638B"/>
    <w:rsid w:val="0008743A"/>
    <w:rsid w:val="00090574"/>
    <w:rsid w:val="00092FC2"/>
    <w:rsid w:val="000A1677"/>
    <w:rsid w:val="000B3EAA"/>
    <w:rsid w:val="000B407F"/>
    <w:rsid w:val="000C13C2"/>
    <w:rsid w:val="000C5B32"/>
    <w:rsid w:val="000D03AE"/>
    <w:rsid w:val="000E18DB"/>
    <w:rsid w:val="000F0B1C"/>
    <w:rsid w:val="000F1D42"/>
    <w:rsid w:val="000F4D07"/>
    <w:rsid w:val="00102A03"/>
    <w:rsid w:val="001040A3"/>
    <w:rsid w:val="00110DCA"/>
    <w:rsid w:val="001212F0"/>
    <w:rsid w:val="00123868"/>
    <w:rsid w:val="00125103"/>
    <w:rsid w:val="00136FF7"/>
    <w:rsid w:val="001455B5"/>
    <w:rsid w:val="00173915"/>
    <w:rsid w:val="00186911"/>
    <w:rsid w:val="001A311E"/>
    <w:rsid w:val="001C3020"/>
    <w:rsid w:val="001F08BB"/>
    <w:rsid w:val="001F0DEF"/>
    <w:rsid w:val="00217529"/>
    <w:rsid w:val="0022029E"/>
    <w:rsid w:val="0022345D"/>
    <w:rsid w:val="00225854"/>
    <w:rsid w:val="00230BA5"/>
    <w:rsid w:val="00231075"/>
    <w:rsid w:val="0023283D"/>
    <w:rsid w:val="00241580"/>
    <w:rsid w:val="00244B0B"/>
    <w:rsid w:val="00252E0C"/>
    <w:rsid w:val="00276881"/>
    <w:rsid w:val="00280E20"/>
    <w:rsid w:val="002916BE"/>
    <w:rsid w:val="002978F4"/>
    <w:rsid w:val="002B028D"/>
    <w:rsid w:val="002B435E"/>
    <w:rsid w:val="002C4DAE"/>
    <w:rsid w:val="002D4DD1"/>
    <w:rsid w:val="002D6488"/>
    <w:rsid w:val="002D6669"/>
    <w:rsid w:val="002E6541"/>
    <w:rsid w:val="002F0028"/>
    <w:rsid w:val="002F5560"/>
    <w:rsid w:val="002F7232"/>
    <w:rsid w:val="0030486B"/>
    <w:rsid w:val="003231B9"/>
    <w:rsid w:val="003275AC"/>
    <w:rsid w:val="00333D29"/>
    <w:rsid w:val="003409F4"/>
    <w:rsid w:val="00350BA8"/>
    <w:rsid w:val="00354246"/>
    <w:rsid w:val="00357185"/>
    <w:rsid w:val="003C31C5"/>
    <w:rsid w:val="003C475F"/>
    <w:rsid w:val="003C6AE9"/>
    <w:rsid w:val="003E4132"/>
    <w:rsid w:val="003E5E3F"/>
    <w:rsid w:val="003F3E8F"/>
    <w:rsid w:val="003F678F"/>
    <w:rsid w:val="0042686F"/>
    <w:rsid w:val="004367CE"/>
    <w:rsid w:val="00443869"/>
    <w:rsid w:val="00447865"/>
    <w:rsid w:val="004712C6"/>
    <w:rsid w:val="004738C8"/>
    <w:rsid w:val="004744C5"/>
    <w:rsid w:val="00497703"/>
    <w:rsid w:val="004A3BFF"/>
    <w:rsid w:val="004B4BBB"/>
    <w:rsid w:val="004E3AEB"/>
    <w:rsid w:val="004F0F06"/>
    <w:rsid w:val="00501E0E"/>
    <w:rsid w:val="005204D7"/>
    <w:rsid w:val="00521DBB"/>
    <w:rsid w:val="00530420"/>
    <w:rsid w:val="00552BC5"/>
    <w:rsid w:val="0055516A"/>
    <w:rsid w:val="0055672C"/>
    <w:rsid w:val="0056374C"/>
    <w:rsid w:val="0056614F"/>
    <w:rsid w:val="00573711"/>
    <w:rsid w:val="0057656F"/>
    <w:rsid w:val="00576731"/>
    <w:rsid w:val="0059285F"/>
    <w:rsid w:val="005A24B1"/>
    <w:rsid w:val="005B3C4E"/>
    <w:rsid w:val="005B5827"/>
    <w:rsid w:val="005B7B8A"/>
    <w:rsid w:val="005C2C21"/>
    <w:rsid w:val="005D6476"/>
    <w:rsid w:val="005D6C0D"/>
    <w:rsid w:val="005E5283"/>
    <w:rsid w:val="005E58F5"/>
    <w:rsid w:val="00606378"/>
    <w:rsid w:val="00606660"/>
    <w:rsid w:val="006157A3"/>
    <w:rsid w:val="00617F70"/>
    <w:rsid w:val="00620E60"/>
    <w:rsid w:val="0063044F"/>
    <w:rsid w:val="00632E1A"/>
    <w:rsid w:val="0063315A"/>
    <w:rsid w:val="00634C57"/>
    <w:rsid w:val="00646801"/>
    <w:rsid w:val="006539D7"/>
    <w:rsid w:val="0065591D"/>
    <w:rsid w:val="00662C5A"/>
    <w:rsid w:val="00670AF5"/>
    <w:rsid w:val="006852FA"/>
    <w:rsid w:val="00687B22"/>
    <w:rsid w:val="006A017D"/>
    <w:rsid w:val="006C1556"/>
    <w:rsid w:val="006E77E7"/>
    <w:rsid w:val="006F267F"/>
    <w:rsid w:val="006F63F7"/>
    <w:rsid w:val="006F6F03"/>
    <w:rsid w:val="007040E1"/>
    <w:rsid w:val="00706D7A"/>
    <w:rsid w:val="00707FC4"/>
    <w:rsid w:val="00726AEC"/>
    <w:rsid w:val="007418DC"/>
    <w:rsid w:val="00744E36"/>
    <w:rsid w:val="00746318"/>
    <w:rsid w:val="007530CA"/>
    <w:rsid w:val="00756B1E"/>
    <w:rsid w:val="0076609E"/>
    <w:rsid w:val="00774F97"/>
    <w:rsid w:val="0078126D"/>
    <w:rsid w:val="0079553D"/>
    <w:rsid w:val="007A1497"/>
    <w:rsid w:val="007B0163"/>
    <w:rsid w:val="007B01CC"/>
    <w:rsid w:val="007B4939"/>
    <w:rsid w:val="007C5509"/>
    <w:rsid w:val="007E7C6C"/>
    <w:rsid w:val="007F6238"/>
    <w:rsid w:val="007F646C"/>
    <w:rsid w:val="00801FCD"/>
    <w:rsid w:val="00803D7E"/>
    <w:rsid w:val="00803F08"/>
    <w:rsid w:val="008235CD"/>
    <w:rsid w:val="00823A07"/>
    <w:rsid w:val="00835FEC"/>
    <w:rsid w:val="00840CB1"/>
    <w:rsid w:val="008513CB"/>
    <w:rsid w:val="00853CA7"/>
    <w:rsid w:val="008566D9"/>
    <w:rsid w:val="0087229C"/>
    <w:rsid w:val="00874D9C"/>
    <w:rsid w:val="008A1810"/>
    <w:rsid w:val="008B0945"/>
    <w:rsid w:val="008B5B5D"/>
    <w:rsid w:val="008C3B10"/>
    <w:rsid w:val="008D567C"/>
    <w:rsid w:val="00916411"/>
    <w:rsid w:val="00917694"/>
    <w:rsid w:val="00923199"/>
    <w:rsid w:val="009263CD"/>
    <w:rsid w:val="00930E6D"/>
    <w:rsid w:val="009408A3"/>
    <w:rsid w:val="00941BF8"/>
    <w:rsid w:val="00972A9A"/>
    <w:rsid w:val="00972CA2"/>
    <w:rsid w:val="00982B28"/>
    <w:rsid w:val="009846F2"/>
    <w:rsid w:val="00984EA5"/>
    <w:rsid w:val="00985062"/>
    <w:rsid w:val="0099199E"/>
    <w:rsid w:val="00992593"/>
    <w:rsid w:val="009C17E1"/>
    <w:rsid w:val="009C35ED"/>
    <w:rsid w:val="009F1C12"/>
    <w:rsid w:val="00A069AD"/>
    <w:rsid w:val="00A12123"/>
    <w:rsid w:val="00A124CB"/>
    <w:rsid w:val="00A16706"/>
    <w:rsid w:val="00A2167A"/>
    <w:rsid w:val="00A249C1"/>
    <w:rsid w:val="00A25A43"/>
    <w:rsid w:val="00A3295B"/>
    <w:rsid w:val="00A42AE5"/>
    <w:rsid w:val="00A52B61"/>
    <w:rsid w:val="00A55772"/>
    <w:rsid w:val="00A63858"/>
    <w:rsid w:val="00A64820"/>
    <w:rsid w:val="00A71DD6"/>
    <w:rsid w:val="00A723C7"/>
    <w:rsid w:val="00A80E11"/>
    <w:rsid w:val="00A97F94"/>
    <w:rsid w:val="00AA5DC2"/>
    <w:rsid w:val="00AB1309"/>
    <w:rsid w:val="00AB287D"/>
    <w:rsid w:val="00AC2C52"/>
    <w:rsid w:val="00AC40BC"/>
    <w:rsid w:val="00AD1503"/>
    <w:rsid w:val="00AE7244"/>
    <w:rsid w:val="00AF3FEE"/>
    <w:rsid w:val="00B02814"/>
    <w:rsid w:val="00B02F46"/>
    <w:rsid w:val="00B2000C"/>
    <w:rsid w:val="00B20ADE"/>
    <w:rsid w:val="00B24D5E"/>
    <w:rsid w:val="00B3042D"/>
    <w:rsid w:val="00B32F1E"/>
    <w:rsid w:val="00B44825"/>
    <w:rsid w:val="00B66B9A"/>
    <w:rsid w:val="00B750BB"/>
    <w:rsid w:val="00B82089"/>
    <w:rsid w:val="00B970AE"/>
    <w:rsid w:val="00BA1427"/>
    <w:rsid w:val="00BB74F5"/>
    <w:rsid w:val="00BC7850"/>
    <w:rsid w:val="00BD2824"/>
    <w:rsid w:val="00BE322A"/>
    <w:rsid w:val="00BE49D0"/>
    <w:rsid w:val="00BF2C38"/>
    <w:rsid w:val="00C23331"/>
    <w:rsid w:val="00C265DA"/>
    <w:rsid w:val="00C42381"/>
    <w:rsid w:val="00C442F2"/>
    <w:rsid w:val="00C674FE"/>
    <w:rsid w:val="00C701CD"/>
    <w:rsid w:val="00C7297D"/>
    <w:rsid w:val="00C75633"/>
    <w:rsid w:val="00C8242E"/>
    <w:rsid w:val="00C82615"/>
    <w:rsid w:val="00C867DB"/>
    <w:rsid w:val="00CA2A38"/>
    <w:rsid w:val="00CA50FF"/>
    <w:rsid w:val="00CC3CD2"/>
    <w:rsid w:val="00CC43BE"/>
    <w:rsid w:val="00CD123C"/>
    <w:rsid w:val="00CD2085"/>
    <w:rsid w:val="00CE2EE1"/>
    <w:rsid w:val="00CE31F8"/>
    <w:rsid w:val="00CF3FFD"/>
    <w:rsid w:val="00CF5ED3"/>
    <w:rsid w:val="00D0494C"/>
    <w:rsid w:val="00D14BEB"/>
    <w:rsid w:val="00D16630"/>
    <w:rsid w:val="00D21C89"/>
    <w:rsid w:val="00D2370D"/>
    <w:rsid w:val="00D32A42"/>
    <w:rsid w:val="00D41647"/>
    <w:rsid w:val="00D44A7E"/>
    <w:rsid w:val="00D45542"/>
    <w:rsid w:val="00D533DB"/>
    <w:rsid w:val="00D77D0F"/>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32189"/>
    <w:rsid w:val="00E45211"/>
    <w:rsid w:val="00E7380C"/>
    <w:rsid w:val="00E74A3E"/>
    <w:rsid w:val="00E74BE7"/>
    <w:rsid w:val="00E779D4"/>
    <w:rsid w:val="00E86CC9"/>
    <w:rsid w:val="00E96624"/>
    <w:rsid w:val="00EB7016"/>
    <w:rsid w:val="00EC29D5"/>
    <w:rsid w:val="00ED29EE"/>
    <w:rsid w:val="00EF25B6"/>
    <w:rsid w:val="00F126F1"/>
    <w:rsid w:val="00F2106A"/>
    <w:rsid w:val="00F34A26"/>
    <w:rsid w:val="00F36D8B"/>
    <w:rsid w:val="00F401D0"/>
    <w:rsid w:val="00F45F2B"/>
    <w:rsid w:val="00F57AE4"/>
    <w:rsid w:val="00F67150"/>
    <w:rsid w:val="00F74C8C"/>
    <w:rsid w:val="00F84366"/>
    <w:rsid w:val="00F85089"/>
    <w:rsid w:val="00F85564"/>
    <w:rsid w:val="00F86CFA"/>
    <w:rsid w:val="00FD58BD"/>
    <w:rsid w:val="00FE0F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sohan@ct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D14-WTDC17-C-0040!!MSW-A</DPM_x0020_File_x0020_name>
    <DPM_x0020_Version xmlns="de10a323-94a9-4e93-88b4-ea964576960d" xsi:nil="fals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EAC1E-389C-4A4B-AEA5-8EA0190AB2E0}">
  <ds:schemaRefs>
    <ds:schemaRef ds:uri="http://schemas.microsoft.com/office/2006/metadata/properties"/>
    <ds:schemaRef ds:uri="http://schemas.openxmlformats.org/package/2006/metadata/core-properties"/>
    <ds:schemaRef ds:uri="http://purl.org/dc/elements/1.1/"/>
    <ds:schemaRef ds:uri="http://purl.org/dc/terms/"/>
    <ds:schemaRef ds:uri="http://purl.org/dc/dcmitype/"/>
    <ds:schemaRef ds:uri="de10a323-94a9-4e93-88b4-ea964576960d"/>
    <ds:schemaRef ds:uri="996b2e75-67fd-4955-a3b0-5ab9934cb50b"/>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051EBAC-6F9E-446C-9962-60D865E82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E3DBC-ADD1-4311-BDFB-31644DC3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1086</Words>
  <Characters>6130</Characters>
  <Application>Microsoft Office Word</Application>
  <DocSecurity>0</DocSecurity>
  <Lines>145</Lines>
  <Paragraphs>98</Paragraphs>
  <ScaleCrop>false</ScaleCrop>
  <HeadingPairs>
    <vt:vector size="2" baseType="variant">
      <vt:variant>
        <vt:lpstr>Title</vt:lpstr>
      </vt:variant>
      <vt:variant>
        <vt:i4>1</vt:i4>
      </vt:variant>
    </vt:vector>
  </HeadingPairs>
  <TitlesOfParts>
    <vt:vector size="1" baseType="lpstr">
      <vt:lpstr>D14-WTDC17-C-0040!!MSW-A</vt:lpstr>
    </vt:vector>
  </TitlesOfParts>
  <Company>International Telecommunication Union (ITU)</Company>
  <LinksUpToDate>false</LinksUpToDate>
  <CharactersWithSpaces>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D14-WTDC17-C-0040!!MSW-A</dc:title>
  <dc:subject>World Telecommunication Standardization Assembly</dc:subject>
  <dc:creator>Documents Proposals Manager (DPM)</dc:creator>
  <cp:keywords>DPM_v2017.9.22.1_prod</cp:keywords>
  <dc:description/>
  <cp:lastModifiedBy>Awad, Samy</cp:lastModifiedBy>
  <cp:revision>25</cp:revision>
  <cp:lastPrinted>2017-10-05T15:42:00Z</cp:lastPrinted>
  <dcterms:created xsi:type="dcterms:W3CDTF">2017-09-29T07:10:00Z</dcterms:created>
  <dcterms:modified xsi:type="dcterms:W3CDTF">2017-10-05T17:07:00Z</dcterms:modified>
  <cp:category>Conference document</cp:category>
</cp:coreProperties>
</file>