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51"/>
        <w:gridCol w:w="3258"/>
      </w:tblGrid>
      <w:tr w:rsidR="002D6488" w:rsidTr="00392AEE">
        <w:tc>
          <w:tcPr>
            <w:tcW w:w="1430" w:type="dxa"/>
            <w:tcBorders>
              <w:bottom w:val="single" w:sz="12" w:space="0" w:color="auto"/>
            </w:tcBorders>
          </w:tcPr>
          <w:p w:rsidR="002D6488" w:rsidRDefault="002D6488" w:rsidP="00632E1A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1" w:type="dxa"/>
            <w:tcBorders>
              <w:bottom w:val="single" w:sz="12" w:space="0" w:color="auto"/>
            </w:tcBorders>
          </w:tcPr>
          <w:p w:rsidR="002D6488" w:rsidRPr="002D6488" w:rsidRDefault="002D6488" w:rsidP="001455B5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2D6488" w:rsidRPr="002D6488" w:rsidRDefault="002D6488" w:rsidP="001455B5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58" w:type="dxa"/>
            <w:tcBorders>
              <w:bottom w:val="single" w:sz="12" w:space="0" w:color="auto"/>
            </w:tcBorders>
          </w:tcPr>
          <w:p w:rsidR="002D6488" w:rsidRDefault="00DC1B4F" w:rsidP="001455B5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6488" w:rsidTr="00392AEE">
        <w:tc>
          <w:tcPr>
            <w:tcW w:w="1430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51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58" w:type="dxa"/>
            <w:tcBorders>
              <w:top w:val="single" w:sz="12" w:space="0" w:color="auto"/>
            </w:tcBorders>
          </w:tcPr>
          <w:p w:rsidR="002D6488" w:rsidRDefault="002D6488" w:rsidP="001455B5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392AEE" w:rsidRPr="00392AEE" w:rsidTr="00392AEE">
        <w:tc>
          <w:tcPr>
            <w:tcW w:w="6381" w:type="dxa"/>
            <w:gridSpan w:val="2"/>
          </w:tcPr>
          <w:p w:rsidR="00392AEE" w:rsidRPr="00392AEE" w:rsidRDefault="00392AEE" w:rsidP="00392AEE">
            <w:pPr>
              <w:pStyle w:val="Committee"/>
              <w:bidi/>
              <w:rPr>
                <w:rtl/>
                <w:lang w:bidi="ar-EG"/>
              </w:rPr>
            </w:pPr>
            <w:r w:rsidRPr="00392AEE">
              <w:rPr>
                <w:rtl/>
              </w:rPr>
              <w:t>الجلسة العامة</w:t>
            </w:r>
          </w:p>
        </w:tc>
        <w:tc>
          <w:tcPr>
            <w:tcW w:w="3258" w:type="dxa"/>
          </w:tcPr>
          <w:p w:rsidR="00392AEE" w:rsidRPr="008E0F58" w:rsidRDefault="00392AEE" w:rsidP="00DF5239">
            <w:pPr>
              <w:spacing w:before="60" w:after="60" w:line="280" w:lineRule="exact"/>
              <w:jc w:val="left"/>
              <w:rPr>
                <w:b/>
                <w:bCs/>
                <w:rtl/>
              </w:rPr>
            </w:pPr>
            <w:r w:rsidRPr="008E0F58">
              <w:rPr>
                <w:rFonts w:eastAsia="SimSun"/>
                <w:b/>
                <w:bCs/>
                <w:rtl/>
              </w:rPr>
              <w:t>المراجعة</w:t>
            </w:r>
            <w:r w:rsidR="00DF5239">
              <w:rPr>
                <w:rFonts w:eastAsia="SimSun" w:hint="cs"/>
                <w:b/>
                <w:bCs/>
                <w:rtl/>
              </w:rPr>
              <w:t> </w:t>
            </w:r>
            <w:r w:rsidRPr="008E0F58">
              <w:rPr>
                <w:rFonts w:eastAsia="SimSun"/>
                <w:b/>
                <w:bCs/>
              </w:rPr>
              <w:t>1</w:t>
            </w:r>
            <w:r w:rsidRPr="008E0F58">
              <w:rPr>
                <w:rFonts w:eastAsia="SimSun"/>
                <w:b/>
                <w:bCs/>
                <w:rtl/>
              </w:rPr>
              <w:br/>
              <w:t>للوثيقة</w:t>
            </w:r>
            <w:r w:rsidR="00E47D00">
              <w:rPr>
                <w:rFonts w:eastAsia="SimSun" w:hint="eastAsia"/>
                <w:b/>
                <w:bCs/>
                <w:rtl/>
              </w:rPr>
              <w:t> </w:t>
            </w:r>
            <w:r w:rsidRPr="008E0F58">
              <w:rPr>
                <w:rFonts w:eastAsia="SimSun"/>
                <w:b/>
                <w:bCs/>
              </w:rPr>
              <w:t>WTDC</w:t>
            </w:r>
            <w:r>
              <w:rPr>
                <w:rFonts w:eastAsia="SimSun"/>
                <w:b/>
                <w:bCs/>
              </w:rPr>
              <w:t>-17/37</w:t>
            </w:r>
            <w:r w:rsidR="006B1321">
              <w:rPr>
                <w:rFonts w:eastAsia="SimSun"/>
                <w:b/>
                <w:bCs/>
              </w:rPr>
              <w:t>-</w:t>
            </w:r>
            <w:r>
              <w:rPr>
                <w:rFonts w:eastAsia="SimSun"/>
                <w:b/>
                <w:bCs/>
              </w:rPr>
              <w:t>A</w:t>
            </w:r>
          </w:p>
        </w:tc>
      </w:tr>
      <w:tr w:rsidR="00392AEE" w:rsidRPr="00392AEE" w:rsidTr="00392AEE">
        <w:tc>
          <w:tcPr>
            <w:tcW w:w="6381" w:type="dxa"/>
            <w:gridSpan w:val="2"/>
          </w:tcPr>
          <w:p w:rsidR="00392AEE" w:rsidRPr="00392AEE" w:rsidRDefault="00392AEE" w:rsidP="00392AEE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3258" w:type="dxa"/>
          </w:tcPr>
          <w:p w:rsidR="00392AEE" w:rsidRPr="008E0F58" w:rsidRDefault="00392AEE" w:rsidP="00392AEE">
            <w:pPr>
              <w:spacing w:before="60" w:after="60" w:line="280" w:lineRule="exact"/>
              <w:rPr>
                <w:b/>
                <w:bCs/>
                <w:rtl/>
              </w:rPr>
            </w:pPr>
            <w:r w:rsidRPr="008E0F58">
              <w:rPr>
                <w:rFonts w:eastAsia="SimSun"/>
                <w:b/>
                <w:bCs/>
              </w:rPr>
              <w:t>22</w:t>
            </w:r>
            <w:r w:rsidRPr="008E0F58">
              <w:rPr>
                <w:rFonts w:eastAsia="SimSun"/>
                <w:b/>
                <w:bCs/>
                <w:rtl/>
              </w:rPr>
              <w:t xml:space="preserve"> سبتمبر </w:t>
            </w:r>
            <w:r w:rsidRPr="008E0F58">
              <w:rPr>
                <w:rFonts w:eastAsia="SimSun"/>
                <w:b/>
                <w:bCs/>
              </w:rPr>
              <w:t>2017</w:t>
            </w:r>
          </w:p>
        </w:tc>
      </w:tr>
      <w:tr w:rsidR="00392AEE" w:rsidRPr="00392AEE" w:rsidTr="00392AEE">
        <w:tc>
          <w:tcPr>
            <w:tcW w:w="6381" w:type="dxa"/>
            <w:gridSpan w:val="2"/>
          </w:tcPr>
          <w:p w:rsidR="00392AEE" w:rsidRPr="00392AEE" w:rsidRDefault="00392AEE" w:rsidP="00392AEE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3258" w:type="dxa"/>
          </w:tcPr>
          <w:p w:rsidR="00392AEE" w:rsidRPr="008E0F58" w:rsidRDefault="00392AEE" w:rsidP="00392AEE">
            <w:pPr>
              <w:spacing w:before="60" w:after="60" w:line="280" w:lineRule="exact"/>
              <w:rPr>
                <w:b/>
                <w:bCs/>
                <w:rtl/>
              </w:rPr>
            </w:pPr>
            <w:r w:rsidRPr="008E0F58">
              <w:rPr>
                <w:b/>
                <w:bCs/>
                <w:rtl/>
              </w:rPr>
              <w:t>الأصل: بالإنكليزية</w:t>
            </w:r>
          </w:p>
        </w:tc>
      </w:tr>
      <w:tr w:rsidR="00392AEE" w:rsidRPr="00392AEE" w:rsidTr="001455B5">
        <w:tc>
          <w:tcPr>
            <w:tcW w:w="9639" w:type="dxa"/>
            <w:gridSpan w:val="3"/>
          </w:tcPr>
          <w:p w:rsidR="00392AEE" w:rsidRPr="00392AEE" w:rsidRDefault="00392AEE" w:rsidP="00392AEE">
            <w:pPr>
              <w:pStyle w:val="Source"/>
              <w:spacing w:before="240"/>
              <w:rPr>
                <w:rtl/>
              </w:rPr>
            </w:pPr>
            <w:r w:rsidRPr="00392AEE">
              <w:rPr>
                <w:rtl/>
              </w:rPr>
              <w:t>الولايات المتحدة الأمريكية</w:t>
            </w:r>
          </w:p>
        </w:tc>
      </w:tr>
      <w:tr w:rsidR="00392AEE" w:rsidTr="001455B5">
        <w:tc>
          <w:tcPr>
            <w:tcW w:w="9639" w:type="dxa"/>
            <w:gridSpan w:val="3"/>
          </w:tcPr>
          <w:p w:rsidR="00392AEE" w:rsidRPr="00392AEE" w:rsidRDefault="008D0F4A" w:rsidP="00E47D00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392AEE" w:rsidTr="001455B5">
        <w:tc>
          <w:tcPr>
            <w:tcW w:w="9639" w:type="dxa"/>
            <w:gridSpan w:val="3"/>
          </w:tcPr>
          <w:p w:rsidR="00392AEE" w:rsidRDefault="00392AEE" w:rsidP="003B2F82">
            <w:pPr>
              <w:pStyle w:val="Title2"/>
              <w:keepNext w:val="0"/>
              <w:keepLines w:val="0"/>
              <w:tabs>
                <w:tab w:val="clear" w:pos="567"/>
                <w:tab w:val="clear" w:pos="1701"/>
                <w:tab w:val="clear" w:pos="2268"/>
                <w:tab w:val="clear" w:pos="2835"/>
                <w:tab w:val="left" w:pos="5265"/>
              </w:tabs>
              <w:bidi w:val="0"/>
              <w:spacing w:before="240"/>
            </w:pPr>
          </w:p>
        </w:tc>
      </w:tr>
      <w:tr w:rsidR="00392AEE" w:rsidTr="001455B5">
        <w:tc>
          <w:tcPr>
            <w:tcW w:w="9639" w:type="dxa"/>
            <w:gridSpan w:val="3"/>
          </w:tcPr>
          <w:p w:rsidR="00392AEE" w:rsidRDefault="00392AEE" w:rsidP="003B2F82">
            <w:pPr>
              <w:jc w:val="center"/>
            </w:pPr>
          </w:p>
        </w:tc>
      </w:tr>
      <w:tr w:rsidR="00392AEE" w:rsidTr="00392AE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45" w:rsidRDefault="00392AEE" w:rsidP="00E54E45">
            <w:pPr>
              <w:rPr>
                <w:b/>
                <w:bCs/>
                <w:rtl/>
                <w:lang w:bidi="ar-EG"/>
              </w:rPr>
            </w:pPr>
            <w:r w:rsidRPr="00392AEE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392AEE" w:rsidRPr="00E47D00" w:rsidRDefault="00392AEE" w:rsidP="00E54E45">
            <w:pPr>
              <w:ind w:left="794" w:hanging="794"/>
              <w:rPr>
                <w:b/>
                <w:bCs/>
              </w:rPr>
            </w:pPr>
            <w:r w:rsidRPr="008E0F58"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القرارات والتوصيات</w:t>
            </w:r>
          </w:p>
          <w:p w:rsidR="00392AEE" w:rsidRDefault="00392AEE" w:rsidP="00392AEE">
            <w:pPr>
              <w:rPr>
                <w:rFonts w:eastAsia="SimSun"/>
                <w:b/>
                <w:bCs/>
                <w:rtl/>
              </w:rPr>
            </w:pPr>
            <w:r w:rsidRPr="00392AEE">
              <w:rPr>
                <w:rFonts w:eastAsia="SimSun"/>
                <w:b/>
                <w:bCs/>
                <w:rtl/>
              </w:rPr>
              <w:t>ملخص:</w:t>
            </w:r>
          </w:p>
          <w:p w:rsidR="00392AEE" w:rsidRPr="00E47D00" w:rsidRDefault="008D0F4A" w:rsidP="00DF5239">
            <w:pPr>
              <w:spacing w:after="120"/>
            </w:pPr>
            <w:r>
              <w:rPr>
                <w:rFonts w:eastAsia="SimSun" w:hint="cs"/>
                <w:rtl/>
              </w:rPr>
              <w:t>تتضمن هذه الوثيقة مراجعة مقترحة للقرار</w:t>
            </w:r>
            <w:r w:rsidR="00DF5239">
              <w:rPr>
                <w:rFonts w:eastAsia="SimSun" w:hint="eastAsia"/>
                <w:rtl/>
              </w:rPr>
              <w:t> </w:t>
            </w:r>
            <w:r>
              <w:rPr>
                <w:rFonts w:eastAsia="SimSun"/>
                <w:szCs w:val="24"/>
              </w:rPr>
              <w:t>45</w:t>
            </w:r>
            <w:r>
              <w:rPr>
                <w:rFonts w:eastAsia="SimSun" w:hint="cs"/>
                <w:rtl/>
              </w:rPr>
              <w:t>.</w:t>
            </w:r>
          </w:p>
        </w:tc>
      </w:tr>
    </w:tbl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lang w:bidi="ar-EG"/>
        </w:rPr>
      </w:pPr>
      <w:r>
        <w:rPr>
          <w:rtl/>
          <w:lang w:bidi="ar-EG"/>
        </w:rPr>
        <w:br w:type="page"/>
      </w:r>
    </w:p>
    <w:p w:rsidR="005A4638" w:rsidRDefault="002B1DBB">
      <w:pPr>
        <w:pStyle w:val="Proposal"/>
        <w:rPr>
          <w:rtl/>
        </w:rPr>
      </w:pPr>
      <w:r w:rsidRPr="00257C1B">
        <w:rPr>
          <w:u w:val="single"/>
        </w:rPr>
        <w:lastRenderedPageBreak/>
        <w:t>NOC</w:t>
      </w:r>
      <w:r>
        <w:tab/>
      </w:r>
      <w:r w:rsidRPr="00392AEE">
        <w:rPr>
          <w:b w:val="0"/>
          <w:bCs w:val="0"/>
        </w:rPr>
        <w:t>USA/37/1</w:t>
      </w:r>
    </w:p>
    <w:p w:rsidR="00AD1149" w:rsidRPr="00AD1149" w:rsidRDefault="00392AEE" w:rsidP="00AD1149">
      <w:pPr>
        <w:pStyle w:val="ResNo"/>
        <w:rPr>
          <w:rtl/>
          <w:lang w:bidi="ar-SA"/>
        </w:rPr>
      </w:pPr>
      <w:bookmarkStart w:id="0" w:name="_Toc401807901"/>
      <w:r>
        <w:rPr>
          <w:rFonts w:hint="cs"/>
          <w:rtl/>
          <w:lang w:bidi="ar-SA"/>
        </w:rPr>
        <w:t>ال</w:t>
      </w:r>
      <w:r w:rsidR="002B1DBB" w:rsidRPr="00AD1149">
        <w:rPr>
          <w:rFonts w:hint="cs"/>
          <w:rtl/>
          <w:lang w:bidi="ar-SA"/>
        </w:rPr>
        <w:t xml:space="preserve">قـرار </w:t>
      </w:r>
      <w:r w:rsidR="002B1DBB" w:rsidRPr="00AD1149">
        <w:rPr>
          <w:lang w:bidi="ar-SA"/>
        </w:rPr>
        <w:t>45</w:t>
      </w:r>
      <w:r w:rsidR="002B1DBB" w:rsidRPr="00AD1149">
        <w:rPr>
          <w:rFonts w:hint="cs"/>
          <w:rtl/>
          <w:lang w:bidi="ar-SA"/>
        </w:rPr>
        <w:t xml:space="preserve"> (المراجَع في دبي، </w:t>
      </w:r>
      <w:r w:rsidR="002B1DBB" w:rsidRPr="00AD1149">
        <w:rPr>
          <w:lang w:bidi="ar-SA"/>
        </w:rPr>
        <w:t>2014</w:t>
      </w:r>
      <w:r w:rsidR="002B1DBB" w:rsidRPr="00AD1149">
        <w:rPr>
          <w:rFonts w:hint="cs"/>
          <w:rtl/>
          <w:lang w:bidi="ar-SA"/>
        </w:rPr>
        <w:t>)</w:t>
      </w:r>
      <w:bookmarkEnd w:id="0"/>
    </w:p>
    <w:p w:rsidR="00AD1149" w:rsidRPr="00AD1149" w:rsidRDefault="002B1DBB" w:rsidP="00AD1149">
      <w:pPr>
        <w:pStyle w:val="Restitle"/>
        <w:rPr>
          <w:rtl/>
        </w:rPr>
      </w:pPr>
      <w:bookmarkStart w:id="1" w:name="_Toc401807902"/>
      <w:r w:rsidRPr="00AD1149">
        <w:rPr>
          <w:rFonts w:hint="cs"/>
          <w:rtl/>
        </w:rPr>
        <w:t>آليات لتعزيز التعاون في م‍جال الأمن السيبراني،</w:t>
      </w:r>
      <w:r w:rsidR="00DF5239">
        <w:rPr>
          <w:rFonts w:hint="cs"/>
          <w:rtl/>
        </w:rPr>
        <w:t xml:space="preserve"> </w:t>
      </w:r>
      <w:r w:rsidRPr="00AD1149">
        <w:rPr>
          <w:rFonts w:hint="cs"/>
          <w:rtl/>
        </w:rPr>
        <w:br/>
        <w:t>ب‍ما في ذلك مكافحة الرسائل الاقتحامية</w:t>
      </w:r>
      <w:bookmarkEnd w:id="1"/>
    </w:p>
    <w:p w:rsidR="005A4638" w:rsidRDefault="00E54E45" w:rsidP="00D31D48">
      <w:pPr>
        <w:pStyle w:val="Reasons"/>
        <w:rPr>
          <w:rFonts w:ascii="Traditional Arabic" w:hAnsi="Traditional Arabic"/>
          <w:b w:val="0"/>
          <w:bCs w:val="0"/>
          <w:sz w:val="30"/>
          <w:rtl/>
        </w:rPr>
      </w:pPr>
      <w:proofErr w:type="gramStart"/>
      <w:r w:rsidRPr="00E54E45">
        <w:rPr>
          <w:rtl/>
        </w:rPr>
        <w:t>الأسباب:</w:t>
      </w:r>
      <w:r>
        <w:tab/>
      </w:r>
      <w:proofErr w:type="gramEnd"/>
      <w:r w:rsidR="00D31D48">
        <w:rPr>
          <w:rFonts w:ascii="Traditional Arabic" w:hAnsi="Traditional Arabic" w:hint="cs"/>
          <w:b w:val="0"/>
          <w:bCs w:val="0"/>
          <w:sz w:val="30"/>
          <w:rtl/>
        </w:rPr>
        <w:t>تقترح الولايات المتحدة</w:t>
      </w:r>
      <w:r w:rsidR="00406521">
        <w:rPr>
          <w:rFonts w:ascii="Traditional Arabic" w:hAnsi="Traditional Arabic" w:hint="cs"/>
          <w:b w:val="0"/>
          <w:bCs w:val="0"/>
          <w:sz w:val="30"/>
          <w:rtl/>
        </w:rPr>
        <w:t xml:space="preserve"> الأمريكية</w:t>
      </w:r>
      <w:r w:rsidR="00D31D48">
        <w:rPr>
          <w:rFonts w:ascii="Traditional Arabic" w:hAnsi="Traditional Arabic" w:hint="cs"/>
          <w:b w:val="0"/>
          <w:bCs w:val="0"/>
          <w:sz w:val="30"/>
          <w:rtl/>
        </w:rPr>
        <w:t xml:space="preserve"> الإبقاء على النص الحالي للقرار </w:t>
      </w:r>
      <w:r w:rsidR="00D31D48" w:rsidRPr="00310240">
        <w:rPr>
          <w:b w:val="0"/>
          <w:bCs w:val="0"/>
          <w:sz w:val="24"/>
          <w:szCs w:val="24"/>
        </w:rPr>
        <w:t>45</w:t>
      </w:r>
      <w:r w:rsidR="00D31D48" w:rsidRPr="00257C1B">
        <w:rPr>
          <w:rFonts w:hint="cs"/>
          <w:b w:val="0"/>
          <w:bCs w:val="0"/>
          <w:sz w:val="30"/>
          <w:rtl/>
        </w:rPr>
        <w:t xml:space="preserve"> </w:t>
      </w:r>
      <w:r w:rsidR="00D31D48" w:rsidRPr="00D31D48">
        <w:rPr>
          <w:rFonts w:ascii="Traditional Arabic" w:hAnsi="Traditional Arabic" w:hint="cs"/>
          <w:b w:val="0"/>
          <w:bCs w:val="0"/>
          <w:sz w:val="30"/>
          <w:rtl/>
        </w:rPr>
        <w:t>لأنه لا يزال</w:t>
      </w:r>
      <w:r w:rsidR="00E47D00">
        <w:rPr>
          <w:rFonts w:ascii="Traditional Arabic" w:hAnsi="Traditional Arabic" w:hint="cs"/>
          <w:b w:val="0"/>
          <w:bCs w:val="0"/>
          <w:sz w:val="30"/>
          <w:rtl/>
        </w:rPr>
        <w:t xml:space="preserve"> </w:t>
      </w:r>
      <w:r w:rsidR="00D31D48">
        <w:rPr>
          <w:rFonts w:ascii="Traditional Arabic" w:hAnsi="Traditional Arabic" w:hint="cs"/>
          <w:b w:val="0"/>
          <w:bCs w:val="0"/>
          <w:sz w:val="30"/>
          <w:rtl/>
        </w:rPr>
        <w:t>يوفر أساساً مرناً لتحقيق أهداف قطاع التنمية في مجال الأمن السيبراني.</w:t>
      </w:r>
    </w:p>
    <w:p w:rsidR="00E47D00" w:rsidRDefault="00E47D00" w:rsidP="00E47D00">
      <w:pPr>
        <w:pStyle w:val="Reasons"/>
        <w:rPr>
          <w:rFonts w:ascii="Traditional Arabic" w:hAnsi="Traditional Arabic" w:hint="cs"/>
          <w:b w:val="0"/>
          <w:bCs w:val="0"/>
          <w:sz w:val="30"/>
          <w:rtl/>
          <w:lang w:bidi="ar-EG"/>
        </w:rPr>
      </w:pPr>
      <w:bookmarkStart w:id="2" w:name="_GoBack"/>
      <w:bookmarkEnd w:id="2"/>
    </w:p>
    <w:p w:rsidR="00E47D00" w:rsidRPr="00E47D00" w:rsidRDefault="00E47D00" w:rsidP="00E47D00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E47D00" w:rsidRPr="00E47D00" w:rsidSect="00E54E45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A26" w:rsidRDefault="00F34A26" w:rsidP="00E07379">
      <w:pPr>
        <w:spacing w:before="0" w:line="240" w:lineRule="auto"/>
      </w:pPr>
      <w:r>
        <w:separator/>
      </w:r>
    </w:p>
  </w:endnote>
  <w:end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2B1DBB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E47D00">
      <w:rPr>
        <w:rFonts w:cs="Times New Roman"/>
        <w:noProof/>
        <w:sz w:val="16"/>
        <w:szCs w:val="16"/>
      </w:rPr>
      <w:t>P:\ARA\ITU-D\CONF-D\WTDC17\000\037REV1A.docx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2B1DBB">
      <w:rPr>
        <w:rFonts w:cs="Times New Roman"/>
        <w:sz w:val="16"/>
        <w:szCs w:val="16"/>
      </w:rPr>
      <w:t>424650</w:t>
    </w:r>
    <w:r w:rsidRPr="002D4DD1">
      <w:rPr>
        <w:rFonts w:cs="Times New Roman"/>
        <w:sz w:val="16"/>
        <w:szCs w:val="16"/>
      </w:rPr>
      <w:t>)</w:t>
    </w:r>
    <w:r w:rsidR="00E47D00">
      <w:rPr>
        <w:rFonts w:cs="Times New Roman"/>
        <w:sz w:val="16"/>
        <w:szCs w:val="16"/>
      </w:rPr>
      <w:tab/>
    </w:r>
    <w:r w:rsidR="00E47D00">
      <w:rPr>
        <w:rFonts w:cs="Times New Roman"/>
        <w:sz w:val="16"/>
        <w:szCs w:val="16"/>
      </w:rPr>
      <w:fldChar w:fldCharType="begin"/>
    </w:r>
    <w:r w:rsidR="00E47D00">
      <w:rPr>
        <w:rFonts w:cs="Times New Roman"/>
        <w:sz w:val="16"/>
        <w:szCs w:val="16"/>
      </w:rPr>
      <w:instrText xml:space="preserve"> savedate \@ dd.MM.yy </w:instrText>
    </w:r>
    <w:r w:rsidR="00E47D00">
      <w:rPr>
        <w:rFonts w:cs="Times New Roman"/>
        <w:sz w:val="16"/>
        <w:szCs w:val="16"/>
      </w:rPr>
      <w:fldChar w:fldCharType="separate"/>
    </w:r>
    <w:r w:rsidR="00E54E45">
      <w:rPr>
        <w:rFonts w:cs="Times New Roman"/>
        <w:noProof/>
        <w:sz w:val="16"/>
        <w:szCs w:val="16"/>
      </w:rPr>
      <w:t>03.10.17</w:t>
    </w:r>
    <w:r w:rsidR="00E47D00">
      <w:rPr>
        <w:rFonts w:cs="Times New Roman"/>
        <w:sz w:val="16"/>
        <w:szCs w:val="16"/>
      </w:rPr>
      <w:fldChar w:fldCharType="end"/>
    </w:r>
    <w:r w:rsidR="00E47D00">
      <w:rPr>
        <w:rFonts w:cs="Times New Roman"/>
        <w:sz w:val="16"/>
        <w:szCs w:val="16"/>
      </w:rPr>
      <w:tab/>
    </w:r>
    <w:r w:rsidR="00E47D00">
      <w:rPr>
        <w:rFonts w:cs="Times New Roman"/>
        <w:sz w:val="16"/>
        <w:szCs w:val="16"/>
      </w:rPr>
      <w:fldChar w:fldCharType="begin"/>
    </w:r>
    <w:r w:rsidR="00E47D00">
      <w:rPr>
        <w:rFonts w:cs="Times New Roman"/>
        <w:sz w:val="16"/>
        <w:szCs w:val="16"/>
      </w:rPr>
      <w:instrText xml:space="preserve"> printdate \@ dd.MM.yy </w:instrText>
    </w:r>
    <w:r w:rsidR="00E47D00">
      <w:rPr>
        <w:rFonts w:cs="Times New Roman"/>
        <w:sz w:val="16"/>
        <w:szCs w:val="16"/>
      </w:rPr>
      <w:fldChar w:fldCharType="separate"/>
    </w:r>
    <w:r w:rsidR="00E47D00">
      <w:rPr>
        <w:rFonts w:cs="Times New Roman"/>
        <w:noProof/>
        <w:sz w:val="16"/>
        <w:szCs w:val="16"/>
      </w:rPr>
      <w:t>13.03.17</w:t>
    </w:r>
    <w:r w:rsidR="00E47D00">
      <w:rPr>
        <w:rFonts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E54E45" w:rsidRPr="0031288C" w:rsidTr="00E54E45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E54E45" w:rsidRPr="0031288C" w:rsidRDefault="00E54E45" w:rsidP="00392AE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31288C"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31288C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E54E45" w:rsidRPr="0031288C" w:rsidRDefault="00E54E45" w:rsidP="00392AE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31288C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E54E45" w:rsidRPr="0031288C" w:rsidRDefault="00E54E45" w:rsidP="00392AE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rtl/>
              <w:lang w:val="en-GB" w:bidi="ar-EG"/>
            </w:rPr>
          </w:pPr>
          <w:proofErr w:type="spellStart"/>
          <w:r w:rsidRPr="0031288C">
            <w:rPr>
              <w:sz w:val="20"/>
              <w:szCs w:val="26"/>
              <w:lang w:val="en-GB"/>
            </w:rPr>
            <w:t>Liesyl</w:t>
          </w:r>
          <w:proofErr w:type="spellEnd"/>
          <w:r w:rsidRPr="0031288C">
            <w:rPr>
              <w:sz w:val="20"/>
              <w:szCs w:val="26"/>
              <w:lang w:val="en-GB"/>
            </w:rPr>
            <w:t xml:space="preserve"> I. Franz</w:t>
          </w:r>
          <w:r w:rsidRPr="0031288C">
            <w:rPr>
              <w:rFonts w:hint="cs"/>
              <w:sz w:val="20"/>
              <w:szCs w:val="26"/>
              <w:rtl/>
              <w:lang w:val="en-GB"/>
            </w:rPr>
            <w:t>، الولايات المتحدة الأمريكية</w:t>
          </w:r>
        </w:p>
      </w:tc>
    </w:tr>
    <w:tr w:rsidR="00E54E45" w:rsidRPr="0031288C" w:rsidTr="00E54E45">
      <w:tc>
        <w:tcPr>
          <w:tcW w:w="1417" w:type="dxa"/>
        </w:tcPr>
        <w:p w:rsidR="00E54E45" w:rsidRPr="0031288C" w:rsidRDefault="00E54E45" w:rsidP="00392AE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E54E45" w:rsidRPr="0031288C" w:rsidRDefault="00E54E45" w:rsidP="00392AEE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31288C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E54E45" w:rsidRPr="0031288C" w:rsidRDefault="00E54E45" w:rsidP="00392AEE">
          <w:pPr>
            <w:pStyle w:val="FirstFooter"/>
            <w:tabs>
              <w:tab w:val="left" w:pos="2302"/>
            </w:tabs>
            <w:bidi/>
            <w:jc w:val="both"/>
            <w:rPr>
              <w:rFonts w:ascii="Calibri" w:hAnsi="Calibri" w:cs="Traditional Arabic"/>
              <w:sz w:val="20"/>
              <w:szCs w:val="26"/>
              <w:highlight w:val="yellow"/>
              <w:lang w:val="en-US"/>
            </w:rPr>
          </w:pPr>
          <w:hyperlink r:id="rId1" w:history="1">
            <w:r w:rsidRPr="0031288C">
              <w:rPr>
                <w:rStyle w:val="Hyperlink"/>
                <w:rFonts w:ascii="Calibri" w:hAnsi="Calibri"/>
                <w:sz w:val="20"/>
                <w:szCs w:val="26"/>
              </w:rPr>
              <w:t>FranzLI@state.gov</w:t>
            </w:r>
          </w:hyperlink>
        </w:p>
      </w:tc>
    </w:tr>
  </w:tbl>
  <w:p w:rsidR="002D4DD1" w:rsidRPr="00186911" w:rsidRDefault="00D128C8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A26" w:rsidRDefault="00F34A26" w:rsidP="00E07379">
      <w:pPr>
        <w:spacing w:before="0" w:line="240" w:lineRule="auto"/>
      </w:pPr>
      <w:r>
        <w:separator/>
      </w:r>
    </w:p>
  </w:footnote>
  <w:footnote w:type="continuationSeparator" w:id="0">
    <w:p w:rsidR="00F34A26" w:rsidRDefault="00F34A2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E54E45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E54E45">
      <w:tab/>
    </w:r>
    <w:r w:rsidR="00744E36" w:rsidRPr="00E54E45">
      <w:rPr>
        <w:lang w:val="de-CH"/>
      </w:rPr>
      <w:t>WTDC-17/</w:t>
    </w:r>
    <w:bookmarkStart w:id="3" w:name="OLE_LINK3"/>
    <w:bookmarkStart w:id="4" w:name="OLE_LINK2"/>
    <w:bookmarkStart w:id="5" w:name="OLE_LINK1"/>
    <w:r w:rsidR="00744E36" w:rsidRPr="00E54E45">
      <w:t>37(Rev.1)</w:t>
    </w:r>
    <w:bookmarkEnd w:id="3"/>
    <w:bookmarkEnd w:id="4"/>
    <w:bookmarkEnd w:id="5"/>
    <w:r w:rsidR="00744E36" w:rsidRPr="00E54E45">
      <w:t>-A</w:t>
    </w:r>
    <w:r w:rsidRPr="00E54E45">
      <w:rPr>
        <w:rtl/>
        <w:lang w:bidi="ar-EG"/>
      </w:rPr>
      <w:tab/>
    </w:r>
    <w:r w:rsidRPr="00E54E45">
      <w:rPr>
        <w:rFonts w:hint="cs"/>
        <w:rtl/>
      </w:rPr>
      <w:t xml:space="preserve">الصفحة </w:t>
    </w:r>
    <w:r w:rsidRPr="00E54E45">
      <w:rPr>
        <w:szCs w:val="22"/>
        <w:lang w:val="en-GB"/>
      </w:rPr>
      <w:fldChar w:fldCharType="begin"/>
    </w:r>
    <w:r w:rsidRPr="00E54E45">
      <w:rPr>
        <w:szCs w:val="22"/>
        <w:lang w:val="en-GB"/>
      </w:rPr>
      <w:instrText xml:space="preserve"> PAGE </w:instrText>
    </w:r>
    <w:r w:rsidRPr="00E54E45">
      <w:rPr>
        <w:szCs w:val="22"/>
        <w:lang w:val="en-GB"/>
      </w:rPr>
      <w:fldChar w:fldCharType="separate"/>
    </w:r>
    <w:r w:rsidR="00D128C8">
      <w:rPr>
        <w:noProof/>
        <w:szCs w:val="22"/>
        <w:rtl/>
        <w:lang w:val="en-GB"/>
      </w:rPr>
      <w:t>2</w:t>
    </w:r>
    <w:r w:rsidRPr="00E54E45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F2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6C0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FA54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525E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9214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68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6BF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6E3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AC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DE0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41F8B"/>
    <w:rsid w:val="00046444"/>
    <w:rsid w:val="0006023B"/>
    <w:rsid w:val="0008638B"/>
    <w:rsid w:val="0008743A"/>
    <w:rsid w:val="00090574"/>
    <w:rsid w:val="00092FC2"/>
    <w:rsid w:val="000A1677"/>
    <w:rsid w:val="000B3EAA"/>
    <w:rsid w:val="000B407F"/>
    <w:rsid w:val="000C13C2"/>
    <w:rsid w:val="000C5B32"/>
    <w:rsid w:val="000F0B1C"/>
    <w:rsid w:val="000F1D42"/>
    <w:rsid w:val="000F4D07"/>
    <w:rsid w:val="00102A03"/>
    <w:rsid w:val="001040A3"/>
    <w:rsid w:val="001212F0"/>
    <w:rsid w:val="001455B5"/>
    <w:rsid w:val="00173915"/>
    <w:rsid w:val="00186911"/>
    <w:rsid w:val="001F0DEF"/>
    <w:rsid w:val="0022345D"/>
    <w:rsid w:val="00225854"/>
    <w:rsid w:val="0023283D"/>
    <w:rsid w:val="00241580"/>
    <w:rsid w:val="00252E0C"/>
    <w:rsid w:val="00257C1B"/>
    <w:rsid w:val="00276881"/>
    <w:rsid w:val="002916BE"/>
    <w:rsid w:val="002978F4"/>
    <w:rsid w:val="002B028D"/>
    <w:rsid w:val="002B1DBB"/>
    <w:rsid w:val="002B435E"/>
    <w:rsid w:val="002C4DAE"/>
    <w:rsid w:val="002D4DD1"/>
    <w:rsid w:val="002D6488"/>
    <w:rsid w:val="002D6669"/>
    <w:rsid w:val="002E6541"/>
    <w:rsid w:val="002F0028"/>
    <w:rsid w:val="002F5560"/>
    <w:rsid w:val="002F7232"/>
    <w:rsid w:val="0030486B"/>
    <w:rsid w:val="00310240"/>
    <w:rsid w:val="0031288C"/>
    <w:rsid w:val="003231B9"/>
    <w:rsid w:val="003275AC"/>
    <w:rsid w:val="00333D29"/>
    <w:rsid w:val="003409F4"/>
    <w:rsid w:val="00357185"/>
    <w:rsid w:val="00392AEE"/>
    <w:rsid w:val="003B2F82"/>
    <w:rsid w:val="003C31C5"/>
    <w:rsid w:val="003C475F"/>
    <w:rsid w:val="003E4132"/>
    <w:rsid w:val="003E5E3F"/>
    <w:rsid w:val="003F678F"/>
    <w:rsid w:val="00406521"/>
    <w:rsid w:val="0042686F"/>
    <w:rsid w:val="004367CE"/>
    <w:rsid w:val="00443869"/>
    <w:rsid w:val="004712C6"/>
    <w:rsid w:val="004730A9"/>
    <w:rsid w:val="00497703"/>
    <w:rsid w:val="004F0F06"/>
    <w:rsid w:val="00501E0E"/>
    <w:rsid w:val="005204D7"/>
    <w:rsid w:val="00521DBB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A4638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B1321"/>
    <w:rsid w:val="006C1556"/>
    <w:rsid w:val="006E77E7"/>
    <w:rsid w:val="006F267F"/>
    <w:rsid w:val="006F63F7"/>
    <w:rsid w:val="006F6F03"/>
    <w:rsid w:val="007040E1"/>
    <w:rsid w:val="00706D7A"/>
    <w:rsid w:val="00707FC4"/>
    <w:rsid w:val="00726AEC"/>
    <w:rsid w:val="00744E36"/>
    <w:rsid w:val="00746318"/>
    <w:rsid w:val="007530CA"/>
    <w:rsid w:val="0078126D"/>
    <w:rsid w:val="0079553D"/>
    <w:rsid w:val="007A1497"/>
    <w:rsid w:val="007B0163"/>
    <w:rsid w:val="007B01CC"/>
    <w:rsid w:val="007B4939"/>
    <w:rsid w:val="007C550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0945"/>
    <w:rsid w:val="008B5B5D"/>
    <w:rsid w:val="008D0F4A"/>
    <w:rsid w:val="00916411"/>
    <w:rsid w:val="00917694"/>
    <w:rsid w:val="00923199"/>
    <w:rsid w:val="009263CD"/>
    <w:rsid w:val="00930E6D"/>
    <w:rsid w:val="009408A3"/>
    <w:rsid w:val="00941BF8"/>
    <w:rsid w:val="00972CA2"/>
    <w:rsid w:val="00982B28"/>
    <w:rsid w:val="009846F2"/>
    <w:rsid w:val="00984EA5"/>
    <w:rsid w:val="00992593"/>
    <w:rsid w:val="009C17E1"/>
    <w:rsid w:val="009C35ED"/>
    <w:rsid w:val="009F1C12"/>
    <w:rsid w:val="00A12123"/>
    <w:rsid w:val="00A124CB"/>
    <w:rsid w:val="00A2167A"/>
    <w:rsid w:val="00A249C1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A5DC2"/>
    <w:rsid w:val="00AB1309"/>
    <w:rsid w:val="00AB287D"/>
    <w:rsid w:val="00AC2C52"/>
    <w:rsid w:val="00AC40BC"/>
    <w:rsid w:val="00AD1503"/>
    <w:rsid w:val="00AE7244"/>
    <w:rsid w:val="00AF3FEE"/>
    <w:rsid w:val="00B02814"/>
    <w:rsid w:val="00B02F46"/>
    <w:rsid w:val="00B2000C"/>
    <w:rsid w:val="00B20ADE"/>
    <w:rsid w:val="00B24D5E"/>
    <w:rsid w:val="00B3042D"/>
    <w:rsid w:val="00B44825"/>
    <w:rsid w:val="00B66B9A"/>
    <w:rsid w:val="00B750BB"/>
    <w:rsid w:val="00B82089"/>
    <w:rsid w:val="00B970AE"/>
    <w:rsid w:val="00BA1427"/>
    <w:rsid w:val="00BB74F5"/>
    <w:rsid w:val="00BD2824"/>
    <w:rsid w:val="00BE49D0"/>
    <w:rsid w:val="00BF2C38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28C8"/>
    <w:rsid w:val="00D14BEB"/>
    <w:rsid w:val="00D16630"/>
    <w:rsid w:val="00D21C89"/>
    <w:rsid w:val="00D2370D"/>
    <w:rsid w:val="00D31D48"/>
    <w:rsid w:val="00D32A42"/>
    <w:rsid w:val="00D41647"/>
    <w:rsid w:val="00D45542"/>
    <w:rsid w:val="00D533DB"/>
    <w:rsid w:val="00D77D0F"/>
    <w:rsid w:val="00D8605A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6DC"/>
    <w:rsid w:val="00DF2E14"/>
    <w:rsid w:val="00DF5239"/>
    <w:rsid w:val="00DF5361"/>
    <w:rsid w:val="00E009A1"/>
    <w:rsid w:val="00E00D15"/>
    <w:rsid w:val="00E071BE"/>
    <w:rsid w:val="00E07379"/>
    <w:rsid w:val="00E077B3"/>
    <w:rsid w:val="00E14494"/>
    <w:rsid w:val="00E17033"/>
    <w:rsid w:val="00E22744"/>
    <w:rsid w:val="00E32189"/>
    <w:rsid w:val="00E45211"/>
    <w:rsid w:val="00E47D00"/>
    <w:rsid w:val="00E54E45"/>
    <w:rsid w:val="00E7380C"/>
    <w:rsid w:val="00E74A3E"/>
    <w:rsid w:val="00E74BE7"/>
    <w:rsid w:val="00E86CC9"/>
    <w:rsid w:val="00E87305"/>
    <w:rsid w:val="00E96624"/>
    <w:rsid w:val="00EB7016"/>
    <w:rsid w:val="00EB724E"/>
    <w:rsid w:val="00F126F1"/>
    <w:rsid w:val="00F2106A"/>
    <w:rsid w:val="00F34A26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318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A249C1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36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AA5DC2"/>
    <w:pPr>
      <w:tabs>
        <w:tab w:val="left" w:pos="1418"/>
        <w:tab w:val="left" w:pos="1985"/>
        <w:tab w:val="left" w:pos="2268"/>
      </w:tabs>
      <w:spacing w:before="20" w:line="240" w:lineRule="auto"/>
      <w:jc w:val="left"/>
    </w:pPr>
    <w:rPr>
      <w:lang w:bidi="ar-EG"/>
    </w:rPr>
  </w:style>
  <w:style w:type="paragraph" w:customStyle="1" w:styleId="FirstFooter">
    <w:name w:val="FirstFooter"/>
    <w:basedOn w:val="Footer"/>
    <w:rsid w:val="00392AEE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rFonts w:asciiTheme="minorHAnsi" w:hAnsiTheme="minorHAnsi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FranzLI@stat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D14-WTDC17-C-0037!R1!MSW-A</DPM_x0020_File_x0020_name>
    <DPM_x0020_Version xmlns="de10a323-94a9-4e93-88b4-ea964576960d" xsi:nil="false">DPM_2017.09.13.1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F2F6F-3A9B-4ABB-B8DF-632A5F2B9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0207F-C877-4B9D-8F53-26A2600F4B73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996b2e75-67fd-4955-a3b0-5ab9934cb50b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8553F2CE-54E6-4704-B1FD-571EC8B5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D14-WTDC17-C-0037!R1!MSW-A</vt:lpstr>
    </vt:vector>
  </TitlesOfParts>
  <Company>International Telecommunication Union (ITU)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D14-WTDC17-C-0037!R1!MSW-A</dc:title>
  <dc:subject>World Telecommunication Standardization Assembly</dc:subject>
  <dc:creator>Documents Proposals Manager (DPM)</dc:creator>
  <cp:keywords>DPM_v2017.9.22.1_prod</cp:keywords>
  <dc:description/>
  <cp:lastModifiedBy>Awad, Samy</cp:lastModifiedBy>
  <cp:revision>9</cp:revision>
  <cp:lastPrinted>2017-03-13T12:32:00Z</cp:lastPrinted>
  <dcterms:created xsi:type="dcterms:W3CDTF">2017-10-03T06:40:00Z</dcterms:created>
  <dcterms:modified xsi:type="dcterms:W3CDTF">2017-10-04T07:55:00Z</dcterms:modified>
  <cp:category>Conference document</cp:category>
</cp:coreProperties>
</file>