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5E0192">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5E019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E019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5E0192">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5E0192">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5E0192">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5E0192">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A23995" w:rsidP="005E0192">
            <w:pPr>
              <w:spacing w:before="0"/>
              <w:rPr>
                <w:bCs/>
                <w:szCs w:val="24"/>
                <w:lang w:val="fr-CH"/>
              </w:rPr>
            </w:pPr>
            <w:r>
              <w:rPr>
                <w:b/>
                <w:szCs w:val="24"/>
              </w:rPr>
              <w:t xml:space="preserve">Révision </w:t>
            </w:r>
            <w:r w:rsidR="00A24B35">
              <w:rPr>
                <w:b/>
                <w:szCs w:val="24"/>
              </w:rPr>
              <w:t xml:space="preserve">1 </w:t>
            </w:r>
            <w:r>
              <w:rPr>
                <w:b/>
                <w:szCs w:val="24"/>
              </w:rPr>
              <w:t>au</w:t>
            </w:r>
            <w:r>
              <w:rPr>
                <w:b/>
                <w:szCs w:val="24"/>
              </w:rPr>
              <w:br/>
            </w:r>
            <w:r w:rsidR="00000B37">
              <w:rPr>
                <w:b/>
                <w:szCs w:val="24"/>
              </w:rPr>
              <w:t>Document WTDC-17/35</w:t>
            </w:r>
            <w:r w:rsidR="00700D0A" w:rsidRPr="008830A1">
              <w:rPr>
                <w:b/>
                <w:szCs w:val="24"/>
              </w:rPr>
              <w:t>-</w:t>
            </w:r>
            <w:r w:rsidR="00000B37" w:rsidRPr="008830A1">
              <w:rPr>
                <w:b/>
                <w:szCs w:val="24"/>
              </w:rPr>
              <w:t>F</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3" w:name="ddate" w:colFirst="1" w:colLast="1"/>
            <w:bookmarkEnd w:id="2"/>
          </w:p>
        </w:tc>
        <w:tc>
          <w:tcPr>
            <w:tcW w:w="3260" w:type="dxa"/>
          </w:tcPr>
          <w:p w:rsidR="00D42EE8" w:rsidRPr="008830A1" w:rsidRDefault="00A23995" w:rsidP="005E0192">
            <w:pPr>
              <w:spacing w:before="0"/>
              <w:rPr>
                <w:bCs/>
                <w:szCs w:val="24"/>
                <w:lang w:val="fr-CH"/>
              </w:rPr>
            </w:pPr>
            <w:r>
              <w:rPr>
                <w:b/>
                <w:szCs w:val="24"/>
              </w:rPr>
              <w:t>2</w:t>
            </w:r>
            <w:r w:rsidR="00000B37" w:rsidRPr="008830A1">
              <w:rPr>
                <w:b/>
                <w:szCs w:val="24"/>
              </w:rPr>
              <w:t>8 septembre 2017</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4" w:name="dorlang" w:colFirst="1" w:colLast="1"/>
            <w:bookmarkEnd w:id="3"/>
          </w:p>
        </w:tc>
        <w:tc>
          <w:tcPr>
            <w:tcW w:w="3260" w:type="dxa"/>
          </w:tcPr>
          <w:p w:rsidR="00D42EE8" w:rsidRPr="008830A1" w:rsidRDefault="00000B37" w:rsidP="005E0192">
            <w:pPr>
              <w:spacing w:before="0"/>
              <w:rPr>
                <w:b/>
                <w:bCs/>
                <w:szCs w:val="24"/>
                <w:lang w:val="fr-CH"/>
              </w:rPr>
            </w:pPr>
            <w:r w:rsidRPr="008830A1">
              <w:rPr>
                <w:b/>
                <w:szCs w:val="24"/>
              </w:rPr>
              <w:t>Original: anglais</w:t>
            </w:r>
          </w:p>
        </w:tc>
      </w:tr>
      <w:tr w:rsidR="00D42EE8" w:rsidRPr="00B1725D" w:rsidTr="00450EFA">
        <w:trPr>
          <w:cantSplit/>
        </w:trPr>
        <w:tc>
          <w:tcPr>
            <w:tcW w:w="9888" w:type="dxa"/>
            <w:gridSpan w:val="3"/>
          </w:tcPr>
          <w:p w:rsidR="00D42EE8" w:rsidRPr="00432DCC" w:rsidRDefault="00B1725D" w:rsidP="005E0192">
            <w:pPr>
              <w:pStyle w:val="Source"/>
              <w:tabs>
                <w:tab w:val="clear" w:pos="794"/>
                <w:tab w:val="clear" w:pos="1191"/>
                <w:tab w:val="clear" w:pos="1588"/>
                <w:tab w:val="clear" w:pos="1985"/>
                <w:tab w:val="left" w:pos="1134"/>
                <w:tab w:val="left" w:pos="1871"/>
              </w:tabs>
              <w:spacing w:before="240" w:after="240" w:afterAutospacing="0"/>
              <w:rPr>
                <w:lang w:val="fr-CH"/>
              </w:rPr>
            </w:pPr>
            <w:bookmarkStart w:id="5" w:name="dsource" w:colFirst="1" w:colLast="1"/>
            <w:bookmarkEnd w:id="4"/>
            <w:r w:rsidRPr="00B1725D">
              <w:rPr>
                <w:lang w:val="fr-CH"/>
              </w:rPr>
              <w:t>Académie nationale des télécommunications A.S. Popov d</w:t>
            </w:r>
            <w:r w:rsidR="00432DCC">
              <w:rPr>
                <w:lang w:val="fr-CH"/>
              </w:rPr>
              <w:t>'</w:t>
            </w:r>
            <w:r w:rsidRPr="00B1725D">
              <w:rPr>
                <w:lang w:val="fr-CH"/>
              </w:rPr>
              <w:t>Odessa</w:t>
            </w:r>
            <w:r>
              <w:rPr>
                <w:lang w:val="fr-CH"/>
              </w:rPr>
              <w:t xml:space="preserve"> </w:t>
            </w:r>
            <w:r w:rsidR="005B6CE3" w:rsidRPr="00432DCC">
              <w:rPr>
                <w:lang w:val="fr-CH"/>
              </w:rPr>
              <w:t>(ONAT)</w:t>
            </w:r>
          </w:p>
        </w:tc>
      </w:tr>
      <w:tr w:rsidR="00D42EE8" w:rsidRPr="00B1725D" w:rsidTr="007934DB">
        <w:trPr>
          <w:cantSplit/>
        </w:trPr>
        <w:tc>
          <w:tcPr>
            <w:tcW w:w="9888" w:type="dxa"/>
            <w:gridSpan w:val="3"/>
          </w:tcPr>
          <w:p w:rsidR="00D42EE8" w:rsidRPr="00B1725D" w:rsidRDefault="00B1725D" w:rsidP="00634C2C">
            <w:pPr>
              <w:pStyle w:val="Title1"/>
              <w:tabs>
                <w:tab w:val="clear" w:pos="567"/>
                <w:tab w:val="clear" w:pos="1701"/>
                <w:tab w:val="clear" w:pos="2835"/>
                <w:tab w:val="left" w:pos="1871"/>
              </w:tabs>
              <w:rPr>
                <w:lang w:val="fr-CH"/>
              </w:rPr>
            </w:pPr>
            <w:bookmarkStart w:id="6" w:name="dtitle1" w:colFirst="1" w:colLast="1"/>
            <w:bookmarkEnd w:id="5"/>
            <w:r w:rsidRPr="00B1725D">
              <w:rPr>
                <w:lang w:val="fr-CH"/>
              </w:rPr>
              <w:t>Mise</w:t>
            </w:r>
            <w:r w:rsidR="005E0192">
              <w:rPr>
                <w:lang w:val="fr-CH"/>
              </w:rPr>
              <w:t xml:space="preserve"> à jour de la déf</w:t>
            </w:r>
            <w:bookmarkStart w:id="7" w:name="_GoBack"/>
            <w:bookmarkEnd w:id="7"/>
            <w:r w:rsidR="005E0192">
              <w:rPr>
                <w:lang w:val="fr-CH"/>
              </w:rPr>
              <w:t>inition de la</w:t>
            </w:r>
            <w:r w:rsidR="00184F7B" w:rsidRPr="00B1725D">
              <w:rPr>
                <w:lang w:val="fr-CH"/>
              </w:rPr>
              <w:t xml:space="preserve"> Question 1/1</w:t>
            </w:r>
            <w:r w:rsidR="007236A3">
              <w:rPr>
                <w:lang w:val="fr-CH"/>
              </w:rPr>
              <w:t xml:space="preserve"> </w:t>
            </w:r>
          </w:p>
        </w:tc>
      </w:tr>
      <w:tr w:rsidR="00D42EE8" w:rsidRPr="00B1725D" w:rsidTr="007934DB">
        <w:trPr>
          <w:cantSplit/>
        </w:trPr>
        <w:tc>
          <w:tcPr>
            <w:tcW w:w="9888" w:type="dxa"/>
            <w:gridSpan w:val="3"/>
          </w:tcPr>
          <w:p w:rsidR="00D42EE8" w:rsidRPr="00634C2C" w:rsidRDefault="00634C2C" w:rsidP="005E0192">
            <w:pPr>
              <w:pStyle w:val="Title2"/>
              <w:tabs>
                <w:tab w:val="clear" w:pos="567"/>
                <w:tab w:val="clear" w:pos="1701"/>
                <w:tab w:val="clear" w:pos="2835"/>
                <w:tab w:val="left" w:pos="1871"/>
              </w:tabs>
              <w:overflowPunct/>
              <w:autoSpaceDE/>
              <w:autoSpaceDN/>
              <w:adjustRightInd/>
              <w:textAlignment w:val="auto"/>
            </w:pPr>
            <w:r>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tc>
      </w:tr>
      <w:tr w:rsidR="00863463" w:rsidRPr="00B1725D" w:rsidTr="007934DB">
        <w:trPr>
          <w:cantSplit/>
        </w:trPr>
        <w:tc>
          <w:tcPr>
            <w:tcW w:w="9888" w:type="dxa"/>
            <w:gridSpan w:val="3"/>
          </w:tcPr>
          <w:p w:rsidR="00863463" w:rsidRPr="00B1725D" w:rsidRDefault="00863463" w:rsidP="005E0192">
            <w:pPr>
              <w:jc w:val="center"/>
              <w:rPr>
                <w:lang w:val="fr-CH"/>
              </w:rPr>
            </w:pPr>
          </w:p>
        </w:tc>
      </w:tr>
      <w:tr w:rsidR="00CE66F1" w:rsidRPr="00B1725D">
        <w:tc>
          <w:tcPr>
            <w:tcW w:w="10031" w:type="dxa"/>
            <w:gridSpan w:val="3"/>
            <w:tcBorders>
              <w:top w:val="single" w:sz="4" w:space="0" w:color="auto"/>
              <w:left w:val="single" w:sz="4" w:space="0" w:color="auto"/>
              <w:bottom w:val="single" w:sz="4" w:space="0" w:color="auto"/>
              <w:right w:val="single" w:sz="4" w:space="0" w:color="auto"/>
            </w:tcBorders>
          </w:tcPr>
          <w:p w:rsidR="00CE66F1" w:rsidRDefault="00380874" w:rsidP="005E0192">
            <w:r>
              <w:rPr>
                <w:rFonts w:ascii="Calibri" w:eastAsia="SimSun" w:hAnsi="Calibri" w:cs="Traditional Arabic"/>
                <w:b/>
                <w:bCs/>
                <w:szCs w:val="24"/>
              </w:rPr>
              <w:t>Domaine prioritaire:</w:t>
            </w:r>
          </w:p>
          <w:p w:rsidR="00CE66F1" w:rsidRDefault="00380874" w:rsidP="005E0192">
            <w:pPr>
              <w:rPr>
                <w:szCs w:val="24"/>
              </w:rPr>
            </w:pPr>
            <w:r w:rsidRPr="00380874">
              <w:rPr>
                <w:rFonts w:ascii="Calibri" w:eastAsia="SimSun" w:hAnsi="Calibri" w:cs="Traditional Arabic"/>
                <w:szCs w:val="24"/>
              </w:rPr>
              <w:t>–</w:t>
            </w:r>
            <w:r>
              <w:rPr>
                <w:rFonts w:ascii="Calibri" w:eastAsia="SimSun" w:hAnsi="Calibri" w:cs="Traditional Arabic"/>
                <w:szCs w:val="24"/>
              </w:rPr>
              <w:tab/>
            </w:r>
            <w:r w:rsidR="00B1725D">
              <w:rPr>
                <w:rFonts w:ascii="Calibri" w:eastAsia="SimSun" w:hAnsi="Calibri" w:cs="Traditional Arabic"/>
                <w:szCs w:val="24"/>
              </w:rPr>
              <w:t>Questions confiées aux commissions d</w:t>
            </w:r>
            <w:r w:rsidR="00432DCC">
              <w:rPr>
                <w:rFonts w:ascii="Calibri" w:eastAsia="SimSun" w:hAnsi="Calibri" w:cs="Traditional Arabic"/>
                <w:szCs w:val="24"/>
              </w:rPr>
              <w:t>'</w:t>
            </w:r>
            <w:r w:rsidR="00B1725D">
              <w:rPr>
                <w:rFonts w:ascii="Calibri" w:eastAsia="SimSun" w:hAnsi="Calibri" w:cs="Traditional Arabic"/>
                <w:szCs w:val="24"/>
              </w:rPr>
              <w:t>études</w:t>
            </w:r>
          </w:p>
          <w:p w:rsidR="00CE66F1" w:rsidRDefault="00380874" w:rsidP="005E0192">
            <w:r>
              <w:rPr>
                <w:rFonts w:ascii="Calibri" w:eastAsia="SimSun" w:hAnsi="Calibri" w:cs="Traditional Arabic"/>
                <w:b/>
                <w:bCs/>
                <w:szCs w:val="24"/>
              </w:rPr>
              <w:t>Résumé:</w:t>
            </w:r>
          </w:p>
          <w:p w:rsidR="00380874" w:rsidRPr="00B1725D" w:rsidRDefault="00B1725D" w:rsidP="005E0192">
            <w:pPr>
              <w:rPr>
                <w:szCs w:val="24"/>
                <w:lang w:val="fr-CH"/>
              </w:rPr>
            </w:pPr>
            <w:r w:rsidRPr="00B1725D">
              <w:rPr>
                <w:szCs w:val="24"/>
                <w:lang w:val="fr-CH"/>
              </w:rPr>
              <w:t xml:space="preserve">On trouvera dans le présent document une version </w:t>
            </w:r>
            <w:r w:rsidR="00EE3CB1">
              <w:rPr>
                <w:szCs w:val="24"/>
                <w:lang w:val="fr-CH"/>
              </w:rPr>
              <w:t xml:space="preserve">révisée de la définition de la </w:t>
            </w:r>
            <w:r w:rsidR="00380874" w:rsidRPr="00B1725D">
              <w:rPr>
                <w:szCs w:val="24"/>
                <w:lang w:val="fr-CH"/>
              </w:rPr>
              <w:t xml:space="preserve">Question 1/1 </w:t>
            </w:r>
            <w:r w:rsidR="00EE3CB1">
              <w:rPr>
                <w:szCs w:val="24"/>
                <w:lang w:val="fr-CH"/>
              </w:rPr>
              <w:t>"</w:t>
            </w:r>
            <w:r>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r w:rsidR="00EE3CB1">
              <w:rPr>
                <w:szCs w:val="24"/>
                <w:lang w:val="fr-CH"/>
              </w:rPr>
              <w:t>"</w:t>
            </w:r>
            <w:r w:rsidR="00380874" w:rsidRPr="00B1725D">
              <w:rPr>
                <w:szCs w:val="24"/>
                <w:lang w:val="fr-CH"/>
              </w:rPr>
              <w:t xml:space="preserve"> </w:t>
            </w:r>
            <w:r>
              <w:rPr>
                <w:szCs w:val="24"/>
                <w:lang w:val="fr-CH"/>
              </w:rPr>
              <w:t>confiée à la Commission d</w:t>
            </w:r>
            <w:r w:rsidR="00432DCC">
              <w:rPr>
                <w:szCs w:val="24"/>
                <w:lang w:val="fr-CH"/>
              </w:rPr>
              <w:t>'</w:t>
            </w:r>
            <w:r>
              <w:rPr>
                <w:szCs w:val="24"/>
                <w:lang w:val="fr-CH"/>
              </w:rPr>
              <w:t>études 1 de l</w:t>
            </w:r>
            <w:r w:rsidR="00432DCC">
              <w:rPr>
                <w:szCs w:val="24"/>
                <w:lang w:val="fr-CH"/>
              </w:rPr>
              <w:t>'</w:t>
            </w:r>
            <w:r w:rsidR="005E0192">
              <w:rPr>
                <w:szCs w:val="24"/>
                <w:lang w:val="fr-CH"/>
              </w:rPr>
              <w:t>UIT-D</w:t>
            </w:r>
            <w:r>
              <w:rPr>
                <w:szCs w:val="24"/>
                <w:lang w:val="fr-CH"/>
              </w:rPr>
              <w:t xml:space="preserve">. </w:t>
            </w:r>
            <w:r w:rsidRPr="00B1725D">
              <w:rPr>
                <w:szCs w:val="24"/>
                <w:lang w:val="fr-CH"/>
              </w:rPr>
              <w:t>Cette version révisée tient compte des résultats des deux enquêtes menées par les commissions d</w:t>
            </w:r>
            <w:r w:rsidR="00432DCC">
              <w:rPr>
                <w:szCs w:val="24"/>
                <w:lang w:val="fr-CH"/>
              </w:rPr>
              <w:t>'</w:t>
            </w:r>
            <w:r w:rsidRPr="00B1725D">
              <w:rPr>
                <w:szCs w:val="24"/>
                <w:lang w:val="fr-CH"/>
              </w:rPr>
              <w:t>études de l</w:t>
            </w:r>
            <w:r w:rsidR="00432DCC">
              <w:rPr>
                <w:szCs w:val="24"/>
                <w:lang w:val="fr-CH"/>
              </w:rPr>
              <w:t>'</w:t>
            </w:r>
            <w:r w:rsidR="005E0192">
              <w:rPr>
                <w:szCs w:val="24"/>
                <w:lang w:val="fr-CH"/>
              </w:rPr>
              <w:t>UIT-</w:t>
            </w:r>
            <w:r>
              <w:rPr>
                <w:szCs w:val="24"/>
                <w:lang w:val="fr-CH"/>
              </w:rPr>
              <w:t>D ainsi que</w:t>
            </w:r>
            <w:r w:rsidR="005E0192">
              <w:rPr>
                <w:szCs w:val="24"/>
                <w:lang w:val="fr-CH"/>
              </w:rPr>
              <w:t xml:space="preserve"> des résultats des travaux du Groupe du R</w:t>
            </w:r>
            <w:r>
              <w:rPr>
                <w:szCs w:val="24"/>
                <w:lang w:val="fr-CH"/>
              </w:rPr>
              <w:t>apporteur chargé de</w:t>
            </w:r>
            <w:r w:rsidR="005E0192">
              <w:rPr>
                <w:szCs w:val="24"/>
                <w:lang w:val="fr-CH"/>
              </w:rPr>
              <w:t xml:space="preserve"> </w:t>
            </w:r>
            <w:r>
              <w:rPr>
                <w:szCs w:val="24"/>
                <w:lang w:val="fr-CH"/>
              </w:rPr>
              <w:t>l</w:t>
            </w:r>
            <w:r w:rsidR="00432DCC">
              <w:rPr>
                <w:szCs w:val="24"/>
                <w:lang w:val="fr-CH"/>
              </w:rPr>
              <w:t>'</w:t>
            </w:r>
            <w:r>
              <w:rPr>
                <w:szCs w:val="24"/>
                <w:lang w:val="fr-CH"/>
              </w:rPr>
              <w:t>étude de cette Question pendant la dernière période d</w:t>
            </w:r>
            <w:r w:rsidR="00432DCC">
              <w:rPr>
                <w:szCs w:val="24"/>
                <w:lang w:val="fr-CH"/>
              </w:rPr>
              <w:t>'</w:t>
            </w:r>
            <w:r>
              <w:rPr>
                <w:szCs w:val="24"/>
                <w:lang w:val="fr-CH"/>
              </w:rPr>
              <w:t>études</w:t>
            </w:r>
            <w:r w:rsidR="005E0192">
              <w:rPr>
                <w:szCs w:val="24"/>
                <w:lang w:val="fr-CH"/>
              </w:rPr>
              <w:t> </w:t>
            </w:r>
            <w:r w:rsidR="00380874" w:rsidRPr="00B1725D">
              <w:rPr>
                <w:szCs w:val="24"/>
                <w:lang w:val="fr-CH"/>
              </w:rPr>
              <w:t>(2014-2017).</w:t>
            </w:r>
          </w:p>
          <w:p w:rsidR="00CE66F1" w:rsidRPr="005E0192" w:rsidRDefault="00380874" w:rsidP="005E0192">
            <w:r w:rsidRPr="005E0192">
              <w:rPr>
                <w:rFonts w:ascii="Calibri" w:eastAsia="SimSun" w:hAnsi="Calibri" w:cs="Traditional Arabic"/>
                <w:b/>
                <w:bCs/>
                <w:szCs w:val="24"/>
              </w:rPr>
              <w:t>Résultats attendus:</w:t>
            </w:r>
          </w:p>
          <w:p w:rsidR="00CE66F1" w:rsidRPr="00B1725D" w:rsidRDefault="00B1725D" w:rsidP="005E0192">
            <w:pPr>
              <w:rPr>
                <w:szCs w:val="24"/>
                <w:lang w:val="fr-CH"/>
              </w:rPr>
            </w:pPr>
            <w:r w:rsidRPr="00B1725D">
              <w:rPr>
                <w:lang w:val="fr-CH"/>
              </w:rPr>
              <w:t xml:space="preserve">La CMDT-17 est invitée à utiliser ce document </w:t>
            </w:r>
            <w:r w:rsidR="005E0192" w:rsidRPr="00B1725D">
              <w:rPr>
                <w:lang w:val="fr-CH"/>
              </w:rPr>
              <w:t>lorsqu</w:t>
            </w:r>
            <w:r w:rsidR="00432DCC">
              <w:rPr>
                <w:lang w:val="fr-CH"/>
              </w:rPr>
              <w:t>'</w:t>
            </w:r>
            <w:r w:rsidR="005E0192">
              <w:rPr>
                <w:lang w:val="fr-CH"/>
              </w:rPr>
              <w:t>elle examinera</w:t>
            </w:r>
            <w:r w:rsidR="005E0192" w:rsidRPr="00B1725D">
              <w:rPr>
                <w:lang w:val="fr-CH"/>
              </w:rPr>
              <w:t xml:space="preserve"> les </w:t>
            </w:r>
            <w:r w:rsidRPr="00B1725D">
              <w:rPr>
                <w:lang w:val="fr-CH"/>
              </w:rPr>
              <w:t>Questions</w:t>
            </w:r>
            <w:r>
              <w:rPr>
                <w:lang w:val="fr-CH"/>
              </w:rPr>
              <w:t xml:space="preserve"> confiées aux commissions d</w:t>
            </w:r>
            <w:r w:rsidR="00432DCC">
              <w:rPr>
                <w:lang w:val="fr-CH"/>
              </w:rPr>
              <w:t>'</w:t>
            </w:r>
            <w:r>
              <w:rPr>
                <w:lang w:val="fr-CH"/>
              </w:rPr>
              <w:t>études</w:t>
            </w:r>
            <w:r w:rsidR="005E0192">
              <w:rPr>
                <w:lang w:val="fr-CH"/>
              </w:rPr>
              <w:t>.</w:t>
            </w:r>
          </w:p>
          <w:p w:rsidR="00CE66F1" w:rsidRPr="005E0192" w:rsidRDefault="00380874" w:rsidP="005E0192">
            <w:r w:rsidRPr="005E0192">
              <w:rPr>
                <w:rFonts w:ascii="Calibri" w:eastAsia="SimSun" w:hAnsi="Calibri" w:cs="Traditional Arabic"/>
                <w:b/>
                <w:bCs/>
                <w:szCs w:val="24"/>
              </w:rPr>
              <w:t>Références:</w:t>
            </w:r>
          </w:p>
          <w:p w:rsidR="00CE66F1" w:rsidRPr="00B1725D" w:rsidRDefault="00D441FB" w:rsidP="005E0192">
            <w:pPr>
              <w:spacing w:after="120"/>
              <w:rPr>
                <w:szCs w:val="24"/>
                <w:lang w:val="fr-CH"/>
              </w:rPr>
            </w:pPr>
            <w:hyperlink r:id="rId12" w:history="1">
              <w:r w:rsidR="00380874" w:rsidRPr="00B1725D">
                <w:rPr>
                  <w:rStyle w:val="Hyperlink"/>
                  <w:szCs w:val="24"/>
                  <w:lang w:val="fr-CH"/>
                </w:rPr>
                <w:t>WTDC17/6</w:t>
              </w:r>
            </w:hyperlink>
            <w:r w:rsidR="00380874" w:rsidRPr="00B1725D">
              <w:rPr>
                <w:bCs/>
                <w:szCs w:val="24"/>
                <w:lang w:val="fr-CH"/>
              </w:rPr>
              <w:t xml:space="preserve"> (BDT)</w:t>
            </w:r>
            <w:r w:rsidR="00380874" w:rsidRPr="00CE1131">
              <w:rPr>
                <w:szCs w:val="24"/>
                <w:lang w:val="fr-CH"/>
              </w:rPr>
              <w:t xml:space="preserve">, </w:t>
            </w:r>
            <w:hyperlink r:id="rId13" w:history="1">
              <w:r w:rsidR="00380874" w:rsidRPr="00B1725D">
                <w:rPr>
                  <w:rStyle w:val="Hyperlink"/>
                  <w:lang w:val="fr-CH"/>
                </w:rPr>
                <w:t>1/REP/40</w:t>
              </w:r>
            </w:hyperlink>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432DCC">
              <w:rPr>
                <w:lang w:val="fr-CH"/>
              </w:rPr>
              <w:t>'</w:t>
            </w:r>
            <w:r w:rsidR="00CE1131">
              <w:rPr>
                <w:lang w:val="fr-CH"/>
              </w:rPr>
              <w:t>UIT</w:t>
            </w:r>
            <w:r w:rsidR="00B1725D" w:rsidRPr="00B1725D">
              <w:rPr>
                <w:lang w:val="fr-CH"/>
              </w:rPr>
              <w:t>-D</w:t>
            </w:r>
            <w:r w:rsidR="00380874" w:rsidRPr="00B1725D">
              <w:rPr>
                <w:lang w:val="fr-CH"/>
              </w:rPr>
              <w:t xml:space="preserve">), </w:t>
            </w:r>
            <w:hyperlink r:id="rId14" w:history="1">
              <w:r w:rsidR="00380874" w:rsidRPr="00B1725D">
                <w:rPr>
                  <w:rStyle w:val="Hyperlink"/>
                  <w:lang w:val="fr-CH"/>
                </w:rPr>
                <w:t>TDAG17-22/13</w:t>
              </w:r>
            </w:hyperlink>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432DCC">
              <w:rPr>
                <w:lang w:val="fr-CH"/>
              </w:rPr>
              <w:t>'</w:t>
            </w:r>
            <w:r w:rsidR="00CE1131">
              <w:rPr>
                <w:lang w:val="fr-CH"/>
              </w:rPr>
              <w:t>UIT</w:t>
            </w:r>
            <w:r w:rsidR="00B1725D" w:rsidRPr="00B1725D">
              <w:rPr>
                <w:lang w:val="fr-CH"/>
              </w:rPr>
              <w:t>-D</w:t>
            </w:r>
            <w:r w:rsidR="00380874" w:rsidRPr="00B1725D">
              <w:rPr>
                <w:lang w:val="fr-CH"/>
              </w:rPr>
              <w:t>)</w:t>
            </w:r>
          </w:p>
        </w:tc>
      </w:tr>
    </w:tbl>
    <w:p w:rsidR="00E71FC7" w:rsidRPr="00B1725D" w:rsidRDefault="00E71FC7" w:rsidP="005E0192">
      <w:pPr>
        <w:rPr>
          <w:lang w:val="fr-CH"/>
        </w:rPr>
      </w:pPr>
      <w:bookmarkStart w:id="8" w:name="dbreak"/>
      <w:bookmarkEnd w:id="6"/>
      <w:bookmarkEnd w:id="8"/>
    </w:p>
    <w:p w:rsidR="00E71FC7" w:rsidRPr="00B1725D" w:rsidRDefault="00E71FC7" w:rsidP="005E019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B1725D">
        <w:rPr>
          <w:lang w:val="fr-CH"/>
        </w:rPr>
        <w:br w:type="page"/>
      </w:r>
    </w:p>
    <w:p w:rsidR="00450EFA" w:rsidRPr="00EC778E" w:rsidRDefault="00380874" w:rsidP="005E0192">
      <w:pPr>
        <w:pStyle w:val="Sectiontitle"/>
        <w:rPr>
          <w:lang w:val="fr-CH"/>
        </w:rPr>
      </w:pPr>
      <w:bookmarkStart w:id="9" w:name="_Toc401906857"/>
      <w:r w:rsidRPr="00EC778E">
        <w:rPr>
          <w:lang w:val="fr-CH"/>
        </w:rPr>
        <w:lastRenderedPageBreak/>
        <w:t>COMMISSION D</w:t>
      </w:r>
      <w:r w:rsidR="00432DCC">
        <w:rPr>
          <w:lang w:val="fr-CH"/>
        </w:rPr>
        <w:t>'</w:t>
      </w:r>
      <w:r w:rsidRPr="00EC778E">
        <w:rPr>
          <w:lang w:val="fr-CH"/>
        </w:rPr>
        <w:t>ÉTUDES 1</w:t>
      </w:r>
      <w:bookmarkEnd w:id="9"/>
    </w:p>
    <w:p w:rsidR="00450EFA" w:rsidRPr="00F36300" w:rsidRDefault="00380874" w:rsidP="005E0192">
      <w:pPr>
        <w:pStyle w:val="QuestionNo"/>
      </w:pPr>
      <w:bookmarkStart w:id="10" w:name="_Toc394060887"/>
      <w:bookmarkStart w:id="11" w:name="_Toc401906858"/>
      <w:r w:rsidRPr="00F36300">
        <w:rPr>
          <w:caps w:val="0"/>
        </w:rPr>
        <w:t>QUESTION 1/1</w:t>
      </w:r>
      <w:bookmarkEnd w:id="10"/>
      <w:bookmarkEnd w:id="11"/>
    </w:p>
    <w:p w:rsidR="00450EFA" w:rsidRPr="00F36300" w:rsidRDefault="00380874" w:rsidP="00EE3CB1">
      <w:pPr>
        <w:pStyle w:val="Questiontitle"/>
      </w:pPr>
      <w:bookmarkStart w:id="12" w:name="_Toc401906859"/>
      <w:r w:rsidRPr="00F36300">
        <w:t xml:space="preserve">Aspects </w:t>
      </w:r>
      <w:r w:rsidRPr="00200F40">
        <w:rPr>
          <w:lang w:val="fr-CH"/>
        </w:rPr>
        <w:t xml:space="preserve">politiques, réglementaires et techniques </w:t>
      </w:r>
      <w:r>
        <w:rPr>
          <w:lang w:val="fr-CH"/>
        </w:rPr>
        <w:t>liés au</w:t>
      </w:r>
      <w:r w:rsidRPr="00F36300">
        <w:t xml:space="preserve"> passage des réseaux existants aux réseaux large bande dans les pays en développement,</w:t>
      </w:r>
      <w:r w:rsidR="00EE3CB1">
        <w:t xml:space="preserve"> </w:t>
      </w:r>
      <w:r>
        <w:br/>
      </w:r>
      <w:r w:rsidRPr="00F36300">
        <w:t>y compris les réseaux de prochaine génération, les services mobiles</w:t>
      </w:r>
      <w:r w:rsidR="00EE3CB1">
        <w:t xml:space="preserve">, </w:t>
      </w:r>
      <w:r>
        <w:br/>
      </w:r>
      <w:r w:rsidRPr="00F36300">
        <w:t>les services over-the-top (OTT) et la mise en oeuvre du</w:t>
      </w:r>
      <w:r>
        <w:br/>
      </w:r>
      <w:r w:rsidRPr="00F36300">
        <w:t>protocole IPv6</w:t>
      </w:r>
      <w:bookmarkEnd w:id="12"/>
    </w:p>
    <w:p w:rsidR="00450EFA" w:rsidRPr="00EC778E" w:rsidRDefault="00380874" w:rsidP="005E0192">
      <w:pPr>
        <w:pStyle w:val="Heading1"/>
        <w:rPr>
          <w:lang w:val="fr-CH"/>
        </w:rPr>
      </w:pPr>
      <w:r w:rsidRPr="00EC778E">
        <w:rPr>
          <w:lang w:val="fr-CH"/>
        </w:rPr>
        <w:t>1</w:t>
      </w:r>
      <w:r w:rsidRPr="00EC778E">
        <w:rPr>
          <w:lang w:val="fr-CH"/>
        </w:rPr>
        <w:tab/>
        <w:t>Exposé de la situation ou du problème</w:t>
      </w:r>
    </w:p>
    <w:p w:rsidR="00FA3E35" w:rsidRPr="00432DCC" w:rsidRDefault="00B1725D">
      <w:pPr>
        <w:rPr>
          <w:szCs w:val="24"/>
          <w:lang w:val="fr-CH"/>
        </w:rPr>
      </w:pPr>
      <w:r w:rsidRPr="00432DCC">
        <w:rPr>
          <w:szCs w:val="24"/>
          <w:lang w:val="fr-CH"/>
        </w:rPr>
        <w:t xml:space="preserve">En septembre 2015, les </w:t>
      </w:r>
      <w:r w:rsidR="00CE1131">
        <w:rPr>
          <w:szCs w:val="24"/>
          <w:lang w:val="fr-CH"/>
        </w:rPr>
        <w:t>E</w:t>
      </w:r>
      <w:r w:rsidRPr="00432DCC">
        <w:rPr>
          <w:szCs w:val="24"/>
          <w:lang w:val="fr-CH"/>
        </w:rPr>
        <w:t>tats Membres de l</w:t>
      </w:r>
      <w:r w:rsidR="00432DCC">
        <w:rPr>
          <w:szCs w:val="24"/>
          <w:lang w:val="fr-CH"/>
        </w:rPr>
        <w:t>'</w:t>
      </w:r>
      <w:r w:rsidRPr="00432DCC">
        <w:rPr>
          <w:szCs w:val="24"/>
          <w:lang w:val="fr-CH"/>
        </w:rPr>
        <w:t>ONU et l</w:t>
      </w:r>
      <w:r w:rsidR="00432DCC">
        <w:rPr>
          <w:szCs w:val="24"/>
          <w:lang w:val="fr-CH"/>
        </w:rPr>
        <w:t>'</w:t>
      </w:r>
      <w:r w:rsidRPr="00432DCC">
        <w:rPr>
          <w:szCs w:val="24"/>
          <w:lang w:val="fr-CH"/>
        </w:rPr>
        <w:t>Assemblée générale des Nations Unies</w:t>
      </w:r>
      <w:r>
        <w:rPr>
          <w:szCs w:val="24"/>
          <w:lang w:val="fr-CH"/>
        </w:rPr>
        <w:t xml:space="preserve"> ont officiellement approuvé les</w:t>
      </w:r>
      <w:r w:rsidRPr="00432DCC">
        <w:rPr>
          <w:szCs w:val="24"/>
          <w:lang w:val="fr-CH"/>
        </w:rPr>
        <w:t xml:space="preserve"> </w:t>
      </w:r>
      <w:r>
        <w:rPr>
          <w:color w:val="000000"/>
        </w:rPr>
        <w:t>Objectifs de développement durable (ODD)</w:t>
      </w:r>
      <w:r w:rsidRPr="00B1725D" w:rsidDel="00B1725D">
        <w:rPr>
          <w:szCs w:val="24"/>
          <w:lang w:val="fr-CH"/>
        </w:rPr>
        <w:t xml:space="preserve"> </w:t>
      </w:r>
      <w:r w:rsidR="00012339">
        <w:rPr>
          <w:szCs w:val="24"/>
          <w:lang w:val="fr-CH"/>
        </w:rPr>
        <w:t xml:space="preserve">et </w:t>
      </w:r>
      <w:r w:rsidR="005E0192">
        <w:rPr>
          <w:szCs w:val="24"/>
          <w:lang w:val="fr-CH"/>
        </w:rPr>
        <w:t xml:space="preserve">ont </w:t>
      </w:r>
      <w:r w:rsidR="00012339">
        <w:rPr>
          <w:szCs w:val="24"/>
          <w:lang w:val="fr-CH"/>
        </w:rPr>
        <w:t>élaboré un programme mondial de développement fondé sur la prospérité économique,</w:t>
      </w:r>
      <w:r w:rsidR="005E0192">
        <w:rPr>
          <w:szCs w:val="24"/>
          <w:lang w:val="fr-CH"/>
        </w:rPr>
        <w:t xml:space="preserve"> </w:t>
      </w:r>
      <w:r w:rsidR="00012339">
        <w:rPr>
          <w:color w:val="000000"/>
        </w:rPr>
        <w:t>l</w:t>
      </w:r>
      <w:r w:rsidR="00432DCC">
        <w:rPr>
          <w:color w:val="000000"/>
        </w:rPr>
        <w:t>'</w:t>
      </w:r>
      <w:r>
        <w:rPr>
          <w:color w:val="000000"/>
        </w:rPr>
        <w:t>intégration sociale et</w:t>
      </w:r>
      <w:r w:rsidR="00012339" w:rsidRPr="00012339">
        <w:rPr>
          <w:color w:val="000000"/>
        </w:rPr>
        <w:t xml:space="preserve"> </w:t>
      </w:r>
      <w:r w:rsidR="00012339">
        <w:rPr>
          <w:color w:val="000000"/>
        </w:rPr>
        <w:t>l</w:t>
      </w:r>
      <w:r w:rsidR="00432DCC">
        <w:rPr>
          <w:color w:val="000000"/>
        </w:rPr>
        <w:t>'</w:t>
      </w:r>
      <w:r w:rsidR="00012339">
        <w:rPr>
          <w:color w:val="000000"/>
        </w:rPr>
        <w:t xml:space="preserve">environnement durable, appelé </w:t>
      </w:r>
      <w:r w:rsidR="005E0192">
        <w:rPr>
          <w:color w:val="000000"/>
        </w:rPr>
        <w:t>"</w:t>
      </w:r>
      <w:r w:rsidR="00012339">
        <w:rPr>
          <w:color w:val="000000"/>
        </w:rPr>
        <w:t>Programme de développement durable à l</w:t>
      </w:r>
      <w:r w:rsidR="00432DCC">
        <w:rPr>
          <w:color w:val="000000"/>
        </w:rPr>
        <w:t>'</w:t>
      </w:r>
      <w:r w:rsidR="00012339">
        <w:rPr>
          <w:color w:val="000000"/>
        </w:rPr>
        <w:t>horizon 2030</w:t>
      </w:r>
      <w:r w:rsidR="005E0192">
        <w:rPr>
          <w:color w:val="000000"/>
        </w:rPr>
        <w:t>".</w:t>
      </w:r>
    </w:p>
    <w:p w:rsidR="00FA3E35" w:rsidRPr="00432DCC" w:rsidRDefault="00012339">
      <w:pPr>
        <w:rPr>
          <w:szCs w:val="24"/>
          <w:lang w:val="fr-CH"/>
        </w:rPr>
      </w:pPr>
      <w:r>
        <w:rPr>
          <w:color w:val="000000"/>
        </w:rPr>
        <w:t xml:space="preserve">Le large bande et les TIC offrent </w:t>
      </w:r>
      <w:r w:rsidR="0053496A">
        <w:rPr>
          <w:color w:val="000000"/>
        </w:rPr>
        <w:t>une</w:t>
      </w:r>
      <w:r>
        <w:rPr>
          <w:color w:val="000000"/>
        </w:rPr>
        <w:t xml:space="preserve"> possibilité unique d</w:t>
      </w:r>
      <w:r w:rsidR="00432DCC">
        <w:rPr>
          <w:color w:val="000000"/>
        </w:rPr>
        <w:t>'</w:t>
      </w:r>
      <w:r>
        <w:rPr>
          <w:color w:val="000000"/>
        </w:rPr>
        <w:t>aider les pays à atteindre les ODD</w:t>
      </w:r>
      <w:r w:rsidRPr="00012339">
        <w:rPr>
          <w:color w:val="000000"/>
        </w:rPr>
        <w:t xml:space="preserve"> </w:t>
      </w:r>
      <w:r>
        <w:rPr>
          <w:color w:val="000000"/>
        </w:rPr>
        <w:t>à l</w:t>
      </w:r>
      <w:r w:rsidR="00432DCC">
        <w:rPr>
          <w:color w:val="000000"/>
        </w:rPr>
        <w:t>'</w:t>
      </w:r>
      <w:r>
        <w:rPr>
          <w:color w:val="000000"/>
        </w:rPr>
        <w:t>horizon 2030</w:t>
      </w:r>
      <w:r w:rsidR="0053496A">
        <w:rPr>
          <w:color w:val="000000"/>
        </w:rPr>
        <w:t xml:space="preserve">. </w:t>
      </w:r>
      <w:r w:rsidR="0053496A" w:rsidRPr="0053496A">
        <w:rPr>
          <w:color w:val="000000"/>
          <w:lang w:val="fr-CH"/>
        </w:rPr>
        <w:t xml:space="preserve">Cependant, pour </w:t>
      </w:r>
      <w:r w:rsidR="005E0192">
        <w:rPr>
          <w:color w:val="000000"/>
          <w:lang w:val="fr-CH"/>
        </w:rPr>
        <w:t xml:space="preserve">y </w:t>
      </w:r>
      <w:r w:rsidR="0053496A" w:rsidRPr="0053496A">
        <w:rPr>
          <w:color w:val="000000"/>
          <w:lang w:val="fr-CH"/>
        </w:rPr>
        <w:t>parvenir,</w:t>
      </w:r>
      <w:r w:rsidR="005E0192">
        <w:rPr>
          <w:color w:val="000000"/>
          <w:lang w:val="fr-CH"/>
        </w:rPr>
        <w:t xml:space="preserve"> </w:t>
      </w:r>
      <w:r w:rsidR="0053496A" w:rsidRPr="0053496A">
        <w:rPr>
          <w:szCs w:val="24"/>
          <w:lang w:val="fr-CH"/>
        </w:rPr>
        <w:t xml:space="preserve">un certain nombre de conditions générales essentielles </w:t>
      </w:r>
      <w:r w:rsidR="0053496A">
        <w:rPr>
          <w:szCs w:val="24"/>
          <w:lang w:val="fr-CH"/>
        </w:rPr>
        <w:t xml:space="preserve">doivent </w:t>
      </w:r>
      <w:r w:rsidR="0053496A" w:rsidRPr="0053496A">
        <w:rPr>
          <w:szCs w:val="24"/>
          <w:lang w:val="fr-CH"/>
        </w:rPr>
        <w:t xml:space="preserve">être </w:t>
      </w:r>
      <w:r w:rsidR="0053496A">
        <w:rPr>
          <w:szCs w:val="24"/>
          <w:lang w:val="fr-CH"/>
        </w:rPr>
        <w:t>réunies. D</w:t>
      </w:r>
      <w:r w:rsidR="00432DCC">
        <w:rPr>
          <w:szCs w:val="24"/>
          <w:lang w:val="fr-CH"/>
        </w:rPr>
        <w:t>'</w:t>
      </w:r>
      <w:r w:rsidR="0053496A">
        <w:rPr>
          <w:szCs w:val="24"/>
          <w:lang w:val="fr-CH"/>
        </w:rPr>
        <w:t>après les dernières estimations de l</w:t>
      </w:r>
      <w:r w:rsidR="00432DCC">
        <w:rPr>
          <w:szCs w:val="24"/>
          <w:lang w:val="fr-CH"/>
        </w:rPr>
        <w:t>'</w:t>
      </w:r>
      <w:r w:rsidR="0053496A">
        <w:rPr>
          <w:szCs w:val="24"/>
          <w:lang w:val="fr-CH"/>
        </w:rPr>
        <w:t xml:space="preserve">UIT, </w:t>
      </w:r>
      <w:r w:rsidR="0053496A" w:rsidRPr="00432DCC">
        <w:rPr>
          <w:color w:val="000000"/>
          <w:lang w:val="fr-CH"/>
        </w:rPr>
        <w:t>3,</w:t>
      </w:r>
      <w:r w:rsidR="0053496A">
        <w:rPr>
          <w:color w:val="000000"/>
          <w:lang w:val="fr-CH"/>
        </w:rPr>
        <w:t xml:space="preserve">5 </w:t>
      </w:r>
      <w:r w:rsidR="0053496A" w:rsidRPr="00432DCC">
        <w:rPr>
          <w:color w:val="000000"/>
          <w:lang w:val="fr-CH"/>
        </w:rPr>
        <w:t>milliards de personnes</w:t>
      </w:r>
      <w:r w:rsidR="0053496A">
        <w:rPr>
          <w:color w:val="000000"/>
          <w:lang w:val="fr-CH"/>
        </w:rPr>
        <w:t xml:space="preserve"> seront connectées</w:t>
      </w:r>
      <w:r w:rsidR="00FA3E35" w:rsidRPr="00432DCC">
        <w:rPr>
          <w:szCs w:val="24"/>
          <w:lang w:val="fr-CH"/>
        </w:rPr>
        <w:t xml:space="preserve"> </w:t>
      </w:r>
      <w:r w:rsidRPr="00432DCC">
        <w:rPr>
          <w:color w:val="000000"/>
          <w:lang w:val="fr-CH"/>
        </w:rPr>
        <w:t>à la fin de 2016</w:t>
      </w:r>
      <w:r w:rsidR="005E0192">
        <w:rPr>
          <w:color w:val="000000"/>
          <w:lang w:val="fr-CH"/>
        </w:rPr>
        <w:t xml:space="preserve">, </w:t>
      </w:r>
      <w:r w:rsidR="0053496A">
        <w:rPr>
          <w:szCs w:val="24"/>
          <w:lang w:val="fr-CH"/>
        </w:rPr>
        <w:t>mais plus</w:t>
      </w:r>
      <w:r w:rsidRPr="00432DCC">
        <w:rPr>
          <w:color w:val="000000"/>
          <w:lang w:val="fr-CH"/>
        </w:rPr>
        <w:t xml:space="preserve"> de la moitié de la population mondiale</w:t>
      </w:r>
      <w:r w:rsidR="005E0192">
        <w:rPr>
          <w:color w:val="000000"/>
          <w:lang w:val="fr-CH"/>
        </w:rPr>
        <w:t xml:space="preserve"> (</w:t>
      </w:r>
      <w:r w:rsidRPr="00432DCC">
        <w:rPr>
          <w:color w:val="000000"/>
          <w:lang w:val="fr-CH"/>
        </w:rPr>
        <w:t>soit 3,9 milliards de personnes) ne sera toujours pas connectée et ne sera toujours pas en mesure</w:t>
      </w:r>
      <w:r w:rsidR="005E0192">
        <w:rPr>
          <w:color w:val="000000"/>
          <w:lang w:val="fr-CH"/>
        </w:rPr>
        <w:t> </w:t>
      </w:r>
      <w:r w:rsidR="005E0192" w:rsidRPr="005E0192">
        <w:rPr>
          <w:color w:val="000000"/>
          <w:lang w:val="fr-CH"/>
        </w:rPr>
        <w:t>–</w:t>
      </w:r>
      <w:r w:rsidR="005E0192">
        <w:rPr>
          <w:color w:val="000000"/>
          <w:lang w:val="fr-CH"/>
        </w:rPr>
        <w:t xml:space="preserve"> </w:t>
      </w:r>
      <w:r w:rsidRPr="00432DCC">
        <w:rPr>
          <w:color w:val="000000"/>
          <w:lang w:val="fr-CH"/>
        </w:rPr>
        <w:t>si tant est qu</w:t>
      </w:r>
      <w:r w:rsidR="00432DCC">
        <w:rPr>
          <w:color w:val="000000"/>
          <w:lang w:val="fr-CH"/>
        </w:rPr>
        <w:t>'</w:t>
      </w:r>
      <w:r w:rsidRPr="00432DCC">
        <w:rPr>
          <w:color w:val="000000"/>
          <w:lang w:val="fr-CH"/>
        </w:rPr>
        <w:t>elle</w:t>
      </w:r>
      <w:r w:rsidR="0053496A">
        <w:rPr>
          <w:color w:val="000000"/>
          <w:lang w:val="fr-CH"/>
        </w:rPr>
        <w:t xml:space="preserve"> </w:t>
      </w:r>
      <w:r w:rsidRPr="00432DCC">
        <w:rPr>
          <w:color w:val="000000"/>
          <w:lang w:val="fr-CH"/>
        </w:rPr>
        <w:t>le soit</w:t>
      </w:r>
      <w:r w:rsidR="005E0192">
        <w:rPr>
          <w:color w:val="000000"/>
          <w:lang w:val="fr-CH"/>
        </w:rPr>
        <w:t xml:space="preserve"> </w:t>
      </w:r>
      <w:r w:rsidR="005E0192" w:rsidRPr="005E0192">
        <w:rPr>
          <w:color w:val="000000"/>
          <w:lang w:val="fr-CH"/>
        </w:rPr>
        <w:t>–</w:t>
      </w:r>
      <w:r w:rsidR="005E0192">
        <w:rPr>
          <w:color w:val="000000"/>
          <w:lang w:val="fr-CH"/>
        </w:rPr>
        <w:t xml:space="preserve"> </w:t>
      </w:r>
      <w:r w:rsidRPr="00432DCC">
        <w:rPr>
          <w:color w:val="000000"/>
          <w:lang w:val="fr-CH"/>
        </w:rPr>
        <w:t>de se connecter régulièrement</w:t>
      </w:r>
      <w:r w:rsidR="005E0192">
        <w:rPr>
          <w:color w:val="000000"/>
          <w:lang w:val="fr-CH"/>
        </w:rPr>
        <w:t xml:space="preserve">. </w:t>
      </w:r>
      <w:r w:rsidR="0053496A">
        <w:rPr>
          <w:szCs w:val="24"/>
          <w:lang w:val="fr-CH"/>
        </w:rPr>
        <w:t xml:space="preserve">Or, </w:t>
      </w:r>
      <w:r w:rsidR="0053496A">
        <w:rPr>
          <w:color w:val="000000"/>
        </w:rPr>
        <w:t>d</w:t>
      </w:r>
      <w:r>
        <w:rPr>
          <w:color w:val="000000"/>
        </w:rPr>
        <w:t>ans les 48 pays désignés par l</w:t>
      </w:r>
      <w:r w:rsidR="00432DCC">
        <w:rPr>
          <w:color w:val="000000"/>
        </w:rPr>
        <w:t>'</w:t>
      </w:r>
      <w:r>
        <w:rPr>
          <w:color w:val="000000"/>
        </w:rPr>
        <w:t>ONU comme étant les pays les moins avancés (PMA)</w:t>
      </w:r>
      <w:r w:rsidR="0053496A">
        <w:rPr>
          <w:color w:val="000000"/>
        </w:rPr>
        <w:t>, seule une personne sur sept environ est connectée</w:t>
      </w:r>
      <w:r w:rsidR="00DC05C8">
        <w:rPr>
          <w:color w:val="000000"/>
        </w:rPr>
        <w:t xml:space="preserve">. </w:t>
      </w:r>
      <w:r w:rsidR="00DC05C8" w:rsidRPr="00432DCC">
        <w:rPr>
          <w:color w:val="000000"/>
          <w:lang w:val="fr-CH"/>
        </w:rPr>
        <w:t xml:space="preserve">Faire en sorte que la connectivité de base </w:t>
      </w:r>
      <w:r w:rsidR="00DC05C8">
        <w:rPr>
          <w:color w:val="000000"/>
          <w:lang w:val="fr-CH"/>
        </w:rPr>
        <w:t>ne soi</w:t>
      </w:r>
      <w:r w:rsidR="00DC05C8" w:rsidRPr="00432DCC">
        <w:rPr>
          <w:color w:val="000000"/>
          <w:lang w:val="fr-CH"/>
        </w:rPr>
        <w:t>t plus assuré</w:t>
      </w:r>
      <w:r w:rsidR="00DC05C8">
        <w:rPr>
          <w:color w:val="000000"/>
          <w:lang w:val="fr-CH"/>
        </w:rPr>
        <w:t>e</w:t>
      </w:r>
      <w:r w:rsidR="00DC05C8" w:rsidRPr="00432DCC">
        <w:rPr>
          <w:color w:val="000000"/>
          <w:lang w:val="fr-CH"/>
        </w:rPr>
        <w:t xml:space="preserve"> uniquement dans les grands centres urbains, mais aussi dans les zones plus isolées</w:t>
      </w:r>
      <w:r w:rsidR="00DC05C8">
        <w:rPr>
          <w:color w:val="000000"/>
          <w:lang w:val="fr-CH"/>
        </w:rPr>
        <w:t xml:space="preserve">, demeure un défi </w:t>
      </w:r>
      <w:r w:rsidR="005E0192">
        <w:rPr>
          <w:color w:val="000000"/>
          <w:lang w:val="fr-CH"/>
        </w:rPr>
        <w:t>majeur</w:t>
      </w:r>
      <w:r w:rsidR="00DC05C8">
        <w:rPr>
          <w:color w:val="000000"/>
          <w:lang w:val="fr-CH"/>
        </w:rPr>
        <w:t xml:space="preserve">. Même </w:t>
      </w:r>
      <w:r w:rsidR="005E0192">
        <w:rPr>
          <w:color w:val="000000"/>
          <w:lang w:val="fr-CH"/>
        </w:rPr>
        <w:t>lorsq</w:t>
      </w:r>
      <w:r w:rsidR="009D5BE2">
        <w:rPr>
          <w:color w:val="000000"/>
          <w:lang w:val="fr-CH"/>
        </w:rPr>
        <w:t>u</w:t>
      </w:r>
      <w:r w:rsidR="00432DCC">
        <w:rPr>
          <w:color w:val="000000"/>
          <w:lang w:val="fr-CH"/>
        </w:rPr>
        <w:t>'</w:t>
      </w:r>
      <w:r w:rsidR="00DC05C8">
        <w:rPr>
          <w:color w:val="000000"/>
          <w:lang w:val="fr-CH"/>
        </w:rPr>
        <w:t xml:space="preserve">un accès à </w:t>
      </w:r>
      <w:r w:rsidR="009D5BE2">
        <w:rPr>
          <w:color w:val="000000"/>
          <w:lang w:val="fr-CH"/>
        </w:rPr>
        <w:t>l</w:t>
      </w:r>
      <w:r w:rsidR="00432DCC">
        <w:rPr>
          <w:color w:val="000000"/>
          <w:lang w:val="fr-CH"/>
        </w:rPr>
        <w:t>'</w:t>
      </w:r>
      <w:r w:rsidR="00DC05C8">
        <w:rPr>
          <w:color w:val="000000"/>
          <w:lang w:val="fr-CH"/>
        </w:rPr>
        <w:t xml:space="preserve">Internet est assuré, il faut que cet accès aille de pair avec la fourniture de divers services et contenus </w:t>
      </w:r>
      <w:r w:rsidR="009D5BE2">
        <w:rPr>
          <w:color w:val="000000"/>
          <w:lang w:val="fr-CH"/>
        </w:rPr>
        <w:t>qui permettent d</w:t>
      </w:r>
      <w:r w:rsidR="00432DCC">
        <w:rPr>
          <w:color w:val="000000"/>
          <w:lang w:val="fr-CH"/>
        </w:rPr>
        <w:t>'</w:t>
      </w:r>
      <w:r w:rsidR="00DC05C8">
        <w:rPr>
          <w:color w:val="000000"/>
          <w:lang w:val="fr-CH"/>
        </w:rPr>
        <w:t>améliorer</w:t>
      </w:r>
      <w:r w:rsidR="0053496A" w:rsidRPr="00432DCC">
        <w:rPr>
          <w:color w:val="000000"/>
          <w:lang w:val="fr-CH"/>
        </w:rPr>
        <w:t xml:space="preserve"> </w:t>
      </w:r>
      <w:r w:rsidR="003979CF">
        <w:rPr>
          <w:color w:val="000000"/>
          <w:lang w:val="fr-CH"/>
        </w:rPr>
        <w:t>la</w:t>
      </w:r>
      <w:r w:rsidR="009D5BE2">
        <w:rPr>
          <w:color w:val="000000"/>
          <w:lang w:val="fr-CH"/>
        </w:rPr>
        <w:t xml:space="preserve"> sensibilisation</w:t>
      </w:r>
      <w:r w:rsidR="003979CF">
        <w:rPr>
          <w:color w:val="000000"/>
          <w:lang w:val="fr-CH"/>
        </w:rPr>
        <w:t xml:space="preserve">, </w:t>
      </w:r>
      <w:r w:rsidR="009D5BE2">
        <w:rPr>
          <w:color w:val="000000"/>
          <w:lang w:val="fr-CH"/>
        </w:rPr>
        <w:t>l</w:t>
      </w:r>
      <w:r w:rsidR="00432DCC">
        <w:rPr>
          <w:color w:val="000000"/>
          <w:lang w:val="fr-CH"/>
        </w:rPr>
        <w:t>'</w:t>
      </w:r>
      <w:r w:rsidR="003979CF">
        <w:rPr>
          <w:color w:val="000000"/>
          <w:lang w:val="fr-CH"/>
        </w:rPr>
        <w:t>éducation et la santé des personnes,</w:t>
      </w:r>
      <w:r w:rsidR="0053496A" w:rsidRPr="00432DCC">
        <w:rPr>
          <w:color w:val="000000"/>
          <w:lang w:val="fr-CH"/>
        </w:rPr>
        <w:t xml:space="preserve"> </w:t>
      </w:r>
      <w:r w:rsidR="009D5BE2">
        <w:rPr>
          <w:color w:val="000000"/>
          <w:lang w:val="fr-CH"/>
        </w:rPr>
        <w:t xml:space="preserve">et avec des </w:t>
      </w:r>
      <w:r w:rsidR="003979CF">
        <w:rPr>
          <w:color w:val="000000"/>
        </w:rPr>
        <w:t>résultats dans le domaine du développement en matière de santé et d</w:t>
      </w:r>
      <w:r w:rsidR="00432DCC">
        <w:rPr>
          <w:color w:val="000000"/>
        </w:rPr>
        <w:t>'</w:t>
      </w:r>
      <w:r w:rsidR="003979CF">
        <w:rPr>
          <w:color w:val="000000"/>
        </w:rPr>
        <w:t>éducation au niveau national</w:t>
      </w:r>
      <w:r w:rsidR="009D5BE2">
        <w:rPr>
          <w:color w:val="000000"/>
        </w:rPr>
        <w:t>.</w:t>
      </w:r>
    </w:p>
    <w:p w:rsidR="00450EFA" w:rsidRPr="00140EB3" w:rsidRDefault="00380874">
      <w:pPr>
        <w:rPr>
          <w:lang w:val="fr-CH"/>
        </w:rPr>
      </w:pPr>
      <w:r w:rsidRPr="00140EB3">
        <w:rPr>
          <w:lang w:val="fr-CH"/>
        </w:rPr>
        <w:t>L</w:t>
      </w:r>
      <w:r w:rsidR="00432DCC">
        <w:rPr>
          <w:lang w:val="fr-CH"/>
        </w:rPr>
        <w:t>'</w:t>
      </w:r>
      <w:r w:rsidRPr="00140EB3">
        <w:rPr>
          <w:lang w:val="fr-CH"/>
        </w:rPr>
        <w:t>UIT-D, avec la participation active des Etats Membres et des Membres de Secteur, devrait s</w:t>
      </w:r>
      <w:r w:rsidR="00432DCC">
        <w:rPr>
          <w:lang w:val="fr-CH"/>
        </w:rPr>
        <w:t>'</w:t>
      </w:r>
      <w:r w:rsidRPr="00140EB3">
        <w:rPr>
          <w:lang w:val="fr-CH"/>
        </w:rPr>
        <w:t>efforcer d</w:t>
      </w:r>
      <w:r w:rsidR="00432DCC">
        <w:rPr>
          <w:lang w:val="fr-CH"/>
        </w:rPr>
        <w:t>'</w:t>
      </w:r>
      <w:r w:rsidRPr="00140EB3">
        <w:rPr>
          <w:lang w:val="fr-CH"/>
        </w:rPr>
        <w:t>améliorer la disponibilité de services large bande financièrement abordables, en analysant attentivement les questions d</w:t>
      </w:r>
      <w:r w:rsidR="00432DCC">
        <w:rPr>
          <w:lang w:val="fr-CH"/>
        </w:rPr>
        <w:t>'</w:t>
      </w:r>
      <w:r w:rsidRPr="00140EB3">
        <w:rPr>
          <w:lang w:val="fr-CH"/>
        </w:rPr>
        <w:t>ordre politique et technique liées au déploiement, à l</w:t>
      </w:r>
      <w:r w:rsidR="00432DCC">
        <w:rPr>
          <w:lang w:val="fr-CH"/>
        </w:rPr>
        <w:t>'</w:t>
      </w:r>
      <w:r w:rsidRPr="00140EB3">
        <w:rPr>
          <w:lang w:val="fr-CH"/>
        </w:rPr>
        <w:t>adoption et à l</w:t>
      </w:r>
      <w:r w:rsidR="00432DCC">
        <w:rPr>
          <w:lang w:val="fr-CH"/>
        </w:rPr>
        <w:t>'</w:t>
      </w:r>
      <w:r w:rsidRPr="00140EB3">
        <w:rPr>
          <w:lang w:val="fr-CH"/>
        </w:rPr>
        <w:t>utilisation du large bande. En particulier, les membres de l</w:t>
      </w:r>
      <w:r w:rsidR="00432DCC">
        <w:rPr>
          <w:lang w:val="fr-CH"/>
        </w:rPr>
        <w:t>'</w:t>
      </w:r>
      <w:r w:rsidRPr="00140EB3">
        <w:rPr>
          <w:lang w:val="fr-CH"/>
        </w:rPr>
        <w:t>UIT et le BDT doivent identifier et mettre en avant les besoins exprimés par les PMA et d</w:t>
      </w:r>
      <w:r w:rsidR="00432DCC">
        <w:rPr>
          <w:lang w:val="fr-CH"/>
        </w:rPr>
        <w:t>'</w:t>
      </w:r>
      <w:r w:rsidRPr="00140EB3">
        <w:rPr>
          <w:lang w:val="fr-CH"/>
        </w:rPr>
        <w:t>autres pays en ce qui concerne l</w:t>
      </w:r>
      <w:r w:rsidR="00432DCC">
        <w:rPr>
          <w:lang w:val="fr-CH"/>
        </w:rPr>
        <w:t>'</w:t>
      </w:r>
      <w:r w:rsidRPr="00140EB3">
        <w:rPr>
          <w:lang w:val="fr-CH"/>
        </w:rPr>
        <w:t>amélioration du déploiement et de l</w:t>
      </w:r>
      <w:r w:rsidR="00432DCC">
        <w:rPr>
          <w:lang w:val="fr-CH"/>
        </w:rPr>
        <w:t>'</w:t>
      </w:r>
      <w:r w:rsidRPr="00140EB3">
        <w:rPr>
          <w:lang w:val="fr-CH"/>
        </w:rPr>
        <w:t>utilisation du large bande et répondre à ces besoins. Les membres bénéficieront de l</w:t>
      </w:r>
      <w:r w:rsidR="00432DCC">
        <w:rPr>
          <w:lang w:val="fr-CH"/>
        </w:rPr>
        <w:t>'</w:t>
      </w:r>
      <w:r w:rsidRPr="00140EB3">
        <w:rPr>
          <w:lang w:val="fr-CH"/>
        </w:rPr>
        <w:t>analyse des problèmes techniques liés au déploiement des technologies d</w:t>
      </w:r>
      <w:r w:rsidR="00432DCC">
        <w:rPr>
          <w:lang w:val="fr-CH"/>
        </w:rPr>
        <w:t>'</w:t>
      </w:r>
      <w:r w:rsidRPr="00140EB3">
        <w:rPr>
          <w:lang w:val="fr-CH"/>
        </w:rPr>
        <w:t>accès large bande, y compris l</w:t>
      </w:r>
      <w:r w:rsidR="00432DCC">
        <w:rPr>
          <w:lang w:val="fr-CH"/>
        </w:rPr>
        <w:t>'</w:t>
      </w:r>
      <w:r w:rsidRPr="00140EB3">
        <w:rPr>
          <w:lang w:val="fr-CH"/>
        </w:rPr>
        <w:t>intégration de solutions de réseau d</w:t>
      </w:r>
      <w:r w:rsidR="00432DCC">
        <w:rPr>
          <w:lang w:val="fr-CH"/>
        </w:rPr>
        <w:t>'</w:t>
      </w:r>
      <w:r w:rsidRPr="00140EB3">
        <w:rPr>
          <w:lang w:val="fr-CH"/>
        </w:rPr>
        <w:t>accès dans les infrastructures de réseau existantes ou futures.</w:t>
      </w:r>
    </w:p>
    <w:p w:rsidR="00FA3E35" w:rsidRDefault="00B415BE" w:rsidP="00432DCC">
      <w:pPr>
        <w:rPr>
          <w:lang w:val="fr-CH"/>
        </w:rPr>
      </w:pPr>
      <w:r>
        <w:rPr>
          <w:lang w:val="fr-CH"/>
        </w:rPr>
        <w:t xml:space="preserve">Soucieuse de fournir une étude </w:t>
      </w:r>
      <w:r w:rsidR="009D5BE2">
        <w:rPr>
          <w:lang w:val="fr-CH"/>
        </w:rPr>
        <w:t xml:space="preserve">conjointe </w:t>
      </w:r>
      <w:r>
        <w:rPr>
          <w:lang w:val="fr-CH"/>
        </w:rPr>
        <w:t>sur</w:t>
      </w:r>
      <w:r w:rsidR="00380874" w:rsidRPr="00140EB3">
        <w:rPr>
          <w:lang w:val="fr-CH"/>
        </w:rPr>
        <w:t xml:space="preserve"> les politiques en matière d</w:t>
      </w:r>
      <w:r w:rsidR="00432DCC">
        <w:rPr>
          <w:lang w:val="fr-CH"/>
        </w:rPr>
        <w:t>'</w:t>
      </w:r>
      <w:r w:rsidR="00380874" w:rsidRPr="00140EB3">
        <w:rPr>
          <w:lang w:val="fr-CH"/>
        </w:rPr>
        <w:t xml:space="preserve">accès large bande ainsi que </w:t>
      </w:r>
      <w:r>
        <w:rPr>
          <w:lang w:val="fr-CH"/>
        </w:rPr>
        <w:t xml:space="preserve">sur </w:t>
      </w:r>
      <w:r w:rsidR="00380874" w:rsidRPr="00140EB3">
        <w:rPr>
          <w:lang w:val="fr-CH"/>
        </w:rPr>
        <w:t>la mise en oeuvre et les applications de cet accès</w:t>
      </w:r>
      <w:r w:rsidR="00DF2926">
        <w:rPr>
          <w:lang w:val="fr-CH"/>
        </w:rPr>
        <w:t>, l</w:t>
      </w:r>
      <w:r w:rsidR="003979CF" w:rsidRPr="00432DCC">
        <w:rPr>
          <w:lang w:val="fr-CH"/>
        </w:rPr>
        <w:t>a</w:t>
      </w:r>
      <w:r>
        <w:rPr>
          <w:lang w:val="fr-CH"/>
        </w:rPr>
        <w:t xml:space="preserve"> Conférence mondiale de développement des télécommunications</w:t>
      </w:r>
      <w:r w:rsidR="003979CF" w:rsidRPr="00432DCC">
        <w:rPr>
          <w:lang w:val="fr-CH"/>
        </w:rPr>
        <w:t xml:space="preserve"> </w:t>
      </w:r>
      <w:r>
        <w:rPr>
          <w:lang w:val="fr-CH"/>
        </w:rPr>
        <w:t>(</w:t>
      </w:r>
      <w:r w:rsidR="003979CF" w:rsidRPr="00432DCC">
        <w:rPr>
          <w:lang w:val="fr-CH"/>
        </w:rPr>
        <w:t>CMDT</w:t>
      </w:r>
      <w:r>
        <w:rPr>
          <w:lang w:val="fr-CH"/>
        </w:rPr>
        <w:t>-14)</w:t>
      </w:r>
      <w:r w:rsidR="003979CF" w:rsidRPr="00432DCC">
        <w:rPr>
          <w:lang w:val="fr-CH"/>
        </w:rPr>
        <w:t xml:space="preserve"> tenue à Dubaï</w:t>
      </w:r>
      <w:r w:rsidR="009D5BE2">
        <w:rPr>
          <w:lang w:val="fr-CH"/>
        </w:rPr>
        <w:t> </w:t>
      </w:r>
      <w:r w:rsidR="003979CF" w:rsidRPr="00432DCC">
        <w:rPr>
          <w:lang w:val="fr-CH"/>
        </w:rPr>
        <w:t>(</w:t>
      </w:r>
      <w:r w:rsidR="00CE1131">
        <w:rPr>
          <w:lang w:val="fr-CH"/>
        </w:rPr>
        <w:t>E</w:t>
      </w:r>
      <w:r w:rsidR="003979CF" w:rsidRPr="00432DCC">
        <w:rPr>
          <w:lang w:val="fr-CH"/>
        </w:rPr>
        <w:t>mirats arabes unis) a décidé de mettre à l</w:t>
      </w:r>
      <w:r w:rsidR="00432DCC">
        <w:rPr>
          <w:lang w:val="fr-CH"/>
        </w:rPr>
        <w:t>'</w:t>
      </w:r>
      <w:r w:rsidR="003979CF" w:rsidRPr="00432DCC">
        <w:rPr>
          <w:lang w:val="fr-CH"/>
        </w:rPr>
        <w:t xml:space="preserve">étude une nouvelle Question </w:t>
      </w:r>
      <w:r w:rsidR="00FA3E35" w:rsidRPr="00432DCC">
        <w:rPr>
          <w:lang w:val="fr-CH"/>
        </w:rPr>
        <w:t>1/1</w:t>
      </w:r>
      <w:r w:rsidR="003979CF">
        <w:rPr>
          <w:lang w:val="fr-CH"/>
        </w:rPr>
        <w:t xml:space="preserve"> intitulée</w:t>
      </w:r>
      <w:r w:rsidR="00FA3E35" w:rsidRPr="00432DCC">
        <w:rPr>
          <w:lang w:val="fr-CH"/>
        </w:rPr>
        <w:t xml:space="preserve"> </w:t>
      </w:r>
      <w:r w:rsidR="00CE1131">
        <w:rPr>
          <w:lang w:val="fr-CH"/>
        </w:rPr>
        <w:t>"</w:t>
      </w:r>
      <w:r w:rsidR="003979CF">
        <w:rPr>
          <w:color w:val="000000"/>
        </w:rPr>
        <w:t>Aspects politiques, réglementaires et techniques liés au passage des réseaux existants aux réseaux large bande dans les pays en développement, y compris les réseaux de prochaine génération, les</w:t>
      </w:r>
      <w:r w:rsidR="00432DCC">
        <w:rPr>
          <w:color w:val="000000"/>
        </w:rPr>
        <w:t xml:space="preserve"> services mobiles, les services </w:t>
      </w:r>
      <w:r w:rsidR="003979CF">
        <w:rPr>
          <w:color w:val="000000"/>
        </w:rPr>
        <w:t>over-the-top (OTT) et la mise en oeuvre du protocole IPv6</w:t>
      </w:r>
      <w:r w:rsidR="00CE1131">
        <w:rPr>
          <w:color w:val="000000"/>
        </w:rPr>
        <w:t>"</w:t>
      </w:r>
      <w:r w:rsidR="00FA3E35" w:rsidRPr="00432DCC">
        <w:rPr>
          <w:lang w:val="fr-CH"/>
        </w:rPr>
        <w:t xml:space="preserve">. </w:t>
      </w:r>
      <w:r w:rsidR="003979CF" w:rsidRPr="00B415BE">
        <w:rPr>
          <w:lang w:val="fr-CH"/>
        </w:rPr>
        <w:t xml:space="preserve">Pendant la période </w:t>
      </w:r>
      <w:r w:rsidR="003979CF" w:rsidRPr="00B415BE">
        <w:rPr>
          <w:lang w:val="fr-CH"/>
        </w:rPr>
        <w:lastRenderedPageBreak/>
        <w:t>d</w:t>
      </w:r>
      <w:r w:rsidR="00432DCC">
        <w:rPr>
          <w:lang w:val="fr-CH"/>
        </w:rPr>
        <w:t>'</w:t>
      </w:r>
      <w:r w:rsidR="003979CF" w:rsidRPr="00B415BE">
        <w:rPr>
          <w:lang w:val="fr-CH"/>
        </w:rPr>
        <w:t>études</w:t>
      </w:r>
      <w:r w:rsidR="00432DCC">
        <w:rPr>
          <w:lang w:val="fr-CH"/>
        </w:rPr>
        <w:t> </w:t>
      </w:r>
      <w:r w:rsidR="00FA3E35" w:rsidRPr="00432DCC">
        <w:rPr>
          <w:lang w:val="fr-CH"/>
        </w:rPr>
        <w:t>2014</w:t>
      </w:r>
      <w:r w:rsidR="00432DCC">
        <w:rPr>
          <w:lang w:val="fr-CH"/>
        </w:rPr>
        <w:noBreakHyphen/>
      </w:r>
      <w:r w:rsidR="00FA3E35" w:rsidRPr="00432DCC">
        <w:rPr>
          <w:lang w:val="fr-CH"/>
        </w:rPr>
        <w:t>2017</w:t>
      </w:r>
      <w:r w:rsidRPr="00432DCC">
        <w:rPr>
          <w:lang w:val="fr-CH"/>
        </w:rPr>
        <w:t>, le Groupe du Rapporteur pour la Question</w:t>
      </w:r>
      <w:r w:rsidR="009D5BE2">
        <w:rPr>
          <w:lang w:val="fr-CH"/>
        </w:rPr>
        <w:t xml:space="preserve"> </w:t>
      </w:r>
      <w:r w:rsidR="00FA3E35" w:rsidRPr="00432DCC">
        <w:rPr>
          <w:lang w:val="fr-CH"/>
        </w:rPr>
        <w:t xml:space="preserve">1/1 </w:t>
      </w:r>
      <w:r>
        <w:rPr>
          <w:lang w:val="fr-CH"/>
        </w:rPr>
        <w:t xml:space="preserve">a établi un rapport qui figure sur le </w:t>
      </w:r>
      <w:hyperlink r:id="rId15" w:history="1">
        <w:r w:rsidRPr="001C0898">
          <w:rPr>
            <w:rStyle w:val="Hyperlink"/>
            <w:lang w:val="fr-CH"/>
          </w:rPr>
          <w:t>site we</w:t>
        </w:r>
        <w:r w:rsidRPr="001C0898">
          <w:rPr>
            <w:rStyle w:val="Hyperlink"/>
            <w:lang w:val="fr-CH"/>
          </w:rPr>
          <w:t>b</w:t>
        </w:r>
        <w:r w:rsidRPr="001C0898">
          <w:rPr>
            <w:rStyle w:val="Hyperlink"/>
            <w:lang w:val="fr-CH"/>
          </w:rPr>
          <w:t xml:space="preserve"> de l</w:t>
        </w:r>
        <w:r w:rsidR="00432DCC" w:rsidRPr="001C0898">
          <w:rPr>
            <w:rStyle w:val="Hyperlink"/>
            <w:lang w:val="fr-CH"/>
          </w:rPr>
          <w:t>'</w:t>
        </w:r>
        <w:r w:rsidRPr="001C0898">
          <w:rPr>
            <w:rStyle w:val="Hyperlink"/>
            <w:lang w:val="fr-CH"/>
          </w:rPr>
          <w:t>U</w:t>
        </w:r>
        <w:r w:rsidRPr="001C0898">
          <w:rPr>
            <w:rStyle w:val="Hyperlink"/>
            <w:lang w:val="fr-CH"/>
          </w:rPr>
          <w:t>IT</w:t>
        </w:r>
      </w:hyperlink>
      <w:r>
        <w:rPr>
          <w:lang w:val="fr-CH"/>
        </w:rPr>
        <w:t>. C</w:t>
      </w:r>
      <w:r w:rsidR="00FA3E35" w:rsidRPr="00F20E8D">
        <w:rPr>
          <w:lang w:val="fr-CH"/>
        </w:rPr>
        <w:t xml:space="preserve">e rapport </w:t>
      </w:r>
      <w:r w:rsidR="009D5BE2">
        <w:rPr>
          <w:lang w:val="fr-CH"/>
        </w:rPr>
        <w:t xml:space="preserve">retrace </w:t>
      </w:r>
      <w:r w:rsidR="00FA3E35" w:rsidRPr="00F20E8D">
        <w:rPr>
          <w:lang w:val="fr-CH"/>
        </w:rPr>
        <w:t>l</w:t>
      </w:r>
      <w:r w:rsidR="00432DCC">
        <w:rPr>
          <w:lang w:val="fr-CH"/>
        </w:rPr>
        <w:t>'</w:t>
      </w:r>
      <w:r w:rsidR="00FA3E35" w:rsidRPr="00F20E8D">
        <w:rPr>
          <w:lang w:val="fr-CH"/>
        </w:rPr>
        <w:t xml:space="preserve">expérience </w:t>
      </w:r>
      <w:r>
        <w:rPr>
          <w:lang w:val="fr-CH"/>
        </w:rPr>
        <w:t xml:space="preserve">acquise par </w:t>
      </w:r>
      <w:r w:rsidR="00FA3E35" w:rsidRPr="00F20E8D">
        <w:rPr>
          <w:lang w:val="fr-CH"/>
        </w:rPr>
        <w:t xml:space="preserve">divers pays, </w:t>
      </w:r>
      <w:r w:rsidR="009D5BE2">
        <w:rPr>
          <w:lang w:val="fr-CH"/>
        </w:rPr>
        <w:t xml:space="preserve">expose </w:t>
      </w:r>
      <w:r w:rsidR="00FA3E35" w:rsidRPr="00F20E8D">
        <w:rPr>
          <w:lang w:val="fr-CH"/>
        </w:rPr>
        <w:t xml:space="preserve">des lignes directrices relatives </w:t>
      </w:r>
      <w:r w:rsidR="009D5BE2">
        <w:rPr>
          <w:lang w:val="fr-CH"/>
        </w:rPr>
        <w:t xml:space="preserve">aux </w:t>
      </w:r>
      <w:r w:rsidR="00FA3E35" w:rsidRPr="00F20E8D">
        <w:rPr>
          <w:lang w:val="fr-CH"/>
        </w:rPr>
        <w:t xml:space="preserve">bonnes pratiques </w:t>
      </w:r>
      <w:r w:rsidR="009D5BE2">
        <w:rPr>
          <w:lang w:val="fr-CH"/>
        </w:rPr>
        <w:t xml:space="preserve">propres à </w:t>
      </w:r>
      <w:r w:rsidR="00FA3E35">
        <w:rPr>
          <w:lang w:val="fr-CH"/>
        </w:rPr>
        <w:t xml:space="preserve">encourager </w:t>
      </w:r>
      <w:r>
        <w:rPr>
          <w:lang w:val="fr-CH"/>
        </w:rPr>
        <w:t xml:space="preserve">la mise en place </w:t>
      </w:r>
      <w:r w:rsidR="00FA3E35" w:rsidRPr="00F20E8D">
        <w:rPr>
          <w:lang w:val="fr-CH"/>
        </w:rPr>
        <w:t>de réseaux, de service</w:t>
      </w:r>
      <w:r w:rsidR="00FA3E35">
        <w:rPr>
          <w:lang w:val="fr-CH"/>
        </w:rPr>
        <w:t>s et d</w:t>
      </w:r>
      <w:r w:rsidR="00432DCC">
        <w:rPr>
          <w:lang w:val="fr-CH"/>
        </w:rPr>
        <w:t>'</w:t>
      </w:r>
      <w:r w:rsidR="00FA3E35">
        <w:rPr>
          <w:lang w:val="fr-CH"/>
        </w:rPr>
        <w:t xml:space="preserve">applications large bande financièrement abordables, </w:t>
      </w:r>
      <w:r>
        <w:rPr>
          <w:lang w:val="fr-CH"/>
        </w:rPr>
        <w:t xml:space="preserve">notamment </w:t>
      </w:r>
      <w:r w:rsidR="009D5BE2">
        <w:rPr>
          <w:lang w:val="fr-CH"/>
        </w:rPr>
        <w:t xml:space="preserve">pour </w:t>
      </w:r>
      <w:r>
        <w:rPr>
          <w:lang w:val="fr-CH"/>
        </w:rPr>
        <w:t>stimuler</w:t>
      </w:r>
      <w:r w:rsidR="00FA3E35">
        <w:rPr>
          <w:lang w:val="fr-CH"/>
        </w:rPr>
        <w:t xml:space="preserve"> la demande en matière de large bande, comme</w:t>
      </w:r>
      <w:r>
        <w:rPr>
          <w:lang w:val="fr-CH"/>
        </w:rPr>
        <w:t xml:space="preserve"> le </w:t>
      </w:r>
      <w:r>
        <w:rPr>
          <w:color w:val="000000"/>
        </w:rPr>
        <w:t>cyberenseignement</w:t>
      </w:r>
      <w:r w:rsidR="00FA3E35">
        <w:rPr>
          <w:lang w:val="fr-CH"/>
        </w:rPr>
        <w:t>, les services bancaires sur mobile,</w:t>
      </w:r>
      <w:r w:rsidR="00450EFA" w:rsidRPr="00450EFA">
        <w:rPr>
          <w:color w:val="000000"/>
        </w:rPr>
        <w:t xml:space="preserve"> </w:t>
      </w:r>
      <w:r w:rsidR="00450EFA">
        <w:rPr>
          <w:color w:val="000000"/>
        </w:rPr>
        <w:t>le commerce sur mobile</w:t>
      </w:r>
      <w:r w:rsidR="009D5BE2">
        <w:rPr>
          <w:color w:val="000000"/>
        </w:rPr>
        <w:t xml:space="preserve">, </w:t>
      </w:r>
      <w:r w:rsidR="00450EFA">
        <w:rPr>
          <w:color w:val="000000"/>
        </w:rPr>
        <w:t>les transferts d</w:t>
      </w:r>
      <w:r w:rsidR="00432DCC">
        <w:rPr>
          <w:color w:val="000000"/>
        </w:rPr>
        <w:t>'</w:t>
      </w:r>
      <w:r w:rsidR="00450EFA">
        <w:rPr>
          <w:color w:val="000000"/>
        </w:rPr>
        <w:t>argent sur mobile</w:t>
      </w:r>
      <w:r w:rsidR="00FA3E35">
        <w:rPr>
          <w:lang w:val="fr-CH"/>
        </w:rPr>
        <w:t xml:space="preserve"> et les services over the top (OTT). Il est également question dans </w:t>
      </w:r>
      <w:r w:rsidR="00450EFA">
        <w:rPr>
          <w:lang w:val="fr-CH"/>
        </w:rPr>
        <w:t>c</w:t>
      </w:r>
      <w:r w:rsidR="00FA3E35">
        <w:rPr>
          <w:lang w:val="fr-CH"/>
        </w:rPr>
        <w:t xml:space="preserve">e rapport des </w:t>
      </w:r>
      <w:r w:rsidR="00450EFA">
        <w:rPr>
          <w:lang w:val="fr-CH"/>
        </w:rPr>
        <w:t xml:space="preserve">mesures à prendre pour </w:t>
      </w:r>
      <w:r w:rsidR="00FA3E35">
        <w:rPr>
          <w:lang w:val="fr-CH"/>
        </w:rPr>
        <w:t xml:space="preserve">encourager le déploiement du large bande </w:t>
      </w:r>
      <w:r w:rsidR="006959F2">
        <w:rPr>
          <w:lang w:val="fr-CH"/>
        </w:rPr>
        <w:t xml:space="preserve">grâce à </w:t>
      </w:r>
      <w:r w:rsidR="00FA3E35">
        <w:rPr>
          <w:lang w:val="fr-CH"/>
        </w:rPr>
        <w:t xml:space="preserve">une concurrence efficace, </w:t>
      </w:r>
      <w:r w:rsidR="006959F2">
        <w:rPr>
          <w:lang w:val="fr-CH"/>
        </w:rPr>
        <w:t xml:space="preserve">à </w:t>
      </w:r>
      <w:r w:rsidR="00FA3E35">
        <w:rPr>
          <w:lang w:val="fr-CH"/>
        </w:rPr>
        <w:t>de</w:t>
      </w:r>
      <w:r w:rsidR="00450EFA">
        <w:rPr>
          <w:lang w:val="fr-CH"/>
        </w:rPr>
        <w:t>s</w:t>
      </w:r>
      <w:r w:rsidR="00FA3E35">
        <w:rPr>
          <w:lang w:val="fr-CH"/>
        </w:rPr>
        <w:t xml:space="preserve"> investissement</w:t>
      </w:r>
      <w:r w:rsidR="00450EFA">
        <w:rPr>
          <w:lang w:val="fr-CH"/>
        </w:rPr>
        <w:t>s</w:t>
      </w:r>
      <w:r w:rsidR="00FA3E35">
        <w:rPr>
          <w:lang w:val="fr-CH"/>
        </w:rPr>
        <w:t xml:space="preserve"> public</w:t>
      </w:r>
      <w:r w:rsidR="00450EFA">
        <w:rPr>
          <w:lang w:val="fr-CH"/>
        </w:rPr>
        <w:t>s</w:t>
      </w:r>
      <w:r w:rsidR="00FA3E35">
        <w:rPr>
          <w:lang w:val="fr-CH"/>
        </w:rPr>
        <w:t xml:space="preserve"> et privé</w:t>
      </w:r>
      <w:r w:rsidR="00450EFA">
        <w:rPr>
          <w:lang w:val="fr-CH"/>
        </w:rPr>
        <w:t>s</w:t>
      </w:r>
      <w:r w:rsidR="00FA3E35">
        <w:rPr>
          <w:lang w:val="fr-CH"/>
        </w:rPr>
        <w:t xml:space="preserve">, </w:t>
      </w:r>
      <w:r w:rsidR="006959F2">
        <w:rPr>
          <w:lang w:val="fr-CH"/>
        </w:rPr>
        <w:t>à</w:t>
      </w:r>
      <w:r w:rsidR="00FA3E35">
        <w:rPr>
          <w:lang w:val="fr-CH"/>
        </w:rPr>
        <w:t xml:space="preserve"> la concurrence entre </w:t>
      </w:r>
      <w:r w:rsidR="00450EFA">
        <w:rPr>
          <w:lang w:val="fr-CH"/>
        </w:rPr>
        <w:t xml:space="preserve">les </w:t>
      </w:r>
      <w:r w:rsidR="00FA3E35">
        <w:rPr>
          <w:lang w:val="fr-CH"/>
        </w:rPr>
        <w:t>plates</w:t>
      </w:r>
      <w:r w:rsidR="00FA3E35">
        <w:rPr>
          <w:lang w:val="fr-CH"/>
        </w:rPr>
        <w:noBreakHyphen/>
        <w:t>formes,</w:t>
      </w:r>
      <w:r w:rsidR="009D5BE2">
        <w:rPr>
          <w:lang w:val="fr-CH"/>
        </w:rPr>
        <w:t xml:space="preserve"> </w:t>
      </w:r>
      <w:r w:rsidR="006959F2">
        <w:rPr>
          <w:lang w:val="fr-CH"/>
        </w:rPr>
        <w:t>à</w:t>
      </w:r>
      <w:r w:rsidR="00FA3E35">
        <w:rPr>
          <w:lang w:val="fr-CH"/>
        </w:rPr>
        <w:t xml:space="preserve"> de</w:t>
      </w:r>
      <w:r w:rsidR="00450EFA">
        <w:rPr>
          <w:lang w:val="fr-CH"/>
        </w:rPr>
        <w:t>s</w:t>
      </w:r>
      <w:r w:rsidR="00FA3E35">
        <w:rPr>
          <w:lang w:val="fr-CH"/>
        </w:rPr>
        <w:t xml:space="preserve"> mesures d</w:t>
      </w:r>
      <w:r w:rsidR="00432DCC">
        <w:rPr>
          <w:lang w:val="fr-CH"/>
        </w:rPr>
        <w:t>'</w:t>
      </w:r>
      <w:r w:rsidR="00FA3E35">
        <w:rPr>
          <w:lang w:val="fr-CH"/>
        </w:rPr>
        <w:t xml:space="preserve">incitation en faveur du large bande et </w:t>
      </w:r>
      <w:r w:rsidR="006959F2">
        <w:rPr>
          <w:lang w:val="fr-CH"/>
        </w:rPr>
        <w:t xml:space="preserve">au </w:t>
      </w:r>
      <w:r w:rsidR="00FA3E35">
        <w:rPr>
          <w:lang w:val="fr-CH"/>
        </w:rPr>
        <w:t xml:space="preserve">recours aux fonds pour le service universel. On </w:t>
      </w:r>
      <w:r w:rsidR="00450EFA">
        <w:rPr>
          <w:lang w:val="fr-CH"/>
        </w:rPr>
        <w:t xml:space="preserve">y </w:t>
      </w:r>
      <w:r w:rsidR="00FA3E35">
        <w:rPr>
          <w:lang w:val="fr-CH"/>
        </w:rPr>
        <w:t>trouve</w:t>
      </w:r>
      <w:r w:rsidR="009D5BE2">
        <w:rPr>
          <w:lang w:val="fr-CH"/>
        </w:rPr>
        <w:t xml:space="preserve"> </w:t>
      </w:r>
      <w:r w:rsidR="00450EFA">
        <w:rPr>
          <w:lang w:val="fr-CH"/>
        </w:rPr>
        <w:t xml:space="preserve">enfin </w:t>
      </w:r>
      <w:r w:rsidR="00FA3E35">
        <w:rPr>
          <w:lang w:val="fr-CH"/>
        </w:rPr>
        <w:t>des exemples</w:t>
      </w:r>
      <w:r w:rsidR="00450EFA">
        <w:rPr>
          <w:lang w:val="fr-CH"/>
        </w:rPr>
        <w:t xml:space="preserve"> ayant trait à l</w:t>
      </w:r>
      <w:r w:rsidR="00432DCC">
        <w:rPr>
          <w:lang w:val="fr-CH"/>
        </w:rPr>
        <w:t>'</w:t>
      </w:r>
      <w:r w:rsidR="00FA3E35">
        <w:rPr>
          <w:lang w:val="fr-CH"/>
        </w:rPr>
        <w:t>expérience</w:t>
      </w:r>
      <w:r w:rsidR="00450EFA">
        <w:rPr>
          <w:lang w:val="fr-CH"/>
        </w:rPr>
        <w:t xml:space="preserve"> acquise </w:t>
      </w:r>
      <w:r w:rsidR="00FA3E35">
        <w:rPr>
          <w:lang w:val="fr-CH"/>
        </w:rPr>
        <w:t xml:space="preserve">et </w:t>
      </w:r>
      <w:r w:rsidR="00450EFA">
        <w:rPr>
          <w:lang w:val="fr-CH"/>
        </w:rPr>
        <w:t xml:space="preserve">aux </w:t>
      </w:r>
      <w:r w:rsidR="00FA3E35">
        <w:rPr>
          <w:lang w:val="fr-CH"/>
        </w:rPr>
        <w:t xml:space="preserve">politiques adoptées </w:t>
      </w:r>
      <w:r w:rsidR="00450EFA">
        <w:rPr>
          <w:lang w:val="fr-CH"/>
        </w:rPr>
        <w:t xml:space="preserve">pour faciliter </w:t>
      </w:r>
      <w:r w:rsidR="00FA3E35">
        <w:rPr>
          <w:lang w:val="fr-CH"/>
        </w:rPr>
        <w:t>le passage des réseaux à bande étroite aux réseaux à large bande</w:t>
      </w:r>
      <w:r w:rsidR="00450EFA">
        <w:rPr>
          <w:lang w:val="fr-CH"/>
        </w:rPr>
        <w:t xml:space="preserve"> et du protocole IPv4 au protocole IPv6</w:t>
      </w:r>
      <w:r w:rsidR="009D5BE2">
        <w:rPr>
          <w:lang w:val="fr-CH"/>
        </w:rPr>
        <w:t xml:space="preserve">, </w:t>
      </w:r>
      <w:r w:rsidR="00450EFA">
        <w:rPr>
          <w:lang w:val="fr-CH"/>
        </w:rPr>
        <w:t xml:space="preserve">grâce au </w:t>
      </w:r>
      <w:r w:rsidR="00FA3E35">
        <w:rPr>
          <w:lang w:val="fr-CH"/>
        </w:rPr>
        <w:t>déploiement du protocole IPv6.</w:t>
      </w:r>
    </w:p>
    <w:p w:rsidR="00FA3E35" w:rsidRPr="006A0025" w:rsidRDefault="00450EFA">
      <w:pPr>
        <w:rPr>
          <w:lang w:val="fr-CH"/>
        </w:rPr>
      </w:pPr>
      <w:r>
        <w:rPr>
          <w:color w:val="000000"/>
        </w:rPr>
        <w:t xml:space="preserve">Les enquêtes </w:t>
      </w:r>
      <w:r w:rsidR="009D5BE2">
        <w:rPr>
          <w:color w:val="000000"/>
        </w:rPr>
        <w:t>menées</w:t>
      </w:r>
      <w:r w:rsidR="00CE1131">
        <w:rPr>
          <w:color w:val="000000"/>
        </w:rPr>
        <w:t xml:space="preserve"> </w:t>
      </w:r>
      <w:r>
        <w:rPr>
          <w:color w:val="000000"/>
        </w:rPr>
        <w:t>montr</w:t>
      </w:r>
      <w:r w:rsidR="006A0025">
        <w:rPr>
          <w:color w:val="000000"/>
        </w:rPr>
        <w:t>ent</w:t>
      </w:r>
      <w:r>
        <w:rPr>
          <w:color w:val="000000"/>
        </w:rPr>
        <w:t xml:space="preserve"> que les Membres </w:t>
      </w:r>
      <w:r w:rsidR="006A0025">
        <w:rPr>
          <w:color w:val="000000"/>
        </w:rPr>
        <w:t>sont</w:t>
      </w:r>
      <w:r>
        <w:rPr>
          <w:color w:val="000000"/>
        </w:rPr>
        <w:t xml:space="preserve"> satisfaits des travaux </w:t>
      </w:r>
      <w:r w:rsidR="009D5BE2">
        <w:rPr>
          <w:color w:val="000000"/>
        </w:rPr>
        <w:t>effectués</w:t>
      </w:r>
      <w:r w:rsidR="006A0025">
        <w:rPr>
          <w:color w:val="000000"/>
        </w:rPr>
        <w:t xml:space="preserve"> </w:t>
      </w:r>
      <w:r>
        <w:rPr>
          <w:color w:val="000000"/>
        </w:rPr>
        <w:t>à ce jour</w:t>
      </w:r>
      <w:r w:rsidR="009D5BE2">
        <w:rPr>
          <w:color w:val="000000"/>
        </w:rPr>
        <w:t xml:space="preserve"> </w:t>
      </w:r>
      <w:r w:rsidR="006A0025">
        <w:rPr>
          <w:color w:val="000000"/>
        </w:rPr>
        <w:t>et mettent en évidence d</w:t>
      </w:r>
      <w:r w:rsidR="00432DCC">
        <w:rPr>
          <w:color w:val="000000"/>
        </w:rPr>
        <w:t>'</w:t>
      </w:r>
      <w:r w:rsidR="006A0025">
        <w:rPr>
          <w:color w:val="000000"/>
        </w:rPr>
        <w:t>autres solutions possibles</w:t>
      </w:r>
      <w:r w:rsidR="009D5BE2">
        <w:rPr>
          <w:color w:val="000000"/>
        </w:rPr>
        <w:t>.</w:t>
      </w:r>
      <w:r w:rsidR="006A0025" w:rsidRPr="006A0025">
        <w:rPr>
          <w:color w:val="000000"/>
        </w:rPr>
        <w:t xml:space="preserve"> </w:t>
      </w:r>
      <w:r w:rsidR="006A0025">
        <w:rPr>
          <w:color w:val="000000"/>
        </w:rPr>
        <w:t>Concernant l</w:t>
      </w:r>
      <w:r w:rsidR="00432DCC">
        <w:rPr>
          <w:color w:val="000000"/>
        </w:rPr>
        <w:t>'</w:t>
      </w:r>
      <w:r w:rsidR="006A0025">
        <w:rPr>
          <w:color w:val="000000"/>
        </w:rPr>
        <w:t xml:space="preserve">avenir de la Question 1/1, les résultats des enquêtes réalisées par les </w:t>
      </w:r>
      <w:r w:rsidR="009D5BE2">
        <w:rPr>
          <w:color w:val="000000"/>
        </w:rPr>
        <w:t>c</w:t>
      </w:r>
      <w:r w:rsidR="006A0025">
        <w:rPr>
          <w:color w:val="000000"/>
        </w:rPr>
        <w:t>ommissions d</w:t>
      </w:r>
      <w:r w:rsidR="00432DCC">
        <w:rPr>
          <w:color w:val="000000"/>
        </w:rPr>
        <w:t>'</w:t>
      </w:r>
      <w:r w:rsidR="006A0025">
        <w:rPr>
          <w:color w:val="000000"/>
        </w:rPr>
        <w:t>études de l</w:t>
      </w:r>
      <w:r w:rsidR="00432DCC">
        <w:rPr>
          <w:color w:val="000000"/>
        </w:rPr>
        <w:t>'</w:t>
      </w:r>
      <w:r w:rsidR="006A0025">
        <w:rPr>
          <w:color w:val="000000"/>
        </w:rPr>
        <w:t>UIT-D concernant les travaux en cours et l</w:t>
      </w:r>
      <w:r w:rsidR="00432DCC">
        <w:rPr>
          <w:color w:val="000000"/>
        </w:rPr>
        <w:t>'</w:t>
      </w:r>
      <w:r w:rsidR="006A0025">
        <w:rPr>
          <w:color w:val="000000"/>
        </w:rPr>
        <w:t>avenir de la Question 1/1 font apparaître que l</w:t>
      </w:r>
      <w:r w:rsidR="00432DCC">
        <w:rPr>
          <w:color w:val="000000"/>
        </w:rPr>
        <w:t>'</w:t>
      </w:r>
      <w:r w:rsidR="006A0025">
        <w:rPr>
          <w:color w:val="000000"/>
        </w:rPr>
        <w:t>étude de cette Question devrait se poursuivre.</w:t>
      </w:r>
    </w:p>
    <w:p w:rsidR="00450EFA" w:rsidRPr="00E23254" w:rsidRDefault="00380874" w:rsidP="005E0192">
      <w:pPr>
        <w:pStyle w:val="Heading1"/>
        <w:rPr>
          <w:lang w:val="fr-CH"/>
        </w:rPr>
      </w:pPr>
      <w:r w:rsidRPr="00E23254">
        <w:rPr>
          <w:lang w:val="fr-CH"/>
        </w:rPr>
        <w:t>2</w:t>
      </w:r>
      <w:r w:rsidRPr="00E23254">
        <w:rPr>
          <w:lang w:val="fr-CH"/>
        </w:rPr>
        <w:tab/>
        <w:t>Question ou thème à étudier</w:t>
      </w:r>
    </w:p>
    <w:p w:rsidR="00450EFA" w:rsidRPr="00432DCC" w:rsidRDefault="006A0025" w:rsidP="001C0898">
      <w:pPr>
        <w:pStyle w:val="Headingb0"/>
        <w:spacing w:before="160"/>
      </w:pPr>
      <w:r w:rsidRPr="00432DCC">
        <w:t>Passage aux réseaux large bande</w:t>
      </w:r>
    </w:p>
    <w:p w:rsidR="00450EFA" w:rsidRPr="00E23254" w:rsidRDefault="00380874" w:rsidP="000D7875">
      <w:pPr>
        <w:pStyle w:val="enumlev1"/>
        <w:rPr>
          <w:lang w:val="fr-CH"/>
        </w:rPr>
      </w:pPr>
      <w:r w:rsidRPr="00E23254">
        <w:rPr>
          <w:lang w:val="fr-CH"/>
        </w:rPr>
        <w:t>a)</w:t>
      </w:r>
      <w:r w:rsidRPr="00E23254">
        <w:rPr>
          <w:lang w:val="fr-CH"/>
        </w:rPr>
        <w:tab/>
      </w:r>
      <w:r w:rsidR="000D7875" w:rsidRPr="00E23254">
        <w:rPr>
          <w:lang w:val="fr-CH"/>
        </w:rPr>
        <w:t>Politiques et réglementations favorisant l</w:t>
      </w:r>
      <w:r w:rsidR="00432DCC">
        <w:rPr>
          <w:lang w:val="fr-CH"/>
        </w:rPr>
        <w:t>'</w:t>
      </w:r>
      <w:r w:rsidR="000D7875" w:rsidRPr="00E23254">
        <w:rPr>
          <w:lang w:val="fr-CH"/>
        </w:rPr>
        <w:t>accessibilité financière des réseaux, services et applications large bande, y compris les méthodes permettant d</w:t>
      </w:r>
      <w:r w:rsidR="00432DCC">
        <w:rPr>
          <w:lang w:val="fr-CH"/>
        </w:rPr>
        <w:t>'</w:t>
      </w:r>
      <w:r w:rsidR="000D7875" w:rsidRPr="00E23254">
        <w:rPr>
          <w:lang w:val="fr-CH"/>
        </w:rPr>
        <w:t>optimiser l</w:t>
      </w:r>
      <w:r w:rsidR="00432DCC">
        <w:rPr>
          <w:lang w:val="fr-CH"/>
        </w:rPr>
        <w:t>'</w:t>
      </w:r>
      <w:r w:rsidR="000D7875" w:rsidRPr="00E23254">
        <w:rPr>
          <w:lang w:val="fr-CH"/>
        </w:rPr>
        <w:t>utilisation du spectre.</w:t>
      </w:r>
    </w:p>
    <w:p w:rsidR="00450EFA" w:rsidRPr="00E23254" w:rsidRDefault="00380874" w:rsidP="000D7875">
      <w:pPr>
        <w:pStyle w:val="enumlev1"/>
        <w:rPr>
          <w:lang w:val="fr-CH"/>
        </w:rPr>
      </w:pPr>
      <w:r w:rsidRPr="00E23254">
        <w:rPr>
          <w:lang w:val="fr-CH"/>
        </w:rPr>
        <w:t>b)</w:t>
      </w:r>
      <w:r w:rsidRPr="00E23254">
        <w:rPr>
          <w:lang w:val="fr-CH"/>
        </w:rPr>
        <w:tab/>
      </w:r>
      <w:r w:rsidR="000D7875" w:rsidRPr="00E23254">
        <w:rPr>
          <w:lang w:val="fr-CH"/>
        </w:rPr>
        <w:t>Méthodes efficaces et efficientes permettant de financer le développement d</w:t>
      </w:r>
      <w:r w:rsidR="00432DCC">
        <w:rPr>
          <w:lang w:val="fr-CH"/>
        </w:rPr>
        <w:t>'</w:t>
      </w:r>
      <w:r w:rsidR="000D7875" w:rsidRPr="00E23254">
        <w:rPr>
          <w:lang w:val="fr-CH"/>
        </w:rPr>
        <w:t>un accès accru au large bande dans les zones non desservies ou mal desservies.</w:t>
      </w:r>
    </w:p>
    <w:p w:rsidR="00450EFA" w:rsidRPr="00E23254" w:rsidRDefault="00380874" w:rsidP="00432DCC">
      <w:pPr>
        <w:pStyle w:val="enumlev1"/>
        <w:rPr>
          <w:lang w:val="fr-CH"/>
        </w:rPr>
      </w:pPr>
      <w:r w:rsidRPr="00E23254">
        <w:rPr>
          <w:lang w:val="fr-CH"/>
        </w:rPr>
        <w:t>c)</w:t>
      </w:r>
      <w:r w:rsidRPr="00E23254">
        <w:rPr>
          <w:lang w:val="fr-CH"/>
        </w:rPr>
        <w:tab/>
        <w:t xml:space="preserve">Solutions pour supprimer les obstacles pratiques au déploiement des infrastructures large bande, et bonnes pratiques à suivre pour améliorer la connectivité transfrontière et résoudre les problèmes de connectivité dans les petits Etats insulaires en développement. </w:t>
      </w:r>
    </w:p>
    <w:p w:rsidR="00450EFA" w:rsidRPr="0076263E" w:rsidRDefault="00FA3E35" w:rsidP="00432DCC">
      <w:pPr>
        <w:pStyle w:val="enumlev1"/>
        <w:rPr>
          <w:lang w:val="fr-CH"/>
        </w:rPr>
      </w:pPr>
      <w:r>
        <w:rPr>
          <w:lang w:val="fr-CH"/>
        </w:rPr>
        <w:t>d)</w:t>
      </w:r>
      <w:r>
        <w:rPr>
          <w:lang w:val="fr-CH"/>
        </w:rPr>
        <w:tab/>
      </w:r>
      <w:r w:rsidR="00380874" w:rsidRPr="00E23254">
        <w:rPr>
          <w:lang w:val="fr-CH"/>
        </w:rPr>
        <w:t>Structure et évolution des services large bande en ce qui concerne, notamment, le déploiement du large bande, le trafic internat</w:t>
      </w:r>
      <w:r w:rsidR="00A428ED">
        <w:rPr>
          <w:lang w:val="fr-CH"/>
        </w:rPr>
        <w:t>ional et les applications, etc.</w:t>
      </w:r>
    </w:p>
    <w:p w:rsidR="00450EFA" w:rsidRPr="00E23254" w:rsidRDefault="00FA3E35" w:rsidP="005E0192">
      <w:pPr>
        <w:pStyle w:val="enumlev1"/>
        <w:rPr>
          <w:lang w:val="fr-CH"/>
        </w:rPr>
      </w:pPr>
      <w:r>
        <w:rPr>
          <w:lang w:val="fr-CH"/>
        </w:rPr>
        <w:t>e)</w:t>
      </w:r>
      <w:r>
        <w:rPr>
          <w:lang w:val="fr-CH"/>
        </w:rPr>
        <w:tab/>
      </w:r>
      <w:r w:rsidR="00380874" w:rsidRPr="00E23254">
        <w:rPr>
          <w:lang w:val="fr-CH"/>
        </w:rPr>
        <w:t>Incidences commerciales des nouveaux investissements à réaliser pour répondre à la demande croissante d</w:t>
      </w:r>
      <w:r w:rsidR="00432DCC">
        <w:rPr>
          <w:lang w:val="fr-CH"/>
        </w:rPr>
        <w:t>'</w:t>
      </w:r>
      <w:r w:rsidR="00380874" w:rsidRPr="00E23254">
        <w:rPr>
          <w:lang w:val="fr-CH"/>
        </w:rPr>
        <w:t>accès à l</w:t>
      </w:r>
      <w:r w:rsidR="00432DCC">
        <w:rPr>
          <w:lang w:val="fr-CH"/>
        </w:rPr>
        <w:t>'</w:t>
      </w:r>
      <w:r w:rsidR="00380874" w:rsidRPr="00E23254">
        <w:rPr>
          <w:lang w:val="fr-CH"/>
        </w:rPr>
        <w:t>Internet en général, et aux besoins de largeur de bande et d</w:t>
      </w:r>
      <w:r w:rsidR="00432DCC">
        <w:rPr>
          <w:lang w:val="fr-CH"/>
        </w:rPr>
        <w:t>'</w:t>
      </w:r>
      <w:r w:rsidR="00380874" w:rsidRPr="00E23254">
        <w:rPr>
          <w:lang w:val="fr-CH"/>
        </w:rPr>
        <w:t>infrastructure sur la fourniture de services large bande financièrement abordables pour satisfaire aux besoins de développement.</w:t>
      </w:r>
    </w:p>
    <w:p w:rsidR="00FA3E35" w:rsidRDefault="00FA3E35" w:rsidP="005E0192">
      <w:pPr>
        <w:pStyle w:val="enumlev1"/>
        <w:rPr>
          <w:lang w:val="fr-CH"/>
        </w:rPr>
      </w:pPr>
      <w:r>
        <w:t>f)</w:t>
      </w:r>
      <w:r>
        <w:tab/>
      </w:r>
      <w:r w:rsidRPr="00E23254">
        <w:rPr>
          <w:lang w:val="fr-CH"/>
        </w:rPr>
        <w:t>Méthodes permettant de mettre en oeuvre des services large bande, y compris le passage des réseaux à bande étroite aux réseaux large bande, et caractéristiques d</w:t>
      </w:r>
      <w:r w:rsidR="00432DCC">
        <w:rPr>
          <w:lang w:val="fr-CH"/>
        </w:rPr>
        <w:t>'</w:t>
      </w:r>
      <w:r w:rsidRPr="00E23254">
        <w:rPr>
          <w:lang w:val="fr-CH"/>
        </w:rPr>
        <w:t>interconnexion et d</w:t>
      </w:r>
      <w:r w:rsidR="00432DCC">
        <w:rPr>
          <w:lang w:val="fr-CH"/>
        </w:rPr>
        <w:t>'</w:t>
      </w:r>
      <w:r w:rsidRPr="00E23254">
        <w:rPr>
          <w:lang w:val="fr-CH"/>
        </w:rPr>
        <w:t>interopérabilité.</w:t>
      </w:r>
    </w:p>
    <w:p w:rsidR="00FA3E35" w:rsidRDefault="00FA3E35" w:rsidP="005E0192">
      <w:pPr>
        <w:pStyle w:val="enumlev1"/>
        <w:rPr>
          <w:lang w:val="fr-CH"/>
        </w:rPr>
      </w:pPr>
      <w:r>
        <w:rPr>
          <w:lang w:val="fr-CH"/>
        </w:rPr>
        <w:t>g)</w:t>
      </w:r>
      <w:r>
        <w:rPr>
          <w:lang w:val="fr-CH"/>
        </w:rPr>
        <w:tab/>
      </w:r>
      <w:r w:rsidRPr="00E23254">
        <w:rPr>
          <w:lang w:val="fr-CH"/>
        </w:rPr>
        <w:t>Problèmes d</w:t>
      </w:r>
      <w:r w:rsidR="00432DCC">
        <w:rPr>
          <w:lang w:val="fr-CH"/>
        </w:rPr>
        <w:t>'</w:t>
      </w:r>
      <w:r w:rsidRPr="00E23254">
        <w:rPr>
          <w:lang w:val="fr-CH"/>
        </w:rPr>
        <w:t>ordre opérationnel et technique liés au déploiement des réseaux, services et applications large bande, et</w:t>
      </w:r>
      <w:r w:rsidR="006A0025">
        <w:rPr>
          <w:lang w:val="fr-CH"/>
        </w:rPr>
        <w:t xml:space="preserve"> notamment</w:t>
      </w:r>
      <w:r w:rsidRPr="00E23254">
        <w:rPr>
          <w:lang w:val="fr-CH"/>
        </w:rPr>
        <w:t xml:space="preserve"> au passage des réseaux à bande étroite aux réseaux large bande.</w:t>
      </w:r>
    </w:p>
    <w:p w:rsidR="00FA3E35" w:rsidRDefault="00FA3E35">
      <w:pPr>
        <w:pStyle w:val="enumlev1"/>
        <w:rPr>
          <w:lang w:val="fr-CH"/>
        </w:rPr>
      </w:pPr>
      <w:r>
        <w:rPr>
          <w:lang w:val="fr-CH"/>
        </w:rPr>
        <w:t>h)</w:t>
      </w:r>
      <w:r>
        <w:rPr>
          <w:lang w:val="fr-CH"/>
        </w:rPr>
        <w:tab/>
      </w:r>
      <w:r w:rsidR="00435F42" w:rsidRPr="00E23254">
        <w:rPr>
          <w:lang w:val="fr-CH"/>
        </w:rPr>
        <w:t>Solutions pour supprimer les obstacles pratiques au déploiement des infrastructures large bande.</w:t>
      </w:r>
    </w:p>
    <w:p w:rsidR="00435F42" w:rsidRDefault="00435F42">
      <w:pPr>
        <w:pStyle w:val="enumlev1"/>
        <w:rPr>
          <w:lang w:val="fr-CH"/>
        </w:rPr>
      </w:pPr>
      <w:r>
        <w:rPr>
          <w:lang w:val="fr-CH"/>
        </w:rPr>
        <w:lastRenderedPageBreak/>
        <w:t>i)</w:t>
      </w:r>
      <w:r>
        <w:rPr>
          <w:lang w:val="fr-CH"/>
        </w:rPr>
        <w:tab/>
      </w:r>
      <w:r w:rsidR="000A2E37">
        <w:rPr>
          <w:lang w:val="fr-CH"/>
        </w:rPr>
        <w:t>F</w:t>
      </w:r>
      <w:r w:rsidRPr="00412FDE">
        <w:rPr>
          <w:lang w:val="fr-CH"/>
        </w:rPr>
        <w:t>acteurs influ</w:t>
      </w:r>
      <w:r w:rsidR="006A0025">
        <w:rPr>
          <w:lang w:val="fr-CH"/>
        </w:rPr>
        <w:t>a</w:t>
      </w:r>
      <w:r w:rsidRPr="00412FDE">
        <w:rPr>
          <w:lang w:val="fr-CH"/>
        </w:rPr>
        <w:t>nt sur le déploiement efficace des technologies d</w:t>
      </w:r>
      <w:r w:rsidR="00432DCC">
        <w:rPr>
          <w:lang w:val="fr-CH"/>
        </w:rPr>
        <w:t>'</w:t>
      </w:r>
      <w:r w:rsidRPr="00412FDE">
        <w:rPr>
          <w:lang w:val="fr-CH"/>
        </w:rPr>
        <w:t xml:space="preserve">accès </w:t>
      </w:r>
      <w:r w:rsidR="006A0025">
        <w:rPr>
          <w:lang w:val="fr-CH"/>
        </w:rPr>
        <w:t xml:space="preserve">au </w:t>
      </w:r>
      <w:r w:rsidRPr="00412FDE">
        <w:rPr>
          <w:lang w:val="fr-CH"/>
        </w:rPr>
        <w:t>large bande filaires et hertziennes, y</w:t>
      </w:r>
      <w:r w:rsidR="000A2E37">
        <w:rPr>
          <w:lang w:val="fr-CH"/>
        </w:rPr>
        <w:t> </w:t>
      </w:r>
      <w:r w:rsidRPr="00412FDE">
        <w:rPr>
          <w:lang w:val="fr-CH"/>
        </w:rPr>
        <w:t>compris les techniques d</w:t>
      </w:r>
      <w:r w:rsidR="00432DCC">
        <w:rPr>
          <w:lang w:val="fr-CH"/>
        </w:rPr>
        <w:t>'</w:t>
      </w:r>
      <w:r w:rsidRPr="00412FDE">
        <w:rPr>
          <w:lang w:val="fr-CH"/>
        </w:rPr>
        <w:t>accès</w:t>
      </w:r>
      <w:r w:rsidR="000A2E37">
        <w:rPr>
          <w:lang w:val="fr-CH"/>
        </w:rPr>
        <w:t xml:space="preserve"> au large bande</w:t>
      </w:r>
      <w:r w:rsidRPr="00412FDE">
        <w:rPr>
          <w:lang w:val="fr-CH"/>
        </w:rPr>
        <w:t xml:space="preserve"> par satellite, et de leurs applications.</w:t>
      </w:r>
    </w:p>
    <w:p w:rsidR="00435F42" w:rsidRDefault="00435F42">
      <w:pPr>
        <w:pStyle w:val="enumlev1"/>
        <w:rPr>
          <w:lang w:val="fr-CH"/>
        </w:rPr>
      </w:pPr>
      <w:r>
        <w:rPr>
          <w:lang w:val="fr-CH"/>
        </w:rPr>
        <w:t>j)</w:t>
      </w:r>
      <w:r>
        <w:rPr>
          <w:lang w:val="fr-CH"/>
        </w:rPr>
        <w:tab/>
      </w:r>
      <w:r w:rsidR="000A2E37">
        <w:rPr>
          <w:lang w:val="fr-CH"/>
        </w:rPr>
        <w:t>M</w:t>
      </w:r>
      <w:r w:rsidRPr="00412FDE">
        <w:rPr>
          <w:lang w:val="fr-CH"/>
        </w:rPr>
        <w:t xml:space="preserve">éthodes </w:t>
      </w:r>
      <w:r w:rsidR="006A0025">
        <w:rPr>
          <w:lang w:val="fr-CH"/>
        </w:rPr>
        <w:t>à appliquer pour</w:t>
      </w:r>
      <w:r w:rsidRPr="00412FDE">
        <w:rPr>
          <w:lang w:val="fr-CH"/>
        </w:rPr>
        <w:t xml:space="preserve"> la planification du passage aux </w:t>
      </w:r>
      <w:r w:rsidR="006A0025">
        <w:rPr>
          <w:lang w:val="fr-CH"/>
        </w:rPr>
        <w:t>réseaux</w:t>
      </w:r>
      <w:r w:rsidRPr="00412FDE">
        <w:rPr>
          <w:lang w:val="fr-CH"/>
        </w:rPr>
        <w:t xml:space="preserve"> large bande et la mise en oeuvre de technologies</w:t>
      </w:r>
      <w:r w:rsidR="006A0025" w:rsidRPr="006A0025">
        <w:rPr>
          <w:lang w:val="fr-CH"/>
        </w:rPr>
        <w:t xml:space="preserve"> </w:t>
      </w:r>
      <w:r w:rsidR="006A0025" w:rsidRPr="00412FDE">
        <w:rPr>
          <w:lang w:val="fr-CH"/>
        </w:rPr>
        <w:t>d</w:t>
      </w:r>
      <w:r w:rsidR="00432DCC">
        <w:rPr>
          <w:lang w:val="fr-CH"/>
        </w:rPr>
        <w:t>'</w:t>
      </w:r>
      <w:r w:rsidR="006A0025" w:rsidRPr="00412FDE">
        <w:rPr>
          <w:lang w:val="fr-CH"/>
        </w:rPr>
        <w:t xml:space="preserve">accès </w:t>
      </w:r>
      <w:r w:rsidR="006A0025">
        <w:rPr>
          <w:lang w:val="fr-CH"/>
        </w:rPr>
        <w:t xml:space="preserve">au </w:t>
      </w:r>
      <w:r w:rsidR="006A0025" w:rsidRPr="00412FDE">
        <w:rPr>
          <w:lang w:val="fr-CH"/>
        </w:rPr>
        <w:t>large bande</w:t>
      </w:r>
      <w:r w:rsidRPr="00412FDE">
        <w:rPr>
          <w:lang w:val="fr-CH"/>
        </w:rPr>
        <w:t>, compte tenu des réseaux existants, selon qu</w:t>
      </w:r>
      <w:r w:rsidR="00432DCC">
        <w:rPr>
          <w:lang w:val="fr-CH"/>
        </w:rPr>
        <w:t>'</w:t>
      </w:r>
      <w:r w:rsidRPr="00412FDE">
        <w:rPr>
          <w:lang w:val="fr-CH"/>
        </w:rPr>
        <w:t>il conviendra.</w:t>
      </w:r>
    </w:p>
    <w:p w:rsidR="00435F42" w:rsidRDefault="00435F42">
      <w:pPr>
        <w:pStyle w:val="enumlev1"/>
        <w:rPr>
          <w:lang w:val="fr-CH"/>
        </w:rPr>
      </w:pPr>
      <w:r>
        <w:rPr>
          <w:lang w:val="fr-CH"/>
        </w:rPr>
        <w:t>k)</w:t>
      </w:r>
      <w:r>
        <w:rPr>
          <w:lang w:val="fr-CH"/>
        </w:rPr>
        <w:tab/>
      </w:r>
      <w:r w:rsidR="000A2E37">
        <w:rPr>
          <w:lang w:val="fr-CH"/>
        </w:rPr>
        <w:t>E</w:t>
      </w:r>
      <w:r w:rsidRPr="00412FDE">
        <w:rPr>
          <w:lang w:val="fr-CH"/>
        </w:rPr>
        <w:t>volution des diverses technologies d</w:t>
      </w:r>
      <w:r w:rsidR="00432DCC">
        <w:rPr>
          <w:lang w:val="fr-CH"/>
        </w:rPr>
        <w:t>'</w:t>
      </w:r>
      <w:r w:rsidRPr="00412FDE">
        <w:rPr>
          <w:lang w:val="fr-CH"/>
        </w:rPr>
        <w:t xml:space="preserve">accès </w:t>
      </w:r>
      <w:r w:rsidR="006A0025">
        <w:rPr>
          <w:lang w:val="fr-CH"/>
        </w:rPr>
        <w:t xml:space="preserve">au </w:t>
      </w:r>
      <w:r w:rsidRPr="00412FDE">
        <w:rPr>
          <w:lang w:val="fr-CH"/>
        </w:rPr>
        <w:t>large bande</w:t>
      </w:r>
      <w:r w:rsidR="006A0025">
        <w:rPr>
          <w:lang w:val="fr-CH"/>
        </w:rPr>
        <w:t>,</w:t>
      </w:r>
      <w:r w:rsidRPr="00412FDE">
        <w:rPr>
          <w:lang w:val="fr-CH"/>
        </w:rPr>
        <w:t xml:space="preserve"> </w:t>
      </w:r>
      <w:r w:rsidR="006A0025">
        <w:rPr>
          <w:lang w:val="fr-CH"/>
        </w:rPr>
        <w:t xml:space="preserve">du </w:t>
      </w:r>
      <w:r w:rsidRPr="00412FDE">
        <w:rPr>
          <w:lang w:val="fr-CH"/>
        </w:rPr>
        <w:t>déploiement, de</w:t>
      </w:r>
      <w:r w:rsidR="006A0025">
        <w:rPr>
          <w:lang w:val="fr-CH"/>
        </w:rPr>
        <w:t>s</w:t>
      </w:r>
      <w:r w:rsidRPr="00412FDE">
        <w:rPr>
          <w:lang w:val="fr-CH"/>
        </w:rPr>
        <w:t xml:space="preserve"> services offerts et de</w:t>
      </w:r>
      <w:r w:rsidR="006A0025">
        <w:rPr>
          <w:lang w:val="fr-CH"/>
        </w:rPr>
        <w:t>s</w:t>
      </w:r>
      <w:r w:rsidRPr="00412FDE">
        <w:rPr>
          <w:lang w:val="fr-CH"/>
        </w:rPr>
        <w:t xml:space="preserve"> considérations touchant à la réglementation.</w:t>
      </w:r>
    </w:p>
    <w:p w:rsidR="00435F42" w:rsidRPr="00432DCC" w:rsidRDefault="00435F42">
      <w:pPr>
        <w:pStyle w:val="enumlev1"/>
        <w:rPr>
          <w:lang w:val="fr-CH"/>
        </w:rPr>
      </w:pPr>
      <w:r w:rsidRPr="00432DCC">
        <w:rPr>
          <w:lang w:val="fr-CH"/>
        </w:rPr>
        <w:t>l)</w:t>
      </w:r>
      <w:r w:rsidRPr="00432DCC">
        <w:rPr>
          <w:lang w:val="fr-CH"/>
        </w:rPr>
        <w:tab/>
      </w:r>
      <w:r w:rsidR="00547414" w:rsidRPr="00432DCC">
        <w:rPr>
          <w:lang w:val="fr-CH"/>
        </w:rPr>
        <w:t>Politiques, strat</w:t>
      </w:r>
      <w:r w:rsidR="000A2E37">
        <w:rPr>
          <w:lang w:val="fr-CH"/>
        </w:rPr>
        <w:t>é</w:t>
      </w:r>
      <w:r w:rsidR="00547414" w:rsidRPr="00432DCC">
        <w:rPr>
          <w:lang w:val="fr-CH"/>
        </w:rPr>
        <w:t xml:space="preserve">gies et plans nationaux dans le domaine du numérique, </w:t>
      </w:r>
      <w:r w:rsidR="000A2E37">
        <w:rPr>
          <w:lang w:val="fr-CH"/>
        </w:rPr>
        <w:t xml:space="preserve">visant à </w:t>
      </w:r>
      <w:r w:rsidR="00547414">
        <w:rPr>
          <w:lang w:val="fr-CH"/>
        </w:rPr>
        <w:t>faire en sorte que le plus grand nombre d</w:t>
      </w:r>
      <w:r w:rsidR="00432DCC">
        <w:rPr>
          <w:lang w:val="fr-CH"/>
        </w:rPr>
        <w:t>'</w:t>
      </w:r>
      <w:r w:rsidR="00547414">
        <w:rPr>
          <w:lang w:val="fr-CH"/>
        </w:rPr>
        <w:t>utilisateurs possibles aient accès aux technologies large</w:t>
      </w:r>
      <w:r w:rsidR="000A2E37">
        <w:rPr>
          <w:lang w:val="fr-CH"/>
        </w:rPr>
        <w:t> </w:t>
      </w:r>
      <w:r w:rsidR="00547414">
        <w:rPr>
          <w:lang w:val="fr-CH"/>
        </w:rPr>
        <w:t xml:space="preserve">bande et </w:t>
      </w:r>
      <w:r w:rsidRPr="00432DCC">
        <w:rPr>
          <w:lang w:val="fr-CH"/>
        </w:rPr>
        <w:t>IP</w:t>
      </w:r>
      <w:r w:rsidR="000A2E37">
        <w:rPr>
          <w:lang w:val="fr-CH"/>
        </w:rPr>
        <w:t>.</w:t>
      </w:r>
    </w:p>
    <w:p w:rsidR="00435F42" w:rsidRPr="00432DCC" w:rsidRDefault="00435F42">
      <w:pPr>
        <w:pStyle w:val="enumlev1"/>
        <w:rPr>
          <w:lang w:val="fr-CH"/>
        </w:rPr>
      </w:pPr>
      <w:r w:rsidRPr="00432DCC">
        <w:rPr>
          <w:lang w:val="fr-CH"/>
        </w:rPr>
        <w:t>m)</w:t>
      </w:r>
      <w:r w:rsidRPr="00432DCC">
        <w:rPr>
          <w:lang w:val="fr-CH"/>
        </w:rPr>
        <w:tab/>
      </w:r>
      <w:r w:rsidR="00547414" w:rsidRPr="00432DCC">
        <w:rPr>
          <w:lang w:val="fr-CH"/>
        </w:rPr>
        <w:t>Approche</w:t>
      </w:r>
      <w:r w:rsidR="00547414">
        <w:rPr>
          <w:lang w:val="fr-CH"/>
        </w:rPr>
        <w:t>s</w:t>
      </w:r>
      <w:r w:rsidR="00547414" w:rsidRPr="00432DCC">
        <w:rPr>
          <w:lang w:val="fr-CH"/>
        </w:rPr>
        <w:t xml:space="preserve"> souple</w:t>
      </w:r>
      <w:r w:rsidR="00547414">
        <w:rPr>
          <w:lang w:val="fr-CH"/>
        </w:rPr>
        <w:t>s</w:t>
      </w:r>
      <w:r w:rsidR="00547414" w:rsidRPr="00432DCC">
        <w:rPr>
          <w:lang w:val="fr-CH"/>
        </w:rPr>
        <w:t xml:space="preserve"> et transparente</w:t>
      </w:r>
      <w:r w:rsidR="00547414">
        <w:rPr>
          <w:lang w:val="fr-CH"/>
        </w:rPr>
        <w:t>s</w:t>
      </w:r>
      <w:r w:rsidR="00547414" w:rsidRPr="00432DCC">
        <w:rPr>
          <w:lang w:val="fr-CH"/>
        </w:rPr>
        <w:t xml:space="preserve"> pour encourager une saine concurrence dans la fourniture de l</w:t>
      </w:r>
      <w:r w:rsidR="00432DCC">
        <w:rPr>
          <w:lang w:val="fr-CH"/>
        </w:rPr>
        <w:t>'</w:t>
      </w:r>
      <w:r w:rsidR="00547414" w:rsidRPr="00432DCC">
        <w:rPr>
          <w:lang w:val="fr-CH"/>
        </w:rPr>
        <w:t>accès au</w:t>
      </w:r>
      <w:r w:rsidR="00547414">
        <w:rPr>
          <w:lang w:val="fr-CH"/>
        </w:rPr>
        <w:t>x</w:t>
      </w:r>
      <w:r w:rsidR="00547414" w:rsidRPr="00432DCC">
        <w:rPr>
          <w:lang w:val="fr-CH"/>
        </w:rPr>
        <w:t xml:space="preserve"> réseau</w:t>
      </w:r>
      <w:r w:rsidR="00F80E80">
        <w:rPr>
          <w:lang w:val="fr-CH"/>
        </w:rPr>
        <w:t>x</w:t>
      </w:r>
      <w:r w:rsidR="00547414" w:rsidRPr="00432DCC">
        <w:rPr>
          <w:lang w:val="fr-CH"/>
        </w:rPr>
        <w:t xml:space="preserve"> et de services numériques </w:t>
      </w:r>
      <w:r w:rsidR="00547414">
        <w:rPr>
          <w:lang w:val="fr-CH"/>
        </w:rPr>
        <w:t xml:space="preserve">destinés aux </w:t>
      </w:r>
      <w:r w:rsidR="00547414" w:rsidRPr="00432DCC">
        <w:rPr>
          <w:lang w:val="fr-CH"/>
        </w:rPr>
        <w:t>utilisateur</w:t>
      </w:r>
      <w:r w:rsidR="00547414">
        <w:rPr>
          <w:lang w:val="fr-CH"/>
        </w:rPr>
        <w:t>s</w:t>
      </w:r>
      <w:r w:rsidR="00547414" w:rsidRPr="00432DCC">
        <w:rPr>
          <w:lang w:val="fr-CH"/>
        </w:rPr>
        <w:t xml:space="preserve"> final</w:t>
      </w:r>
      <w:r w:rsidR="00547414">
        <w:rPr>
          <w:lang w:val="fr-CH"/>
        </w:rPr>
        <w:t>s</w:t>
      </w:r>
      <w:r w:rsidR="00573AD3">
        <w:rPr>
          <w:lang w:val="fr-CH"/>
        </w:rPr>
        <w:t>.</w:t>
      </w:r>
    </w:p>
    <w:p w:rsidR="00435F42" w:rsidRPr="00432DCC" w:rsidRDefault="00435F42">
      <w:pPr>
        <w:pStyle w:val="enumlev1"/>
        <w:rPr>
          <w:lang w:val="fr-CH"/>
        </w:rPr>
      </w:pPr>
      <w:r w:rsidRPr="00432DCC">
        <w:rPr>
          <w:lang w:val="fr-CH"/>
        </w:rPr>
        <w:t>n)</w:t>
      </w:r>
      <w:r w:rsidRPr="00432DCC">
        <w:rPr>
          <w:lang w:val="fr-CH"/>
        </w:rPr>
        <w:tab/>
      </w:r>
      <w:r w:rsidR="00547414">
        <w:rPr>
          <w:lang w:val="fr-CH"/>
        </w:rPr>
        <w:t>Co-investissements et colocali</w:t>
      </w:r>
      <w:r w:rsidR="00547414" w:rsidRPr="00432DCC">
        <w:rPr>
          <w:lang w:val="fr-CH"/>
        </w:rPr>
        <w:t>sation</w:t>
      </w:r>
      <w:r w:rsidR="00547414">
        <w:rPr>
          <w:lang w:val="fr-CH"/>
        </w:rPr>
        <w:t xml:space="preserve"> </w:t>
      </w:r>
      <w:r w:rsidR="00547414" w:rsidRPr="00432DCC">
        <w:rPr>
          <w:lang w:val="fr-CH"/>
        </w:rPr>
        <w:t xml:space="preserve">et utilisation en partage des infrastructures, </w:t>
      </w:r>
      <w:r w:rsidR="00547414">
        <w:rPr>
          <w:lang w:val="fr-CH"/>
        </w:rPr>
        <w:t>notamment dans le cadre du partage</w:t>
      </w:r>
      <w:r w:rsidR="00547414" w:rsidRPr="00547414">
        <w:rPr>
          <w:color w:val="000000"/>
        </w:rPr>
        <w:t xml:space="preserve"> </w:t>
      </w:r>
      <w:r w:rsidR="00547414">
        <w:rPr>
          <w:color w:val="000000"/>
        </w:rPr>
        <w:t>des infrastructures actives</w:t>
      </w:r>
      <w:r w:rsidR="00573AD3">
        <w:rPr>
          <w:color w:val="000000"/>
        </w:rPr>
        <w:t>.</w:t>
      </w:r>
    </w:p>
    <w:p w:rsidR="00435F42" w:rsidRPr="00432DCC" w:rsidRDefault="00435F42" w:rsidP="00432DCC">
      <w:pPr>
        <w:pStyle w:val="enumlev1"/>
        <w:rPr>
          <w:lang w:val="fr-CH"/>
        </w:rPr>
      </w:pPr>
      <w:r w:rsidRPr="00432DCC">
        <w:rPr>
          <w:lang w:val="fr-CH"/>
        </w:rPr>
        <w:t>o)</w:t>
      </w:r>
      <w:r w:rsidRPr="00432DCC">
        <w:rPr>
          <w:lang w:val="fr-CH"/>
        </w:rPr>
        <w:tab/>
      </w:r>
      <w:r w:rsidR="00547414" w:rsidRPr="00432DCC">
        <w:rPr>
          <w:lang w:val="fr-CH"/>
        </w:rPr>
        <w:t>Régimes de licences innovants et</w:t>
      </w:r>
      <w:r w:rsidR="00573AD3">
        <w:rPr>
          <w:lang w:val="fr-CH"/>
        </w:rPr>
        <w:t xml:space="preserve"> mesures d</w:t>
      </w:r>
      <w:r w:rsidR="00432DCC">
        <w:rPr>
          <w:lang w:val="fr-CH"/>
        </w:rPr>
        <w:t>'</w:t>
      </w:r>
      <w:r w:rsidR="00547414" w:rsidRPr="00432DCC">
        <w:rPr>
          <w:color w:val="000000"/>
          <w:lang w:val="fr-CH"/>
        </w:rPr>
        <w:t xml:space="preserve">incitation </w:t>
      </w:r>
      <w:r w:rsidR="00573AD3">
        <w:rPr>
          <w:color w:val="000000"/>
          <w:lang w:val="fr-CH"/>
        </w:rPr>
        <w:t xml:space="preserve">en faveur de la mise </w:t>
      </w:r>
      <w:r w:rsidR="00547414" w:rsidRPr="00432DCC">
        <w:rPr>
          <w:color w:val="000000"/>
          <w:lang w:val="fr-CH"/>
        </w:rPr>
        <w:t>au point de nouveaux modèles</w:t>
      </w:r>
      <w:r w:rsidR="00547414" w:rsidRPr="00432DCC">
        <w:rPr>
          <w:lang w:val="fr-CH"/>
        </w:rPr>
        <w:t xml:space="preserve"> </w:t>
      </w:r>
      <w:r w:rsidR="00192DEC">
        <w:rPr>
          <w:lang w:val="fr-CH"/>
        </w:rPr>
        <w:t xml:space="preserve">économiques pour </w:t>
      </w:r>
      <w:r w:rsidR="00573AD3">
        <w:rPr>
          <w:lang w:val="fr-CH"/>
        </w:rPr>
        <w:t>la desserte des</w:t>
      </w:r>
      <w:r w:rsidR="00192DEC">
        <w:rPr>
          <w:lang w:val="fr-CH"/>
        </w:rPr>
        <w:t xml:space="preserve"> zones rurales et isolées, de façon à intégrer avec davantage d</w:t>
      </w:r>
      <w:r w:rsidR="00432DCC">
        <w:rPr>
          <w:lang w:val="fr-CH"/>
        </w:rPr>
        <w:t>'</w:t>
      </w:r>
      <w:r w:rsidR="00192DEC">
        <w:rPr>
          <w:lang w:val="fr-CH"/>
        </w:rPr>
        <w:t>efficacité l</w:t>
      </w:r>
      <w:r w:rsidR="00432DCC">
        <w:rPr>
          <w:lang w:val="fr-CH"/>
        </w:rPr>
        <w:t>'</w:t>
      </w:r>
      <w:r w:rsidR="00192DEC">
        <w:rPr>
          <w:lang w:val="fr-CH"/>
        </w:rPr>
        <w:t>utilisation des infrastructures de télécommunication de Terre, par satellite et par câbles sous-marins</w:t>
      </w:r>
      <w:r w:rsidR="00573AD3">
        <w:rPr>
          <w:lang w:val="fr-CH"/>
        </w:rPr>
        <w:t>.</w:t>
      </w:r>
    </w:p>
    <w:p w:rsidR="00435F42" w:rsidRPr="00432DCC" w:rsidRDefault="00435F42" w:rsidP="00432DCC">
      <w:pPr>
        <w:pStyle w:val="enumlev1"/>
        <w:rPr>
          <w:lang w:val="fr-CH"/>
        </w:rPr>
      </w:pPr>
      <w:r w:rsidRPr="00432DCC">
        <w:rPr>
          <w:lang w:val="fr-CH"/>
        </w:rPr>
        <w:t>p)</w:t>
      </w:r>
      <w:r w:rsidRPr="00432DCC">
        <w:rPr>
          <w:lang w:val="fr-CH"/>
        </w:rPr>
        <w:tab/>
      </w:r>
      <w:r w:rsidR="00192DEC" w:rsidRPr="00432DCC">
        <w:rPr>
          <w:lang w:val="fr-CH"/>
        </w:rPr>
        <w:t>Stratégies globales et mécanismes de financement en matière d</w:t>
      </w:r>
      <w:r w:rsidR="00432DCC">
        <w:rPr>
          <w:lang w:val="fr-CH"/>
        </w:rPr>
        <w:t>'</w:t>
      </w:r>
      <w:r w:rsidR="00192DEC" w:rsidRPr="00432DCC">
        <w:rPr>
          <w:lang w:val="fr-CH"/>
        </w:rPr>
        <w:t xml:space="preserve">accès et de service universels </w:t>
      </w:r>
      <w:r w:rsidR="00573AD3">
        <w:rPr>
          <w:lang w:val="fr-CH"/>
        </w:rPr>
        <w:t xml:space="preserve">propres à </w:t>
      </w:r>
      <w:r w:rsidR="00192DEC" w:rsidRPr="00432DCC">
        <w:rPr>
          <w:lang w:val="fr-CH"/>
        </w:rPr>
        <w:t>favoriser l</w:t>
      </w:r>
      <w:r w:rsidR="00432DCC">
        <w:rPr>
          <w:lang w:val="fr-CH"/>
        </w:rPr>
        <w:t>'</w:t>
      </w:r>
      <w:r w:rsidR="00192DEC" w:rsidRPr="00432DCC">
        <w:rPr>
          <w:lang w:val="fr-CH"/>
        </w:rPr>
        <w:t xml:space="preserve">expansion des réseaux </w:t>
      </w:r>
      <w:r w:rsidR="00573AD3">
        <w:rPr>
          <w:lang w:val="fr-CH"/>
        </w:rPr>
        <w:t xml:space="preserve">et à </w:t>
      </w:r>
      <w:r w:rsidR="00192DEC">
        <w:rPr>
          <w:lang w:val="fr-CH"/>
        </w:rPr>
        <w:t>assurer une</w:t>
      </w:r>
      <w:r w:rsidR="00192DEC" w:rsidRPr="00432DCC">
        <w:rPr>
          <w:lang w:val="fr-CH"/>
        </w:rPr>
        <w:t xml:space="preserve"> connectivité </w:t>
      </w:r>
      <w:r w:rsidR="00192DEC">
        <w:rPr>
          <w:lang w:val="fr-CH"/>
        </w:rPr>
        <w:t>pour les organismes publics et la communauté, et mesures visant à stimuler la demande, par exemple l</w:t>
      </w:r>
      <w:r w:rsidR="00432DCC">
        <w:rPr>
          <w:lang w:val="fr-CH"/>
        </w:rPr>
        <w:t>'</w:t>
      </w:r>
      <w:r w:rsidR="00192DEC">
        <w:rPr>
          <w:lang w:val="fr-CH"/>
        </w:rPr>
        <w:t>octroi de subventions aux utilisateurs finals</w:t>
      </w:r>
      <w:r w:rsidR="00573AD3">
        <w:rPr>
          <w:lang w:val="fr-CH"/>
        </w:rPr>
        <w:t>.</w:t>
      </w:r>
    </w:p>
    <w:p w:rsidR="00841703" w:rsidRPr="00432DCC" w:rsidRDefault="00435F42" w:rsidP="00432DCC">
      <w:pPr>
        <w:pStyle w:val="enumlev1"/>
        <w:rPr>
          <w:lang w:val="fr-CH"/>
        </w:rPr>
      </w:pPr>
      <w:r w:rsidRPr="00432DCC">
        <w:rPr>
          <w:lang w:val="fr-CH"/>
        </w:rPr>
        <w:t>q)</w:t>
      </w:r>
      <w:r w:rsidRPr="00432DCC">
        <w:rPr>
          <w:lang w:val="fr-CH"/>
        </w:rPr>
        <w:tab/>
      </w:r>
      <w:r w:rsidR="0081086F" w:rsidRPr="00432DCC">
        <w:rPr>
          <w:lang w:val="fr-CH"/>
        </w:rPr>
        <w:t>Mesures d</w:t>
      </w:r>
      <w:r w:rsidR="00432DCC">
        <w:rPr>
          <w:lang w:val="fr-CH"/>
        </w:rPr>
        <w:t>'</w:t>
      </w:r>
      <w:r w:rsidR="0081086F" w:rsidRPr="00432DCC">
        <w:rPr>
          <w:lang w:val="fr-CH"/>
        </w:rPr>
        <w:t>incitation réglementaire</w:t>
      </w:r>
      <w:r w:rsidR="00573AD3">
        <w:rPr>
          <w:lang w:val="fr-CH"/>
        </w:rPr>
        <w:t>s</w:t>
      </w:r>
      <w:r w:rsidR="0081086F" w:rsidRPr="00432DCC">
        <w:rPr>
          <w:lang w:val="fr-CH"/>
        </w:rPr>
        <w:t xml:space="preserve"> </w:t>
      </w:r>
      <w:r w:rsidR="00573AD3">
        <w:rPr>
          <w:lang w:val="fr-CH"/>
        </w:rPr>
        <w:t xml:space="preserve">et </w:t>
      </w:r>
      <w:r w:rsidR="0081086F" w:rsidRPr="00432DCC">
        <w:rPr>
          <w:lang w:val="fr-CH"/>
        </w:rPr>
        <w:t>politique en faveur de l</w:t>
      </w:r>
      <w:r w:rsidR="00432DCC">
        <w:rPr>
          <w:lang w:val="fr-CH"/>
        </w:rPr>
        <w:t>'</w:t>
      </w:r>
      <w:r w:rsidR="0081086F" w:rsidRPr="00432DCC">
        <w:rPr>
          <w:lang w:val="fr-CH"/>
        </w:rPr>
        <w:t>investissement dans les réseaux large bande à haut débit et</w:t>
      </w:r>
      <w:r w:rsidR="0081086F">
        <w:rPr>
          <w:lang w:val="fr-CH"/>
        </w:rPr>
        <w:t xml:space="preserve"> de grande capacité</w:t>
      </w:r>
      <w:r w:rsidR="00573AD3">
        <w:rPr>
          <w:lang w:val="fr-CH"/>
        </w:rPr>
        <w:t>.</w:t>
      </w:r>
    </w:p>
    <w:p w:rsidR="00841703" w:rsidRPr="00432DCC" w:rsidRDefault="00841703" w:rsidP="00432DCC">
      <w:pPr>
        <w:pStyle w:val="enumlev1"/>
        <w:rPr>
          <w:lang w:val="fr-CH"/>
        </w:rPr>
      </w:pPr>
      <w:r w:rsidRPr="00432DCC">
        <w:rPr>
          <w:lang w:val="fr-CH"/>
        </w:rPr>
        <w:t>r)</w:t>
      </w:r>
      <w:r w:rsidRPr="00432DCC">
        <w:rPr>
          <w:lang w:val="fr-CH"/>
        </w:rPr>
        <w:tab/>
      </w:r>
      <w:r w:rsidR="0081086F" w:rsidRPr="00432DCC">
        <w:rPr>
          <w:lang w:val="fr-CH"/>
        </w:rPr>
        <w:t>Nouvelle</w:t>
      </w:r>
      <w:r w:rsidR="0081086F">
        <w:rPr>
          <w:lang w:val="fr-CH"/>
        </w:rPr>
        <w:t>s</w:t>
      </w:r>
      <w:r w:rsidR="0081086F" w:rsidRPr="00432DCC">
        <w:rPr>
          <w:lang w:val="fr-CH"/>
        </w:rPr>
        <w:t xml:space="preserve"> politique</w:t>
      </w:r>
      <w:r w:rsidR="0081086F">
        <w:rPr>
          <w:lang w:val="fr-CH"/>
        </w:rPr>
        <w:t>s</w:t>
      </w:r>
      <w:r w:rsidR="0081086F" w:rsidRPr="00432DCC">
        <w:rPr>
          <w:lang w:val="fr-CH"/>
        </w:rPr>
        <w:t xml:space="preserve"> permettant d</w:t>
      </w:r>
      <w:r w:rsidR="00432DCC">
        <w:rPr>
          <w:lang w:val="fr-CH"/>
        </w:rPr>
        <w:t>'</w:t>
      </w:r>
      <w:r w:rsidR="0081086F" w:rsidRPr="00432DCC">
        <w:rPr>
          <w:lang w:val="fr-CH"/>
        </w:rPr>
        <w:t xml:space="preserve">offrir un accès financièrement abordable </w:t>
      </w:r>
      <w:r w:rsidR="0081086F">
        <w:rPr>
          <w:lang w:val="fr-CH"/>
        </w:rPr>
        <w:t xml:space="preserve">aux </w:t>
      </w:r>
      <w:r w:rsidR="0081086F" w:rsidRPr="00432DCC">
        <w:rPr>
          <w:lang w:val="fr-CH"/>
        </w:rPr>
        <w:t>services numérique</w:t>
      </w:r>
      <w:r w:rsidR="00573AD3">
        <w:rPr>
          <w:lang w:val="fr-CH"/>
        </w:rPr>
        <w:t>s</w:t>
      </w:r>
      <w:r w:rsidR="0081086F" w:rsidRPr="00432DCC">
        <w:rPr>
          <w:lang w:val="fr-CH"/>
        </w:rPr>
        <w:t xml:space="preserve"> pour les différents </w:t>
      </w:r>
      <w:r w:rsidR="0081086F">
        <w:rPr>
          <w:lang w:val="fr-CH"/>
        </w:rPr>
        <w:t xml:space="preserve">groupes et </w:t>
      </w:r>
      <w:r w:rsidR="0081086F" w:rsidRPr="00432DCC">
        <w:rPr>
          <w:lang w:val="fr-CH"/>
        </w:rPr>
        <w:t>les différentes communautés cible</w:t>
      </w:r>
      <w:r w:rsidR="0081086F">
        <w:rPr>
          <w:lang w:val="fr-CH"/>
        </w:rPr>
        <w:t>s</w:t>
      </w:r>
      <w:r w:rsidR="00573AD3">
        <w:rPr>
          <w:lang w:val="fr-CH"/>
        </w:rPr>
        <w:t>,</w:t>
      </w:r>
      <w:r w:rsidR="0081086F" w:rsidRPr="00432DCC">
        <w:rPr>
          <w:lang w:val="fr-CH"/>
        </w:rPr>
        <w:t xml:space="preserve"> et mise en </w:t>
      </w:r>
      <w:r w:rsidR="00432DCC">
        <w:rPr>
          <w:lang w:val="fr-CH"/>
        </w:rPr>
        <w:t>oe</w:t>
      </w:r>
      <w:r w:rsidR="0081086F" w:rsidRPr="00432DCC">
        <w:rPr>
          <w:lang w:val="fr-CH"/>
        </w:rPr>
        <w:t>uvre de stratégies en matière d</w:t>
      </w:r>
      <w:r w:rsidR="00432DCC">
        <w:rPr>
          <w:lang w:val="fr-CH"/>
        </w:rPr>
        <w:t>'</w:t>
      </w:r>
      <w:r w:rsidR="0081086F" w:rsidRPr="00432DCC">
        <w:rPr>
          <w:lang w:val="fr-CH"/>
        </w:rPr>
        <w:t xml:space="preserve">accès universel, </w:t>
      </w:r>
      <w:r w:rsidR="0081086F">
        <w:rPr>
          <w:lang w:val="fr-CH"/>
        </w:rPr>
        <w:t>indépendamment du facteur démographique et du lieu où se trouvent les utilisateurs</w:t>
      </w:r>
      <w:r w:rsidR="00573AD3">
        <w:rPr>
          <w:lang w:val="fr-CH"/>
        </w:rPr>
        <w:t>.</w:t>
      </w:r>
    </w:p>
    <w:p w:rsidR="00841703" w:rsidRPr="00432DCC" w:rsidRDefault="00841703" w:rsidP="00432DCC">
      <w:pPr>
        <w:pStyle w:val="enumlev1"/>
        <w:rPr>
          <w:lang w:val="fr-CH"/>
        </w:rPr>
      </w:pPr>
      <w:r w:rsidRPr="00432DCC">
        <w:rPr>
          <w:lang w:val="fr-CH"/>
        </w:rPr>
        <w:t>s)</w:t>
      </w:r>
      <w:r w:rsidRPr="00432DCC">
        <w:rPr>
          <w:lang w:val="fr-CH"/>
        </w:rPr>
        <w:tab/>
      </w:r>
      <w:r w:rsidR="0081086F" w:rsidRPr="00432DCC">
        <w:rPr>
          <w:lang w:val="fr-CH"/>
        </w:rPr>
        <w:t xml:space="preserve">Problèmes réglementaires </w:t>
      </w:r>
      <w:r w:rsidR="00B54FE2">
        <w:rPr>
          <w:lang w:val="fr-CH"/>
        </w:rPr>
        <w:t xml:space="preserve">à résoudre </w:t>
      </w:r>
      <w:r w:rsidR="0081086F" w:rsidRPr="00432DCC">
        <w:rPr>
          <w:lang w:val="fr-CH"/>
        </w:rPr>
        <w:t>et politiques à adopter pour tirer parti de l</w:t>
      </w:r>
      <w:r w:rsidR="00432DCC">
        <w:rPr>
          <w:lang w:val="fr-CH"/>
        </w:rPr>
        <w:t>'</w:t>
      </w:r>
      <w:r w:rsidR="0081086F" w:rsidRPr="00432DCC">
        <w:rPr>
          <w:lang w:val="fr-CH"/>
        </w:rPr>
        <w:t>essor des nouvelles technologies dans l</w:t>
      </w:r>
      <w:r w:rsidR="00432DCC">
        <w:rPr>
          <w:lang w:val="fr-CH"/>
        </w:rPr>
        <w:t>'</w:t>
      </w:r>
      <w:r w:rsidR="0081086F" w:rsidRPr="00432DCC">
        <w:rPr>
          <w:lang w:val="fr-CH"/>
        </w:rPr>
        <w:t>économie et la société numériques</w:t>
      </w:r>
      <w:r w:rsidR="00573AD3">
        <w:rPr>
          <w:lang w:val="fr-CH"/>
        </w:rPr>
        <w:t>.</w:t>
      </w:r>
    </w:p>
    <w:p w:rsidR="001A5EE5" w:rsidRPr="00432DCC" w:rsidRDefault="0081086F" w:rsidP="00432DCC">
      <w:pPr>
        <w:pStyle w:val="Headingb0"/>
        <w:rPr>
          <w:b w:val="0"/>
        </w:rPr>
      </w:pPr>
      <w:r w:rsidRPr="00432DCC">
        <w:t xml:space="preserve">Développement et déploiement </w:t>
      </w:r>
      <w:r>
        <w:t xml:space="preserve">des services sur mobile </w:t>
      </w:r>
    </w:p>
    <w:p w:rsidR="001A5EE5" w:rsidRPr="00432DCC" w:rsidRDefault="001A5EE5" w:rsidP="00432DCC">
      <w:pPr>
        <w:pStyle w:val="enumlev1"/>
        <w:rPr>
          <w:lang w:val="fr-CH"/>
        </w:rPr>
      </w:pPr>
      <w:r w:rsidRPr="00432DCC">
        <w:rPr>
          <w:lang w:val="fr-CH"/>
        </w:rPr>
        <w:t>a)</w:t>
      </w:r>
      <w:r w:rsidRPr="00432DCC">
        <w:rPr>
          <w:lang w:val="fr-CH"/>
        </w:rPr>
        <w:tab/>
      </w:r>
      <w:r w:rsidR="0081086F">
        <w:rPr>
          <w:lang w:val="fr-CH"/>
        </w:rPr>
        <w:t xml:space="preserve">Méthodes à appliquer pour le développement et le déploiement de services intersectoriels tels que le commerce électronique, les finances en ligne et la cybergouvernance, notamment </w:t>
      </w:r>
      <w:r w:rsidR="0081086F" w:rsidRPr="00432DCC">
        <w:rPr>
          <w:color w:val="000000"/>
          <w:lang w:val="fr-CH"/>
        </w:rPr>
        <w:t>les transferts d</w:t>
      </w:r>
      <w:r w:rsidR="00432DCC">
        <w:rPr>
          <w:color w:val="000000"/>
          <w:lang w:val="fr-CH"/>
        </w:rPr>
        <w:t>'</w:t>
      </w:r>
      <w:r w:rsidR="0081086F" w:rsidRPr="00432DCC">
        <w:rPr>
          <w:color w:val="000000"/>
          <w:lang w:val="fr-CH"/>
        </w:rPr>
        <w:t>argent sur mobile, les services bancaires sur mobile et le commerce sur mobile</w:t>
      </w:r>
      <w:r w:rsidR="00573AD3">
        <w:rPr>
          <w:color w:val="000000"/>
          <w:lang w:val="fr-CH"/>
        </w:rPr>
        <w:t>.</w:t>
      </w:r>
    </w:p>
    <w:p w:rsidR="001A5EE5" w:rsidRPr="00432DCC" w:rsidRDefault="001A5EE5" w:rsidP="00432DCC">
      <w:pPr>
        <w:pStyle w:val="enumlev1"/>
        <w:rPr>
          <w:lang w:val="fr-CH"/>
        </w:rPr>
      </w:pPr>
      <w:r w:rsidRPr="00432DCC">
        <w:rPr>
          <w:lang w:val="fr-CH"/>
        </w:rPr>
        <w:t>b)</w:t>
      </w:r>
      <w:r w:rsidRPr="00432DCC">
        <w:rPr>
          <w:lang w:val="fr-CH"/>
        </w:rPr>
        <w:tab/>
      </w:r>
      <w:r w:rsidR="00573AD3">
        <w:rPr>
          <w:lang w:val="fr-CH"/>
        </w:rPr>
        <w:t>F</w:t>
      </w:r>
      <w:r w:rsidR="00B54FE2" w:rsidRPr="00432DCC">
        <w:rPr>
          <w:lang w:val="fr-CH"/>
        </w:rPr>
        <w:t>acilit</w:t>
      </w:r>
      <w:r w:rsidR="00B54FE2">
        <w:rPr>
          <w:lang w:val="fr-CH"/>
        </w:rPr>
        <w:t>er</w:t>
      </w:r>
      <w:r w:rsidR="00B54FE2" w:rsidRPr="00432DCC">
        <w:rPr>
          <w:lang w:val="fr-CH"/>
        </w:rPr>
        <w:t xml:space="preserve"> la mise à disposition et l</w:t>
      </w:r>
      <w:r w:rsidR="00432DCC">
        <w:rPr>
          <w:lang w:val="fr-CH"/>
        </w:rPr>
        <w:t>'</w:t>
      </w:r>
      <w:r w:rsidR="00B54FE2" w:rsidRPr="00432DCC">
        <w:rPr>
          <w:lang w:val="fr-CH"/>
        </w:rPr>
        <w:t xml:space="preserve">utilisation de services et </w:t>
      </w:r>
      <w:r w:rsidR="00B54FE2">
        <w:rPr>
          <w:lang w:val="fr-CH"/>
        </w:rPr>
        <w:t>d</w:t>
      </w:r>
      <w:r w:rsidR="00432DCC">
        <w:rPr>
          <w:lang w:val="fr-CH"/>
        </w:rPr>
        <w:t>'</w:t>
      </w:r>
      <w:r w:rsidR="00B54FE2" w:rsidRPr="00432DCC">
        <w:rPr>
          <w:lang w:val="fr-CH"/>
        </w:rPr>
        <w:t>applications mobiles ainsi que l</w:t>
      </w:r>
      <w:r w:rsidR="00432DCC">
        <w:rPr>
          <w:lang w:val="fr-CH"/>
        </w:rPr>
        <w:t>'</w:t>
      </w:r>
      <w:r w:rsidR="00B54FE2" w:rsidRPr="00432DCC">
        <w:rPr>
          <w:lang w:val="fr-CH"/>
        </w:rPr>
        <w:t xml:space="preserve">accès </w:t>
      </w:r>
      <w:r w:rsidR="00B54FE2">
        <w:rPr>
          <w:lang w:val="fr-CH"/>
        </w:rPr>
        <w:t>à ces services et applications</w:t>
      </w:r>
      <w:r w:rsidR="00573AD3">
        <w:rPr>
          <w:lang w:val="fr-CH"/>
        </w:rPr>
        <w:t>.</w:t>
      </w:r>
    </w:p>
    <w:p w:rsidR="001A5EE5" w:rsidRPr="00B54FE2" w:rsidRDefault="001A5EE5" w:rsidP="00432DCC">
      <w:pPr>
        <w:pStyle w:val="enumlev1"/>
        <w:rPr>
          <w:lang w:val="fr-CH"/>
        </w:rPr>
      </w:pPr>
      <w:r w:rsidRPr="00B54FE2">
        <w:rPr>
          <w:lang w:val="fr-CH"/>
        </w:rPr>
        <w:t>c)</w:t>
      </w:r>
      <w:r w:rsidRPr="00B54FE2">
        <w:rPr>
          <w:lang w:val="fr-CH"/>
        </w:rPr>
        <w:tab/>
      </w:r>
      <w:r w:rsidR="00B54FE2">
        <w:rPr>
          <w:color w:val="000000"/>
        </w:rPr>
        <w:t>Promouvoir la création d</w:t>
      </w:r>
      <w:r w:rsidR="00432DCC">
        <w:rPr>
          <w:color w:val="000000"/>
        </w:rPr>
        <w:t>'</w:t>
      </w:r>
      <w:r w:rsidR="00B54FE2">
        <w:rPr>
          <w:color w:val="000000"/>
        </w:rPr>
        <w:t xml:space="preserve">un environnement propice </w:t>
      </w:r>
      <w:r w:rsidR="00B54FE2">
        <w:rPr>
          <w:lang w:val="fr-CH"/>
        </w:rPr>
        <w:t xml:space="preserve">en ce qui concerne le développement et le déploiement des services sur mobile </w:t>
      </w:r>
      <w:r w:rsidR="00526DA1">
        <w:rPr>
          <w:color w:val="000000"/>
        </w:rPr>
        <w:t>pour les parties prenantes du secteur des TIC.</w:t>
      </w:r>
    </w:p>
    <w:p w:rsidR="001A5EE5" w:rsidRPr="00432DCC" w:rsidRDefault="001A5EE5" w:rsidP="005E0192">
      <w:pPr>
        <w:pStyle w:val="enumlev1"/>
        <w:rPr>
          <w:lang w:val="fr-CH"/>
        </w:rPr>
      </w:pPr>
      <w:r w:rsidRPr="00432DCC">
        <w:rPr>
          <w:lang w:val="fr-CH"/>
        </w:rPr>
        <w:t>d)</w:t>
      </w:r>
      <w:r w:rsidRPr="00432DCC">
        <w:rPr>
          <w:lang w:val="fr-CH"/>
        </w:rPr>
        <w:tab/>
      </w:r>
      <w:bookmarkStart w:id="13" w:name="_Toc470269801"/>
      <w:r>
        <w:rPr>
          <w:lang w:val="fr-CH"/>
        </w:rPr>
        <w:t>Technologies d</w:t>
      </w:r>
      <w:r w:rsidR="00432DCC">
        <w:rPr>
          <w:lang w:val="fr-CH"/>
        </w:rPr>
        <w:t>'</w:t>
      </w:r>
      <w:r>
        <w:rPr>
          <w:lang w:val="fr-CH"/>
        </w:rPr>
        <w:t>avenir dans le domaine des paiements sur mobile</w:t>
      </w:r>
      <w:bookmarkEnd w:id="13"/>
      <w:r w:rsidR="00526DA1">
        <w:rPr>
          <w:lang w:val="fr-CH"/>
        </w:rPr>
        <w:t>.</w:t>
      </w:r>
    </w:p>
    <w:p w:rsidR="001A5EE5" w:rsidRPr="00526DA1" w:rsidRDefault="00B54FE2" w:rsidP="00432DCC">
      <w:pPr>
        <w:pStyle w:val="Headingb0"/>
      </w:pPr>
      <w:r w:rsidRPr="00432DCC">
        <w:lastRenderedPageBreak/>
        <w:t>Développement et déploiement de services et d</w:t>
      </w:r>
      <w:r w:rsidR="00432DCC">
        <w:t>'</w:t>
      </w:r>
      <w:r w:rsidRPr="00432DCC">
        <w:t>applications IP (services over-the-top, OTT)</w:t>
      </w:r>
    </w:p>
    <w:p w:rsidR="001A5EE5" w:rsidRPr="00432DCC" w:rsidRDefault="001A5EE5" w:rsidP="00432DCC">
      <w:pPr>
        <w:pStyle w:val="enumlev1"/>
        <w:rPr>
          <w:b/>
          <w:lang w:val="fr-CH"/>
        </w:rPr>
      </w:pPr>
      <w:r w:rsidRPr="00432DCC">
        <w:rPr>
          <w:lang w:val="fr-CH"/>
        </w:rPr>
        <w:t>a)</w:t>
      </w:r>
      <w:r w:rsidRPr="00432DCC">
        <w:rPr>
          <w:lang w:val="fr-CH"/>
        </w:rPr>
        <w:tab/>
      </w:r>
      <w:r w:rsidR="00B54FE2">
        <w:rPr>
          <w:color w:val="000000"/>
        </w:rPr>
        <w:t>Incidences de la fourniture d</w:t>
      </w:r>
      <w:r w:rsidR="00432DCC">
        <w:rPr>
          <w:color w:val="000000"/>
        </w:rPr>
        <w:t>'</w:t>
      </w:r>
      <w:r w:rsidR="00B54FE2">
        <w:rPr>
          <w:color w:val="000000"/>
        </w:rPr>
        <w:t>applications et de services IP offerts par les fournisseurs de contenus aux utilisateurs sur une connexion Internet large bande, indépendamment de l</w:t>
      </w:r>
      <w:r w:rsidR="00432DCC">
        <w:rPr>
          <w:color w:val="000000"/>
        </w:rPr>
        <w:t>'</w:t>
      </w:r>
      <w:r w:rsidR="00B54FE2">
        <w:rPr>
          <w:color w:val="000000"/>
        </w:rPr>
        <w:t xml:space="preserve">opérateur du réseau de télécommunication </w:t>
      </w:r>
      <w:r w:rsidR="00526DA1">
        <w:rPr>
          <w:color w:val="000000"/>
        </w:rPr>
        <w:t xml:space="preserve">assurant </w:t>
      </w:r>
      <w:r w:rsidR="00B54FE2">
        <w:rPr>
          <w:color w:val="000000"/>
        </w:rPr>
        <w:t>cette connexion</w:t>
      </w:r>
      <w:r w:rsidR="00526DA1">
        <w:rPr>
          <w:color w:val="000000"/>
        </w:rPr>
        <w:t xml:space="preserve"> (</w:t>
      </w:r>
      <w:r w:rsidR="00B54FE2">
        <w:rPr>
          <w:color w:val="000000"/>
        </w:rPr>
        <w:t xml:space="preserve">services </w:t>
      </w:r>
      <w:r w:rsidR="00526DA1">
        <w:rPr>
          <w:color w:val="000000"/>
        </w:rPr>
        <w:t>"</w:t>
      </w:r>
      <w:r w:rsidR="00B54FE2">
        <w:rPr>
          <w:color w:val="000000"/>
        </w:rPr>
        <w:t>over the top</w:t>
      </w:r>
      <w:r w:rsidR="00526DA1">
        <w:rPr>
          <w:color w:val="000000"/>
        </w:rPr>
        <w:t>"</w:t>
      </w:r>
      <w:r w:rsidR="00B54FE2">
        <w:rPr>
          <w:color w:val="000000"/>
        </w:rPr>
        <w:t xml:space="preserve"> (OTT)</w:t>
      </w:r>
      <w:r w:rsidR="00526DA1">
        <w:rPr>
          <w:color w:val="000000"/>
        </w:rPr>
        <w:t>)</w:t>
      </w:r>
      <w:r w:rsidR="00B54FE2">
        <w:rPr>
          <w:color w:val="000000"/>
        </w:rPr>
        <w:t>, y compris les incidences sur la réglementation, la concurrence, l</w:t>
      </w:r>
      <w:r w:rsidR="00432DCC">
        <w:rPr>
          <w:color w:val="000000"/>
        </w:rPr>
        <w:t>'</w:t>
      </w:r>
      <w:r w:rsidR="00B54FE2">
        <w:rPr>
          <w:color w:val="000000"/>
        </w:rPr>
        <w:t>infrastructure de réseau et les modèles économiques.</w:t>
      </w:r>
    </w:p>
    <w:p w:rsidR="001A5EE5" w:rsidRPr="00432DCC" w:rsidRDefault="001A5EE5" w:rsidP="005E0192">
      <w:pPr>
        <w:pStyle w:val="enumlev1"/>
      </w:pPr>
      <w:r w:rsidRPr="00432DCC">
        <w:t>b)</w:t>
      </w:r>
      <w:r w:rsidRPr="00432DCC">
        <w:tab/>
      </w:r>
      <w:r w:rsidR="00526DA1">
        <w:t>I</w:t>
      </w:r>
      <w:r>
        <w:rPr>
          <w:lang w:val="fr-CH"/>
        </w:rPr>
        <w:t xml:space="preserve">nstruments politiques propres à faciliter la </w:t>
      </w:r>
      <w:r w:rsidR="00B54FE2">
        <w:rPr>
          <w:lang w:val="fr-CH"/>
        </w:rPr>
        <w:t xml:space="preserve">fourniture aux </w:t>
      </w:r>
      <w:r>
        <w:rPr>
          <w:lang w:val="fr-CH"/>
        </w:rPr>
        <w:t>consommateurs, aux niveaux local et national, de services et d</w:t>
      </w:r>
      <w:r w:rsidR="00432DCC">
        <w:rPr>
          <w:lang w:val="fr-CH"/>
        </w:rPr>
        <w:t>'</w:t>
      </w:r>
      <w:r>
        <w:rPr>
          <w:lang w:val="fr-CH"/>
        </w:rPr>
        <w:t>applications IP concurrentiels.</w:t>
      </w:r>
    </w:p>
    <w:p w:rsidR="001A5EE5" w:rsidRDefault="001A5EE5" w:rsidP="00526DA1">
      <w:pPr>
        <w:pStyle w:val="enumlev1"/>
        <w:rPr>
          <w:lang w:val="fr-CH"/>
        </w:rPr>
      </w:pPr>
      <w:r w:rsidRPr="009000D1">
        <w:t>c)</w:t>
      </w:r>
      <w:r w:rsidRPr="009000D1">
        <w:tab/>
      </w:r>
      <w:r w:rsidR="00526DA1">
        <w:t>B</w:t>
      </w:r>
      <w:r w:rsidRPr="00E23254">
        <w:rPr>
          <w:lang w:val="fr-CH"/>
        </w:rPr>
        <w:t>onnes pratiques et politiques visant à créer des conditions propices aux investissements dans les services et applications IP.</w:t>
      </w:r>
    </w:p>
    <w:p w:rsidR="00A24B35" w:rsidRPr="0081086F" w:rsidRDefault="00A24B35" w:rsidP="00A24B35">
      <w:pPr>
        <w:pStyle w:val="enumlev1"/>
        <w:rPr>
          <w:lang w:val="fr-CH"/>
        </w:rPr>
      </w:pPr>
      <w:r w:rsidRPr="0081086F">
        <w:rPr>
          <w:lang w:val="fr-CH"/>
        </w:rPr>
        <w:t>d)</w:t>
      </w:r>
      <w:r w:rsidRPr="0081086F">
        <w:rPr>
          <w:lang w:val="fr-CH"/>
        </w:rPr>
        <w:tab/>
        <w:t>Exemples de réussite et enseignements tirés.</w:t>
      </w:r>
    </w:p>
    <w:p w:rsidR="00A24B35" w:rsidRDefault="00A24B35" w:rsidP="00A24B35">
      <w:pPr>
        <w:pStyle w:val="enumlev1"/>
        <w:rPr>
          <w:lang w:val="fr-CH"/>
        </w:rPr>
      </w:pPr>
      <w:r w:rsidRPr="0081086F">
        <w:rPr>
          <w:lang w:val="fr-CH"/>
        </w:rPr>
        <w:t>e)</w:t>
      </w:r>
      <w:r w:rsidRPr="0081086F">
        <w:rPr>
          <w:lang w:val="fr-CH"/>
        </w:rPr>
        <w:tab/>
        <w:t>Poursuite de l</w:t>
      </w:r>
      <w:r w:rsidR="00432DCC">
        <w:rPr>
          <w:lang w:val="fr-CH"/>
        </w:rPr>
        <w:t>'</w:t>
      </w:r>
      <w:r w:rsidRPr="0081086F">
        <w:rPr>
          <w:lang w:val="fr-CH"/>
        </w:rPr>
        <w:t>étude des questions relatives aux mesures propres à faciliter l</w:t>
      </w:r>
      <w:r w:rsidR="00432DCC">
        <w:rPr>
          <w:lang w:val="fr-CH"/>
        </w:rPr>
        <w:t>'</w:t>
      </w:r>
      <w:r w:rsidRPr="0081086F">
        <w:rPr>
          <w:lang w:val="fr-CH"/>
        </w:rPr>
        <w:t>accès aux réseaux IP, afin de permettre l</w:t>
      </w:r>
      <w:r w:rsidR="00432DCC">
        <w:rPr>
          <w:lang w:val="fr-CH"/>
        </w:rPr>
        <w:t>'</w:t>
      </w:r>
      <w:r w:rsidRPr="0081086F">
        <w:rPr>
          <w:lang w:val="fr-CH"/>
        </w:rPr>
        <w:t>accès aux services IP</w:t>
      </w:r>
      <w:r>
        <w:rPr>
          <w:lang w:val="fr-CH"/>
        </w:rPr>
        <w:t xml:space="preserve"> et aux applications</w:t>
      </w:r>
      <w:r w:rsidRPr="0081086F">
        <w:rPr>
          <w:lang w:val="fr-CH"/>
        </w:rPr>
        <w:t>.</w:t>
      </w:r>
    </w:p>
    <w:p w:rsidR="001A5EE5" w:rsidRPr="00432DCC" w:rsidRDefault="00A23995" w:rsidP="005E0192">
      <w:pPr>
        <w:pStyle w:val="enumlev1"/>
        <w:rPr>
          <w:lang w:val="fr-CH"/>
        </w:rPr>
      </w:pPr>
      <w:r>
        <w:rPr>
          <w:lang w:val="fr-CH"/>
        </w:rPr>
        <w:t>f</w:t>
      </w:r>
      <w:r w:rsidR="001A5EE5" w:rsidRPr="00432DCC">
        <w:rPr>
          <w:lang w:val="fr-CH"/>
        </w:rPr>
        <w:t>)</w:t>
      </w:r>
      <w:r w:rsidR="001A5EE5" w:rsidRPr="00432DCC">
        <w:rPr>
          <w:lang w:val="fr-CH"/>
        </w:rPr>
        <w:tab/>
      </w:r>
      <w:r w:rsidR="006959F2" w:rsidRPr="00432DCC">
        <w:rPr>
          <w:color w:val="000000"/>
          <w:lang w:val="fr-CH"/>
        </w:rPr>
        <w:t>Bonnes pratiques et lignes directrices</w:t>
      </w:r>
      <w:r w:rsidR="006959F2" w:rsidRPr="00432DCC">
        <w:rPr>
          <w:lang w:val="fr-CH"/>
        </w:rPr>
        <w:t xml:space="preserve"> relatives aux cadres juridiques </w:t>
      </w:r>
      <w:r w:rsidR="006959F2">
        <w:rPr>
          <w:lang w:val="fr-CH"/>
        </w:rPr>
        <w:t>applicables au développement et au déploiement de services et d</w:t>
      </w:r>
      <w:r w:rsidR="00432DCC">
        <w:rPr>
          <w:lang w:val="fr-CH"/>
        </w:rPr>
        <w:t>'</w:t>
      </w:r>
      <w:r w:rsidR="006959F2">
        <w:rPr>
          <w:lang w:val="fr-CH"/>
        </w:rPr>
        <w:t xml:space="preserve">applications </w:t>
      </w:r>
      <w:r w:rsidR="001A5EE5" w:rsidRPr="00432DCC">
        <w:rPr>
          <w:lang w:val="fr-CH"/>
        </w:rPr>
        <w:t>IP</w:t>
      </w:r>
      <w:r w:rsidR="00526DA1">
        <w:rPr>
          <w:lang w:val="fr-CH"/>
        </w:rPr>
        <w:t>.</w:t>
      </w:r>
    </w:p>
    <w:p w:rsidR="001A5EE5" w:rsidRPr="00432DCC" w:rsidRDefault="00A23995" w:rsidP="005E0192">
      <w:pPr>
        <w:pStyle w:val="enumlev1"/>
        <w:rPr>
          <w:lang w:val="fr-CH"/>
        </w:rPr>
      </w:pPr>
      <w:r>
        <w:t>g</w:t>
      </w:r>
      <w:r w:rsidR="001A5EE5" w:rsidRPr="00432DCC">
        <w:t>)</w:t>
      </w:r>
      <w:r w:rsidR="001A5EE5" w:rsidRPr="00432DCC">
        <w:tab/>
      </w:r>
      <w:r w:rsidR="001A5EE5">
        <w:rPr>
          <w:lang w:val="fr-CH"/>
        </w:rPr>
        <w:t>Relation</w:t>
      </w:r>
      <w:r w:rsidR="006959F2">
        <w:rPr>
          <w:lang w:val="fr-CH"/>
        </w:rPr>
        <w:t>s</w:t>
      </w:r>
      <w:r w:rsidR="001A5EE5">
        <w:rPr>
          <w:lang w:val="fr-CH"/>
        </w:rPr>
        <w:t xml:space="preserve"> entre opérateurs de télécommunications et fournisseurs de services OTT</w:t>
      </w:r>
      <w:r w:rsidR="00526DA1">
        <w:rPr>
          <w:lang w:val="fr-CH"/>
        </w:rPr>
        <w:t>.</w:t>
      </w:r>
    </w:p>
    <w:p w:rsidR="001A5EE5" w:rsidRPr="00432DCC" w:rsidRDefault="006959F2" w:rsidP="00432DCC">
      <w:pPr>
        <w:pStyle w:val="Headingb0"/>
        <w:rPr>
          <w:b w:val="0"/>
        </w:rPr>
      </w:pPr>
      <w:r w:rsidRPr="00432DCC">
        <w:t xml:space="preserve">Passage du protocole </w:t>
      </w:r>
      <w:r w:rsidRPr="009E5001">
        <w:t xml:space="preserve">IPv4 </w:t>
      </w:r>
      <w:r w:rsidRPr="00432DCC">
        <w:t xml:space="preserve">au protocole </w:t>
      </w:r>
      <w:r w:rsidRPr="009E5001">
        <w:t>IPv6</w:t>
      </w:r>
    </w:p>
    <w:p w:rsidR="001A5EE5" w:rsidRPr="00432DCC" w:rsidRDefault="001A5EE5" w:rsidP="00432DCC">
      <w:pPr>
        <w:pStyle w:val="enumlev1"/>
        <w:rPr>
          <w:lang w:val="fr-CH"/>
        </w:rPr>
      </w:pPr>
      <w:r w:rsidRPr="00432DCC">
        <w:rPr>
          <w:lang w:val="fr-CH"/>
        </w:rPr>
        <w:t>a)</w:t>
      </w:r>
      <w:r w:rsidRPr="00432DCC">
        <w:rPr>
          <w:lang w:val="fr-CH"/>
        </w:rPr>
        <w:tab/>
      </w:r>
      <w:r w:rsidR="006959F2" w:rsidRPr="00432DCC">
        <w:rPr>
          <w:lang w:val="fr-CH"/>
        </w:rPr>
        <w:t>Aspects politiques et techniques du passage du protocole</w:t>
      </w:r>
      <w:r w:rsidR="006959F2" w:rsidRPr="006959F2">
        <w:rPr>
          <w:lang w:val="fr-CH"/>
        </w:rPr>
        <w:t xml:space="preserve"> </w:t>
      </w:r>
      <w:r w:rsidR="006959F2" w:rsidRPr="009E5001">
        <w:rPr>
          <w:lang w:val="fr-CH"/>
        </w:rPr>
        <w:t>IPv4</w:t>
      </w:r>
      <w:r w:rsidR="006959F2" w:rsidRPr="00432DCC">
        <w:rPr>
          <w:lang w:val="fr-CH"/>
        </w:rPr>
        <w:t xml:space="preserve"> au protocole </w:t>
      </w:r>
      <w:r w:rsidR="006959F2" w:rsidRPr="009E5001">
        <w:rPr>
          <w:lang w:val="fr-CH"/>
        </w:rPr>
        <w:t>IPv6.</w:t>
      </w:r>
    </w:p>
    <w:p w:rsidR="001A5EE5" w:rsidRPr="006959F2" w:rsidRDefault="001A5EE5" w:rsidP="005E0192">
      <w:pPr>
        <w:pStyle w:val="enumlev1"/>
        <w:rPr>
          <w:lang w:val="fr-CH"/>
        </w:rPr>
      </w:pPr>
      <w:r w:rsidRPr="006959F2">
        <w:rPr>
          <w:lang w:val="fr-CH"/>
        </w:rPr>
        <w:t>b)</w:t>
      </w:r>
      <w:r w:rsidRPr="006959F2">
        <w:rPr>
          <w:lang w:val="fr-CH"/>
        </w:rPr>
        <w:tab/>
      </w:r>
      <w:r w:rsidR="00526DA1">
        <w:rPr>
          <w:lang w:val="fr-CH"/>
        </w:rPr>
        <w:t>M</w:t>
      </w:r>
      <w:r w:rsidR="006959F2">
        <w:rPr>
          <w:color w:val="000000"/>
        </w:rPr>
        <w:t>éthodes de gestion de l</w:t>
      </w:r>
      <w:r w:rsidR="00432DCC">
        <w:rPr>
          <w:color w:val="000000"/>
        </w:rPr>
        <w:t>'</w:t>
      </w:r>
      <w:r w:rsidR="006959F2">
        <w:rPr>
          <w:color w:val="000000"/>
        </w:rPr>
        <w:t>accès aux réseaux, compte tenu à la fois de la qualité de fonctionnement des réseaux, de la concurrence et des avantages pour les consommateurs.</w:t>
      </w:r>
    </w:p>
    <w:p w:rsidR="001A5EE5" w:rsidRPr="00432DCC" w:rsidRDefault="001A5EE5" w:rsidP="00432DCC">
      <w:pPr>
        <w:pStyle w:val="enumlev1"/>
      </w:pPr>
      <w:r w:rsidRPr="00432DCC">
        <w:rPr>
          <w:lang w:val="fr-CH"/>
        </w:rPr>
        <w:t>c)</w:t>
      </w:r>
      <w:r w:rsidRPr="00432DCC">
        <w:rPr>
          <w:lang w:val="fr-CH"/>
        </w:rPr>
        <w:tab/>
      </w:r>
      <w:r w:rsidR="00526DA1">
        <w:rPr>
          <w:lang w:val="fr-CH"/>
        </w:rPr>
        <w:t>P</w:t>
      </w:r>
      <w:r w:rsidR="006959F2">
        <w:rPr>
          <w:color w:val="000000"/>
        </w:rPr>
        <w:t>rocédures et méthodes disponibles et</w:t>
      </w:r>
      <w:r w:rsidR="00526DA1">
        <w:rPr>
          <w:color w:val="000000"/>
        </w:rPr>
        <w:t xml:space="preserve"> </w:t>
      </w:r>
      <w:r w:rsidR="006959F2">
        <w:rPr>
          <w:color w:val="000000"/>
        </w:rPr>
        <w:t xml:space="preserve">échéances </w:t>
      </w:r>
      <w:r w:rsidR="00526DA1">
        <w:rPr>
          <w:color w:val="000000"/>
        </w:rPr>
        <w:t xml:space="preserve">à respecter </w:t>
      </w:r>
      <w:r w:rsidR="006959F2">
        <w:rPr>
          <w:color w:val="000000"/>
        </w:rPr>
        <w:t>pour assurer le passage efficace au protocole IPv6</w:t>
      </w:r>
      <w:r w:rsidR="00526DA1">
        <w:rPr>
          <w:color w:val="000000"/>
        </w:rPr>
        <w:t>.</w:t>
      </w:r>
    </w:p>
    <w:p w:rsidR="001A5EE5" w:rsidRPr="00432DCC" w:rsidRDefault="001A5EE5" w:rsidP="005E0192">
      <w:pPr>
        <w:pStyle w:val="enumlev1"/>
        <w:rPr>
          <w:lang w:val="fr-CH"/>
        </w:rPr>
      </w:pPr>
      <w:r w:rsidRPr="00432DCC">
        <w:rPr>
          <w:lang w:val="fr-CH"/>
        </w:rPr>
        <w:t>d)</w:t>
      </w:r>
      <w:r w:rsidRPr="00432DCC">
        <w:rPr>
          <w:lang w:val="fr-CH"/>
        </w:rPr>
        <w:tab/>
      </w:r>
      <w:r w:rsidR="006959F2" w:rsidRPr="00432DCC">
        <w:rPr>
          <w:lang w:val="fr-CH"/>
        </w:rPr>
        <w:t>Méthode</w:t>
      </w:r>
      <w:r w:rsidR="006959F2">
        <w:rPr>
          <w:lang w:val="fr-CH"/>
        </w:rPr>
        <w:t>s</w:t>
      </w:r>
      <w:r w:rsidR="006959F2" w:rsidRPr="00432DCC">
        <w:rPr>
          <w:lang w:val="fr-CH"/>
        </w:rPr>
        <w:t xml:space="preserve"> permettant d</w:t>
      </w:r>
      <w:r w:rsidR="00432DCC">
        <w:rPr>
          <w:lang w:val="fr-CH"/>
        </w:rPr>
        <w:t>'</w:t>
      </w:r>
      <w:r w:rsidR="006959F2" w:rsidRPr="00432DCC">
        <w:rPr>
          <w:lang w:val="fr-CH"/>
        </w:rPr>
        <w:t>intensifier et de coordonner les efforts déployés pour assurer le passage au protocole</w:t>
      </w:r>
      <w:r w:rsidR="00526DA1">
        <w:rPr>
          <w:lang w:val="fr-CH"/>
        </w:rPr>
        <w:t xml:space="preserve"> </w:t>
      </w:r>
      <w:r w:rsidRPr="00432DCC">
        <w:rPr>
          <w:lang w:val="fr-CH"/>
        </w:rPr>
        <w:t>IPv6.</w:t>
      </w:r>
    </w:p>
    <w:p w:rsidR="00450EFA" w:rsidRPr="00E23254" w:rsidRDefault="00380874" w:rsidP="005E0192">
      <w:pPr>
        <w:pStyle w:val="Heading1"/>
        <w:rPr>
          <w:lang w:val="fr-CH"/>
        </w:rPr>
      </w:pPr>
      <w:r w:rsidRPr="00E23254">
        <w:rPr>
          <w:lang w:val="fr-CH"/>
        </w:rPr>
        <w:t>3</w:t>
      </w:r>
      <w:r w:rsidRPr="00E23254">
        <w:rPr>
          <w:lang w:val="fr-CH"/>
        </w:rPr>
        <w:tab/>
        <w:t>Résultats attendus</w:t>
      </w:r>
    </w:p>
    <w:p w:rsidR="00450EFA" w:rsidRPr="00E23254" w:rsidRDefault="00380874" w:rsidP="005E0192">
      <w:pPr>
        <w:rPr>
          <w:lang w:val="fr-CH"/>
        </w:rPr>
      </w:pPr>
      <w:r w:rsidRPr="00E23254">
        <w:rPr>
          <w:lang w:val="fr-CH"/>
        </w:rPr>
        <w:t>Rapports, lignes directrices relatives aux bonnes pratiques, études de cas et recommandations, suivant les besoins, compte tenu des thèmes à étudier et des résultats attendus suivants:</w:t>
      </w:r>
    </w:p>
    <w:p w:rsidR="00450EFA" w:rsidRDefault="00380874" w:rsidP="00432DCC">
      <w:pPr>
        <w:pStyle w:val="enumlev1"/>
        <w:rPr>
          <w:lang w:val="fr-CH"/>
        </w:rPr>
      </w:pPr>
      <w:r w:rsidRPr="00E23254">
        <w:rPr>
          <w:lang w:val="fr-CH"/>
        </w:rPr>
        <w:t>a)</w:t>
      </w:r>
      <w:r w:rsidRPr="00E23254">
        <w:rPr>
          <w:lang w:val="fr-CH"/>
        </w:rPr>
        <w:tab/>
        <w:t xml:space="preserve">Politiques </w:t>
      </w:r>
      <w:r w:rsidR="00AE63B2">
        <w:rPr>
          <w:lang w:val="fr-CH"/>
        </w:rPr>
        <w:t xml:space="preserve">et réglementation </w:t>
      </w:r>
      <w:r w:rsidRPr="00E23254">
        <w:rPr>
          <w:lang w:val="fr-CH"/>
        </w:rPr>
        <w:t xml:space="preserve">visant à </w:t>
      </w:r>
      <w:r w:rsidR="00CE1131">
        <w:t>favoriser l</w:t>
      </w:r>
      <w:r w:rsidR="00432DCC">
        <w:t>'</w:t>
      </w:r>
      <w:r w:rsidR="00CE1131">
        <w:t>accessibilité financière des</w:t>
      </w:r>
      <w:r w:rsidR="00CE1131">
        <w:rPr>
          <w:lang w:val="fr-CH"/>
        </w:rPr>
        <w:t xml:space="preserve"> réseaux, services et applications large bande et </w:t>
      </w:r>
      <w:r w:rsidR="00CE1131">
        <w:t>méthodes efficaces et efficientes permettant de financer une amélioration de l</w:t>
      </w:r>
      <w:r w:rsidR="00432DCC">
        <w:t>'</w:t>
      </w:r>
      <w:r w:rsidR="00CE1131">
        <w:t>accès au large bande dans les zones non desservies ou mal desservies</w:t>
      </w:r>
      <w:r w:rsidR="0076263E">
        <w:t>.</w:t>
      </w:r>
    </w:p>
    <w:p w:rsidR="00450EFA" w:rsidRPr="00E23254" w:rsidRDefault="00526DA1" w:rsidP="00432DCC">
      <w:pPr>
        <w:pStyle w:val="enumlev1"/>
        <w:rPr>
          <w:lang w:val="fr-CH"/>
        </w:rPr>
      </w:pPr>
      <w:r>
        <w:rPr>
          <w:lang w:val="fr-CH"/>
        </w:rPr>
        <w:t>b)</w:t>
      </w:r>
      <w:r>
        <w:rPr>
          <w:lang w:val="fr-CH"/>
        </w:rPr>
        <w:tab/>
        <w:t>Méthodes à appliquer pour le déploiement des infrastructures large bande</w:t>
      </w:r>
      <w:r w:rsidR="00A428ED">
        <w:rPr>
          <w:lang w:val="fr-CH"/>
        </w:rPr>
        <w:t xml:space="preserve"> </w:t>
      </w:r>
      <w:r>
        <w:rPr>
          <w:lang w:val="fr-CH"/>
        </w:rPr>
        <w:t xml:space="preserve">et </w:t>
      </w:r>
      <w:r w:rsidR="00380874" w:rsidRPr="00E23254">
        <w:rPr>
          <w:lang w:val="fr-CH"/>
        </w:rPr>
        <w:t xml:space="preserve">bonnes pratiques propres à </w:t>
      </w:r>
      <w:r>
        <w:rPr>
          <w:lang w:val="fr-CH"/>
        </w:rPr>
        <w:t xml:space="preserve">améliorer </w:t>
      </w:r>
      <w:r w:rsidR="00380874" w:rsidRPr="00E23254">
        <w:rPr>
          <w:lang w:val="fr-CH"/>
        </w:rPr>
        <w:t>la connectivité transfrontière et la connectivité des petits Etats insulaires en développement.</w:t>
      </w:r>
    </w:p>
    <w:p w:rsidR="00450EFA" w:rsidRPr="00E23254" w:rsidRDefault="00CE1131" w:rsidP="0076263E">
      <w:pPr>
        <w:pStyle w:val="enumlev1"/>
        <w:rPr>
          <w:lang w:val="fr-CH"/>
        </w:rPr>
      </w:pPr>
      <w:r>
        <w:rPr>
          <w:lang w:val="fr-CH"/>
        </w:rPr>
        <w:t>c</w:t>
      </w:r>
      <w:r w:rsidR="0076263E">
        <w:rPr>
          <w:lang w:val="fr-CH"/>
        </w:rPr>
        <w:t>)</w:t>
      </w:r>
      <w:r w:rsidR="00380874" w:rsidRPr="00E23254">
        <w:rPr>
          <w:lang w:val="fr-CH"/>
        </w:rPr>
        <w:tab/>
        <w:t>Etudes visant à examiner des méthodes de tarification nouvelles et innovantes pour les services large bande; évolution des services large bande en ce qui concerne, notamment, le déploiement du large bande, le trafic international et les applications; évaluation de la demande actuelle de large bande aux niveaux mondial et régional.</w:t>
      </w:r>
    </w:p>
    <w:p w:rsidR="00450EFA" w:rsidRPr="00E23254" w:rsidRDefault="00665461" w:rsidP="0076263E">
      <w:pPr>
        <w:pStyle w:val="enumlev1"/>
        <w:rPr>
          <w:lang w:val="fr-CH"/>
        </w:rPr>
      </w:pPr>
      <w:r>
        <w:rPr>
          <w:lang w:val="fr-CH"/>
        </w:rPr>
        <w:lastRenderedPageBreak/>
        <w:t>d</w:t>
      </w:r>
      <w:r w:rsidR="0076263E">
        <w:rPr>
          <w:lang w:val="fr-CH"/>
        </w:rPr>
        <w:t>)</w:t>
      </w:r>
      <w:r w:rsidR="00380874" w:rsidRPr="00E23254">
        <w:rPr>
          <w:lang w:val="fr-CH"/>
        </w:rPr>
        <w:tab/>
      </w:r>
      <w:r w:rsidR="00CE1131">
        <w:rPr>
          <w:lang w:val="fr-CH"/>
        </w:rPr>
        <w:t xml:space="preserve">Méthodes permettant de déterminer les incidences commerciales des nouveaux investissements </w:t>
      </w:r>
      <w:r w:rsidR="00380874" w:rsidRPr="00E23254">
        <w:rPr>
          <w:lang w:val="fr-CH"/>
        </w:rPr>
        <w:t>dans le large bande, afin de permettre la fourniture de services financièrement abordables au service du développement.</w:t>
      </w:r>
    </w:p>
    <w:p w:rsidR="00450EFA" w:rsidRPr="00AE63B2" w:rsidRDefault="00CE1131" w:rsidP="0076263E">
      <w:pPr>
        <w:pStyle w:val="enumlev1"/>
        <w:rPr>
          <w:rFonts w:ascii="Calibri" w:hAnsi="Calibri" w:cs="Calibri"/>
          <w:color w:val="000000"/>
          <w:szCs w:val="24"/>
          <w:lang w:val="fr-CH"/>
        </w:rPr>
      </w:pPr>
      <w:r>
        <w:rPr>
          <w:lang w:val="fr-CH"/>
        </w:rPr>
        <w:t>e</w:t>
      </w:r>
      <w:r w:rsidR="0076263E">
        <w:rPr>
          <w:lang w:val="fr-CH"/>
        </w:rPr>
        <w:t>)</w:t>
      </w:r>
      <w:r w:rsidR="00380874" w:rsidRPr="00AE63B2">
        <w:rPr>
          <w:lang w:val="fr-CH"/>
        </w:rPr>
        <w:tab/>
      </w:r>
      <w:r w:rsidR="00AE63B2">
        <w:rPr>
          <w:color w:val="000000"/>
        </w:rPr>
        <w:t>Lignes directrices concernant le passage des réseaux à bande étroite aux réseaux large bande, compte tenu des caractéristiques d</w:t>
      </w:r>
      <w:r w:rsidR="00432DCC">
        <w:rPr>
          <w:color w:val="000000"/>
        </w:rPr>
        <w:t>'</w:t>
      </w:r>
      <w:r w:rsidR="00AE63B2">
        <w:rPr>
          <w:color w:val="000000"/>
        </w:rPr>
        <w:t>interconnexion et d</w:t>
      </w:r>
      <w:r w:rsidR="00432DCC">
        <w:rPr>
          <w:color w:val="000000"/>
        </w:rPr>
        <w:t>'</w:t>
      </w:r>
      <w:r w:rsidR="00AE63B2">
        <w:rPr>
          <w:color w:val="000000"/>
        </w:rPr>
        <w:t>interopérabilité</w:t>
      </w:r>
      <w:r w:rsidR="0076263E">
        <w:rPr>
          <w:color w:val="000000"/>
        </w:rPr>
        <w:t>.</w:t>
      </w:r>
    </w:p>
    <w:p w:rsidR="0078502F" w:rsidRPr="00432DCC" w:rsidRDefault="0078502F">
      <w:pPr>
        <w:pStyle w:val="enumlev1"/>
        <w:rPr>
          <w:rFonts w:ascii="Calibri" w:hAnsi="Calibri" w:cs="Calibri"/>
          <w:color w:val="000000"/>
          <w:szCs w:val="24"/>
        </w:rPr>
      </w:pPr>
      <w:r w:rsidRPr="00432DCC">
        <w:rPr>
          <w:rFonts w:cs="Times New Roman Bold"/>
          <w:szCs w:val="24"/>
          <w:lang w:val="fr-CH"/>
        </w:rPr>
        <w:t>f)</w:t>
      </w:r>
      <w:r w:rsidRPr="00432DCC">
        <w:rPr>
          <w:rFonts w:cs="Times New Roman Bold"/>
          <w:szCs w:val="24"/>
          <w:lang w:val="fr-CH"/>
        </w:rPr>
        <w:tab/>
      </w:r>
      <w:r w:rsidR="00546D24">
        <w:rPr>
          <w:rFonts w:cs="Times New Roman Bold"/>
          <w:szCs w:val="24"/>
          <w:lang w:val="fr-CH"/>
        </w:rPr>
        <w:t>E</w:t>
      </w:r>
      <w:r w:rsidR="00F80E80">
        <w:rPr>
          <w:rFonts w:cs="Times New Roman Bold"/>
          <w:szCs w:val="24"/>
          <w:lang w:val="fr-CH"/>
        </w:rPr>
        <w:t xml:space="preserve">tudes de cas associées aux problèmes </w:t>
      </w:r>
      <w:r w:rsidR="00F80E80">
        <w:rPr>
          <w:color w:val="000000"/>
        </w:rPr>
        <w:t>d</w:t>
      </w:r>
      <w:r w:rsidR="00432DCC">
        <w:rPr>
          <w:color w:val="000000"/>
        </w:rPr>
        <w:t>'</w:t>
      </w:r>
      <w:r w:rsidR="00F80E80">
        <w:rPr>
          <w:color w:val="000000"/>
        </w:rPr>
        <w:t xml:space="preserve">ordre opérationnel et technique liés au déploiement des réseaux, services et applications large bande, et </w:t>
      </w:r>
      <w:r w:rsidR="00546D24">
        <w:rPr>
          <w:color w:val="000000"/>
        </w:rPr>
        <w:t xml:space="preserve">notamment </w:t>
      </w:r>
      <w:r w:rsidR="00F80E80">
        <w:rPr>
          <w:color w:val="000000"/>
        </w:rPr>
        <w:t>au passage des réseaux à bande étroite aux réseaux large bande</w:t>
      </w:r>
      <w:r w:rsidR="00546D24">
        <w:rPr>
          <w:color w:val="000000"/>
        </w:rPr>
        <w:t>.</w:t>
      </w:r>
    </w:p>
    <w:p w:rsidR="0078502F" w:rsidRPr="00432DCC" w:rsidRDefault="0078502F">
      <w:pPr>
        <w:pStyle w:val="enumlev1"/>
        <w:rPr>
          <w:rFonts w:ascii="Calibri" w:hAnsi="Calibri" w:cs="Calibri"/>
          <w:color w:val="000000"/>
          <w:szCs w:val="24"/>
          <w:lang w:val="fr-CH"/>
        </w:rPr>
      </w:pPr>
      <w:r w:rsidRPr="00432DCC">
        <w:rPr>
          <w:rFonts w:cs="Times New Roman Bold"/>
          <w:szCs w:val="24"/>
          <w:lang w:val="fr-CH"/>
        </w:rPr>
        <w:t>g)</w:t>
      </w:r>
      <w:r w:rsidRPr="00432DCC">
        <w:rPr>
          <w:rFonts w:cs="Times New Roman Bold"/>
          <w:szCs w:val="24"/>
          <w:lang w:val="fr-CH"/>
        </w:rPr>
        <w:tab/>
      </w:r>
      <w:r w:rsidR="00F80E80" w:rsidRPr="00432DCC">
        <w:rPr>
          <w:rFonts w:cs="Times New Roman Bold"/>
          <w:szCs w:val="24"/>
          <w:lang w:val="fr-CH"/>
        </w:rPr>
        <w:t xml:space="preserve">Suppression des </w:t>
      </w:r>
      <w:r w:rsidR="00F80E80">
        <w:rPr>
          <w:color w:val="000000"/>
        </w:rPr>
        <w:t>obstacles pratiques au déploiement des infrastructures large bande: exemples</w:t>
      </w:r>
      <w:r w:rsidR="00546D24">
        <w:rPr>
          <w:color w:val="000000"/>
        </w:rPr>
        <w:t>.</w:t>
      </w:r>
    </w:p>
    <w:p w:rsidR="0078502F" w:rsidRPr="00432DCC" w:rsidRDefault="0078502F" w:rsidP="00432DCC">
      <w:pPr>
        <w:pStyle w:val="enumlev1"/>
        <w:rPr>
          <w:rFonts w:ascii="Calibri" w:hAnsi="Calibri" w:cs="Calibri"/>
          <w:color w:val="000000"/>
          <w:szCs w:val="24"/>
          <w:lang w:val="fr-CH"/>
        </w:rPr>
      </w:pPr>
      <w:r w:rsidRPr="00432DCC">
        <w:rPr>
          <w:rFonts w:cs="Times New Roman Bold"/>
          <w:szCs w:val="24"/>
          <w:lang w:val="fr-CH"/>
        </w:rPr>
        <w:t>h)</w:t>
      </w:r>
      <w:r w:rsidRPr="00432DCC">
        <w:rPr>
          <w:rFonts w:cs="Times New Roman Bold"/>
          <w:szCs w:val="24"/>
          <w:lang w:val="fr-CH"/>
        </w:rPr>
        <w:tab/>
      </w:r>
      <w:r w:rsidR="00F80E80" w:rsidRPr="00432DCC">
        <w:rPr>
          <w:rFonts w:cs="Times New Roman Bold"/>
          <w:szCs w:val="24"/>
          <w:lang w:val="fr-CH"/>
        </w:rPr>
        <w:t>Analyse de</w:t>
      </w:r>
      <w:r w:rsidR="00F80E80">
        <w:rPr>
          <w:rFonts w:cs="Times New Roman Bold"/>
          <w:szCs w:val="24"/>
          <w:lang w:val="fr-CH"/>
        </w:rPr>
        <w:t>s</w:t>
      </w:r>
      <w:r w:rsidR="00F80E80" w:rsidRPr="00432DCC">
        <w:rPr>
          <w:rFonts w:cs="Times New Roman Bold"/>
          <w:szCs w:val="24"/>
          <w:lang w:val="fr-CH"/>
        </w:rPr>
        <w:t xml:space="preserve"> facteurs influant sur le déploiement efficace des techniques d</w:t>
      </w:r>
      <w:r w:rsidR="00432DCC">
        <w:rPr>
          <w:rFonts w:cs="Times New Roman Bold"/>
          <w:szCs w:val="24"/>
          <w:lang w:val="fr-CH"/>
        </w:rPr>
        <w:t>'</w:t>
      </w:r>
      <w:r w:rsidR="00F80E80" w:rsidRPr="00432DCC">
        <w:rPr>
          <w:rFonts w:cs="Times New Roman Bold"/>
          <w:szCs w:val="24"/>
          <w:lang w:val="fr-CH"/>
        </w:rPr>
        <w:t>accès filaires et hertziennes</w:t>
      </w:r>
      <w:r w:rsidR="00546D24">
        <w:rPr>
          <w:rFonts w:cs="Times New Roman Bold"/>
          <w:szCs w:val="24"/>
          <w:lang w:val="fr-CH"/>
        </w:rPr>
        <w:t>.</w:t>
      </w:r>
    </w:p>
    <w:p w:rsidR="0078502F" w:rsidRPr="00432DCC" w:rsidRDefault="0078502F" w:rsidP="00432DCC">
      <w:pPr>
        <w:pStyle w:val="enumlev1"/>
        <w:rPr>
          <w:rFonts w:ascii="Calibri" w:hAnsi="Calibri" w:cs="Calibri"/>
          <w:color w:val="000000"/>
          <w:szCs w:val="24"/>
          <w:lang w:val="fr-CH"/>
        </w:rPr>
      </w:pPr>
      <w:r w:rsidRPr="00432DCC">
        <w:rPr>
          <w:rFonts w:cs="Times New Roman Bold"/>
          <w:szCs w:val="24"/>
          <w:lang w:val="fr-CH"/>
        </w:rPr>
        <w:t>i)</w:t>
      </w:r>
      <w:r w:rsidRPr="00432DCC">
        <w:rPr>
          <w:rFonts w:cs="Times New Roman Bold"/>
          <w:szCs w:val="24"/>
          <w:lang w:val="fr-CH"/>
        </w:rPr>
        <w:tab/>
      </w:r>
      <w:r w:rsidRPr="00432DCC">
        <w:rPr>
          <w:rFonts w:ascii="Calibri" w:hAnsi="Calibri" w:cs="Calibri"/>
          <w:color w:val="000000"/>
          <w:szCs w:val="24"/>
          <w:lang w:val="fr-CH"/>
        </w:rPr>
        <w:t>Exam</w:t>
      </w:r>
      <w:r w:rsidR="00F80E80">
        <w:rPr>
          <w:rFonts w:ascii="Calibri" w:hAnsi="Calibri" w:cs="Calibri"/>
          <w:color w:val="000000"/>
          <w:szCs w:val="24"/>
          <w:lang w:val="fr-CH"/>
        </w:rPr>
        <w:t>en de l</w:t>
      </w:r>
      <w:r w:rsidR="00432DCC">
        <w:rPr>
          <w:rFonts w:ascii="Calibri" w:hAnsi="Calibri" w:cs="Calibri"/>
          <w:color w:val="000000"/>
          <w:szCs w:val="24"/>
          <w:lang w:val="fr-CH"/>
        </w:rPr>
        <w:t>'</w:t>
      </w:r>
      <w:r w:rsidR="00F80E80" w:rsidRPr="00412FDE">
        <w:rPr>
          <w:lang w:val="fr-CH"/>
        </w:rPr>
        <w:t>évolution des diverses technologies d</w:t>
      </w:r>
      <w:r w:rsidR="00432DCC">
        <w:rPr>
          <w:lang w:val="fr-CH"/>
        </w:rPr>
        <w:t>'</w:t>
      </w:r>
      <w:r w:rsidR="00F80E80" w:rsidRPr="00412FDE">
        <w:rPr>
          <w:lang w:val="fr-CH"/>
        </w:rPr>
        <w:t xml:space="preserve">accès </w:t>
      </w:r>
      <w:r w:rsidR="00F80E80">
        <w:rPr>
          <w:lang w:val="fr-CH"/>
        </w:rPr>
        <w:t xml:space="preserve">au </w:t>
      </w:r>
      <w:r w:rsidR="00F80E80" w:rsidRPr="00412FDE">
        <w:rPr>
          <w:lang w:val="fr-CH"/>
        </w:rPr>
        <w:t>large bande</w:t>
      </w:r>
      <w:r w:rsidR="00F80E80">
        <w:rPr>
          <w:lang w:val="fr-CH"/>
        </w:rPr>
        <w:t>,</w:t>
      </w:r>
      <w:r w:rsidR="00F80E80" w:rsidRPr="00412FDE">
        <w:rPr>
          <w:lang w:val="fr-CH"/>
        </w:rPr>
        <w:t xml:space="preserve"> </w:t>
      </w:r>
      <w:r w:rsidR="00F80E80">
        <w:rPr>
          <w:lang w:val="fr-CH"/>
        </w:rPr>
        <w:t xml:space="preserve">du </w:t>
      </w:r>
      <w:r w:rsidR="00F80E80" w:rsidRPr="00412FDE">
        <w:rPr>
          <w:lang w:val="fr-CH"/>
        </w:rPr>
        <w:t>déploiement, de</w:t>
      </w:r>
      <w:r w:rsidR="00F80E80">
        <w:rPr>
          <w:lang w:val="fr-CH"/>
        </w:rPr>
        <w:t>s</w:t>
      </w:r>
      <w:r w:rsidR="00F80E80" w:rsidRPr="00412FDE">
        <w:rPr>
          <w:lang w:val="fr-CH"/>
        </w:rPr>
        <w:t xml:space="preserve"> services offerts et de</w:t>
      </w:r>
      <w:r w:rsidR="00F80E80">
        <w:rPr>
          <w:lang w:val="fr-CH"/>
        </w:rPr>
        <w:t>s</w:t>
      </w:r>
      <w:r w:rsidR="00F80E80" w:rsidRPr="00412FDE">
        <w:rPr>
          <w:lang w:val="fr-CH"/>
        </w:rPr>
        <w:t xml:space="preserve"> considérations touchant à la réglementation.</w:t>
      </w:r>
    </w:p>
    <w:p w:rsidR="0078502F" w:rsidRDefault="0078502F" w:rsidP="00432DCC">
      <w:pPr>
        <w:pStyle w:val="enumlev1"/>
        <w:rPr>
          <w:lang w:val="fr-CH"/>
        </w:rPr>
      </w:pPr>
      <w:r w:rsidRPr="00432DCC">
        <w:rPr>
          <w:rFonts w:ascii="Calibri" w:hAnsi="Calibri" w:cs="Calibri"/>
          <w:color w:val="000000"/>
          <w:szCs w:val="24"/>
        </w:rPr>
        <w:t>j)</w:t>
      </w:r>
      <w:r w:rsidRPr="00432DCC">
        <w:rPr>
          <w:rFonts w:ascii="Calibri" w:hAnsi="Calibri" w:cs="Calibri"/>
          <w:color w:val="000000"/>
          <w:szCs w:val="24"/>
        </w:rPr>
        <w:tab/>
      </w:r>
      <w:r w:rsidR="00F80E80">
        <w:rPr>
          <w:rFonts w:ascii="Calibri" w:hAnsi="Calibri" w:cs="Calibri"/>
          <w:color w:val="000000"/>
          <w:szCs w:val="24"/>
        </w:rPr>
        <w:t xml:space="preserve">Aperçu des </w:t>
      </w:r>
      <w:r w:rsidR="00F80E80">
        <w:rPr>
          <w:lang w:val="fr-CH"/>
        </w:rPr>
        <w:t>p</w:t>
      </w:r>
      <w:r w:rsidR="00F80E80" w:rsidRPr="00432DCC">
        <w:rPr>
          <w:lang w:val="fr-CH"/>
        </w:rPr>
        <w:t>olitiques,</w:t>
      </w:r>
      <w:r w:rsidR="00F80E80">
        <w:rPr>
          <w:lang w:val="fr-CH"/>
        </w:rPr>
        <w:t xml:space="preserve"> des</w:t>
      </w:r>
      <w:r w:rsidR="00546D24">
        <w:rPr>
          <w:lang w:val="fr-CH"/>
        </w:rPr>
        <w:t xml:space="preserve"> </w:t>
      </w:r>
      <w:r w:rsidR="00F80E80" w:rsidRPr="00432DCC">
        <w:rPr>
          <w:lang w:val="fr-CH"/>
        </w:rPr>
        <w:t>strat</w:t>
      </w:r>
      <w:r w:rsidR="00546D24">
        <w:rPr>
          <w:lang w:val="fr-CH"/>
        </w:rPr>
        <w:t>é</w:t>
      </w:r>
      <w:r w:rsidR="00F80E80" w:rsidRPr="00432DCC">
        <w:rPr>
          <w:lang w:val="fr-CH"/>
        </w:rPr>
        <w:t xml:space="preserve">gies et </w:t>
      </w:r>
      <w:r w:rsidR="00F80E80">
        <w:rPr>
          <w:lang w:val="fr-CH"/>
        </w:rPr>
        <w:t xml:space="preserve">des </w:t>
      </w:r>
      <w:r w:rsidR="00F80E80" w:rsidRPr="00432DCC">
        <w:rPr>
          <w:lang w:val="fr-CH"/>
        </w:rPr>
        <w:t>plans nationaux dans le domaine du numérique</w:t>
      </w:r>
      <w:r w:rsidR="00F80E80">
        <w:rPr>
          <w:lang w:val="fr-CH"/>
        </w:rPr>
        <w:t xml:space="preserve"> </w:t>
      </w:r>
      <w:r w:rsidR="00546D24">
        <w:rPr>
          <w:lang w:val="fr-CH"/>
        </w:rPr>
        <w:t xml:space="preserve">visant </w:t>
      </w:r>
      <w:r w:rsidR="00F80E80">
        <w:rPr>
          <w:lang w:val="fr-CH"/>
        </w:rPr>
        <w:t>à faire en sorte que le plus grand nombre d</w:t>
      </w:r>
      <w:r w:rsidR="00432DCC">
        <w:rPr>
          <w:lang w:val="fr-CH"/>
        </w:rPr>
        <w:t>'</w:t>
      </w:r>
      <w:r w:rsidR="00F80E80">
        <w:rPr>
          <w:lang w:val="fr-CH"/>
        </w:rPr>
        <w:t xml:space="preserve">utilisateurs possibles aient accès aux technologies large bande et </w:t>
      </w:r>
      <w:r w:rsidR="00F80E80" w:rsidRPr="00432DCC">
        <w:rPr>
          <w:lang w:val="fr-CH"/>
        </w:rPr>
        <w:t>IP</w:t>
      </w:r>
      <w:r w:rsidR="00546D24">
        <w:rPr>
          <w:lang w:val="fr-CH"/>
        </w:rPr>
        <w:t>.</w:t>
      </w:r>
    </w:p>
    <w:p w:rsidR="0078502F" w:rsidRPr="00432DCC" w:rsidRDefault="0078502F" w:rsidP="00432DCC">
      <w:pPr>
        <w:pStyle w:val="enumlev1"/>
        <w:rPr>
          <w:rFonts w:ascii="Calibri" w:hAnsi="Calibri" w:cs="Calibri"/>
          <w:color w:val="000000"/>
          <w:szCs w:val="24"/>
          <w:lang w:val="fr-CH"/>
        </w:rPr>
      </w:pPr>
      <w:r w:rsidRPr="00432DCC">
        <w:rPr>
          <w:rFonts w:ascii="Calibri" w:hAnsi="Calibri" w:cs="Calibri"/>
          <w:color w:val="000000"/>
          <w:szCs w:val="24"/>
          <w:lang w:val="fr-CH"/>
        </w:rPr>
        <w:t>k)</w:t>
      </w:r>
      <w:r w:rsidRPr="00432DCC">
        <w:rPr>
          <w:rFonts w:ascii="Calibri" w:hAnsi="Calibri" w:cs="Calibri"/>
          <w:color w:val="000000"/>
          <w:szCs w:val="24"/>
          <w:lang w:val="fr-CH"/>
        </w:rPr>
        <w:tab/>
      </w:r>
      <w:r w:rsidR="00546D24" w:rsidRPr="00F80E80">
        <w:rPr>
          <w:rFonts w:ascii="Calibri" w:hAnsi="Calibri" w:cs="Calibri"/>
          <w:color w:val="000000"/>
          <w:szCs w:val="24"/>
          <w:lang w:val="fr-CH"/>
        </w:rPr>
        <w:t>Méthod</w:t>
      </w:r>
      <w:r w:rsidR="00546D24">
        <w:rPr>
          <w:rFonts w:ascii="Calibri" w:hAnsi="Calibri" w:cs="Calibri"/>
          <w:color w:val="000000"/>
          <w:szCs w:val="24"/>
          <w:lang w:val="fr-CH"/>
        </w:rPr>
        <w:t>e</w:t>
      </w:r>
      <w:r w:rsidR="00546D24" w:rsidRPr="00F80E80">
        <w:rPr>
          <w:rFonts w:ascii="Calibri" w:hAnsi="Calibri" w:cs="Calibri"/>
          <w:color w:val="000000"/>
          <w:szCs w:val="24"/>
          <w:lang w:val="fr-CH"/>
        </w:rPr>
        <w:t>s</w:t>
      </w:r>
      <w:r w:rsidRPr="00432DCC">
        <w:rPr>
          <w:rFonts w:ascii="Calibri" w:hAnsi="Calibri" w:cs="Calibri"/>
          <w:color w:val="000000"/>
          <w:szCs w:val="24"/>
          <w:lang w:val="fr-CH"/>
        </w:rPr>
        <w:t xml:space="preserve"> </w:t>
      </w:r>
      <w:r w:rsidR="00F80E80">
        <w:rPr>
          <w:rFonts w:ascii="Calibri" w:hAnsi="Calibri" w:cs="Calibri"/>
          <w:color w:val="000000"/>
          <w:szCs w:val="24"/>
          <w:lang w:val="fr-CH"/>
        </w:rPr>
        <w:t>permettant d</w:t>
      </w:r>
      <w:r w:rsidR="00432DCC">
        <w:rPr>
          <w:rFonts w:ascii="Calibri" w:hAnsi="Calibri" w:cs="Calibri"/>
          <w:color w:val="000000"/>
          <w:szCs w:val="24"/>
          <w:lang w:val="fr-CH"/>
        </w:rPr>
        <w:t>'</w:t>
      </w:r>
      <w:r w:rsidR="00F80E80" w:rsidRPr="009E5001">
        <w:rPr>
          <w:lang w:val="fr-CH"/>
        </w:rPr>
        <w:t>encourager une saine concurrence dans la fourniture de l</w:t>
      </w:r>
      <w:r w:rsidR="00432DCC">
        <w:rPr>
          <w:lang w:val="fr-CH"/>
        </w:rPr>
        <w:t>'</w:t>
      </w:r>
      <w:r w:rsidR="00F80E80" w:rsidRPr="009E5001">
        <w:rPr>
          <w:lang w:val="fr-CH"/>
        </w:rPr>
        <w:t>accès au</w:t>
      </w:r>
      <w:r w:rsidR="00F80E80">
        <w:rPr>
          <w:lang w:val="fr-CH"/>
        </w:rPr>
        <w:t xml:space="preserve"> </w:t>
      </w:r>
      <w:r w:rsidR="00F80E80" w:rsidRPr="009E5001">
        <w:rPr>
          <w:lang w:val="fr-CH"/>
        </w:rPr>
        <w:t>réseau</w:t>
      </w:r>
      <w:r w:rsidR="00F80E80">
        <w:rPr>
          <w:lang w:val="fr-CH"/>
        </w:rPr>
        <w:t xml:space="preserve"> </w:t>
      </w:r>
      <w:r w:rsidR="00F80E80" w:rsidRPr="009E5001">
        <w:rPr>
          <w:lang w:val="fr-CH"/>
        </w:rPr>
        <w:t xml:space="preserve">et de services numériques </w:t>
      </w:r>
      <w:r w:rsidR="00F80E80">
        <w:rPr>
          <w:lang w:val="fr-CH"/>
        </w:rPr>
        <w:t xml:space="preserve">destinés aux </w:t>
      </w:r>
      <w:r w:rsidR="00F80E80" w:rsidRPr="009E5001">
        <w:rPr>
          <w:lang w:val="fr-CH"/>
        </w:rPr>
        <w:t>utilisateur</w:t>
      </w:r>
      <w:r w:rsidR="00F80E80">
        <w:rPr>
          <w:lang w:val="fr-CH"/>
        </w:rPr>
        <w:t>s</w:t>
      </w:r>
      <w:r w:rsidR="00F80E80" w:rsidRPr="009E5001">
        <w:rPr>
          <w:lang w:val="fr-CH"/>
        </w:rPr>
        <w:t xml:space="preserve"> final</w:t>
      </w:r>
      <w:r w:rsidR="00F80E80">
        <w:rPr>
          <w:lang w:val="fr-CH"/>
        </w:rPr>
        <w:t>s</w:t>
      </w:r>
      <w:r w:rsidR="00546D24">
        <w:rPr>
          <w:lang w:val="fr-CH"/>
        </w:rPr>
        <w:t>.</w:t>
      </w:r>
    </w:p>
    <w:p w:rsidR="0078502F" w:rsidRDefault="0078502F" w:rsidP="00432DCC">
      <w:pPr>
        <w:pStyle w:val="enumlev1"/>
        <w:rPr>
          <w:lang w:val="fr-CH"/>
        </w:rPr>
      </w:pPr>
      <w:r w:rsidRPr="00432DCC">
        <w:rPr>
          <w:rFonts w:ascii="Calibri" w:hAnsi="Calibri" w:cs="Calibri"/>
          <w:color w:val="000000"/>
          <w:szCs w:val="24"/>
        </w:rPr>
        <w:t>l)</w:t>
      </w:r>
      <w:r w:rsidRPr="00432DCC">
        <w:rPr>
          <w:rFonts w:ascii="Calibri" w:hAnsi="Calibri" w:cs="Calibri"/>
          <w:color w:val="000000"/>
          <w:szCs w:val="24"/>
        </w:rPr>
        <w:tab/>
      </w:r>
      <w:r w:rsidRPr="00E23254">
        <w:rPr>
          <w:lang w:val="fr-CH"/>
        </w:rPr>
        <w:t>Bonnes pratiques en matière de</w:t>
      </w:r>
      <w:r w:rsidR="00F80E80">
        <w:rPr>
          <w:lang w:val="fr-CH"/>
        </w:rPr>
        <w:t xml:space="preserve"> co-investissement, de colocalisation et des</w:t>
      </w:r>
      <w:r w:rsidRPr="00E23254">
        <w:rPr>
          <w:lang w:val="fr-CH"/>
        </w:rPr>
        <w:t xml:space="preserve"> partage des infrastructures, en vue de faciliter </w:t>
      </w:r>
      <w:r w:rsidR="00F80E80">
        <w:rPr>
          <w:lang w:val="fr-CH"/>
        </w:rPr>
        <w:t>l</w:t>
      </w:r>
      <w:r w:rsidR="00432DCC">
        <w:rPr>
          <w:lang w:val="fr-CH"/>
        </w:rPr>
        <w:t>'</w:t>
      </w:r>
      <w:r w:rsidR="00F80E80">
        <w:rPr>
          <w:lang w:val="fr-CH"/>
        </w:rPr>
        <w:t>accès au</w:t>
      </w:r>
      <w:r w:rsidRPr="00E23254">
        <w:rPr>
          <w:lang w:val="fr-CH"/>
        </w:rPr>
        <w:t xml:space="preserve"> marché, s</w:t>
      </w:r>
      <w:r w:rsidR="00432DCC">
        <w:rPr>
          <w:lang w:val="fr-CH"/>
        </w:rPr>
        <w:t>'</w:t>
      </w:r>
      <w:r w:rsidRPr="00E23254">
        <w:rPr>
          <w:lang w:val="fr-CH"/>
        </w:rPr>
        <w:t>il y a lieu.</w:t>
      </w:r>
    </w:p>
    <w:p w:rsidR="0078502F" w:rsidRPr="00432DCC" w:rsidRDefault="0078502F" w:rsidP="00432DCC">
      <w:pPr>
        <w:pStyle w:val="enumlev1"/>
        <w:rPr>
          <w:rFonts w:ascii="Calibri" w:hAnsi="Calibri" w:cs="Calibri"/>
          <w:color w:val="000000"/>
          <w:szCs w:val="24"/>
          <w:lang w:val="fr-CH"/>
        </w:rPr>
      </w:pPr>
      <w:r w:rsidRPr="00432DCC">
        <w:rPr>
          <w:rFonts w:cs="Times New Roman Bold"/>
          <w:szCs w:val="24"/>
          <w:lang w:val="fr-CH"/>
        </w:rPr>
        <w:t>m)</w:t>
      </w:r>
      <w:r w:rsidRPr="00432DCC">
        <w:rPr>
          <w:rFonts w:cs="Times New Roman Bold"/>
          <w:szCs w:val="24"/>
          <w:lang w:val="fr-CH"/>
        </w:rPr>
        <w:tab/>
      </w:r>
      <w:r w:rsidR="00F80E80" w:rsidRPr="00432DCC">
        <w:rPr>
          <w:lang w:val="fr-CH"/>
        </w:rPr>
        <w:t>Mesures d</w:t>
      </w:r>
      <w:r w:rsidR="00432DCC">
        <w:rPr>
          <w:lang w:val="fr-CH"/>
        </w:rPr>
        <w:t>'</w:t>
      </w:r>
      <w:r w:rsidR="00F80E80" w:rsidRPr="00432DCC">
        <w:rPr>
          <w:lang w:val="fr-CH"/>
        </w:rPr>
        <w:t>incitation réglementaire</w:t>
      </w:r>
      <w:r w:rsidR="00F80E80">
        <w:rPr>
          <w:lang w:val="fr-CH"/>
        </w:rPr>
        <w:t>s et</w:t>
      </w:r>
      <w:r w:rsidR="00F80E80" w:rsidRPr="00432DCC">
        <w:rPr>
          <w:lang w:val="fr-CH"/>
        </w:rPr>
        <w:t xml:space="preserve"> politique</w:t>
      </w:r>
      <w:r w:rsidR="00F80E80">
        <w:rPr>
          <w:lang w:val="fr-CH"/>
        </w:rPr>
        <w:t>s</w:t>
      </w:r>
      <w:r w:rsidR="00F80E80" w:rsidRPr="00432DCC">
        <w:rPr>
          <w:lang w:val="fr-CH"/>
        </w:rPr>
        <w:t xml:space="preserve"> en faveur de l</w:t>
      </w:r>
      <w:r w:rsidR="00432DCC">
        <w:rPr>
          <w:lang w:val="fr-CH"/>
        </w:rPr>
        <w:t>'</w:t>
      </w:r>
      <w:r w:rsidR="00F80E80" w:rsidRPr="00432DCC">
        <w:rPr>
          <w:lang w:val="fr-CH"/>
        </w:rPr>
        <w:t>investissement dans les réseaux large à haut débit et</w:t>
      </w:r>
      <w:r w:rsidR="00F80E80">
        <w:rPr>
          <w:lang w:val="fr-CH"/>
        </w:rPr>
        <w:t xml:space="preserve"> de grande capacité,</w:t>
      </w:r>
      <w:r w:rsidR="00546D24">
        <w:rPr>
          <w:lang w:val="fr-CH"/>
        </w:rPr>
        <w:t xml:space="preserve"> </w:t>
      </w:r>
      <w:r w:rsidR="00F80E80">
        <w:rPr>
          <w:lang w:val="fr-CH"/>
        </w:rPr>
        <w:t>y</w:t>
      </w:r>
      <w:r w:rsidR="00546D24">
        <w:rPr>
          <w:lang w:val="fr-CH"/>
        </w:rPr>
        <w:t> </w:t>
      </w:r>
      <w:r w:rsidR="00F80E80">
        <w:rPr>
          <w:lang w:val="fr-CH"/>
        </w:rPr>
        <w:t>compris les r</w:t>
      </w:r>
      <w:r w:rsidR="00F80E80" w:rsidRPr="009E5001">
        <w:rPr>
          <w:lang w:val="fr-CH"/>
        </w:rPr>
        <w:t>égimes de licence innovants</w:t>
      </w:r>
      <w:r w:rsidR="00665461">
        <w:rPr>
          <w:lang w:val="fr-CH"/>
        </w:rPr>
        <w:t>,</w:t>
      </w:r>
      <w:r w:rsidR="00F80E80" w:rsidRPr="009E5001">
        <w:rPr>
          <w:lang w:val="fr-CH"/>
        </w:rPr>
        <w:t xml:space="preserve"> </w:t>
      </w:r>
      <w:r w:rsidR="0076263E">
        <w:rPr>
          <w:lang w:val="fr-CH"/>
        </w:rPr>
        <w:t xml:space="preserve">les </w:t>
      </w:r>
      <w:r w:rsidR="00546D24">
        <w:rPr>
          <w:lang w:val="fr-CH"/>
        </w:rPr>
        <w:t>mesures d</w:t>
      </w:r>
      <w:r w:rsidR="00432DCC">
        <w:rPr>
          <w:lang w:val="fr-CH"/>
        </w:rPr>
        <w:t>'</w:t>
      </w:r>
      <w:r w:rsidR="00F80E80" w:rsidRPr="009E5001">
        <w:rPr>
          <w:color w:val="000000"/>
          <w:lang w:val="fr-CH"/>
        </w:rPr>
        <w:t xml:space="preserve">incitation </w:t>
      </w:r>
      <w:r w:rsidR="00546D24">
        <w:rPr>
          <w:color w:val="000000"/>
          <w:lang w:val="fr-CH"/>
        </w:rPr>
        <w:t xml:space="preserve">en faveur de la mise </w:t>
      </w:r>
      <w:r w:rsidR="00F80E80" w:rsidRPr="009E5001">
        <w:rPr>
          <w:color w:val="000000"/>
          <w:lang w:val="fr-CH"/>
        </w:rPr>
        <w:t>au point de nouveaux modèles</w:t>
      </w:r>
      <w:r w:rsidR="00F80E80" w:rsidRPr="009E5001">
        <w:rPr>
          <w:lang w:val="fr-CH"/>
        </w:rPr>
        <w:t xml:space="preserve"> </w:t>
      </w:r>
      <w:r w:rsidR="00F80E80">
        <w:rPr>
          <w:lang w:val="fr-CH"/>
        </w:rPr>
        <w:t>économiques</w:t>
      </w:r>
      <w:r w:rsidR="00546D24">
        <w:rPr>
          <w:lang w:val="fr-CH"/>
        </w:rPr>
        <w:t xml:space="preserve"> et</w:t>
      </w:r>
      <w:r w:rsidR="004457B8">
        <w:rPr>
          <w:lang w:val="fr-CH"/>
        </w:rPr>
        <w:t xml:space="preserve"> </w:t>
      </w:r>
      <w:r w:rsidR="00546D24">
        <w:rPr>
          <w:lang w:val="fr-CH"/>
        </w:rPr>
        <w:t xml:space="preserve">les </w:t>
      </w:r>
      <w:r w:rsidR="004457B8">
        <w:rPr>
          <w:lang w:val="fr-CH"/>
        </w:rPr>
        <w:t>stratégies globales en matière d</w:t>
      </w:r>
      <w:r w:rsidR="00432DCC">
        <w:rPr>
          <w:lang w:val="fr-CH"/>
        </w:rPr>
        <w:t>'</w:t>
      </w:r>
      <w:r w:rsidR="004457B8">
        <w:rPr>
          <w:lang w:val="fr-CH"/>
        </w:rPr>
        <w:t>accès et de service universels</w:t>
      </w:r>
      <w:r w:rsidR="00546D24">
        <w:rPr>
          <w:lang w:val="fr-CH"/>
        </w:rPr>
        <w:t>.</w:t>
      </w:r>
    </w:p>
    <w:p w:rsidR="0078502F" w:rsidRPr="00432DCC" w:rsidRDefault="0078502F" w:rsidP="00432DCC">
      <w:pPr>
        <w:pStyle w:val="enumlev1"/>
        <w:rPr>
          <w:rFonts w:ascii="Calibri" w:hAnsi="Calibri" w:cs="Calibri"/>
          <w:color w:val="000000"/>
          <w:szCs w:val="24"/>
          <w:lang w:val="fr-CH"/>
        </w:rPr>
      </w:pPr>
      <w:r w:rsidRPr="00432DCC">
        <w:rPr>
          <w:rFonts w:cs="Times New Roman Bold"/>
          <w:szCs w:val="24"/>
          <w:lang w:val="fr-CH"/>
        </w:rPr>
        <w:t>n)</w:t>
      </w:r>
      <w:r w:rsidRPr="00432DCC">
        <w:rPr>
          <w:rFonts w:cs="Times New Roman Bold"/>
          <w:szCs w:val="24"/>
          <w:lang w:val="fr-CH"/>
        </w:rPr>
        <w:tab/>
      </w:r>
      <w:r w:rsidR="004457B8">
        <w:rPr>
          <w:rFonts w:cs="Times New Roman Bold"/>
          <w:szCs w:val="24"/>
          <w:lang w:val="fr-CH"/>
        </w:rPr>
        <w:t>Problèmes réglementaires à résoudre et politiques à adopter pour tirer parti de l</w:t>
      </w:r>
      <w:r w:rsidR="00432DCC">
        <w:rPr>
          <w:rFonts w:cs="Times New Roman Bold"/>
          <w:szCs w:val="24"/>
          <w:lang w:val="fr-CH"/>
        </w:rPr>
        <w:t>'</w:t>
      </w:r>
      <w:r w:rsidR="004457B8">
        <w:rPr>
          <w:rFonts w:cs="Times New Roman Bold"/>
          <w:szCs w:val="24"/>
          <w:lang w:val="fr-CH"/>
        </w:rPr>
        <w:t>essor des nouvelles technologies dans l</w:t>
      </w:r>
      <w:r w:rsidR="00432DCC">
        <w:rPr>
          <w:rFonts w:cs="Times New Roman Bold"/>
          <w:szCs w:val="24"/>
          <w:lang w:val="fr-CH"/>
        </w:rPr>
        <w:t>'</w:t>
      </w:r>
      <w:r w:rsidR="004457B8">
        <w:rPr>
          <w:rFonts w:cs="Times New Roman Bold"/>
          <w:szCs w:val="24"/>
          <w:lang w:val="fr-CH"/>
        </w:rPr>
        <w:t>économie et la société numériques</w:t>
      </w:r>
      <w:r w:rsidRPr="00432DCC">
        <w:rPr>
          <w:rFonts w:ascii="Calibri" w:hAnsi="Calibri" w:cs="Calibri"/>
          <w:color w:val="000000"/>
          <w:szCs w:val="24"/>
          <w:lang w:val="fr-CH"/>
        </w:rPr>
        <w:t>,</w:t>
      </w:r>
      <w:r w:rsidR="004457B8" w:rsidRPr="004457B8">
        <w:rPr>
          <w:color w:val="000000"/>
        </w:rPr>
        <w:t xml:space="preserve"> </w:t>
      </w:r>
      <w:r w:rsidR="004457B8">
        <w:rPr>
          <w:color w:val="000000"/>
        </w:rPr>
        <w:t>notamment en ce qui concerne les fonds de service universel, les besoins en matière de couverture et les autres modes de financement de l</w:t>
      </w:r>
      <w:r w:rsidR="00432DCC">
        <w:rPr>
          <w:color w:val="000000"/>
        </w:rPr>
        <w:t>'</w:t>
      </w:r>
      <w:r w:rsidR="004457B8">
        <w:rPr>
          <w:color w:val="000000"/>
        </w:rPr>
        <w:t>accès au large bande.</w:t>
      </w:r>
    </w:p>
    <w:p w:rsidR="0078502F" w:rsidRPr="00432DCC" w:rsidRDefault="0078502F" w:rsidP="00432DCC">
      <w:pPr>
        <w:pStyle w:val="enumlev1"/>
        <w:rPr>
          <w:rFonts w:ascii="Calibri" w:hAnsi="Calibri" w:cs="Calibri"/>
          <w:color w:val="000000"/>
          <w:szCs w:val="24"/>
          <w:lang w:val="fr-CH"/>
        </w:rPr>
      </w:pPr>
      <w:r w:rsidRPr="00432DCC">
        <w:rPr>
          <w:rFonts w:cs="Times New Roman Bold"/>
          <w:szCs w:val="24"/>
          <w:lang w:val="fr-CH"/>
        </w:rPr>
        <w:t>o)</w:t>
      </w:r>
      <w:r w:rsidRPr="00432DCC">
        <w:rPr>
          <w:rFonts w:cs="Times New Roman Bold"/>
          <w:szCs w:val="24"/>
          <w:lang w:val="fr-CH"/>
        </w:rPr>
        <w:tab/>
      </w:r>
      <w:r w:rsidRPr="00432DCC">
        <w:rPr>
          <w:rFonts w:ascii="Calibri" w:hAnsi="Calibri" w:cs="Calibri"/>
          <w:color w:val="000000"/>
          <w:szCs w:val="24"/>
          <w:lang w:val="fr-CH"/>
        </w:rPr>
        <w:t>M</w:t>
      </w:r>
      <w:r w:rsidR="00AD5021">
        <w:rPr>
          <w:rFonts w:ascii="Calibri" w:hAnsi="Calibri" w:cs="Calibri"/>
          <w:color w:val="000000"/>
          <w:szCs w:val="24"/>
          <w:lang w:val="fr-CH"/>
        </w:rPr>
        <w:t>é</w:t>
      </w:r>
      <w:r w:rsidRPr="00432DCC">
        <w:rPr>
          <w:rFonts w:ascii="Calibri" w:hAnsi="Calibri" w:cs="Calibri"/>
          <w:color w:val="000000"/>
          <w:szCs w:val="24"/>
          <w:lang w:val="fr-CH"/>
        </w:rPr>
        <w:t>thod</w:t>
      </w:r>
      <w:r w:rsidR="004457B8">
        <w:rPr>
          <w:rFonts w:ascii="Calibri" w:hAnsi="Calibri" w:cs="Calibri"/>
          <w:color w:val="000000"/>
          <w:szCs w:val="24"/>
          <w:lang w:val="fr-CH"/>
        </w:rPr>
        <w:t>e</w:t>
      </w:r>
      <w:r w:rsidRPr="00432DCC">
        <w:rPr>
          <w:rFonts w:ascii="Calibri" w:hAnsi="Calibri" w:cs="Calibri"/>
          <w:color w:val="000000"/>
          <w:szCs w:val="24"/>
          <w:lang w:val="fr-CH"/>
        </w:rPr>
        <w:t xml:space="preserve">s </w:t>
      </w:r>
      <w:r w:rsidR="004457B8">
        <w:rPr>
          <w:rFonts w:ascii="Calibri" w:hAnsi="Calibri" w:cs="Calibri"/>
          <w:color w:val="000000"/>
          <w:szCs w:val="24"/>
          <w:lang w:val="fr-CH"/>
        </w:rPr>
        <w:t xml:space="preserve">permettant de </w:t>
      </w:r>
      <w:r w:rsidR="004457B8" w:rsidRPr="00432DCC">
        <w:rPr>
          <w:lang w:val="fr-CH"/>
        </w:rPr>
        <w:t>facilit</w:t>
      </w:r>
      <w:r w:rsidR="004457B8">
        <w:rPr>
          <w:lang w:val="fr-CH"/>
        </w:rPr>
        <w:t>er</w:t>
      </w:r>
      <w:r w:rsidR="004457B8" w:rsidRPr="00432DCC">
        <w:rPr>
          <w:lang w:val="fr-CH"/>
        </w:rPr>
        <w:t xml:space="preserve"> la mise à disposition et l</w:t>
      </w:r>
      <w:r w:rsidR="00432DCC">
        <w:rPr>
          <w:lang w:val="fr-CH"/>
        </w:rPr>
        <w:t>'</w:t>
      </w:r>
      <w:r w:rsidR="004457B8" w:rsidRPr="00432DCC">
        <w:rPr>
          <w:lang w:val="fr-CH"/>
        </w:rPr>
        <w:t xml:space="preserve">utilisation de services et </w:t>
      </w:r>
      <w:r w:rsidR="004457B8">
        <w:rPr>
          <w:lang w:val="fr-CH"/>
        </w:rPr>
        <w:t>d</w:t>
      </w:r>
      <w:r w:rsidR="00432DCC">
        <w:rPr>
          <w:lang w:val="fr-CH"/>
        </w:rPr>
        <w:t>'</w:t>
      </w:r>
      <w:r w:rsidR="004457B8" w:rsidRPr="00432DCC">
        <w:rPr>
          <w:lang w:val="fr-CH"/>
        </w:rPr>
        <w:t>applications mobile</w:t>
      </w:r>
      <w:r w:rsidR="00AD5021">
        <w:rPr>
          <w:lang w:val="fr-CH"/>
        </w:rPr>
        <w:t>s,</w:t>
      </w:r>
      <w:r w:rsidR="004457B8" w:rsidRPr="00432DCC">
        <w:rPr>
          <w:lang w:val="fr-CH"/>
        </w:rPr>
        <w:t xml:space="preserve"> ainsi que l</w:t>
      </w:r>
      <w:r w:rsidR="00432DCC">
        <w:rPr>
          <w:lang w:val="fr-CH"/>
        </w:rPr>
        <w:t>'</w:t>
      </w:r>
      <w:r w:rsidR="004457B8" w:rsidRPr="00432DCC">
        <w:rPr>
          <w:lang w:val="fr-CH"/>
        </w:rPr>
        <w:t xml:space="preserve">accès </w:t>
      </w:r>
      <w:r w:rsidR="004457B8">
        <w:rPr>
          <w:lang w:val="fr-CH"/>
        </w:rPr>
        <w:t xml:space="preserve">à ces services et applications, tels que le commerce sur mobile, les </w:t>
      </w:r>
      <w:r w:rsidR="00AD5021">
        <w:rPr>
          <w:lang w:val="fr-CH"/>
        </w:rPr>
        <w:t xml:space="preserve">services financiers sur mobile </w:t>
      </w:r>
      <w:r w:rsidR="004457B8">
        <w:rPr>
          <w:lang w:val="fr-CH"/>
        </w:rPr>
        <w:t>et la gouvernance</w:t>
      </w:r>
      <w:r w:rsidR="00AD5021">
        <w:rPr>
          <w:lang w:val="fr-CH"/>
        </w:rPr>
        <w:t xml:space="preserve"> sur mobile</w:t>
      </w:r>
      <w:r w:rsidR="004457B8">
        <w:rPr>
          <w:lang w:val="fr-CH"/>
        </w:rPr>
        <w:t xml:space="preserve">, notamment </w:t>
      </w:r>
      <w:r w:rsidR="004457B8" w:rsidRPr="009E5001">
        <w:rPr>
          <w:color w:val="000000"/>
          <w:lang w:val="fr-CH"/>
        </w:rPr>
        <w:t>les transferts d</w:t>
      </w:r>
      <w:r w:rsidR="00432DCC">
        <w:rPr>
          <w:color w:val="000000"/>
          <w:lang w:val="fr-CH"/>
        </w:rPr>
        <w:t>'</w:t>
      </w:r>
      <w:r w:rsidR="004457B8" w:rsidRPr="009E5001">
        <w:rPr>
          <w:color w:val="000000"/>
          <w:lang w:val="fr-CH"/>
        </w:rPr>
        <w:t>argent sur mobile, les services bancaires sur mobile et le commerce sur mobile</w:t>
      </w:r>
      <w:r w:rsidR="00AD5021">
        <w:rPr>
          <w:color w:val="000000"/>
          <w:lang w:val="fr-CH"/>
        </w:rPr>
        <w:t>.</w:t>
      </w:r>
    </w:p>
    <w:p w:rsidR="0078502F" w:rsidRPr="00432DCC" w:rsidRDefault="0078502F">
      <w:pPr>
        <w:pStyle w:val="enumlev1"/>
      </w:pPr>
      <w:r w:rsidRPr="00432DCC">
        <w:t>p)</w:t>
      </w:r>
      <w:r w:rsidRPr="00432DCC">
        <w:tab/>
      </w:r>
      <w:r w:rsidR="00AD5021">
        <w:t>I</w:t>
      </w:r>
      <w:r w:rsidRPr="00E23254">
        <w:rPr>
          <w:lang w:val="fr-CH"/>
        </w:rPr>
        <w:t>nstruments politiques propres à faciliter la mise à la disposition des consommateurs, aux niveaux local et national, de services et d</w:t>
      </w:r>
      <w:r w:rsidR="00432DCC">
        <w:rPr>
          <w:lang w:val="fr-CH"/>
        </w:rPr>
        <w:t>'</w:t>
      </w:r>
      <w:r w:rsidRPr="00E23254">
        <w:rPr>
          <w:lang w:val="fr-CH"/>
        </w:rPr>
        <w:t>applications IP concurrentiels, appelés services OTT ("over-the-top").</w:t>
      </w:r>
    </w:p>
    <w:p w:rsidR="00450EFA" w:rsidRPr="00E23254" w:rsidRDefault="00665461">
      <w:pPr>
        <w:pStyle w:val="enumlev1"/>
        <w:rPr>
          <w:lang w:val="fr-CH"/>
        </w:rPr>
      </w:pPr>
      <w:r>
        <w:rPr>
          <w:lang w:val="fr-CH"/>
        </w:rPr>
        <w:t>q</w:t>
      </w:r>
      <w:r w:rsidR="0076263E">
        <w:rPr>
          <w:lang w:val="fr-CH"/>
        </w:rPr>
        <w:t>)</w:t>
      </w:r>
      <w:r w:rsidR="00380874" w:rsidRPr="00E23254">
        <w:rPr>
          <w:lang w:val="fr-CH"/>
        </w:rPr>
        <w:tab/>
      </w:r>
      <w:r w:rsidR="00807C21">
        <w:rPr>
          <w:lang w:val="fr-CH"/>
        </w:rPr>
        <w:t>B</w:t>
      </w:r>
      <w:r w:rsidR="00380874" w:rsidRPr="00E23254">
        <w:rPr>
          <w:lang w:val="fr-CH"/>
        </w:rPr>
        <w:t>onnes pratiques</w:t>
      </w:r>
      <w:r w:rsidR="009B0DFC">
        <w:rPr>
          <w:lang w:val="fr-CH"/>
        </w:rPr>
        <w:t xml:space="preserve"> concernant les cadres juridiques</w:t>
      </w:r>
      <w:r w:rsidR="00380874" w:rsidRPr="00E23254">
        <w:rPr>
          <w:lang w:val="fr-CH"/>
        </w:rPr>
        <w:t xml:space="preserve"> </w:t>
      </w:r>
      <w:r w:rsidR="009B0DFC">
        <w:rPr>
          <w:lang w:val="fr-CH"/>
        </w:rPr>
        <w:t xml:space="preserve">permettant de </w:t>
      </w:r>
      <w:r w:rsidR="00380874" w:rsidRPr="00E23254">
        <w:rPr>
          <w:lang w:val="fr-CH"/>
        </w:rPr>
        <w:t>créer des conditions propices aux investissements dans les services et applications IP.</w:t>
      </w:r>
    </w:p>
    <w:p w:rsidR="0078502F" w:rsidRPr="00432DCC" w:rsidRDefault="0078502F">
      <w:pPr>
        <w:pStyle w:val="enumlev1"/>
        <w:rPr>
          <w:lang w:val="fr-CH"/>
        </w:rPr>
      </w:pPr>
      <w:r w:rsidRPr="009B0DFC">
        <w:rPr>
          <w:lang w:val="fr-CH"/>
        </w:rPr>
        <w:t>r)</w:t>
      </w:r>
      <w:r w:rsidRPr="009B0DFC">
        <w:rPr>
          <w:lang w:val="fr-CH"/>
        </w:rPr>
        <w:tab/>
      </w:r>
      <w:r w:rsidR="009B0DFC" w:rsidRPr="00432DCC">
        <w:rPr>
          <w:lang w:val="fr-CH"/>
        </w:rPr>
        <w:t>Vue d</w:t>
      </w:r>
      <w:r w:rsidR="00432DCC">
        <w:rPr>
          <w:lang w:val="fr-CH"/>
        </w:rPr>
        <w:t>'</w:t>
      </w:r>
      <w:r w:rsidR="009B0DFC" w:rsidRPr="00432DCC">
        <w:rPr>
          <w:lang w:val="fr-CH"/>
        </w:rPr>
        <w:t xml:space="preserve">ensemble des </w:t>
      </w:r>
      <w:r w:rsidR="009B0DFC" w:rsidRPr="00432DCC">
        <w:rPr>
          <w:color w:val="000000"/>
          <w:lang w:val="fr-CH"/>
        </w:rPr>
        <w:t xml:space="preserve">tendances concernant le passage du protocole </w:t>
      </w:r>
      <w:r w:rsidR="009B0DFC" w:rsidRPr="009E5001">
        <w:rPr>
          <w:lang w:val="fr-CH"/>
        </w:rPr>
        <w:t xml:space="preserve">IPv4 </w:t>
      </w:r>
      <w:r w:rsidR="009B0DFC" w:rsidRPr="00432DCC">
        <w:rPr>
          <w:color w:val="000000"/>
          <w:lang w:val="fr-CH"/>
        </w:rPr>
        <w:t xml:space="preserve">au protocole </w:t>
      </w:r>
      <w:r w:rsidR="009B0DFC" w:rsidRPr="009E5001">
        <w:rPr>
          <w:lang w:val="fr-CH"/>
        </w:rPr>
        <w:t>IPv6</w:t>
      </w:r>
      <w:r w:rsidR="00AD5021">
        <w:rPr>
          <w:lang w:val="fr-CH"/>
        </w:rPr>
        <w:t>.</w:t>
      </w:r>
    </w:p>
    <w:p w:rsidR="0078502F" w:rsidRPr="009B0DFC" w:rsidRDefault="0078502F">
      <w:pPr>
        <w:pStyle w:val="enumlev1"/>
        <w:rPr>
          <w:lang w:val="fr-CH"/>
        </w:rPr>
      </w:pPr>
      <w:r w:rsidRPr="00432DCC">
        <w:rPr>
          <w:rFonts w:cs="Times New Roman Bold"/>
          <w:lang w:val="fr-CH"/>
        </w:rPr>
        <w:t>s)</w:t>
      </w:r>
      <w:r w:rsidRPr="00432DCC">
        <w:rPr>
          <w:rFonts w:cs="Times New Roman Bold"/>
          <w:lang w:val="fr-CH"/>
        </w:rPr>
        <w:tab/>
      </w:r>
      <w:r w:rsidR="009B0DFC" w:rsidRPr="00432DCC">
        <w:rPr>
          <w:lang w:val="fr-CH"/>
        </w:rPr>
        <w:t>Méthode</w:t>
      </w:r>
      <w:r w:rsidR="009B0DFC">
        <w:rPr>
          <w:lang w:val="fr-CH"/>
        </w:rPr>
        <w:t>s</w:t>
      </w:r>
      <w:r w:rsidR="009B0DFC" w:rsidRPr="00432DCC">
        <w:rPr>
          <w:lang w:val="fr-CH"/>
        </w:rPr>
        <w:t xml:space="preserve"> permettant d</w:t>
      </w:r>
      <w:r w:rsidR="00432DCC">
        <w:rPr>
          <w:lang w:val="fr-CH"/>
        </w:rPr>
        <w:t>'</w:t>
      </w:r>
      <w:r w:rsidR="009B0DFC" w:rsidRPr="00432DCC">
        <w:rPr>
          <w:lang w:val="fr-CH"/>
        </w:rPr>
        <w:t>intensifier et de coordonner les efforts déployés pour assurer le passage au protocole</w:t>
      </w:r>
      <w:r w:rsidR="009B0DFC">
        <w:rPr>
          <w:lang w:val="fr-CH"/>
        </w:rPr>
        <w:t xml:space="preserve"> </w:t>
      </w:r>
      <w:r w:rsidR="009B0DFC" w:rsidRPr="00432DCC">
        <w:rPr>
          <w:lang w:val="fr-CH"/>
        </w:rPr>
        <w:t>IPv6.</w:t>
      </w:r>
    </w:p>
    <w:p w:rsidR="00450EFA" w:rsidRPr="00E23254" w:rsidRDefault="00380874" w:rsidP="005E0192">
      <w:pPr>
        <w:pStyle w:val="Heading1"/>
        <w:rPr>
          <w:lang w:val="fr-CH"/>
        </w:rPr>
      </w:pPr>
      <w:r w:rsidRPr="00E23254">
        <w:rPr>
          <w:lang w:val="fr-CH"/>
        </w:rPr>
        <w:lastRenderedPageBreak/>
        <w:t>4</w:t>
      </w:r>
      <w:r w:rsidRPr="00E23254">
        <w:rPr>
          <w:lang w:val="fr-CH"/>
        </w:rPr>
        <w:tab/>
        <w:t>Echéance</w:t>
      </w:r>
    </w:p>
    <w:p w:rsidR="00450EFA" w:rsidRDefault="00380874" w:rsidP="005E0192">
      <w:pPr>
        <w:rPr>
          <w:lang w:val="fr-CH"/>
        </w:rPr>
      </w:pPr>
      <w:r w:rsidRPr="00E23254">
        <w:rPr>
          <w:lang w:val="fr-CH"/>
        </w:rPr>
        <w:t>Rapports d</w:t>
      </w:r>
      <w:r w:rsidR="00432DCC">
        <w:rPr>
          <w:lang w:val="fr-CH"/>
        </w:rPr>
        <w:t>'</w:t>
      </w:r>
      <w:r w:rsidRPr="00E23254">
        <w:rPr>
          <w:lang w:val="fr-CH"/>
        </w:rPr>
        <w:t xml:space="preserve">activité annuels. </w:t>
      </w:r>
    </w:p>
    <w:p w:rsidR="009B0DFC" w:rsidRDefault="009B0DFC" w:rsidP="005E0192">
      <w:pPr>
        <w:rPr>
          <w:lang w:val="fr-CH"/>
        </w:rPr>
      </w:pPr>
      <w:r w:rsidRPr="009B0DFC">
        <w:rPr>
          <w:lang w:val="fr-CH"/>
        </w:rPr>
        <w:t xml:space="preserve">Un rapport final, ainsi que des lignes directrices ou </w:t>
      </w:r>
      <w:r>
        <w:rPr>
          <w:lang w:val="fr-CH"/>
        </w:rPr>
        <w:t xml:space="preserve">une ou plusieurs </w:t>
      </w:r>
      <w:r w:rsidRPr="009B0DFC">
        <w:rPr>
          <w:lang w:val="fr-CH"/>
        </w:rPr>
        <w:t>Recommandations, devront être soumis à la Commission d</w:t>
      </w:r>
      <w:r w:rsidR="00432DCC">
        <w:rPr>
          <w:lang w:val="fr-CH"/>
        </w:rPr>
        <w:t>'</w:t>
      </w:r>
      <w:r w:rsidRPr="009B0DFC">
        <w:rPr>
          <w:lang w:val="fr-CH"/>
        </w:rPr>
        <w:t>études 1 dans un délai de quatre ans.</w:t>
      </w:r>
    </w:p>
    <w:p w:rsidR="00807C21" w:rsidRPr="00E23254" w:rsidRDefault="00807C21" w:rsidP="00807C21">
      <w:pPr>
        <w:rPr>
          <w:lang w:val="fr-CH"/>
        </w:rPr>
      </w:pPr>
      <w:r w:rsidRPr="00E23254">
        <w:rPr>
          <w:lang w:val="fr-CH"/>
        </w:rPr>
        <w:t>Un projet de rapport sur les thèmes étudiés devrait être soumis à la Commission d</w:t>
      </w:r>
      <w:r w:rsidR="00432DCC">
        <w:rPr>
          <w:lang w:val="fr-CH"/>
        </w:rPr>
        <w:t>'</w:t>
      </w:r>
      <w:r w:rsidRPr="00E23254">
        <w:rPr>
          <w:lang w:val="fr-CH"/>
        </w:rPr>
        <w:t>études 1 dans un délai de deux ans.</w:t>
      </w:r>
    </w:p>
    <w:p w:rsidR="00450EFA" w:rsidRPr="00E23254" w:rsidRDefault="00380874" w:rsidP="005E0192">
      <w:pPr>
        <w:pStyle w:val="Heading1"/>
        <w:rPr>
          <w:lang w:val="fr-CH"/>
        </w:rPr>
      </w:pPr>
      <w:r w:rsidRPr="00E23254">
        <w:rPr>
          <w:lang w:val="fr-CH"/>
        </w:rPr>
        <w:t>5</w:t>
      </w:r>
      <w:r w:rsidRPr="00E23254">
        <w:rPr>
          <w:lang w:val="fr-CH"/>
        </w:rPr>
        <w:tab/>
        <w:t>Auteurs de la proposition/sponsors</w:t>
      </w:r>
    </w:p>
    <w:p w:rsidR="006576CC" w:rsidRPr="009B0DFC" w:rsidRDefault="009B0DFC">
      <w:pPr>
        <w:rPr>
          <w:lang w:val="fr-CH"/>
        </w:rPr>
      </w:pPr>
      <w:r w:rsidRPr="00432DCC">
        <w:rPr>
          <w:lang w:val="fr-CH"/>
        </w:rPr>
        <w:t>Au cours de la C</w:t>
      </w:r>
      <w:r>
        <w:rPr>
          <w:lang w:val="fr-CH"/>
        </w:rPr>
        <w:t>M</w:t>
      </w:r>
      <w:r w:rsidRPr="00432DCC">
        <w:rPr>
          <w:lang w:val="fr-CH"/>
        </w:rPr>
        <w:t>DT</w:t>
      </w:r>
      <w:r w:rsidR="00AD5021">
        <w:rPr>
          <w:lang w:val="fr-CH"/>
        </w:rPr>
        <w:t>-</w:t>
      </w:r>
      <w:r w:rsidRPr="00432DCC">
        <w:rPr>
          <w:lang w:val="fr-CH"/>
        </w:rPr>
        <w:t xml:space="preserve">17, tenue à </w:t>
      </w:r>
      <w:r w:rsidRPr="009E5001">
        <w:rPr>
          <w:lang w:val="fr-CH"/>
        </w:rPr>
        <w:t>Buenos Aires</w:t>
      </w:r>
      <w:r w:rsidRPr="00432DCC">
        <w:rPr>
          <w:lang w:val="fr-CH"/>
        </w:rPr>
        <w:t>, un consensus s</w:t>
      </w:r>
      <w:r w:rsidR="00432DCC">
        <w:rPr>
          <w:lang w:val="fr-CH"/>
        </w:rPr>
        <w:t>'</w:t>
      </w:r>
      <w:r w:rsidRPr="00432DCC">
        <w:rPr>
          <w:lang w:val="fr-CH"/>
        </w:rPr>
        <w:t>est dégagé sur le fait que les questions relatives au déploiement du large bande étaient extrêmement importantes</w:t>
      </w:r>
      <w:r>
        <w:rPr>
          <w:lang w:val="fr-CH"/>
        </w:rPr>
        <w:t xml:space="preserve"> pour</w:t>
      </w:r>
      <w:r w:rsidRPr="00432DCC">
        <w:rPr>
          <w:lang w:val="fr-CH"/>
        </w:rPr>
        <w:t xml:space="preserve"> tous les pays, en particulier </w:t>
      </w:r>
      <w:r>
        <w:rPr>
          <w:lang w:val="fr-CH"/>
        </w:rPr>
        <w:t>les pays en développement, et qu</w:t>
      </w:r>
      <w:r w:rsidR="00432DCC">
        <w:rPr>
          <w:lang w:val="fr-CH"/>
        </w:rPr>
        <w:t>'</w:t>
      </w:r>
      <w:r>
        <w:rPr>
          <w:lang w:val="fr-CH"/>
        </w:rPr>
        <w:t>il fallait en poursuivre l</w:t>
      </w:r>
      <w:r w:rsidR="00432DCC">
        <w:rPr>
          <w:lang w:val="fr-CH"/>
        </w:rPr>
        <w:t>'</w:t>
      </w:r>
      <w:r>
        <w:rPr>
          <w:lang w:val="fr-CH"/>
        </w:rPr>
        <w:t>étude dans le cadre d</w:t>
      </w:r>
      <w:r w:rsidR="00432DCC">
        <w:rPr>
          <w:lang w:val="fr-CH"/>
        </w:rPr>
        <w:t>'</w:t>
      </w:r>
      <w:r>
        <w:rPr>
          <w:lang w:val="fr-CH"/>
        </w:rPr>
        <w:t>une Question révisée au cours de la période d</w:t>
      </w:r>
      <w:r w:rsidR="00432DCC">
        <w:rPr>
          <w:lang w:val="fr-CH"/>
        </w:rPr>
        <w:t>'</w:t>
      </w:r>
      <w:r>
        <w:rPr>
          <w:lang w:val="fr-CH"/>
        </w:rPr>
        <w:t xml:space="preserve">études </w:t>
      </w:r>
      <w:r w:rsidR="006576CC" w:rsidRPr="00432DCC">
        <w:rPr>
          <w:lang w:val="fr-CH"/>
        </w:rPr>
        <w:t>2018-2021.</w:t>
      </w:r>
    </w:p>
    <w:p w:rsidR="00450EFA" w:rsidRPr="00E23254" w:rsidRDefault="00380874" w:rsidP="005E0192">
      <w:pPr>
        <w:pStyle w:val="Heading1"/>
        <w:rPr>
          <w:lang w:val="fr-CH"/>
        </w:rPr>
      </w:pPr>
      <w:r w:rsidRPr="00E23254">
        <w:rPr>
          <w:lang w:val="fr-CH"/>
        </w:rPr>
        <w:t>6</w:t>
      </w:r>
      <w:r w:rsidRPr="00E23254">
        <w:rPr>
          <w:lang w:val="fr-CH"/>
        </w:rPr>
        <w:tab/>
        <w:t>Origine des contributions</w:t>
      </w:r>
    </w:p>
    <w:p w:rsidR="003334EC" w:rsidRDefault="006576CC" w:rsidP="00432DCC">
      <w:pPr>
        <w:pStyle w:val="enumlev1"/>
        <w:rPr>
          <w:lang w:val="fr-CH"/>
        </w:rPr>
      </w:pPr>
      <w:r>
        <w:rPr>
          <w:lang w:val="fr-CH"/>
        </w:rPr>
        <w:t>1)</w:t>
      </w:r>
      <w:r>
        <w:rPr>
          <w:lang w:val="fr-CH"/>
        </w:rPr>
        <w:tab/>
      </w:r>
      <w:r w:rsidR="003334EC">
        <w:rPr>
          <w:lang w:val="fr-CH"/>
        </w:rPr>
        <w:t xml:space="preserve">Résultats </w:t>
      </w:r>
      <w:r w:rsidR="00577A26">
        <w:rPr>
          <w:lang w:val="fr-CH"/>
        </w:rPr>
        <w:t xml:space="preserve">des </w:t>
      </w:r>
      <w:r w:rsidR="003334EC">
        <w:rPr>
          <w:lang w:val="fr-CH"/>
        </w:rPr>
        <w:t>progrès techniques réalisés par les commissions d</w:t>
      </w:r>
      <w:r w:rsidR="00432DCC">
        <w:rPr>
          <w:lang w:val="fr-CH"/>
        </w:rPr>
        <w:t>'</w:t>
      </w:r>
      <w:r w:rsidR="003334EC">
        <w:rPr>
          <w:lang w:val="fr-CH"/>
        </w:rPr>
        <w:t>études concernées de l</w:t>
      </w:r>
      <w:r w:rsidR="00432DCC">
        <w:rPr>
          <w:lang w:val="fr-CH"/>
        </w:rPr>
        <w:t>'</w:t>
      </w:r>
      <w:r w:rsidR="003334EC">
        <w:rPr>
          <w:lang w:val="fr-CH"/>
        </w:rPr>
        <w:t>UIT</w:t>
      </w:r>
      <w:r w:rsidR="00AD5021">
        <w:rPr>
          <w:lang w:val="fr-CH"/>
        </w:rPr>
        <w:t>-</w:t>
      </w:r>
      <w:r w:rsidR="003334EC">
        <w:rPr>
          <w:lang w:val="fr-CH"/>
        </w:rPr>
        <w:t>R et de l</w:t>
      </w:r>
      <w:r w:rsidR="00432DCC">
        <w:rPr>
          <w:lang w:val="fr-CH"/>
        </w:rPr>
        <w:t>'</w:t>
      </w:r>
      <w:r w:rsidR="003334EC">
        <w:rPr>
          <w:lang w:val="fr-CH"/>
        </w:rPr>
        <w:t>UIT</w:t>
      </w:r>
      <w:r w:rsidR="00AD5021">
        <w:rPr>
          <w:lang w:val="fr-CH"/>
        </w:rPr>
        <w:t>-</w:t>
      </w:r>
      <w:r w:rsidR="00B77B2E">
        <w:rPr>
          <w:lang w:val="fr-CH"/>
        </w:rPr>
        <w:t>T</w:t>
      </w:r>
      <w:r w:rsidR="00AD5021">
        <w:rPr>
          <w:lang w:val="fr-CH"/>
        </w:rPr>
        <w:t>.</w:t>
      </w:r>
    </w:p>
    <w:p w:rsidR="00450EFA" w:rsidRPr="00E23254" w:rsidRDefault="003334EC" w:rsidP="00432DCC">
      <w:pPr>
        <w:pStyle w:val="enumlev1"/>
        <w:rPr>
          <w:lang w:val="fr-CH"/>
        </w:rPr>
      </w:pPr>
      <w:r>
        <w:rPr>
          <w:lang w:val="fr-CH"/>
        </w:rPr>
        <w:t>2)</w:t>
      </w:r>
      <w:r w:rsidR="00AD5021">
        <w:rPr>
          <w:lang w:val="fr-CH"/>
        </w:rPr>
        <w:tab/>
      </w:r>
      <w:r>
        <w:rPr>
          <w:lang w:val="fr-CH"/>
        </w:rPr>
        <w:t>C</w:t>
      </w:r>
      <w:r w:rsidRPr="00E23254">
        <w:rPr>
          <w:lang w:val="fr-CH"/>
        </w:rPr>
        <w:t xml:space="preserve">ontributions </w:t>
      </w:r>
      <w:r>
        <w:rPr>
          <w:lang w:val="fr-CH"/>
        </w:rPr>
        <w:t xml:space="preserve">soumises par les </w:t>
      </w:r>
      <w:r w:rsidR="00380874" w:rsidRPr="00E23254">
        <w:rPr>
          <w:lang w:val="fr-CH"/>
        </w:rPr>
        <w:t>Etats Membres</w:t>
      </w:r>
      <w:r>
        <w:rPr>
          <w:lang w:val="fr-CH"/>
        </w:rPr>
        <w:t>,</w:t>
      </w:r>
      <w:r w:rsidR="00380874" w:rsidRPr="00E23254">
        <w:rPr>
          <w:lang w:val="fr-CH"/>
        </w:rPr>
        <w:t xml:space="preserve"> </w:t>
      </w:r>
      <w:r>
        <w:rPr>
          <w:lang w:val="fr-CH"/>
        </w:rPr>
        <w:t>les</w:t>
      </w:r>
      <w:r w:rsidRPr="00E23254">
        <w:rPr>
          <w:lang w:val="fr-CH"/>
        </w:rPr>
        <w:t xml:space="preserve"> </w:t>
      </w:r>
      <w:r w:rsidR="00380874" w:rsidRPr="00E23254">
        <w:rPr>
          <w:lang w:val="fr-CH"/>
        </w:rPr>
        <w:t>Membres de Secteur</w:t>
      </w:r>
      <w:r>
        <w:rPr>
          <w:lang w:val="fr-CH"/>
        </w:rPr>
        <w:t xml:space="preserve"> et les Associés, les commissions d</w:t>
      </w:r>
      <w:r w:rsidR="00432DCC">
        <w:rPr>
          <w:lang w:val="fr-CH"/>
        </w:rPr>
        <w:t>'</w:t>
      </w:r>
      <w:r>
        <w:rPr>
          <w:lang w:val="fr-CH"/>
        </w:rPr>
        <w:t>études compétentes de l</w:t>
      </w:r>
      <w:r w:rsidR="00432DCC">
        <w:rPr>
          <w:lang w:val="fr-CH"/>
        </w:rPr>
        <w:t>'</w:t>
      </w:r>
      <w:r>
        <w:rPr>
          <w:lang w:val="fr-CH"/>
        </w:rPr>
        <w:t>UIT-R et de l</w:t>
      </w:r>
      <w:r w:rsidR="00432DCC">
        <w:rPr>
          <w:lang w:val="fr-CH"/>
        </w:rPr>
        <w:t>'</w:t>
      </w:r>
      <w:r>
        <w:rPr>
          <w:lang w:val="fr-CH"/>
        </w:rPr>
        <w:t>UIT</w:t>
      </w:r>
      <w:r w:rsidR="00AD5021">
        <w:rPr>
          <w:lang w:val="fr-CH"/>
        </w:rPr>
        <w:t>-</w:t>
      </w:r>
      <w:r>
        <w:rPr>
          <w:lang w:val="fr-CH"/>
        </w:rPr>
        <w:t>T</w:t>
      </w:r>
      <w:r w:rsidRPr="00E23254">
        <w:rPr>
          <w:lang w:val="fr-CH"/>
        </w:rPr>
        <w:t xml:space="preserve"> </w:t>
      </w:r>
      <w:r>
        <w:rPr>
          <w:lang w:val="fr-CH"/>
        </w:rPr>
        <w:t>et d</w:t>
      </w:r>
      <w:r w:rsidR="00432DCC">
        <w:rPr>
          <w:lang w:val="fr-CH"/>
        </w:rPr>
        <w:t>'</w:t>
      </w:r>
      <w:r>
        <w:rPr>
          <w:lang w:val="fr-CH"/>
        </w:rPr>
        <w:t>autres parties prenantes</w:t>
      </w:r>
      <w:r w:rsidR="00380874" w:rsidRPr="00E23254">
        <w:rPr>
          <w:lang w:val="fr-CH"/>
        </w:rPr>
        <w:t>.</w:t>
      </w:r>
    </w:p>
    <w:p w:rsidR="00450EFA" w:rsidRPr="00E23254" w:rsidRDefault="003334EC" w:rsidP="00432DCC">
      <w:pPr>
        <w:pStyle w:val="enumlev1"/>
        <w:rPr>
          <w:lang w:val="fr-CH"/>
        </w:rPr>
      </w:pPr>
      <w:r>
        <w:rPr>
          <w:lang w:val="fr-CH"/>
        </w:rPr>
        <w:t>3</w:t>
      </w:r>
      <w:r w:rsidR="006576CC">
        <w:rPr>
          <w:lang w:val="fr-CH"/>
        </w:rPr>
        <w:t>)</w:t>
      </w:r>
      <w:r w:rsidR="006576CC">
        <w:rPr>
          <w:lang w:val="fr-CH"/>
        </w:rPr>
        <w:tab/>
      </w:r>
      <w:r w:rsidR="00380874" w:rsidRPr="00E23254">
        <w:rPr>
          <w:lang w:val="fr-CH"/>
        </w:rPr>
        <w:t>Les entretiens, les rapports existants et les enquêtes devraient aussi servir à recueillir des données et des informations qui permettront d</w:t>
      </w:r>
      <w:r w:rsidR="00432DCC">
        <w:rPr>
          <w:lang w:val="fr-CH"/>
        </w:rPr>
        <w:t>'</w:t>
      </w:r>
      <w:r w:rsidR="00380874" w:rsidRPr="00E23254">
        <w:rPr>
          <w:lang w:val="fr-CH"/>
        </w:rPr>
        <w:t>élaborer un ensemble complet de lignes directrices sur les bonnes pratiques.</w:t>
      </w:r>
    </w:p>
    <w:p w:rsidR="00450EFA" w:rsidRPr="00E23254" w:rsidRDefault="003334EC" w:rsidP="00432DCC">
      <w:pPr>
        <w:pStyle w:val="enumlev1"/>
        <w:rPr>
          <w:lang w:val="fr-CH"/>
        </w:rPr>
      </w:pPr>
      <w:r>
        <w:rPr>
          <w:lang w:val="fr-CH"/>
        </w:rPr>
        <w:t>4</w:t>
      </w:r>
      <w:r w:rsidR="006576CC">
        <w:rPr>
          <w:lang w:val="fr-CH"/>
        </w:rPr>
        <w:t>)</w:t>
      </w:r>
      <w:r w:rsidR="006576CC">
        <w:rPr>
          <w:lang w:val="fr-CH"/>
        </w:rPr>
        <w:tab/>
      </w:r>
      <w:r w:rsidR="00380874" w:rsidRPr="00E23254">
        <w:rPr>
          <w:lang w:val="fr-CH"/>
        </w:rPr>
        <w:t>Les données fournies par les organisations régionales de télécommunication, les centres de recherche en télécommunications, les constructeurs et les groupes de travail devraient également être utilisées, pour éviter toute répétition des tâches.</w:t>
      </w:r>
    </w:p>
    <w:p w:rsidR="006576CC" w:rsidRDefault="006576CC" w:rsidP="00432DCC">
      <w:pPr>
        <w:pStyle w:val="enumlev1"/>
        <w:rPr>
          <w:lang w:val="fr-CH"/>
        </w:rPr>
      </w:pPr>
      <w:r>
        <w:rPr>
          <w:lang w:val="fr-CH"/>
        </w:rPr>
        <w:t>5)</w:t>
      </w:r>
      <w:r>
        <w:rPr>
          <w:lang w:val="fr-CH"/>
        </w:rPr>
        <w:tab/>
      </w:r>
      <w:r w:rsidRPr="00412FDE">
        <w:rPr>
          <w:lang w:val="fr-CH"/>
        </w:rPr>
        <w:t>Publications, rapports et recommandations de l</w:t>
      </w:r>
      <w:r w:rsidR="00432DCC">
        <w:rPr>
          <w:lang w:val="fr-CH"/>
        </w:rPr>
        <w:t>'</w:t>
      </w:r>
      <w:r w:rsidRPr="00412FDE">
        <w:rPr>
          <w:lang w:val="fr-CH"/>
        </w:rPr>
        <w:t>UIT sur les technologies d</w:t>
      </w:r>
      <w:r w:rsidR="00432DCC">
        <w:rPr>
          <w:lang w:val="fr-CH"/>
        </w:rPr>
        <w:t>'</w:t>
      </w:r>
      <w:r w:rsidRPr="00412FDE">
        <w:rPr>
          <w:lang w:val="fr-CH"/>
        </w:rPr>
        <w:t xml:space="preserve">accès </w:t>
      </w:r>
      <w:r w:rsidR="003334EC">
        <w:rPr>
          <w:lang w:val="fr-CH"/>
        </w:rPr>
        <w:t xml:space="preserve">au </w:t>
      </w:r>
      <w:r w:rsidRPr="00412FDE">
        <w:rPr>
          <w:lang w:val="fr-CH"/>
        </w:rPr>
        <w:t>large bande.</w:t>
      </w:r>
    </w:p>
    <w:p w:rsidR="006576CC" w:rsidRDefault="006576CC" w:rsidP="00432DCC">
      <w:pPr>
        <w:pStyle w:val="enumlev1"/>
        <w:rPr>
          <w:lang w:val="fr-CH"/>
        </w:rPr>
      </w:pPr>
      <w:r>
        <w:rPr>
          <w:lang w:val="fr-CH"/>
        </w:rPr>
        <w:t>6)</w:t>
      </w:r>
      <w:r>
        <w:rPr>
          <w:lang w:val="fr-CH"/>
        </w:rPr>
        <w:tab/>
      </w:r>
      <w:r w:rsidRPr="00412FDE">
        <w:rPr>
          <w:lang w:val="fr-CH"/>
        </w:rPr>
        <w:t>Résultats et renseignements résultant de l</w:t>
      </w:r>
      <w:r w:rsidR="00432DCC">
        <w:rPr>
          <w:lang w:val="fr-CH"/>
        </w:rPr>
        <w:t>'</w:t>
      </w:r>
      <w:r w:rsidRPr="00412FDE">
        <w:rPr>
          <w:lang w:val="fr-CH"/>
        </w:rPr>
        <w:t>étude des Questions liées aux applications des TIC.</w:t>
      </w:r>
    </w:p>
    <w:p w:rsidR="006576CC" w:rsidRPr="00E23254" w:rsidRDefault="006576CC" w:rsidP="00432DCC">
      <w:pPr>
        <w:pStyle w:val="enumlev1"/>
        <w:rPr>
          <w:lang w:val="fr-CH"/>
        </w:rPr>
      </w:pPr>
      <w:r>
        <w:rPr>
          <w:lang w:val="fr-CH"/>
        </w:rPr>
        <w:t>7)</w:t>
      </w:r>
      <w:r>
        <w:rPr>
          <w:lang w:val="fr-CH"/>
        </w:rPr>
        <w:tab/>
      </w:r>
      <w:r w:rsidRPr="00412FDE">
        <w:rPr>
          <w:lang w:val="fr-CH"/>
        </w:rPr>
        <w:t>Contributions et renseignements émanant des responsables des programmes du BDT relatifs au large bande et aux différentes technologies d</w:t>
      </w:r>
      <w:r w:rsidR="00432DCC">
        <w:rPr>
          <w:lang w:val="fr-CH"/>
        </w:rPr>
        <w:t>'</w:t>
      </w:r>
      <w:r w:rsidRPr="00412FDE">
        <w:rPr>
          <w:lang w:val="fr-CH"/>
        </w:rPr>
        <w:t xml:space="preserve">accès </w:t>
      </w:r>
      <w:r w:rsidR="003334EC">
        <w:rPr>
          <w:lang w:val="fr-CH"/>
        </w:rPr>
        <w:t xml:space="preserve">au </w:t>
      </w:r>
      <w:r w:rsidRPr="00412FDE">
        <w:rPr>
          <w:lang w:val="fr-CH"/>
        </w:rPr>
        <w:t>large bande.</w:t>
      </w:r>
    </w:p>
    <w:p w:rsidR="00450EFA" w:rsidRPr="00725C27" w:rsidRDefault="00380874" w:rsidP="001C0898">
      <w:pPr>
        <w:pStyle w:val="Heading1"/>
        <w:spacing w:after="120"/>
      </w:pPr>
      <w:r w:rsidRPr="00725C27">
        <w:lastRenderedPageBreak/>
        <w:t>7</w:t>
      </w:r>
      <w:r w:rsidRPr="00725C27">
        <w:tab/>
        <w:t>Destinataires de l</w:t>
      </w:r>
      <w:r w:rsidR="00432DCC">
        <w:t>'</w:t>
      </w:r>
      <w:r w:rsidRPr="00725C27">
        <w:t>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1692"/>
        <w:gridCol w:w="2046"/>
      </w:tblGrid>
      <w:tr w:rsidR="00450EFA" w:rsidRPr="00BE6EF9" w:rsidTr="00450EFA">
        <w:trPr>
          <w:jc w:val="center"/>
        </w:trPr>
        <w:tc>
          <w:tcPr>
            <w:tcW w:w="5439" w:type="dxa"/>
            <w:shd w:val="clear" w:color="auto" w:fill="auto"/>
            <w:vAlign w:val="center"/>
          </w:tcPr>
          <w:p w:rsidR="00450EFA" w:rsidRPr="00192C5A" w:rsidRDefault="00380874" w:rsidP="001C0898">
            <w:pPr>
              <w:pStyle w:val="Tabletitle"/>
            </w:pPr>
            <w:r w:rsidRPr="00192C5A">
              <w:t>Destinataires de l</w:t>
            </w:r>
            <w:r w:rsidR="00432DCC">
              <w:t>'</w:t>
            </w:r>
            <w:r w:rsidRPr="00192C5A">
              <w:t>étude</w:t>
            </w:r>
          </w:p>
        </w:tc>
        <w:tc>
          <w:tcPr>
            <w:tcW w:w="1560" w:type="dxa"/>
            <w:shd w:val="clear" w:color="auto" w:fill="auto"/>
            <w:vAlign w:val="center"/>
          </w:tcPr>
          <w:p w:rsidR="00450EFA" w:rsidRPr="00192C5A" w:rsidRDefault="00380874" w:rsidP="001C0898">
            <w:pPr>
              <w:pStyle w:val="Tabletitle"/>
            </w:pPr>
            <w:r w:rsidRPr="00192C5A">
              <w:t>Pays développés</w:t>
            </w:r>
          </w:p>
        </w:tc>
        <w:tc>
          <w:tcPr>
            <w:tcW w:w="1775" w:type="dxa"/>
            <w:shd w:val="clear" w:color="auto" w:fill="auto"/>
            <w:vAlign w:val="center"/>
          </w:tcPr>
          <w:p w:rsidR="00450EFA" w:rsidRPr="00192C5A" w:rsidRDefault="00380874" w:rsidP="001C0898">
            <w:pPr>
              <w:pStyle w:val="Tabletitle"/>
            </w:pPr>
            <w:r w:rsidRPr="00192C5A">
              <w:t>Pays en développement</w:t>
            </w:r>
            <w:r w:rsidRPr="00725C27">
              <w:rPr>
                <w:rStyle w:val="FootnoteReference"/>
              </w:rPr>
              <w:footnoteReference w:customMarkFollows="1" w:id="1"/>
              <w:t>1</w:t>
            </w:r>
          </w:p>
        </w:tc>
      </w:tr>
      <w:tr w:rsidR="00450EFA" w:rsidRPr="00BE6EF9" w:rsidTr="00450EFA">
        <w:trPr>
          <w:jc w:val="center"/>
        </w:trPr>
        <w:tc>
          <w:tcPr>
            <w:tcW w:w="5439" w:type="dxa"/>
            <w:shd w:val="clear" w:color="auto" w:fill="auto"/>
            <w:vAlign w:val="center"/>
          </w:tcPr>
          <w:p w:rsidR="00450EFA" w:rsidRPr="00EC778E" w:rsidRDefault="00380874" w:rsidP="001C0898">
            <w:pPr>
              <w:pStyle w:val="Tabletext"/>
              <w:keepNext/>
              <w:keepLines/>
              <w:rPr>
                <w:lang w:val="fr-CH"/>
              </w:rPr>
            </w:pPr>
            <w:r w:rsidRPr="00EC778E">
              <w:rPr>
                <w:lang w:val="fr-CH"/>
              </w:rPr>
              <w:t>Décideurs en matière de télécommunication</w:t>
            </w:r>
          </w:p>
        </w:tc>
        <w:tc>
          <w:tcPr>
            <w:tcW w:w="1560" w:type="dxa"/>
            <w:shd w:val="clear" w:color="auto" w:fill="auto"/>
            <w:vAlign w:val="center"/>
          </w:tcPr>
          <w:p w:rsidR="00450EFA" w:rsidRPr="00192C5A" w:rsidRDefault="00380874" w:rsidP="001C0898">
            <w:pPr>
              <w:pStyle w:val="Tabletext"/>
              <w:keepNext/>
              <w:keepLines/>
              <w:jc w:val="center"/>
            </w:pPr>
            <w:r w:rsidRPr="00192C5A">
              <w:t>Oui</w:t>
            </w:r>
          </w:p>
        </w:tc>
        <w:tc>
          <w:tcPr>
            <w:tcW w:w="1775" w:type="dxa"/>
            <w:shd w:val="clear" w:color="auto" w:fill="auto"/>
            <w:vAlign w:val="center"/>
          </w:tcPr>
          <w:p w:rsidR="00450EFA" w:rsidRPr="00192C5A" w:rsidRDefault="00380874" w:rsidP="001C0898">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1C0898">
            <w:pPr>
              <w:pStyle w:val="Tabletext"/>
              <w:keepNext/>
              <w:keepLines/>
            </w:pPr>
            <w:r w:rsidRPr="00192C5A">
              <w:t>Régulateurs des télécommunications</w:t>
            </w:r>
          </w:p>
        </w:tc>
        <w:tc>
          <w:tcPr>
            <w:tcW w:w="1560" w:type="dxa"/>
            <w:shd w:val="clear" w:color="auto" w:fill="auto"/>
            <w:vAlign w:val="center"/>
          </w:tcPr>
          <w:p w:rsidR="00450EFA" w:rsidRPr="00192C5A" w:rsidRDefault="00380874" w:rsidP="001C0898">
            <w:pPr>
              <w:pStyle w:val="Tabletext"/>
              <w:keepNext/>
              <w:keepLines/>
              <w:jc w:val="center"/>
            </w:pPr>
            <w:r w:rsidRPr="00192C5A">
              <w:t>Oui</w:t>
            </w:r>
          </w:p>
        </w:tc>
        <w:tc>
          <w:tcPr>
            <w:tcW w:w="1775" w:type="dxa"/>
            <w:shd w:val="clear" w:color="auto" w:fill="auto"/>
            <w:vAlign w:val="center"/>
          </w:tcPr>
          <w:p w:rsidR="00450EFA" w:rsidRPr="00192C5A" w:rsidRDefault="00380874" w:rsidP="001C0898">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1C0898">
            <w:pPr>
              <w:pStyle w:val="Tabletext"/>
              <w:keepNext/>
              <w:keepLines/>
            </w:pPr>
            <w:r w:rsidRPr="00192C5A">
              <w:t>Fournisseurs de services/opérateurs</w:t>
            </w:r>
          </w:p>
        </w:tc>
        <w:tc>
          <w:tcPr>
            <w:tcW w:w="1560" w:type="dxa"/>
            <w:shd w:val="clear" w:color="auto" w:fill="auto"/>
            <w:vAlign w:val="center"/>
          </w:tcPr>
          <w:p w:rsidR="00450EFA" w:rsidRPr="00192C5A" w:rsidRDefault="00380874" w:rsidP="001C0898">
            <w:pPr>
              <w:pStyle w:val="Tabletext"/>
              <w:keepNext/>
              <w:keepLines/>
              <w:jc w:val="center"/>
            </w:pPr>
            <w:r w:rsidRPr="00192C5A">
              <w:t>Oui</w:t>
            </w:r>
          </w:p>
        </w:tc>
        <w:tc>
          <w:tcPr>
            <w:tcW w:w="1775" w:type="dxa"/>
            <w:shd w:val="clear" w:color="auto" w:fill="auto"/>
            <w:vAlign w:val="center"/>
          </w:tcPr>
          <w:p w:rsidR="00450EFA" w:rsidRPr="00192C5A" w:rsidRDefault="00380874" w:rsidP="001C0898">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1C0898">
            <w:pPr>
              <w:pStyle w:val="Tabletext"/>
              <w:keepNext/>
              <w:keepLines/>
            </w:pPr>
            <w:r w:rsidRPr="00192C5A">
              <w:t>Equipementiers</w:t>
            </w:r>
          </w:p>
        </w:tc>
        <w:tc>
          <w:tcPr>
            <w:tcW w:w="1560" w:type="dxa"/>
            <w:shd w:val="clear" w:color="auto" w:fill="auto"/>
            <w:vAlign w:val="center"/>
          </w:tcPr>
          <w:p w:rsidR="00450EFA" w:rsidRPr="00192C5A" w:rsidRDefault="00380874" w:rsidP="001C0898">
            <w:pPr>
              <w:pStyle w:val="Tabletext"/>
              <w:keepNext/>
              <w:keepLines/>
              <w:jc w:val="center"/>
            </w:pPr>
            <w:r w:rsidRPr="00192C5A">
              <w:t>Oui</w:t>
            </w:r>
          </w:p>
        </w:tc>
        <w:tc>
          <w:tcPr>
            <w:tcW w:w="1775" w:type="dxa"/>
            <w:shd w:val="clear" w:color="auto" w:fill="auto"/>
            <w:vAlign w:val="center"/>
          </w:tcPr>
          <w:p w:rsidR="00450EFA" w:rsidRPr="00192C5A" w:rsidRDefault="00380874" w:rsidP="001C0898">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 xml:space="preserve">Consommateurs/utilisateurs finals </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EC778E" w:rsidRDefault="00380874" w:rsidP="005E0192">
            <w:pPr>
              <w:pStyle w:val="Tabletext"/>
              <w:rPr>
                <w:lang w:val="fr-CH"/>
              </w:rPr>
            </w:pPr>
            <w:r w:rsidRPr="00EC778E">
              <w:rPr>
                <w:lang w:val="fr-CH"/>
              </w:rPr>
              <w:t>Organisations de normalisation, consortiums compris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bl>
    <w:p w:rsidR="00450EFA" w:rsidRPr="00E23254" w:rsidRDefault="00380874" w:rsidP="005E0192">
      <w:pPr>
        <w:pStyle w:val="Headingb"/>
      </w:pPr>
      <w:r w:rsidRPr="00E23254">
        <w:t>a)</w:t>
      </w:r>
      <w:r w:rsidRPr="00E23254">
        <w:tab/>
        <w:t>Destinataires de l</w:t>
      </w:r>
      <w:r w:rsidR="00432DCC">
        <w:t>'</w:t>
      </w:r>
      <w:r w:rsidRPr="00E23254">
        <w:t>étude</w:t>
      </w:r>
    </w:p>
    <w:p w:rsidR="00450EFA" w:rsidRPr="00E23254" w:rsidRDefault="00380874" w:rsidP="005E0192">
      <w:pPr>
        <w:rPr>
          <w:lang w:val="fr-CH"/>
        </w:rPr>
      </w:pPr>
      <w:r w:rsidRPr="00E23254">
        <w:rPr>
          <w:lang w:val="fr-CH"/>
        </w:rPr>
        <w:t>Tous les décideurs, régulateurs, fournisseurs de services et opérateurs nationaux de télécommunication, particulièrement des pays en développement, ainsi que les constructeurs de technologies large bande.</w:t>
      </w:r>
    </w:p>
    <w:p w:rsidR="00450EFA" w:rsidRPr="00E23254" w:rsidRDefault="00380874" w:rsidP="005E0192">
      <w:pPr>
        <w:pStyle w:val="Headingb"/>
        <w:rPr>
          <w:lang w:val="fr-CH"/>
        </w:rPr>
      </w:pPr>
      <w:r w:rsidRPr="00E23254">
        <w:rPr>
          <w:lang w:val="fr-CH"/>
        </w:rPr>
        <w:t>b)</w:t>
      </w:r>
      <w:r w:rsidRPr="00E23254">
        <w:rPr>
          <w:lang w:val="fr-CH"/>
        </w:rPr>
        <w:tab/>
        <w:t>Méthodes proposées pour la mise en oeuvre des résultats</w:t>
      </w:r>
    </w:p>
    <w:p w:rsidR="00450EFA" w:rsidRPr="00E23254" w:rsidRDefault="00380874" w:rsidP="005E0192">
      <w:pPr>
        <w:rPr>
          <w:lang w:val="fr-CH"/>
        </w:rPr>
      </w:pPr>
      <w:r w:rsidRPr="00E23254">
        <w:rPr>
          <w:lang w:val="fr-CH"/>
        </w:rPr>
        <w:t>Les résultats de l</w:t>
      </w:r>
      <w:r w:rsidR="00432DCC">
        <w:rPr>
          <w:lang w:val="fr-CH"/>
        </w:rPr>
        <w:t>'</w:t>
      </w:r>
      <w:r w:rsidRPr="00E23254">
        <w:rPr>
          <w:lang w:val="fr-CH"/>
        </w:rPr>
        <w:t>étude de cette Question seront communiqués dans des rapports provisoires et des rapports finals de l</w:t>
      </w:r>
      <w:r w:rsidR="00432DCC">
        <w:rPr>
          <w:lang w:val="fr-CH"/>
        </w:rPr>
        <w:t>'</w:t>
      </w:r>
      <w:r w:rsidRPr="00E23254">
        <w:rPr>
          <w:lang w:val="fr-CH"/>
        </w:rPr>
        <w:t>UIT-D. Les destinataires pourront ainsi avoir accès à des mises à jour régulières des travaux effectués et présenter des contributions, ou demander à la Commission d</w:t>
      </w:r>
      <w:r w:rsidR="00432DCC">
        <w:rPr>
          <w:lang w:val="fr-CH"/>
        </w:rPr>
        <w:t>'</w:t>
      </w:r>
      <w:r w:rsidRPr="00E23254">
        <w:rPr>
          <w:lang w:val="fr-CH"/>
        </w:rPr>
        <w:t>études 1 de l</w:t>
      </w:r>
      <w:r w:rsidR="00432DCC">
        <w:rPr>
          <w:lang w:val="fr-CH"/>
        </w:rPr>
        <w:t>'</w:t>
      </w:r>
      <w:r w:rsidRPr="00E23254">
        <w:rPr>
          <w:lang w:val="fr-CH"/>
        </w:rPr>
        <w:t>UIT-D de fournir au besoin des éclaircissements ou des informations complémentaires.</w:t>
      </w:r>
    </w:p>
    <w:p w:rsidR="00450EFA" w:rsidRPr="00725C27" w:rsidRDefault="00380874" w:rsidP="005E0192">
      <w:pPr>
        <w:pStyle w:val="Heading1"/>
      </w:pPr>
      <w:r w:rsidRPr="00725C27">
        <w:t>8</w:t>
      </w:r>
      <w:r w:rsidRPr="00725C27">
        <w:tab/>
        <w:t>Méthodes proposées pour traiter la Question ou le thème</w:t>
      </w:r>
    </w:p>
    <w:p w:rsidR="00450EFA" w:rsidRPr="00E23254" w:rsidRDefault="00380874" w:rsidP="005E0192">
      <w:pPr>
        <w:pStyle w:val="Headingb"/>
        <w:rPr>
          <w:lang w:val="fr-CH"/>
        </w:rPr>
      </w:pPr>
      <w:r w:rsidRPr="00E23254">
        <w:rPr>
          <w:lang w:val="fr-CH"/>
        </w:rPr>
        <w:t>a)</w:t>
      </w:r>
      <w:r w:rsidRPr="00E23254">
        <w:rPr>
          <w:lang w:val="fr-CH"/>
        </w:rPr>
        <w:tab/>
        <w:t>Comment?</w:t>
      </w:r>
    </w:p>
    <w:p w:rsidR="00450EFA" w:rsidRPr="00E23254" w:rsidRDefault="00380874" w:rsidP="005E0192">
      <w:pPr>
        <w:pStyle w:val="enumlev1"/>
        <w:rPr>
          <w:lang w:val="fr-CH"/>
        </w:rPr>
      </w:pPr>
      <w:r w:rsidRPr="00E23254">
        <w:rPr>
          <w:lang w:val="fr-CH"/>
        </w:rPr>
        <w:t>1)</w:t>
      </w:r>
      <w:r w:rsidRPr="00E23254">
        <w:rPr>
          <w:lang w:val="fr-CH"/>
        </w:rPr>
        <w:tab/>
        <w:t>Dans le cadre d</w:t>
      </w:r>
      <w:r w:rsidR="00432DCC">
        <w:rPr>
          <w:lang w:val="fr-CH"/>
        </w:rPr>
        <w:t>'</w:t>
      </w:r>
      <w:r w:rsidRPr="00E23254">
        <w:rPr>
          <w:lang w:val="fr-CH"/>
        </w:rPr>
        <w:t>une commission d</w:t>
      </w:r>
      <w:r w:rsidR="00432DCC">
        <w:rPr>
          <w:lang w:val="fr-CH"/>
        </w:rPr>
        <w:t>'</w:t>
      </w:r>
      <w:r w:rsidRPr="00E23254">
        <w:rPr>
          <w:lang w:val="fr-CH"/>
        </w:rPr>
        <w:t>études:</w:t>
      </w:r>
    </w:p>
    <w:p w:rsidR="00450EFA" w:rsidRPr="00E23254" w:rsidRDefault="00380874" w:rsidP="005E0192">
      <w:pPr>
        <w:pStyle w:val="enumlev2"/>
        <w:tabs>
          <w:tab w:val="left" w:pos="8505"/>
        </w:tabs>
        <w:rPr>
          <w:lang w:val="fr-CH"/>
        </w:rPr>
      </w:pPr>
      <w:r w:rsidRPr="00E23254">
        <w:rPr>
          <w:lang w:val="fr-CH"/>
        </w:rPr>
        <w:t>–</w:t>
      </w:r>
      <w:r w:rsidRPr="00E23254">
        <w:rPr>
          <w:lang w:val="fr-CH"/>
        </w:rPr>
        <w:tab/>
        <w:t xml:space="preserve">en tant que Question (traitée sur plusieurs années au cours </w:t>
      </w:r>
      <w:r w:rsidRPr="00E23254">
        <w:rPr>
          <w:lang w:val="fr-CH"/>
        </w:rPr>
        <w:br/>
        <w:t>d</w:t>
      </w:r>
      <w:r w:rsidR="00432DCC">
        <w:rPr>
          <w:lang w:val="fr-CH"/>
        </w:rPr>
        <w:t>'</w:t>
      </w:r>
      <w:r w:rsidRPr="00E23254">
        <w:rPr>
          <w:lang w:val="fr-CH"/>
        </w:rPr>
        <w:t>une période d</w:t>
      </w:r>
      <w:r w:rsidR="00432DCC">
        <w:rPr>
          <w:lang w:val="fr-CH"/>
        </w:rPr>
        <w:t>'</w:t>
      </w:r>
      <w:r w:rsidRPr="00E23254">
        <w:rPr>
          <w:lang w:val="fr-CH"/>
        </w:rPr>
        <w:t>études)</w:t>
      </w:r>
      <w:r w:rsidRPr="00E23254">
        <w:rPr>
          <w:lang w:val="fr-CH"/>
        </w:rPr>
        <w:tab/>
      </w:r>
      <w:r w:rsidRPr="00E23254">
        <w:sym w:font="Wingdings 2" w:char="F052"/>
      </w:r>
    </w:p>
    <w:p w:rsidR="00450EFA" w:rsidRPr="00E23254" w:rsidRDefault="00380874" w:rsidP="005E0192">
      <w:pPr>
        <w:pStyle w:val="enumlev1"/>
        <w:rPr>
          <w:lang w:val="fr-CH"/>
        </w:rPr>
      </w:pPr>
      <w:r w:rsidRPr="00E23254">
        <w:rPr>
          <w:lang w:val="fr-CH"/>
        </w:rPr>
        <w:t>2)</w:t>
      </w:r>
      <w:r w:rsidRPr="00E23254">
        <w:rPr>
          <w:lang w:val="fr-CH"/>
        </w:rPr>
        <w:tab/>
        <w:t xml:space="preserve">Dans le cadre des activités courantes du BDT (indiquer les programmes, </w:t>
      </w:r>
      <w:r w:rsidRPr="00E23254">
        <w:rPr>
          <w:lang w:val="fr-CH"/>
        </w:rPr>
        <w:br/>
        <w:t>les activités, les projets, etc., qui seront concernés par l</w:t>
      </w:r>
      <w:r w:rsidR="00432DCC">
        <w:rPr>
          <w:lang w:val="fr-CH"/>
        </w:rPr>
        <w:t>'</w:t>
      </w:r>
      <w:r w:rsidRPr="00E23254">
        <w:rPr>
          <w:lang w:val="fr-CH"/>
        </w:rPr>
        <w:t xml:space="preserve">étude de </w:t>
      </w:r>
      <w:r w:rsidRPr="00E23254">
        <w:rPr>
          <w:lang w:val="fr-CH"/>
        </w:rPr>
        <w:br/>
        <w:t>la Question</w:t>
      </w:r>
      <w:r w:rsidRPr="001D2952">
        <w:t>:</w:t>
      </w:r>
    </w:p>
    <w:p w:rsidR="00450EFA" w:rsidRPr="00E23254" w:rsidRDefault="00380874" w:rsidP="009D7765">
      <w:pPr>
        <w:pStyle w:val="enumlev2"/>
        <w:tabs>
          <w:tab w:val="left" w:pos="8505"/>
        </w:tabs>
        <w:rPr>
          <w:lang w:val="fr-CH"/>
        </w:rPr>
      </w:pPr>
      <w:r w:rsidRPr="00E23254">
        <w:rPr>
          <w:lang w:val="fr-CH"/>
        </w:rPr>
        <w:t>–</w:t>
      </w:r>
      <w:r w:rsidRPr="00E23254">
        <w:rPr>
          <w:lang w:val="fr-CH"/>
        </w:rPr>
        <w:tab/>
        <w:t>Programmes</w:t>
      </w:r>
      <w:r w:rsidRPr="00E23254">
        <w:rPr>
          <w:lang w:val="fr-CH"/>
        </w:rPr>
        <w:tab/>
      </w:r>
      <w:r w:rsidR="009D7765">
        <w:rPr>
          <w:lang w:val="fr-CH"/>
        </w:rPr>
        <w:tab/>
      </w:r>
      <w:r w:rsidRPr="00E23254">
        <w:sym w:font="Wingdings 2" w:char="F052"/>
      </w:r>
    </w:p>
    <w:p w:rsidR="00450EFA" w:rsidRPr="00E23254" w:rsidRDefault="0076263E" w:rsidP="0076263E">
      <w:pPr>
        <w:pStyle w:val="enumlev2"/>
        <w:tabs>
          <w:tab w:val="clear" w:pos="1588"/>
          <w:tab w:val="clear" w:pos="1985"/>
          <w:tab w:val="clear" w:pos="2268"/>
          <w:tab w:val="left" w:pos="8505"/>
        </w:tabs>
        <w:rPr>
          <w:lang w:val="fr-CH"/>
        </w:rPr>
      </w:pPr>
      <w:r>
        <w:rPr>
          <w:lang w:val="fr-CH"/>
        </w:rPr>
        <w:t>–</w:t>
      </w:r>
      <w:r>
        <w:rPr>
          <w:lang w:val="fr-CH"/>
        </w:rPr>
        <w:tab/>
        <w:t>Projets</w:t>
      </w:r>
      <w:r>
        <w:rPr>
          <w:lang w:val="fr-CH"/>
        </w:rPr>
        <w:tab/>
      </w:r>
      <w:r>
        <w:rPr>
          <w:lang w:val="fr-CH"/>
        </w:rPr>
        <w:tab/>
      </w:r>
      <w:r w:rsidR="00380874"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Etude confiée à des consultants spécialisés</w:t>
      </w:r>
      <w:r w:rsidRPr="00E23254">
        <w:rPr>
          <w:lang w:val="fr-CH"/>
        </w:rPr>
        <w:tab/>
      </w:r>
      <w:r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Bureaux régionaux</w:t>
      </w:r>
      <w:r w:rsidRPr="00E23254">
        <w:rPr>
          <w:lang w:val="fr-CH"/>
        </w:rPr>
        <w:tab/>
      </w:r>
      <w:r w:rsidRPr="00E23254">
        <w:sym w:font="Wingdings 2" w:char="F052"/>
      </w:r>
    </w:p>
    <w:p w:rsidR="00450EFA" w:rsidRPr="00E23254" w:rsidRDefault="00380874" w:rsidP="005E0192">
      <w:pPr>
        <w:pStyle w:val="enumlev1"/>
        <w:tabs>
          <w:tab w:val="left" w:pos="8505"/>
        </w:tabs>
        <w:rPr>
          <w:lang w:val="fr-CH"/>
        </w:rPr>
      </w:pPr>
      <w:r w:rsidRPr="00E23254">
        <w:rPr>
          <w:lang w:val="fr-CH"/>
        </w:rPr>
        <w:t>3)</w:t>
      </w:r>
      <w:r w:rsidRPr="00E23254">
        <w:rPr>
          <w:lang w:val="fr-CH"/>
        </w:rPr>
        <w:tab/>
        <w:t>D</w:t>
      </w:r>
      <w:r w:rsidR="00432DCC">
        <w:rPr>
          <w:lang w:val="fr-CH"/>
        </w:rPr>
        <w:t>'</w:t>
      </w:r>
      <w:r w:rsidRPr="00E23254">
        <w:rPr>
          <w:lang w:val="fr-CH"/>
        </w:rPr>
        <w:t xml:space="preserve">une autre manière. Préciser (sur le plan régional, dans le cadre </w:t>
      </w:r>
      <w:r w:rsidRPr="00E23254">
        <w:rPr>
          <w:lang w:val="fr-CH"/>
        </w:rPr>
        <w:br/>
        <w:t>d</w:t>
      </w:r>
      <w:r w:rsidR="00432DCC">
        <w:rPr>
          <w:lang w:val="fr-CH"/>
        </w:rPr>
        <w:t>'</w:t>
      </w:r>
      <w:r w:rsidRPr="00E23254">
        <w:rPr>
          <w:lang w:val="fr-CH"/>
        </w:rPr>
        <w:t>autres organisations spécialisées, conjointement avec d</w:t>
      </w:r>
      <w:r w:rsidR="00432DCC">
        <w:rPr>
          <w:lang w:val="fr-CH"/>
        </w:rPr>
        <w:t>'</w:t>
      </w:r>
      <w:r w:rsidRPr="00E23254">
        <w:rPr>
          <w:lang w:val="fr-CH"/>
        </w:rPr>
        <w:t xml:space="preserve">autres </w:t>
      </w:r>
      <w:r w:rsidRPr="00E23254">
        <w:rPr>
          <w:lang w:val="fr-CH"/>
        </w:rPr>
        <w:br/>
        <w:t>organisations, etc.)</w:t>
      </w:r>
      <w:r w:rsidRPr="00E23254">
        <w:rPr>
          <w:lang w:val="fr-CH"/>
        </w:rPr>
        <w:tab/>
      </w:r>
      <w:r w:rsidRPr="002D492B">
        <w:sym w:font="Wingdings 2" w:char="F0A3"/>
      </w:r>
    </w:p>
    <w:p w:rsidR="00450EFA" w:rsidRPr="00E23254" w:rsidRDefault="00380874" w:rsidP="005E0192">
      <w:pPr>
        <w:pStyle w:val="Headingb"/>
        <w:rPr>
          <w:lang w:val="fr-CH"/>
        </w:rPr>
      </w:pPr>
      <w:r w:rsidRPr="00E23254">
        <w:rPr>
          <w:lang w:val="fr-CH"/>
        </w:rPr>
        <w:lastRenderedPageBreak/>
        <w:t>b)</w:t>
      </w:r>
      <w:r w:rsidRPr="00E23254">
        <w:rPr>
          <w:lang w:val="fr-CH"/>
        </w:rPr>
        <w:tab/>
        <w:t>Pourquoi?</w:t>
      </w:r>
    </w:p>
    <w:p w:rsidR="00450EFA" w:rsidRPr="00E23254" w:rsidRDefault="00380874">
      <w:pPr>
        <w:rPr>
          <w:lang w:val="fr-CH"/>
        </w:rPr>
      </w:pPr>
      <w:r w:rsidRPr="00E23254">
        <w:rPr>
          <w:lang w:val="fr-CH"/>
        </w:rPr>
        <w:t>La Question sera traitée au sein d</w:t>
      </w:r>
      <w:r w:rsidR="00432DCC">
        <w:rPr>
          <w:lang w:val="fr-CH"/>
        </w:rPr>
        <w:t>'</w:t>
      </w:r>
      <w:r w:rsidRPr="00E23254">
        <w:rPr>
          <w:lang w:val="fr-CH"/>
        </w:rPr>
        <w:t>une commission d</w:t>
      </w:r>
      <w:r w:rsidR="00432DCC">
        <w:rPr>
          <w:lang w:val="fr-CH"/>
        </w:rPr>
        <w:t>'</w:t>
      </w:r>
      <w:r w:rsidRPr="00E23254">
        <w:rPr>
          <w:lang w:val="fr-CH"/>
        </w:rPr>
        <w:t xml:space="preserve">études pendant la période de quatre ans (avec soumission de résultats préliminaires) et sera gérée par </w:t>
      </w:r>
      <w:r w:rsidR="00665461">
        <w:rPr>
          <w:lang w:val="fr-CH"/>
        </w:rPr>
        <w:t>un groupe du rapporteur</w:t>
      </w:r>
      <w:r w:rsidRPr="00E23254">
        <w:rPr>
          <w:lang w:val="fr-CH"/>
        </w:rPr>
        <w:t>. Les Etats Membres et les Membres de Secteur pourront ainsi faire part de leur expérience et des enseignements qu</w:t>
      </w:r>
      <w:r w:rsidR="00432DCC">
        <w:rPr>
          <w:lang w:val="fr-CH"/>
        </w:rPr>
        <w:t>'</w:t>
      </w:r>
      <w:r w:rsidRPr="00E23254">
        <w:rPr>
          <w:lang w:val="fr-CH"/>
        </w:rPr>
        <w:t xml:space="preserve">ils ont tirés en ce qui concerne </w:t>
      </w:r>
      <w:r w:rsidRPr="001D2952">
        <w:t>les aspects techniques, réglementaires et de politique liés au passage des réseaux existants aux réseaux large bande.</w:t>
      </w:r>
    </w:p>
    <w:p w:rsidR="00450EFA" w:rsidRPr="00E23254" w:rsidRDefault="00380874" w:rsidP="005E0192">
      <w:pPr>
        <w:pStyle w:val="Heading1"/>
        <w:rPr>
          <w:lang w:val="fr-CH"/>
        </w:rPr>
      </w:pPr>
      <w:r w:rsidRPr="00E23254">
        <w:rPr>
          <w:lang w:val="fr-CH"/>
        </w:rPr>
        <w:t>9</w:t>
      </w:r>
      <w:r w:rsidRPr="00E23254">
        <w:rPr>
          <w:lang w:val="fr-CH"/>
        </w:rPr>
        <w:tab/>
        <w:t>Coordination et collaboration</w:t>
      </w:r>
    </w:p>
    <w:p w:rsidR="00450EFA" w:rsidRPr="001D2952" w:rsidRDefault="00380874" w:rsidP="005E0192">
      <w:r w:rsidRPr="00E23254">
        <w:rPr>
          <w:lang w:val="fr-CH"/>
        </w:rPr>
        <w:t>La commission d</w:t>
      </w:r>
      <w:r w:rsidR="00432DCC">
        <w:rPr>
          <w:lang w:val="fr-CH"/>
        </w:rPr>
        <w:t>'</w:t>
      </w:r>
      <w:r w:rsidRPr="00E23254">
        <w:rPr>
          <w:lang w:val="fr-CH"/>
        </w:rPr>
        <w:t>études de l</w:t>
      </w:r>
      <w:r w:rsidR="00432DCC">
        <w:rPr>
          <w:lang w:val="fr-CH"/>
        </w:rPr>
        <w:t>'</w:t>
      </w:r>
      <w:r w:rsidRPr="00E23254">
        <w:rPr>
          <w:lang w:val="fr-CH"/>
        </w:rPr>
        <w:t>UIT-D chargée de l</w:t>
      </w:r>
      <w:r w:rsidR="00432DCC">
        <w:rPr>
          <w:lang w:val="fr-CH"/>
        </w:rPr>
        <w:t>'</w:t>
      </w:r>
      <w:r w:rsidRPr="00E23254">
        <w:rPr>
          <w:lang w:val="fr-CH"/>
        </w:rPr>
        <w:t>étude de cette Question devra coordonner ses travaux avec:</w:t>
      </w:r>
    </w:p>
    <w:p w:rsidR="00450EFA" w:rsidRDefault="00380874">
      <w:pPr>
        <w:pStyle w:val="enumlev1"/>
        <w:rPr>
          <w:lang w:val="fr-CH"/>
        </w:rPr>
      </w:pPr>
      <w:r w:rsidRPr="00E23254">
        <w:rPr>
          <w:lang w:val="fr-CH"/>
        </w:rPr>
        <w:t>–</w:t>
      </w:r>
      <w:r w:rsidRPr="00E23254">
        <w:rPr>
          <w:lang w:val="fr-CH"/>
        </w:rPr>
        <w:tab/>
        <w:t>les commissions d</w:t>
      </w:r>
      <w:r w:rsidR="00432DCC">
        <w:rPr>
          <w:lang w:val="fr-CH"/>
        </w:rPr>
        <w:t>'</w:t>
      </w:r>
      <w:r w:rsidRPr="00E23254">
        <w:rPr>
          <w:lang w:val="fr-CH"/>
        </w:rPr>
        <w:t>études concernées de</w:t>
      </w:r>
      <w:r w:rsidR="003334EC">
        <w:rPr>
          <w:lang w:val="fr-CH"/>
        </w:rPr>
        <w:t xml:space="preserve"> l</w:t>
      </w:r>
      <w:r w:rsidR="00432DCC">
        <w:rPr>
          <w:lang w:val="fr-CH"/>
        </w:rPr>
        <w:t>'</w:t>
      </w:r>
      <w:r w:rsidR="003334EC">
        <w:rPr>
          <w:lang w:val="fr-CH"/>
        </w:rPr>
        <w:t>UIT-R et de</w:t>
      </w:r>
      <w:r w:rsidR="00AD5021">
        <w:rPr>
          <w:lang w:val="fr-CH"/>
        </w:rPr>
        <w:t xml:space="preserve"> </w:t>
      </w:r>
      <w:r w:rsidRPr="00E23254">
        <w:rPr>
          <w:lang w:val="fr-CH"/>
        </w:rPr>
        <w:t>l</w:t>
      </w:r>
      <w:r w:rsidR="00432DCC">
        <w:rPr>
          <w:lang w:val="fr-CH"/>
        </w:rPr>
        <w:t>'</w:t>
      </w:r>
      <w:r w:rsidRPr="00E23254">
        <w:rPr>
          <w:lang w:val="fr-CH"/>
        </w:rPr>
        <w:t>UIT-T;</w:t>
      </w:r>
    </w:p>
    <w:p w:rsidR="006576CC" w:rsidRPr="003334EC" w:rsidRDefault="006576CC">
      <w:pPr>
        <w:pStyle w:val="enumlev1"/>
        <w:rPr>
          <w:lang w:val="fr-CH"/>
        </w:rPr>
      </w:pPr>
      <w:r w:rsidRPr="003334EC">
        <w:rPr>
          <w:lang w:val="fr-CH"/>
        </w:rPr>
        <w:t>–</w:t>
      </w:r>
      <w:r w:rsidRPr="003334EC">
        <w:rPr>
          <w:lang w:val="fr-CH"/>
        </w:rPr>
        <w:tab/>
      </w:r>
      <w:r w:rsidR="003334EC" w:rsidRPr="00432DCC">
        <w:rPr>
          <w:lang w:val="fr-CH"/>
        </w:rPr>
        <w:t xml:space="preserve">les </w:t>
      </w:r>
      <w:r w:rsidR="003334EC">
        <w:rPr>
          <w:lang w:val="fr-CH"/>
        </w:rPr>
        <w:t>r</w:t>
      </w:r>
      <w:r w:rsidR="003334EC" w:rsidRPr="00412FDE">
        <w:rPr>
          <w:lang w:val="fr-CH"/>
        </w:rPr>
        <w:t>ésultats résultant de l</w:t>
      </w:r>
      <w:r w:rsidR="00432DCC">
        <w:rPr>
          <w:lang w:val="fr-CH"/>
        </w:rPr>
        <w:t>'</w:t>
      </w:r>
      <w:r w:rsidR="003334EC" w:rsidRPr="00412FDE">
        <w:rPr>
          <w:lang w:val="fr-CH"/>
        </w:rPr>
        <w:t>étude des Questions</w:t>
      </w:r>
      <w:r w:rsidR="003334EC">
        <w:rPr>
          <w:lang w:val="fr-CH"/>
        </w:rPr>
        <w:t xml:space="preserve"> de l</w:t>
      </w:r>
      <w:r w:rsidR="00432DCC">
        <w:rPr>
          <w:lang w:val="fr-CH"/>
        </w:rPr>
        <w:t>'</w:t>
      </w:r>
      <w:r w:rsidR="003334EC">
        <w:rPr>
          <w:lang w:val="fr-CH"/>
        </w:rPr>
        <w:t>UIT-D</w:t>
      </w:r>
      <w:r w:rsidRPr="00432DCC">
        <w:rPr>
          <w:lang w:val="fr-CH"/>
        </w:rPr>
        <w:t>;</w:t>
      </w:r>
    </w:p>
    <w:p w:rsidR="00450EFA" w:rsidRPr="00E23254" w:rsidRDefault="00380874" w:rsidP="005E0192">
      <w:pPr>
        <w:pStyle w:val="enumlev1"/>
        <w:rPr>
          <w:lang w:val="fr-CH"/>
        </w:rPr>
      </w:pPr>
      <w:r w:rsidRPr="00E23254">
        <w:rPr>
          <w:lang w:val="fr-CH"/>
        </w:rPr>
        <w:t>–</w:t>
      </w:r>
      <w:r w:rsidRPr="00E23254">
        <w:rPr>
          <w:lang w:val="fr-CH"/>
        </w:rPr>
        <w:tab/>
        <w:t>les coordonnateurs concernés du BDT et les bureaux régionaux de l</w:t>
      </w:r>
      <w:r w:rsidR="00432DCC">
        <w:rPr>
          <w:lang w:val="fr-CH"/>
        </w:rPr>
        <w:t>'</w:t>
      </w:r>
      <w:r w:rsidRPr="00E23254">
        <w:rPr>
          <w:lang w:val="fr-CH"/>
        </w:rPr>
        <w:t>UIT;</w:t>
      </w:r>
    </w:p>
    <w:p w:rsidR="00450EFA" w:rsidRPr="00E23254" w:rsidRDefault="00380874" w:rsidP="005E0192">
      <w:pPr>
        <w:pStyle w:val="enumlev1"/>
        <w:rPr>
          <w:lang w:val="fr-CH"/>
        </w:rPr>
      </w:pPr>
      <w:r w:rsidRPr="00E23254">
        <w:rPr>
          <w:lang w:val="fr-CH"/>
        </w:rPr>
        <w:t>–</w:t>
      </w:r>
      <w:r w:rsidRPr="00E23254">
        <w:rPr>
          <w:lang w:val="fr-CH"/>
        </w:rPr>
        <w:tab/>
        <w:t>les coordonnateurs des activités au titre des projets concernés du BDT;</w:t>
      </w:r>
    </w:p>
    <w:p w:rsidR="00450EFA" w:rsidRPr="00E23254" w:rsidRDefault="00380874" w:rsidP="005E0192">
      <w:pPr>
        <w:pStyle w:val="enumlev1"/>
        <w:rPr>
          <w:lang w:val="fr-CH"/>
        </w:rPr>
      </w:pPr>
      <w:r w:rsidRPr="00E23254">
        <w:rPr>
          <w:lang w:val="fr-CH"/>
        </w:rPr>
        <w:t>–</w:t>
      </w:r>
      <w:r w:rsidRPr="00E23254">
        <w:rPr>
          <w:lang w:val="fr-CH"/>
        </w:rPr>
        <w:tab/>
        <w:t>les organisations de normalisation;</w:t>
      </w:r>
    </w:p>
    <w:p w:rsidR="00450EFA" w:rsidRPr="00E23254" w:rsidRDefault="00380874" w:rsidP="005E0192">
      <w:pPr>
        <w:pStyle w:val="enumlev1"/>
        <w:rPr>
          <w:lang w:val="fr-CH"/>
        </w:rPr>
      </w:pPr>
      <w:r w:rsidRPr="00E23254">
        <w:rPr>
          <w:lang w:val="fr-CH"/>
        </w:rPr>
        <w:t>–</w:t>
      </w:r>
      <w:r w:rsidRPr="00E23254">
        <w:rPr>
          <w:lang w:val="fr-CH"/>
        </w:rPr>
        <w:tab/>
        <w:t>les organisations spécialisées et expérimentées dans ce domaine.</w:t>
      </w:r>
    </w:p>
    <w:p w:rsidR="00450EFA" w:rsidRPr="00E23254" w:rsidRDefault="00380874" w:rsidP="005E0192">
      <w:pPr>
        <w:pStyle w:val="Heading1"/>
        <w:rPr>
          <w:lang w:val="fr-CH"/>
        </w:rPr>
      </w:pPr>
      <w:r w:rsidRPr="00E23254">
        <w:rPr>
          <w:lang w:val="fr-CH"/>
        </w:rPr>
        <w:t>10</w:t>
      </w:r>
      <w:r w:rsidRPr="00E23254">
        <w:rPr>
          <w:lang w:val="fr-CH"/>
        </w:rPr>
        <w:tab/>
        <w:t>Lien avec les programmes du BDT</w:t>
      </w:r>
    </w:p>
    <w:p w:rsidR="00450EFA" w:rsidRPr="00E23254" w:rsidRDefault="00380874" w:rsidP="005E0192">
      <w:pPr>
        <w:rPr>
          <w:lang w:val="fr-CH"/>
        </w:rPr>
      </w:pPr>
      <w:r w:rsidRPr="00E23254">
        <w:rPr>
          <w:lang w:val="fr-CH"/>
        </w:rPr>
        <w:t>Liens avec les programmes du BDT visant à favoriser le développement des réseaux de télécommunication/TIC ainsi que des applications et services associés, et à réduire l</w:t>
      </w:r>
      <w:r w:rsidR="00432DCC">
        <w:rPr>
          <w:lang w:val="fr-CH"/>
        </w:rPr>
        <w:t>'</w:t>
      </w:r>
      <w:r w:rsidRPr="00E23254">
        <w:rPr>
          <w:lang w:val="fr-CH"/>
        </w:rPr>
        <w:t>écart en matière de normalisation.</w:t>
      </w:r>
    </w:p>
    <w:p w:rsidR="00450EFA" w:rsidRPr="00E23254" w:rsidRDefault="00380874" w:rsidP="005E0192">
      <w:pPr>
        <w:pStyle w:val="Heading1"/>
        <w:rPr>
          <w:lang w:val="fr-CH"/>
        </w:rPr>
      </w:pPr>
      <w:r w:rsidRPr="00E23254">
        <w:rPr>
          <w:lang w:val="fr-CH"/>
        </w:rPr>
        <w:t>11</w:t>
      </w:r>
      <w:r w:rsidRPr="00E23254">
        <w:rPr>
          <w:lang w:val="fr-CH"/>
        </w:rPr>
        <w:tab/>
        <w:t>Autres informations utiles</w:t>
      </w:r>
    </w:p>
    <w:p w:rsidR="00450EFA" w:rsidRDefault="00380874" w:rsidP="005E0192">
      <w:pPr>
        <w:rPr>
          <w:lang w:val="fr-CH"/>
        </w:rPr>
      </w:pPr>
      <w:r w:rsidRPr="00140EB3">
        <w:rPr>
          <w:lang w:val="fr-CH"/>
        </w:rPr>
        <w:t>Toute autre information qui peut devenir disponible au cours de l</w:t>
      </w:r>
      <w:r w:rsidR="00432DCC">
        <w:rPr>
          <w:lang w:val="fr-CH"/>
        </w:rPr>
        <w:t>'</w:t>
      </w:r>
      <w:r w:rsidRPr="00140EB3">
        <w:rPr>
          <w:lang w:val="fr-CH"/>
        </w:rPr>
        <w:t>étude de cette Question.</w:t>
      </w:r>
    </w:p>
    <w:p w:rsidR="006576CC" w:rsidRDefault="006576CC" w:rsidP="005E0192">
      <w:pPr>
        <w:pStyle w:val="Reasons"/>
      </w:pPr>
    </w:p>
    <w:p w:rsidR="006576CC" w:rsidRDefault="006576CC" w:rsidP="00807C21">
      <w:pPr>
        <w:jc w:val="center"/>
      </w:pPr>
      <w:r>
        <w:t>______________</w:t>
      </w:r>
    </w:p>
    <w:sectPr w:rsidR="006576CC">
      <w:headerReference w:type="default"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D3" w:rsidRDefault="00573AD3">
      <w:r>
        <w:separator/>
      </w:r>
    </w:p>
  </w:endnote>
  <w:endnote w:type="continuationSeparator" w:id="0">
    <w:p w:rsidR="00573AD3" w:rsidRDefault="0057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EE3CB1" w:rsidRDefault="00573AD3" w:rsidP="0056763F">
    <w:pPr>
      <w:pStyle w:val="Footer"/>
      <w:tabs>
        <w:tab w:val="clear" w:pos="9639"/>
        <w:tab w:val="left" w:pos="6935"/>
      </w:tabs>
      <w:rPr>
        <w:lang w:val="es-ES_tradnl"/>
      </w:rPr>
    </w:pPr>
    <w:r>
      <w:fldChar w:fldCharType="begin"/>
    </w:r>
    <w:r w:rsidRPr="00EE3CB1">
      <w:rPr>
        <w:lang w:val="es-ES_tradnl"/>
      </w:rPr>
      <w:instrText xml:space="preserve"> FILENAME \p  \* MERGEFORMAT </w:instrText>
    </w:r>
    <w:r>
      <w:fldChar w:fldCharType="separate"/>
    </w:r>
    <w:r w:rsidR="00D441FB">
      <w:rPr>
        <w:lang w:val="es-ES_tradnl"/>
      </w:rPr>
      <w:t>P:\FRA\ITU-D\CONF-D\WTDC17\000\035REV1Appendice1F.docx</w:t>
    </w:r>
    <w:r>
      <w:fldChar w:fldCharType="end"/>
    </w:r>
    <w:r w:rsidR="00634C2C">
      <w:rPr>
        <w:lang w:val="es-ES_tradnl"/>
      </w:rPr>
      <w:t xml:space="preserve"> (425006</w:t>
    </w:r>
    <w:r w:rsidRPr="00EE3CB1">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573AD3" w:rsidRPr="005E0192" w:rsidTr="00D42EE8">
      <w:tc>
        <w:tcPr>
          <w:tcW w:w="1526" w:type="dxa"/>
          <w:tcBorders>
            <w:top w:val="single" w:sz="4" w:space="0" w:color="000000" w:themeColor="text1"/>
          </w:tcBorders>
        </w:tcPr>
        <w:p w:rsidR="00573AD3" w:rsidRPr="00C100BE" w:rsidRDefault="00573AD3" w:rsidP="00D42EE8">
          <w:pPr>
            <w:pStyle w:val="FirstFooter"/>
            <w:tabs>
              <w:tab w:val="left" w:pos="1559"/>
              <w:tab w:val="left" w:pos="3828"/>
            </w:tabs>
            <w:rPr>
              <w:sz w:val="18"/>
              <w:szCs w:val="18"/>
            </w:rPr>
          </w:pPr>
          <w:bookmarkStart w:id="17" w:name="Email"/>
          <w:bookmarkEnd w:id="17"/>
          <w:r w:rsidRPr="00C100BE">
            <w:rPr>
              <w:sz w:val="18"/>
              <w:szCs w:val="18"/>
            </w:rPr>
            <w:t>Contact:</w:t>
          </w:r>
        </w:p>
      </w:tc>
      <w:tc>
        <w:tcPr>
          <w:tcW w:w="2268" w:type="dxa"/>
          <w:tcBorders>
            <w:top w:val="single" w:sz="4" w:space="0" w:color="000000" w:themeColor="text1"/>
          </w:tcBorders>
        </w:tcPr>
        <w:p w:rsidR="00573AD3" w:rsidRPr="00C100BE" w:rsidRDefault="00573AD3"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573AD3" w:rsidRPr="005E0192" w:rsidRDefault="00A23995" w:rsidP="005E0192">
          <w:pPr>
            <w:pStyle w:val="FirstFooter"/>
            <w:tabs>
              <w:tab w:val="left" w:pos="2302"/>
            </w:tabs>
            <w:ind w:left="2302" w:hanging="2302"/>
            <w:rPr>
              <w:sz w:val="18"/>
              <w:szCs w:val="18"/>
            </w:rPr>
          </w:pPr>
          <w:r>
            <w:rPr>
              <w:sz w:val="18"/>
              <w:szCs w:val="18"/>
            </w:rPr>
            <w:t xml:space="preserve">M. </w:t>
          </w:r>
          <w:r w:rsidR="00573AD3" w:rsidRPr="005E0192">
            <w:rPr>
              <w:sz w:val="18"/>
              <w:szCs w:val="18"/>
            </w:rPr>
            <w:t>Vadym Kaptur, Vice-Recteur</w:t>
          </w:r>
          <w:r w:rsidR="000D7875">
            <w:rPr>
              <w:sz w:val="18"/>
              <w:szCs w:val="18"/>
            </w:rPr>
            <w:t xml:space="preserve"> pour les travaux scientifiques</w:t>
          </w:r>
        </w:p>
        <w:p w:rsidR="00573AD3" w:rsidRPr="005E0192" w:rsidRDefault="00CE1131" w:rsidP="00A24B35">
          <w:pPr>
            <w:pStyle w:val="FirstFooter"/>
            <w:spacing w:before="0"/>
            <w:ind w:left="2160" w:hanging="2160"/>
            <w:rPr>
              <w:sz w:val="18"/>
              <w:szCs w:val="18"/>
            </w:rPr>
          </w:pPr>
          <w:r w:rsidRPr="005E0192">
            <w:rPr>
              <w:sz w:val="18"/>
              <w:szCs w:val="18"/>
            </w:rPr>
            <w:t xml:space="preserve">Académie nationale des télécommunications </w:t>
          </w:r>
          <w:r w:rsidR="00573AD3" w:rsidRPr="005E0192">
            <w:rPr>
              <w:sz w:val="18"/>
              <w:szCs w:val="18"/>
            </w:rPr>
            <w:t>A.S. Popov Odessa, Ukraine</w:t>
          </w:r>
        </w:p>
      </w:tc>
    </w:tr>
    <w:tr w:rsidR="00573AD3" w:rsidRPr="00C100BE" w:rsidTr="00D42EE8">
      <w:tc>
        <w:tcPr>
          <w:tcW w:w="1526" w:type="dxa"/>
        </w:tcPr>
        <w:p w:rsidR="00573AD3" w:rsidRPr="005E0192" w:rsidRDefault="00573AD3" w:rsidP="00D42EE8">
          <w:pPr>
            <w:pStyle w:val="FirstFooter"/>
            <w:tabs>
              <w:tab w:val="left" w:pos="1559"/>
              <w:tab w:val="left" w:pos="3828"/>
            </w:tabs>
            <w:rPr>
              <w:sz w:val="20"/>
            </w:rPr>
          </w:pPr>
        </w:p>
      </w:tc>
      <w:tc>
        <w:tcPr>
          <w:tcW w:w="2268" w:type="dxa"/>
        </w:tcPr>
        <w:p w:rsidR="00573AD3" w:rsidRPr="00A23995" w:rsidRDefault="00573AD3"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573AD3" w:rsidRPr="00A23995" w:rsidRDefault="00A24B35" w:rsidP="00D42EE8">
          <w:pPr>
            <w:pStyle w:val="FirstFooter"/>
            <w:ind w:left="2160" w:hanging="2160"/>
            <w:rPr>
              <w:sz w:val="18"/>
              <w:szCs w:val="18"/>
              <w:lang w:val="fr-CH"/>
            </w:rPr>
          </w:pPr>
          <w:r>
            <w:rPr>
              <w:sz w:val="18"/>
              <w:szCs w:val="18"/>
              <w:lang w:val="fr-CH"/>
            </w:rPr>
            <w:t>+</w:t>
          </w:r>
          <w:r w:rsidR="00573AD3" w:rsidRPr="00A23995">
            <w:rPr>
              <w:sz w:val="18"/>
              <w:szCs w:val="18"/>
              <w:lang w:val="fr-CH"/>
            </w:rPr>
            <w:t>380487050460</w:t>
          </w:r>
        </w:p>
      </w:tc>
    </w:tr>
    <w:tr w:rsidR="00573AD3" w:rsidRPr="00CB110F" w:rsidTr="00D42EE8">
      <w:tc>
        <w:tcPr>
          <w:tcW w:w="1526" w:type="dxa"/>
        </w:tcPr>
        <w:p w:rsidR="00573AD3" w:rsidRPr="00A23995" w:rsidRDefault="00573AD3" w:rsidP="00D42EE8">
          <w:pPr>
            <w:pStyle w:val="FirstFooter"/>
            <w:tabs>
              <w:tab w:val="left" w:pos="1559"/>
              <w:tab w:val="left" w:pos="3828"/>
            </w:tabs>
            <w:rPr>
              <w:sz w:val="20"/>
              <w:lang w:val="fr-CH"/>
            </w:rPr>
          </w:pPr>
        </w:p>
      </w:tc>
      <w:tc>
        <w:tcPr>
          <w:tcW w:w="2268" w:type="dxa"/>
        </w:tcPr>
        <w:p w:rsidR="00573AD3" w:rsidRPr="00A23995" w:rsidRDefault="00573AD3" w:rsidP="00D42EE8">
          <w:pPr>
            <w:pStyle w:val="FirstFooter"/>
            <w:ind w:left="2160" w:hanging="2160"/>
            <w:rPr>
              <w:sz w:val="18"/>
              <w:szCs w:val="18"/>
              <w:lang w:val="fr-CH"/>
            </w:rPr>
          </w:pPr>
          <w:r w:rsidRPr="00C100BE">
            <w:rPr>
              <w:sz w:val="18"/>
              <w:szCs w:val="18"/>
              <w:lang w:val="fr-CH"/>
            </w:rPr>
            <w:t>Courriel</w:t>
          </w:r>
          <w:r w:rsidRPr="00A23995">
            <w:rPr>
              <w:sz w:val="18"/>
              <w:szCs w:val="18"/>
              <w:lang w:val="fr-CH"/>
            </w:rPr>
            <w:t>:</w:t>
          </w:r>
        </w:p>
      </w:tc>
      <w:tc>
        <w:tcPr>
          <w:tcW w:w="6237" w:type="dxa"/>
        </w:tcPr>
        <w:p w:rsidR="00573AD3" w:rsidRPr="00A23995" w:rsidRDefault="00D441FB" w:rsidP="00D42EE8">
          <w:pPr>
            <w:pStyle w:val="FirstFooter"/>
            <w:ind w:left="2160" w:hanging="2160"/>
            <w:rPr>
              <w:sz w:val="18"/>
              <w:szCs w:val="18"/>
              <w:lang w:val="fr-CH"/>
            </w:rPr>
          </w:pPr>
          <w:hyperlink r:id="rId1" w:history="1">
            <w:r w:rsidR="00A24B35" w:rsidRPr="00A24B35">
              <w:rPr>
                <w:rStyle w:val="Hyperlink"/>
                <w:sz w:val="18"/>
                <w:szCs w:val="18"/>
                <w:lang w:val="fr-CH"/>
              </w:rPr>
              <w:t>vadim.kaptur@onat.edu.ua</w:t>
            </w:r>
          </w:hyperlink>
        </w:p>
      </w:tc>
    </w:tr>
  </w:tbl>
  <w:p w:rsidR="00573AD3" w:rsidRPr="00784E03" w:rsidRDefault="00D441FB" w:rsidP="00000B37">
    <w:pPr>
      <w:jc w:val="center"/>
      <w:rPr>
        <w:sz w:val="20"/>
      </w:rPr>
    </w:pPr>
    <w:hyperlink r:id="rId2" w:history="1">
      <w:r w:rsidR="00573AD3">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D3" w:rsidRDefault="00573AD3">
      <w:r>
        <w:t>____________________</w:t>
      </w:r>
    </w:p>
  </w:footnote>
  <w:footnote w:type="continuationSeparator" w:id="0">
    <w:p w:rsidR="00573AD3" w:rsidRDefault="00573AD3">
      <w:r>
        <w:continuationSeparator/>
      </w:r>
    </w:p>
  </w:footnote>
  <w:footnote w:id="1">
    <w:p w:rsidR="00573AD3" w:rsidRPr="00314AF2" w:rsidRDefault="00573AD3" w:rsidP="00450EFA">
      <w:pPr>
        <w:pStyle w:val="FootnoteText"/>
        <w:rPr>
          <w:lang w:val="fr-CH"/>
        </w:rPr>
      </w:pPr>
      <w:r w:rsidRPr="00314AF2">
        <w:rPr>
          <w:rStyle w:val="FootnoteReference"/>
          <w:lang w:val="fr-CH"/>
        </w:rPr>
        <w:t>1</w:t>
      </w:r>
      <w:r w:rsidRPr="00314AF2">
        <w:rPr>
          <w:lang w:val="fr-CH"/>
        </w:rPr>
        <w:t xml:space="preserve"> </w:t>
      </w:r>
      <w:r w:rsidRPr="00314AF2">
        <w:rPr>
          <w:lang w:val="fr-CH"/>
        </w:rPr>
        <w:tab/>
      </w:r>
      <w:r w:rsidRPr="0040670E">
        <w:rPr>
          <w:lang w:val="fr-CH"/>
        </w:rPr>
        <w:t>Par pays en développement, on entend aussi les pays les moins avancés, les petits Etats insulaires en développement, les pays en développement sans littoral et les pays dont l</w:t>
      </w:r>
      <w:r w:rsidR="00432DCC">
        <w:rPr>
          <w:lang w:val="fr-CH"/>
        </w:rPr>
        <w:t>'</w:t>
      </w:r>
      <w:r w:rsidRPr="0040670E">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FB312D" w:rsidRDefault="00573AD3"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4" w:name="OLE_LINK3"/>
    <w:bookmarkStart w:id="15" w:name="OLE_LINK2"/>
    <w:bookmarkStart w:id="16" w:name="OLE_LINK1"/>
    <w:r w:rsidRPr="00A74B99">
      <w:rPr>
        <w:sz w:val="22"/>
        <w:szCs w:val="22"/>
      </w:rPr>
      <w:t>35</w:t>
    </w:r>
    <w:bookmarkEnd w:id="14"/>
    <w:bookmarkEnd w:id="15"/>
    <w:bookmarkEnd w:id="16"/>
    <w:r w:rsidR="00634C2C">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441FB">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DAA1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581B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D0B9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FE57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C454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FC51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0442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1A83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5A9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E0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530746-32DA-46FB-A2EB-7250CAE0CB75}"/>
    <w:docVar w:name="dgnword-eventsink" w:val="205867456"/>
  </w:docVars>
  <w:rsids>
    <w:rsidRoot w:val="00706AFE"/>
    <w:rsid w:val="00000B37"/>
    <w:rsid w:val="00001215"/>
    <w:rsid w:val="000067EB"/>
    <w:rsid w:val="00010F71"/>
    <w:rsid w:val="00012339"/>
    <w:rsid w:val="00013358"/>
    <w:rsid w:val="00034E34"/>
    <w:rsid w:val="00051E92"/>
    <w:rsid w:val="00053EF2"/>
    <w:rsid w:val="000559CC"/>
    <w:rsid w:val="00067970"/>
    <w:rsid w:val="000766DA"/>
    <w:rsid w:val="00086C31"/>
    <w:rsid w:val="000A2E37"/>
    <w:rsid w:val="000B65C5"/>
    <w:rsid w:val="000D06F1"/>
    <w:rsid w:val="000D7875"/>
    <w:rsid w:val="000E7659"/>
    <w:rsid w:val="000F02B8"/>
    <w:rsid w:val="001001DB"/>
    <w:rsid w:val="0010289F"/>
    <w:rsid w:val="00133BF6"/>
    <w:rsid w:val="00135DDB"/>
    <w:rsid w:val="00143AC1"/>
    <w:rsid w:val="00176A8B"/>
    <w:rsid w:val="00180706"/>
    <w:rsid w:val="00184F7B"/>
    <w:rsid w:val="0019149F"/>
    <w:rsid w:val="00192DEC"/>
    <w:rsid w:val="00193BAB"/>
    <w:rsid w:val="00194FDD"/>
    <w:rsid w:val="001A5EE2"/>
    <w:rsid w:val="001A5EE5"/>
    <w:rsid w:val="001C0898"/>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34EC"/>
    <w:rsid w:val="0033558B"/>
    <w:rsid w:val="00335864"/>
    <w:rsid w:val="00342BE1"/>
    <w:rsid w:val="003554A4"/>
    <w:rsid w:val="003707D1"/>
    <w:rsid w:val="00374E7A"/>
    <w:rsid w:val="00380220"/>
    <w:rsid w:val="00380874"/>
    <w:rsid w:val="003827F1"/>
    <w:rsid w:val="003979CF"/>
    <w:rsid w:val="003A5EB6"/>
    <w:rsid w:val="003B7567"/>
    <w:rsid w:val="003E1A0D"/>
    <w:rsid w:val="00403E92"/>
    <w:rsid w:val="00410AE2"/>
    <w:rsid w:val="00432DCC"/>
    <w:rsid w:val="00435F42"/>
    <w:rsid w:val="00442985"/>
    <w:rsid w:val="004457B8"/>
    <w:rsid w:val="00450EFA"/>
    <w:rsid w:val="00452BAB"/>
    <w:rsid w:val="0048151B"/>
    <w:rsid w:val="004839BA"/>
    <w:rsid w:val="004915E8"/>
    <w:rsid w:val="0049568E"/>
    <w:rsid w:val="004A0D10"/>
    <w:rsid w:val="004A2F80"/>
    <w:rsid w:val="004C4C20"/>
    <w:rsid w:val="004D1F51"/>
    <w:rsid w:val="004E31C8"/>
    <w:rsid w:val="004F44EC"/>
    <w:rsid w:val="005063A3"/>
    <w:rsid w:val="0051261A"/>
    <w:rsid w:val="00515188"/>
    <w:rsid w:val="005161E7"/>
    <w:rsid w:val="00523937"/>
    <w:rsid w:val="00526DA1"/>
    <w:rsid w:val="005340B1"/>
    <w:rsid w:val="0053496A"/>
    <w:rsid w:val="00546D24"/>
    <w:rsid w:val="00547414"/>
    <w:rsid w:val="0056621F"/>
    <w:rsid w:val="0056763F"/>
    <w:rsid w:val="00570DE0"/>
    <w:rsid w:val="00572685"/>
    <w:rsid w:val="00573AD3"/>
    <w:rsid w:val="00577A26"/>
    <w:rsid w:val="005860FF"/>
    <w:rsid w:val="00586DCD"/>
    <w:rsid w:val="005A0607"/>
    <w:rsid w:val="005B5E2D"/>
    <w:rsid w:val="005B6CE3"/>
    <w:rsid w:val="005C03FC"/>
    <w:rsid w:val="005D30D5"/>
    <w:rsid w:val="005D3705"/>
    <w:rsid w:val="005D53D2"/>
    <w:rsid w:val="005E0192"/>
    <w:rsid w:val="005F0CD9"/>
    <w:rsid w:val="006005E6"/>
    <w:rsid w:val="00602668"/>
    <w:rsid w:val="00605A83"/>
    <w:rsid w:val="006126E9"/>
    <w:rsid w:val="006136D6"/>
    <w:rsid w:val="00614873"/>
    <w:rsid w:val="006153D3"/>
    <w:rsid w:val="00615927"/>
    <w:rsid w:val="0062386E"/>
    <w:rsid w:val="00634C2C"/>
    <w:rsid w:val="006576CC"/>
    <w:rsid w:val="00663A56"/>
    <w:rsid w:val="00665461"/>
    <w:rsid w:val="00680B7C"/>
    <w:rsid w:val="00695438"/>
    <w:rsid w:val="006959F2"/>
    <w:rsid w:val="006A0025"/>
    <w:rsid w:val="006A1325"/>
    <w:rsid w:val="006A23C2"/>
    <w:rsid w:val="006A3AA9"/>
    <w:rsid w:val="006D427A"/>
    <w:rsid w:val="006E5096"/>
    <w:rsid w:val="006F2CB3"/>
    <w:rsid w:val="00700D0A"/>
    <w:rsid w:val="00706AFE"/>
    <w:rsid w:val="007236A3"/>
    <w:rsid w:val="00725BB4"/>
    <w:rsid w:val="00726ADF"/>
    <w:rsid w:val="007368A8"/>
    <w:rsid w:val="00745652"/>
    <w:rsid w:val="007547E3"/>
    <w:rsid w:val="0076263E"/>
    <w:rsid w:val="0076554A"/>
    <w:rsid w:val="00772137"/>
    <w:rsid w:val="00783838"/>
    <w:rsid w:val="0078502F"/>
    <w:rsid w:val="00790A74"/>
    <w:rsid w:val="007934DB"/>
    <w:rsid w:val="00794165"/>
    <w:rsid w:val="007A553A"/>
    <w:rsid w:val="007C09B2"/>
    <w:rsid w:val="007F5ACF"/>
    <w:rsid w:val="00807C21"/>
    <w:rsid w:val="0081086F"/>
    <w:rsid w:val="008150E2"/>
    <w:rsid w:val="00821623"/>
    <w:rsid w:val="00821978"/>
    <w:rsid w:val="0082423C"/>
    <w:rsid w:val="00824420"/>
    <w:rsid w:val="008414E0"/>
    <w:rsid w:val="00841703"/>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0DFC"/>
    <w:rsid w:val="009B2C12"/>
    <w:rsid w:val="009B4C86"/>
    <w:rsid w:val="009B75F6"/>
    <w:rsid w:val="009B7FDF"/>
    <w:rsid w:val="009D5BE2"/>
    <w:rsid w:val="009D630E"/>
    <w:rsid w:val="009D7765"/>
    <w:rsid w:val="009E4FA5"/>
    <w:rsid w:val="009E50E9"/>
    <w:rsid w:val="009F65FE"/>
    <w:rsid w:val="00A035D3"/>
    <w:rsid w:val="00A12CC5"/>
    <w:rsid w:val="00A14C77"/>
    <w:rsid w:val="00A23995"/>
    <w:rsid w:val="00A2458F"/>
    <w:rsid w:val="00A24B35"/>
    <w:rsid w:val="00A428ED"/>
    <w:rsid w:val="00A5304F"/>
    <w:rsid w:val="00A547B7"/>
    <w:rsid w:val="00A737BC"/>
    <w:rsid w:val="00A90394"/>
    <w:rsid w:val="00A944FF"/>
    <w:rsid w:val="00A94B33"/>
    <w:rsid w:val="00A961F4"/>
    <w:rsid w:val="00A964CA"/>
    <w:rsid w:val="00AD4E1C"/>
    <w:rsid w:val="00AD5021"/>
    <w:rsid w:val="00AD7EE5"/>
    <w:rsid w:val="00AE4AE2"/>
    <w:rsid w:val="00AE63B2"/>
    <w:rsid w:val="00B1725D"/>
    <w:rsid w:val="00B35807"/>
    <w:rsid w:val="00B415BE"/>
    <w:rsid w:val="00B518D0"/>
    <w:rsid w:val="00B535D0"/>
    <w:rsid w:val="00B54FE2"/>
    <w:rsid w:val="00B77B2E"/>
    <w:rsid w:val="00B83148"/>
    <w:rsid w:val="00B91403"/>
    <w:rsid w:val="00BB1859"/>
    <w:rsid w:val="00BB5BA7"/>
    <w:rsid w:val="00BC3079"/>
    <w:rsid w:val="00BC3CB1"/>
    <w:rsid w:val="00BD45A5"/>
    <w:rsid w:val="00BD7089"/>
    <w:rsid w:val="00BE524D"/>
    <w:rsid w:val="00BF66CB"/>
    <w:rsid w:val="00C11F0F"/>
    <w:rsid w:val="00C27DE2"/>
    <w:rsid w:val="00C30AF4"/>
    <w:rsid w:val="00C619A5"/>
    <w:rsid w:val="00C67793"/>
    <w:rsid w:val="00C7163B"/>
    <w:rsid w:val="00CA5220"/>
    <w:rsid w:val="00CD587D"/>
    <w:rsid w:val="00CE1131"/>
    <w:rsid w:val="00CE1CDA"/>
    <w:rsid w:val="00CE66F1"/>
    <w:rsid w:val="00D01E14"/>
    <w:rsid w:val="00D223FA"/>
    <w:rsid w:val="00D239A7"/>
    <w:rsid w:val="00D27257"/>
    <w:rsid w:val="00D27E66"/>
    <w:rsid w:val="00D42EE8"/>
    <w:rsid w:val="00D441FB"/>
    <w:rsid w:val="00D52838"/>
    <w:rsid w:val="00D57988"/>
    <w:rsid w:val="00D63778"/>
    <w:rsid w:val="00D72C57"/>
    <w:rsid w:val="00DC05C8"/>
    <w:rsid w:val="00DD16B5"/>
    <w:rsid w:val="00DF2926"/>
    <w:rsid w:val="00DF6743"/>
    <w:rsid w:val="00E15468"/>
    <w:rsid w:val="00E23F4B"/>
    <w:rsid w:val="00E256D7"/>
    <w:rsid w:val="00E46146"/>
    <w:rsid w:val="00E47882"/>
    <w:rsid w:val="00E50A67"/>
    <w:rsid w:val="00E54997"/>
    <w:rsid w:val="00E71FC7"/>
    <w:rsid w:val="00E930C4"/>
    <w:rsid w:val="00E94B57"/>
    <w:rsid w:val="00EB44F8"/>
    <w:rsid w:val="00EB68B5"/>
    <w:rsid w:val="00EB741A"/>
    <w:rsid w:val="00EC595E"/>
    <w:rsid w:val="00EC7377"/>
    <w:rsid w:val="00EE3CB1"/>
    <w:rsid w:val="00EF30AD"/>
    <w:rsid w:val="00F328B4"/>
    <w:rsid w:val="00F32C61"/>
    <w:rsid w:val="00F3588D"/>
    <w:rsid w:val="00F42ADD"/>
    <w:rsid w:val="00F522AB"/>
    <w:rsid w:val="00F77469"/>
    <w:rsid w:val="00F80E80"/>
    <w:rsid w:val="00F8243C"/>
    <w:rsid w:val="00F8726A"/>
    <w:rsid w:val="00F930D2"/>
    <w:rsid w:val="00F94D40"/>
    <w:rsid w:val="00FA02C3"/>
    <w:rsid w:val="00FA3E35"/>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2">
    <w:name w:val="Section_2"/>
    <w:basedOn w:val="Normal"/>
    <w:rsid w:val="00380874"/>
    <w:pPr>
      <w:tabs>
        <w:tab w:val="clear" w:pos="2268"/>
        <w:tab w:val="clear" w:pos="2552"/>
        <w:tab w:val="center" w:pos="4820"/>
      </w:tabs>
      <w:spacing w:before="360"/>
      <w:jc w:val="center"/>
    </w:pPr>
    <w:rPr>
      <w:i/>
      <w:lang w:val="en-GB"/>
    </w:rPr>
  </w:style>
  <w:style w:type="character" w:customStyle="1" w:styleId="enumlev1Char">
    <w:name w:val="enumlev1 Char"/>
    <w:basedOn w:val="DefaultParagraphFont"/>
    <w:link w:val="enumlev1"/>
    <w:rsid w:val="00435F42"/>
    <w:rPr>
      <w:rFonts w:asciiTheme="minorHAnsi" w:hAnsiTheme="minorHAnsi"/>
      <w:sz w:val="24"/>
      <w:lang w:val="fr-FR" w:eastAsia="en-US"/>
    </w:rPr>
  </w:style>
  <w:style w:type="character" w:styleId="PlaceholderText">
    <w:name w:val="Placeholder Text"/>
    <w:basedOn w:val="DefaultParagraphFont"/>
    <w:uiPriority w:val="99"/>
    <w:semiHidden/>
    <w:rsid w:val="005E0192"/>
    <w:rPr>
      <w:color w:val="808080"/>
    </w:rPr>
  </w:style>
  <w:style w:type="paragraph" w:customStyle="1" w:styleId="Headingb0">
    <w:name w:val="Heading b"/>
    <w:basedOn w:val="Heading2"/>
    <w:rsid w:val="00CE1131"/>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fr&amp;par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net4/ITU-D/CDS/sg/index.asp?lg=2&amp;sp=2014&amp;st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7ef1dd-7b0a-448a-8edc-40471c5f8d10">DPM</DPM_x0020_Author>
    <DPM_x0020_File_x0020_name xmlns="c77ef1dd-7b0a-448a-8edc-40471c5f8d10">D14-WTDC17-C-0035!!MSW-F</DPM_x0020_File_x0020_name>
    <DPM_x0020_Version xmlns="c77ef1dd-7b0a-448a-8edc-40471c5f8d1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7ef1dd-7b0a-448a-8edc-40471c5f8d10" targetNamespace="http://schemas.microsoft.com/office/2006/metadata/properties" ma:root="true" ma:fieldsID="d41af5c836d734370eb92e7ee5f83852" ns2:_="" ns3:_="">
    <xsd:import namespace="996b2e75-67fd-4955-a3b0-5ab9934cb50b"/>
    <xsd:import namespace="c77ef1dd-7b0a-448a-8edc-40471c5f8d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7ef1dd-7b0a-448a-8edc-40471c5f8d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2006/metadata/properties"/>
    <ds:schemaRef ds:uri="c77ef1dd-7b0a-448a-8edc-40471c5f8d10"/>
    <ds:schemaRef ds:uri="http://purl.org/dc/terms/"/>
    <ds:schemaRef ds:uri="http://purl.org/dc/elements/1.1/"/>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7ef1dd-7b0a-448a-8edc-40471c5f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E9795-37B4-4368-B095-377920E7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3232</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D14-WTDC17-C-0035!!MSW-F</vt:lpstr>
    </vt:vector>
  </TitlesOfParts>
  <Manager>General Secretariat - Pool</Manager>
  <Company>International Telecommunication Union (ITU)</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D14-WTDC17-C-0035!!MSW-F</dc:title>
  <dc:creator>Documents Proposals Manager (DPM)</dc:creator>
  <cp:keywords>DPM_v2017.9.22.1_prod</cp:keywords>
  <dc:description/>
  <cp:lastModifiedBy>Royer, Veronique</cp:lastModifiedBy>
  <cp:revision>7</cp:revision>
  <cp:lastPrinted>2017-10-03T08:41:00Z</cp:lastPrinted>
  <dcterms:created xsi:type="dcterms:W3CDTF">2017-10-03T13:55:00Z</dcterms:created>
  <dcterms:modified xsi:type="dcterms:W3CDTF">2017-10-04T08:30:00Z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