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B7661E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5967E8" w:rsidRDefault="00805F71" w:rsidP="00130051">
            <w:pPr>
              <w:pStyle w:val="Priorityarea"/>
            </w:pPr>
            <w:r w:rsidRPr="00CC1F10">
              <w:rPr>
                <w:noProof/>
                <w:lang w:val="en-GB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0B1248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Conferencia Mundial de Desarrollo de las Telecomunicaciones</w:t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 xml:space="preserve"> 2017 (</w:t>
            </w:r>
            <w:r>
              <w:rPr>
                <w:b/>
                <w:bCs/>
                <w:sz w:val="28"/>
                <w:szCs w:val="28"/>
                <w:lang w:val="es-ES"/>
              </w:rPr>
              <w:t>CMDT</w:t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>-17)</w:t>
            </w:r>
          </w:p>
          <w:p w:rsidR="00805F71" w:rsidRPr="004C4DF7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 w:line="240" w:lineRule="atLeast"/>
              <w:ind w:left="34"/>
              <w:rPr>
                <w:b/>
                <w:bCs/>
                <w:sz w:val="26"/>
                <w:szCs w:val="26"/>
                <w:lang w:val="es-ES"/>
              </w:rPr>
            </w:pPr>
            <w:r w:rsidRPr="004C4DF7">
              <w:rPr>
                <w:b/>
                <w:bCs/>
                <w:sz w:val="26"/>
                <w:szCs w:val="26"/>
                <w:lang w:val="es-ES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B7661E" w:rsidRDefault="00746B65" w:rsidP="00805F71">
            <w:pPr>
              <w:spacing w:before="0" w:after="80"/>
            </w:pPr>
            <w:bookmarkStart w:id="0" w:name="dlogo"/>
            <w:bookmarkEnd w:id="0"/>
            <w:r w:rsidRPr="00746B65">
              <w:rPr>
                <w:noProof/>
                <w:lang w:val="en-GB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34172E" w:rsidRDefault="00805F71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34172E" w:rsidRDefault="00805F71" w:rsidP="00805F71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</w:tcPr>
          <w:p w:rsidR="00805F71" w:rsidRPr="00374AD5" w:rsidRDefault="006A70F7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374AD5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374AD5" w:rsidRDefault="006A70F7" w:rsidP="005B6D63">
            <w:pPr>
              <w:spacing w:before="0"/>
              <w:rPr>
                <w:bCs/>
                <w:szCs w:val="24"/>
              </w:rPr>
            </w:pPr>
            <w:r>
              <w:rPr>
                <w:b/>
                <w:szCs w:val="24"/>
              </w:rPr>
              <w:t>Revisión 1 al</w:t>
            </w:r>
            <w:r>
              <w:rPr>
                <w:b/>
                <w:szCs w:val="24"/>
              </w:rPr>
              <w:br/>
              <w:t>Documento WTDC-17/26</w:t>
            </w:r>
            <w:r w:rsidR="00E232F8" w:rsidRPr="00374AD5">
              <w:rPr>
                <w:b/>
                <w:szCs w:val="24"/>
              </w:rPr>
              <w:t>-</w:t>
            </w:r>
            <w:r w:rsidR="005B6D63">
              <w:rPr>
                <w:b/>
                <w:szCs w:val="24"/>
              </w:rPr>
              <w:t>S</w:t>
            </w: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</w:tcPr>
          <w:p w:rsidR="00805F71" w:rsidRPr="00374AD5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1" w:type="dxa"/>
          </w:tcPr>
          <w:p w:rsidR="00805F71" w:rsidRPr="00374AD5" w:rsidRDefault="006A70F7" w:rsidP="00805F71">
            <w:pPr>
              <w:spacing w:before="0"/>
              <w:rPr>
                <w:bCs/>
                <w:szCs w:val="24"/>
              </w:rPr>
            </w:pPr>
            <w:r w:rsidRPr="00374AD5">
              <w:rPr>
                <w:b/>
                <w:szCs w:val="24"/>
              </w:rPr>
              <w:t>27 de septiembre de 2017</w:t>
            </w: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</w:tcPr>
          <w:p w:rsidR="00805F71" w:rsidRPr="00374AD5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805F71" w:rsidRPr="00374AD5" w:rsidRDefault="00E946AB" w:rsidP="00805F71">
            <w:pPr>
              <w:spacing w:before="0"/>
              <w:rPr>
                <w:bCs/>
                <w:szCs w:val="24"/>
              </w:rPr>
            </w:pPr>
            <w:r>
              <w:rPr>
                <w:b/>
                <w:szCs w:val="24"/>
              </w:rPr>
              <w:t>Original: I</w:t>
            </w:r>
            <w:r w:rsidR="006A70F7" w:rsidRPr="00374AD5">
              <w:rPr>
                <w:b/>
                <w:szCs w:val="24"/>
              </w:rPr>
              <w:t>nglés</w:t>
            </w:r>
            <w:r>
              <w:rPr>
                <w:b/>
                <w:szCs w:val="24"/>
              </w:rPr>
              <w:t xml:space="preserve"> y español</w:t>
            </w:r>
            <w:bookmarkStart w:id="5" w:name="_GoBack"/>
            <w:bookmarkEnd w:id="5"/>
          </w:p>
        </w:tc>
      </w:tr>
      <w:tr w:rsidR="00805F71" w:rsidRPr="005967E8" w:rsidTr="004C4DF7">
        <w:trPr>
          <w:cantSplit/>
        </w:trPr>
        <w:tc>
          <w:tcPr>
            <w:tcW w:w="10065" w:type="dxa"/>
            <w:gridSpan w:val="3"/>
          </w:tcPr>
          <w:p w:rsidR="00805F71" w:rsidRPr="00187FB4" w:rsidRDefault="00CA326E" w:rsidP="004C4DF7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6" w:name="dsource" w:colFirst="1" w:colLast="1"/>
            <w:bookmarkEnd w:id="4"/>
            <w:r>
              <w:t>Estados Miembros de las Américas</w:t>
            </w:r>
          </w:p>
        </w:tc>
      </w:tr>
      <w:tr w:rsidR="00805F71" w:rsidRPr="00E946AB" w:rsidTr="00CA326E">
        <w:trPr>
          <w:cantSplit/>
        </w:trPr>
        <w:tc>
          <w:tcPr>
            <w:tcW w:w="10065" w:type="dxa"/>
            <w:gridSpan w:val="3"/>
          </w:tcPr>
          <w:p w:rsidR="00805F71" w:rsidRPr="00EB6A5A" w:rsidRDefault="00CA326E" w:rsidP="004C4DF7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  <w:lang w:val="en-GB"/>
              </w:rPr>
            </w:pPr>
            <w:bookmarkStart w:id="7" w:name="dtitle1" w:colFirst="1" w:colLast="1"/>
            <w:bookmarkEnd w:id="6"/>
            <w:r w:rsidRPr="00EB6A5A">
              <w:rPr>
                <w:lang w:val="en-GB"/>
              </w:rPr>
              <w:t>Proposal of Regional Initiatives for the Americas</w:t>
            </w:r>
          </w:p>
        </w:tc>
      </w:tr>
      <w:tr w:rsidR="00805F71" w:rsidRPr="00E946AB" w:rsidTr="00CA326E">
        <w:trPr>
          <w:cantSplit/>
        </w:trPr>
        <w:tc>
          <w:tcPr>
            <w:tcW w:w="10065" w:type="dxa"/>
            <w:gridSpan w:val="3"/>
          </w:tcPr>
          <w:p w:rsidR="00805F71" w:rsidRPr="00EB6A5A" w:rsidRDefault="00805F71" w:rsidP="00FF0067">
            <w:pPr>
              <w:pStyle w:val="Title2"/>
              <w:rPr>
                <w:lang w:val="en-GB"/>
              </w:rPr>
            </w:pPr>
          </w:p>
        </w:tc>
      </w:tr>
      <w:tr w:rsidR="00EB6CD3" w:rsidRPr="00E946AB" w:rsidTr="00CA326E">
        <w:trPr>
          <w:cantSplit/>
        </w:trPr>
        <w:tc>
          <w:tcPr>
            <w:tcW w:w="10065" w:type="dxa"/>
            <w:gridSpan w:val="3"/>
          </w:tcPr>
          <w:p w:rsidR="00EB6CD3" w:rsidRPr="00EB6A5A" w:rsidRDefault="00EB6CD3" w:rsidP="00EB6CD3">
            <w:pPr>
              <w:jc w:val="center"/>
              <w:rPr>
                <w:lang w:val="en-GB"/>
              </w:rPr>
            </w:pPr>
          </w:p>
        </w:tc>
      </w:tr>
      <w:tr w:rsidR="000502E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7" w:rsidRDefault="00EB6A5A">
            <w:r>
              <w:rPr>
                <w:rFonts w:ascii="Calibri" w:eastAsia="SimSun" w:hAnsi="Calibri" w:cs="Traditional Arabic"/>
                <w:b/>
                <w:bCs/>
                <w:sz w:val="22"/>
                <w:szCs w:val="22"/>
              </w:rPr>
              <w:t>Área prioritaria:</w:t>
            </w:r>
            <w:r>
              <w:rPr>
                <w:rFonts w:ascii="Calibri" w:eastAsia="SimSun" w:hAnsi="Calibri" w:cs="Traditional Arabic"/>
                <w:sz w:val="22"/>
                <w:szCs w:val="22"/>
              </w:rPr>
              <w:tab/>
              <w:t>-</w:t>
            </w:r>
            <w:r>
              <w:rPr>
                <w:rFonts w:ascii="Calibri" w:eastAsia="SimSun" w:hAnsi="Calibri" w:cs="Traditional Arabic"/>
                <w:sz w:val="22"/>
                <w:szCs w:val="22"/>
              </w:rPr>
              <w:tab/>
              <w:t>Iniciativas Regionales</w:t>
            </w:r>
          </w:p>
          <w:p w:rsidR="000502E7" w:rsidRDefault="00EB6A5A">
            <w:r>
              <w:rPr>
                <w:rFonts w:ascii="Calibri" w:eastAsia="SimSun" w:hAnsi="Calibri" w:cs="Traditional Arabic"/>
                <w:b/>
                <w:bCs/>
                <w:sz w:val="22"/>
                <w:szCs w:val="22"/>
              </w:rPr>
              <w:t>Resumen:</w:t>
            </w:r>
          </w:p>
          <w:p w:rsidR="00EB6A5A" w:rsidRPr="00266546" w:rsidRDefault="00EB6A5A" w:rsidP="00EB6A5A">
            <w:pPr>
              <w:spacing w:after="120"/>
              <w:rPr>
                <w:b/>
                <w:bCs/>
              </w:rPr>
            </w:pPr>
            <w:bookmarkStart w:id="8" w:name="lt_pId013"/>
            <w:r>
              <w:rPr>
                <w:szCs w:val="24"/>
              </w:rPr>
              <w:t xml:space="preserve">En este documento se presenta el </w:t>
            </w:r>
            <w:r w:rsidRPr="00266546">
              <w:rPr>
                <w:szCs w:val="24"/>
              </w:rPr>
              <w:t xml:space="preserve">proyecto de </w:t>
            </w:r>
            <w:r>
              <w:rPr>
                <w:szCs w:val="24"/>
              </w:rPr>
              <w:t xml:space="preserve">nuevas </w:t>
            </w:r>
            <w:r w:rsidRPr="00266546">
              <w:rPr>
                <w:szCs w:val="24"/>
              </w:rPr>
              <w:t>Iniciativas Regionales</w:t>
            </w:r>
            <w:r>
              <w:rPr>
                <w:szCs w:val="24"/>
              </w:rPr>
              <w:t xml:space="preserve"> como resultado acordado en</w:t>
            </w:r>
            <w:r w:rsidRPr="00266546">
              <w:rPr>
                <w:szCs w:val="24"/>
              </w:rPr>
              <w:t xml:space="preserve"> la RPR-AMS que tuvo lugar en Asunción, Paraguay, del 22 al 24 de febrero de 2017, según se refleja en el Informe del Presidente (</w:t>
            </w:r>
            <w:bookmarkEnd w:id="8"/>
            <w:r w:rsidRPr="00266546">
              <w:rPr>
                <w:szCs w:val="24"/>
              </w:rPr>
              <w:t xml:space="preserve">Documento </w:t>
            </w:r>
            <w:bookmarkStart w:id="9" w:name="lt_pId014"/>
            <w:r w:rsidRPr="00266546">
              <w:fldChar w:fldCharType="begin"/>
            </w:r>
            <w:r w:rsidRPr="00266546">
              <w:instrText xml:space="preserve"> HYPERLINK "https://www.itu.int/md/D14-RPMAMS-C-0041/" </w:instrText>
            </w:r>
            <w:r w:rsidRPr="00266546">
              <w:fldChar w:fldCharType="separate"/>
            </w:r>
            <w:r w:rsidRPr="00266546">
              <w:rPr>
                <w:rStyle w:val="Hyperlink"/>
              </w:rPr>
              <w:t>RPM-AMS17/41</w:t>
            </w:r>
            <w:r w:rsidRPr="00266546">
              <w:fldChar w:fldCharType="end"/>
            </w:r>
            <w:r w:rsidRPr="00266546">
              <w:rPr>
                <w:szCs w:val="24"/>
              </w:rPr>
              <w:t>)</w:t>
            </w:r>
            <w:bookmarkEnd w:id="9"/>
            <w:r>
              <w:rPr>
                <w:szCs w:val="24"/>
              </w:rPr>
              <w:t>.</w:t>
            </w:r>
          </w:p>
          <w:p w:rsidR="000502E7" w:rsidRDefault="00EB6A5A">
            <w:r>
              <w:rPr>
                <w:rFonts w:ascii="Calibri" w:eastAsia="SimSun" w:hAnsi="Calibri" w:cs="Traditional Arabic"/>
                <w:b/>
                <w:bCs/>
                <w:sz w:val="22"/>
                <w:szCs w:val="22"/>
              </w:rPr>
              <w:t>Resultados previstos:</w:t>
            </w:r>
          </w:p>
          <w:p w:rsidR="00EB6A5A" w:rsidRPr="00266546" w:rsidRDefault="00EB6A5A" w:rsidP="00EB6A5A">
            <w:pPr>
              <w:rPr>
                <w:b/>
                <w:bCs/>
              </w:rPr>
            </w:pPr>
            <w:bookmarkStart w:id="10" w:name="lt_pId018"/>
            <w:r>
              <w:rPr>
                <w:szCs w:val="24"/>
              </w:rPr>
              <w:t xml:space="preserve">Se invita a la CMDT-17 a revisar el documento y aprobarlo. </w:t>
            </w:r>
            <w:bookmarkEnd w:id="10"/>
          </w:p>
          <w:p w:rsidR="000502E7" w:rsidRDefault="00EB6A5A">
            <w:r>
              <w:rPr>
                <w:rFonts w:ascii="Calibri" w:eastAsia="SimSun" w:hAnsi="Calibri" w:cs="Traditional Arabic"/>
                <w:b/>
                <w:bCs/>
                <w:sz w:val="22"/>
                <w:szCs w:val="22"/>
              </w:rPr>
              <w:t>Referencias:</w:t>
            </w:r>
          </w:p>
          <w:p w:rsidR="000502E7" w:rsidRDefault="00E946AB" w:rsidP="00EB6A5A">
            <w:pPr>
              <w:spacing w:after="120"/>
              <w:rPr>
                <w:szCs w:val="24"/>
              </w:rPr>
            </w:pPr>
            <w:hyperlink r:id="rId12" w:history="1">
              <w:bookmarkStart w:id="11" w:name="lt_pId020"/>
              <w:r w:rsidR="00EB6A5A" w:rsidRPr="00266546">
                <w:rPr>
                  <w:rStyle w:val="Hyperlink"/>
                </w:rPr>
                <w:t>RPM-AMS17/41</w:t>
              </w:r>
              <w:bookmarkEnd w:id="11"/>
            </w:hyperlink>
            <w:r w:rsidR="00EB6A5A">
              <w:rPr>
                <w:szCs w:val="24"/>
              </w:rPr>
              <w:t xml:space="preserve">; </w:t>
            </w:r>
            <w:r w:rsidR="00EB6A5A" w:rsidRPr="00947748">
              <w:rPr>
                <w:szCs w:val="24"/>
              </w:rPr>
              <w:t>TDAG17-22/41</w:t>
            </w:r>
            <w:r w:rsidR="00EB6A5A">
              <w:rPr>
                <w:szCs w:val="24"/>
              </w:rPr>
              <w:t xml:space="preserve">; </w:t>
            </w:r>
            <w:r w:rsidR="00EB6A5A" w:rsidRPr="000B1248">
              <w:rPr>
                <w:b/>
                <w:bCs/>
                <w:szCs w:val="24"/>
                <w:lang w:val="es-ES"/>
              </w:rPr>
              <w:t xml:space="preserve"> </w:t>
            </w:r>
            <w:hyperlink r:id="rId13" w:history="1">
              <w:r w:rsidR="00EB6A5A" w:rsidRPr="003903B8">
                <w:rPr>
                  <w:rStyle w:val="Hyperlink"/>
                  <w:bCs/>
                  <w:szCs w:val="24"/>
                  <w:lang w:val="es-ES"/>
                </w:rPr>
                <w:t>WTDC17/4</w:t>
              </w:r>
            </w:hyperlink>
          </w:p>
        </w:tc>
      </w:tr>
    </w:tbl>
    <w:p w:rsidR="00D84739" w:rsidRDefault="00D84739" w:rsidP="00130051">
      <w:pPr>
        <w:rPr>
          <w:lang w:val="es-ES"/>
        </w:rPr>
      </w:pPr>
      <w:bookmarkStart w:id="12" w:name="dbreak"/>
      <w:bookmarkEnd w:id="7"/>
      <w:bookmarkEnd w:id="12"/>
    </w:p>
    <w:p w:rsidR="00D84739" w:rsidRDefault="00D8473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:rsidR="00E25BE1" w:rsidRPr="001870F9" w:rsidRDefault="00EB6A5A" w:rsidP="007D159F">
      <w:pPr>
        <w:pStyle w:val="Volumetitle"/>
        <w:rPr>
          <w:lang w:val="es-ES"/>
        </w:rPr>
      </w:pPr>
      <w:r w:rsidRPr="001870F9">
        <w:rPr>
          <w:lang w:val="es-ES"/>
        </w:rPr>
        <w:lastRenderedPageBreak/>
        <w:t>INICIATIVAS REGIONALES</w:t>
      </w:r>
    </w:p>
    <w:p w:rsidR="001870F9" w:rsidRPr="007C1BD1" w:rsidRDefault="00EB6A5A" w:rsidP="0004531A">
      <w:pPr>
        <w:pStyle w:val="Section1"/>
      </w:pPr>
      <w:bookmarkStart w:id="13" w:name="_Toc394052167"/>
      <w:bookmarkStart w:id="14" w:name="_Toc394060676"/>
      <w:bookmarkStart w:id="15" w:name="_Toc401734384"/>
      <w:r w:rsidRPr="00C805A9">
        <w:rPr>
          <w:bCs/>
        </w:rPr>
        <w:t>INICIATIVAS</w:t>
      </w:r>
      <w:r w:rsidRPr="007C1BD1">
        <w:t xml:space="preserve"> REGIONALES PARA LAS AMÉRICAS</w:t>
      </w:r>
      <w:bookmarkEnd w:id="13"/>
      <w:bookmarkEnd w:id="14"/>
      <w:bookmarkEnd w:id="15"/>
    </w:p>
    <w:p w:rsidR="000502E7" w:rsidRDefault="00EB6A5A">
      <w:pPr>
        <w:pStyle w:val="Proposal"/>
      </w:pPr>
      <w:r>
        <w:rPr>
          <w:b/>
        </w:rPr>
        <w:t>SUP</w:t>
      </w:r>
      <w:r>
        <w:tab/>
        <w:t>AMS/26/1</w:t>
      </w:r>
    </w:p>
    <w:p w:rsidR="001870F9" w:rsidRPr="007C1BD1" w:rsidRDefault="00EB6A5A" w:rsidP="004F5B91">
      <w:pPr>
        <w:pStyle w:val="Heading1"/>
      </w:pPr>
      <w:bookmarkStart w:id="16" w:name="_Toc270323257"/>
      <w:bookmarkStart w:id="17" w:name="_Toc394050772"/>
      <w:bookmarkStart w:id="18" w:name="_Toc394051192"/>
      <w:bookmarkStart w:id="19" w:name="_Toc394052168"/>
      <w:r w:rsidRPr="007C1BD1">
        <w:t>AMS1:</w:t>
      </w:r>
      <w:r>
        <w:t xml:space="preserve"> </w:t>
      </w:r>
      <w:r w:rsidRPr="007C1BD1">
        <w:t>Telecomnicaciones de emergencia</w:t>
      </w:r>
      <w:bookmarkEnd w:id="16"/>
      <w:bookmarkEnd w:id="17"/>
      <w:bookmarkEnd w:id="18"/>
      <w:bookmarkEnd w:id="19"/>
    </w:p>
    <w:p w:rsidR="000502E7" w:rsidRDefault="000502E7">
      <w:pPr>
        <w:pStyle w:val="Reasons"/>
      </w:pPr>
    </w:p>
    <w:p w:rsidR="000502E7" w:rsidRDefault="00EB6A5A">
      <w:pPr>
        <w:pStyle w:val="Proposal"/>
      </w:pPr>
      <w:r>
        <w:rPr>
          <w:b/>
        </w:rPr>
        <w:t>ADD</w:t>
      </w:r>
      <w:r>
        <w:tab/>
        <w:t>AMS/26/2</w:t>
      </w:r>
    </w:p>
    <w:p w:rsidR="00396ABF" w:rsidRPr="00266546" w:rsidRDefault="00EB6A5A" w:rsidP="00396ABF">
      <w:pPr>
        <w:pStyle w:val="Heading1"/>
      </w:pPr>
      <w:bookmarkStart w:id="20" w:name="_Toc393980029"/>
      <w:bookmarkStart w:id="21" w:name="lt_pId092"/>
      <w:r w:rsidRPr="00266546">
        <w:t>AMS1:</w:t>
      </w:r>
      <w:bookmarkEnd w:id="20"/>
      <w:bookmarkEnd w:id="21"/>
      <w:r w:rsidRPr="00266546">
        <w:tab/>
        <w:t>Comunicaciones para la reducción de riesgo y administración de catástrofes</w:t>
      </w:r>
    </w:p>
    <w:p w:rsidR="00396ABF" w:rsidRPr="00266546" w:rsidRDefault="00EB6A5A" w:rsidP="00396ABF">
      <w:pPr>
        <w:rPr>
          <w:rFonts w:ascii="Calibri" w:hAnsi="Calibri"/>
          <w:szCs w:val="24"/>
        </w:rPr>
      </w:pPr>
      <w:bookmarkStart w:id="22" w:name="lt_pId093"/>
      <w:r w:rsidRPr="00266546">
        <w:rPr>
          <w:rFonts w:ascii="Calibri" w:hAnsi="Calibri"/>
          <w:b/>
          <w:bCs/>
          <w:szCs w:val="24"/>
        </w:rPr>
        <w:t xml:space="preserve">Objetivo: </w:t>
      </w:r>
      <w:bookmarkEnd w:id="22"/>
      <w:r w:rsidRPr="00266546">
        <w:rPr>
          <w:szCs w:val="24"/>
        </w:rPr>
        <w:t>Prestar asistencia a los Estados Miembros en todas las fases de la reducción del riesgo de catástrofes, es decir, alerta temprana, la respuesta y prestación de socorro en caso de catástrofe y el restablecimiento de las redes de telecomunicaciones, en particular en los Pequeños Estados Insulares en Desarrollo (PEID) y los Países Menos Adelantados (PMA).</w:t>
      </w:r>
    </w:p>
    <w:p w:rsidR="00396ABF" w:rsidRPr="00266546" w:rsidRDefault="00EB6A5A" w:rsidP="00396ABF">
      <w:pPr>
        <w:pStyle w:val="Headingb"/>
      </w:pPr>
      <w:r w:rsidRPr="00266546">
        <w:t>Resultados previstos</w:t>
      </w:r>
    </w:p>
    <w:p w:rsidR="00396ABF" w:rsidRPr="00266546" w:rsidRDefault="00EB6A5A" w:rsidP="00396ABF">
      <w:pPr>
        <w:pStyle w:val="enumlev1"/>
      </w:pPr>
      <w:r w:rsidRPr="00266546">
        <w:t>1)</w:t>
      </w:r>
      <w:r w:rsidRPr="00266546">
        <w:tab/>
        <w:t>Identificación de las tecnologías adecuadas para su uso en las comunicaciones de reducción del riesgo de catástrofes, y realización de estudios de factibilidad de implementación, conformidad e interoperabilidad entre otras tecnologías y servicios basados en tecnología IP para las telecomunicaciones de emergencia.</w:t>
      </w:r>
    </w:p>
    <w:p w:rsidR="00396ABF" w:rsidRPr="00266546" w:rsidRDefault="00EB6A5A" w:rsidP="00396ABF">
      <w:pPr>
        <w:pStyle w:val="enumlev1"/>
      </w:pPr>
      <w:r w:rsidRPr="00266546">
        <w:t>2)</w:t>
      </w:r>
      <w:r w:rsidRPr="00266546">
        <w:tab/>
        <w:t>Implementación de sistemas de alerta temprana nacionales y subregionales, así como de respuesta a emergencias y recuperación, e identificación de infraestructura crítica, con especial atención en los pequeños Estados Insulares en Desarrollo (PEID) y los Países Menos Adelantados (PMA), considerando la influencia del cambio climático.</w:t>
      </w:r>
    </w:p>
    <w:p w:rsidR="00396ABF" w:rsidRPr="00266546" w:rsidRDefault="00EB6A5A" w:rsidP="00396ABF">
      <w:pPr>
        <w:pStyle w:val="enumlev1"/>
      </w:pPr>
      <w:r w:rsidRPr="00266546">
        <w:t>3)</w:t>
      </w:r>
      <w:r w:rsidRPr="00266546">
        <w:tab/>
        <w:t>Asistencia para el desarrollo de marcos políticos, reglamentarios y jurídicos, así como protocolos y procedimientos interinstitucionales apropiados en materia de comunicaciones para la reducción del riesgo de catástrofes a nivel nacional y regional.</w:t>
      </w:r>
    </w:p>
    <w:p w:rsidR="00396ABF" w:rsidRPr="00266546" w:rsidRDefault="00EB6A5A" w:rsidP="00396ABF">
      <w:pPr>
        <w:pStyle w:val="enumlev1"/>
      </w:pPr>
      <w:r w:rsidRPr="00266546">
        <w:t>4)</w:t>
      </w:r>
      <w:r w:rsidRPr="00266546">
        <w:tab/>
        <w:t>Seminarios y talleres regionales para el intercambio de experiencias y buenas prácticas sobre las telecomunicaciones/TIC utilizadas en las medidas preventivas para la reducción de riesgos y de respuesta a emergencias, maximizando el aprovechamiento de los recursos, generando programas más innovadores y efectivos, y coordinando el trabajo en zonas fronterizas para la</w:t>
      </w:r>
      <w:r>
        <w:t xml:space="preserve"> r</w:t>
      </w:r>
      <w:r w:rsidRPr="00266546">
        <w:t>egión Américas.</w:t>
      </w:r>
    </w:p>
    <w:p w:rsidR="005949FD" w:rsidRPr="00396ABF" w:rsidRDefault="00EB6A5A" w:rsidP="00396ABF">
      <w:pPr>
        <w:rPr>
          <w:lang w:val="es-ES"/>
        </w:rPr>
      </w:pPr>
      <w:r w:rsidRPr="00266546">
        <w:t>5)</w:t>
      </w:r>
      <w:r w:rsidRPr="00266546">
        <w:tab/>
        <w:t>Disponibilidad temporal de equipos para las comunicaciones de emergencia y recuperación en la región de las Américas, durante la primera etapa de una catástrofe, en el marco de la cooperación de la UIT en casos de emergencias.</w:t>
      </w:r>
    </w:p>
    <w:p w:rsidR="000502E7" w:rsidRPr="00EB6A5A" w:rsidRDefault="000502E7">
      <w:pPr>
        <w:pStyle w:val="Reasons"/>
        <w:rPr>
          <w:lang w:val="es-ES"/>
        </w:rPr>
      </w:pPr>
    </w:p>
    <w:p w:rsidR="000502E7" w:rsidRPr="00EB6A5A" w:rsidRDefault="00EB6A5A">
      <w:pPr>
        <w:pStyle w:val="Proposal"/>
        <w:rPr>
          <w:lang w:val="es-ES"/>
        </w:rPr>
      </w:pPr>
      <w:r w:rsidRPr="00EB6A5A">
        <w:rPr>
          <w:b/>
          <w:lang w:val="es-ES"/>
        </w:rPr>
        <w:t>SUP</w:t>
      </w:r>
      <w:r w:rsidRPr="00EB6A5A">
        <w:rPr>
          <w:lang w:val="es-ES"/>
        </w:rPr>
        <w:tab/>
        <w:t>AMS/26/3</w:t>
      </w:r>
    </w:p>
    <w:p w:rsidR="001870F9" w:rsidRPr="007C1BD1" w:rsidRDefault="00EB6A5A" w:rsidP="004F5B91">
      <w:pPr>
        <w:pStyle w:val="Heading1"/>
      </w:pPr>
      <w:bookmarkStart w:id="23" w:name="_Toc270323258"/>
      <w:bookmarkStart w:id="24" w:name="_Toc394050774"/>
      <w:bookmarkStart w:id="25" w:name="_Toc394051193"/>
      <w:bookmarkStart w:id="26" w:name="_Toc394052169"/>
      <w:r w:rsidRPr="007C1BD1">
        <w:t>AMS2:</w:t>
      </w:r>
      <w:r>
        <w:t xml:space="preserve"> </w:t>
      </w:r>
      <w:r w:rsidRPr="007C1BD1">
        <w:t>Gestión del espectro y transición a la radiodifusión digital</w:t>
      </w:r>
      <w:bookmarkEnd w:id="23"/>
      <w:bookmarkEnd w:id="24"/>
      <w:bookmarkEnd w:id="25"/>
      <w:bookmarkEnd w:id="26"/>
    </w:p>
    <w:p w:rsidR="000502E7" w:rsidRPr="00EB6A5A" w:rsidRDefault="000502E7">
      <w:pPr>
        <w:pStyle w:val="Reasons"/>
        <w:rPr>
          <w:lang w:val="es-ES"/>
        </w:rPr>
      </w:pPr>
    </w:p>
    <w:p w:rsidR="000502E7" w:rsidRPr="00EB6A5A" w:rsidRDefault="00EB6A5A">
      <w:pPr>
        <w:pStyle w:val="Proposal"/>
        <w:rPr>
          <w:lang w:val="es-ES"/>
        </w:rPr>
      </w:pPr>
      <w:r w:rsidRPr="00EB6A5A">
        <w:rPr>
          <w:b/>
          <w:lang w:val="es-ES"/>
        </w:rPr>
        <w:lastRenderedPageBreak/>
        <w:t>ADD</w:t>
      </w:r>
      <w:r w:rsidRPr="00EB6A5A">
        <w:rPr>
          <w:lang w:val="es-ES"/>
        </w:rPr>
        <w:tab/>
        <w:t>AMS/26/4</w:t>
      </w:r>
    </w:p>
    <w:p w:rsidR="00396ABF" w:rsidRPr="00266546" w:rsidRDefault="00EB6A5A" w:rsidP="00396ABF">
      <w:pPr>
        <w:pStyle w:val="Heading1"/>
      </w:pPr>
      <w:bookmarkStart w:id="27" w:name="lt_pId105"/>
      <w:r w:rsidRPr="00266546">
        <w:t>AMS2:</w:t>
      </w:r>
      <w:bookmarkEnd w:id="27"/>
      <w:r w:rsidRPr="00266546">
        <w:tab/>
        <w:t>Gestión del espectro y transición a la radiodifusión digital</w:t>
      </w:r>
    </w:p>
    <w:p w:rsidR="00396ABF" w:rsidRPr="00266546" w:rsidRDefault="00EB6A5A" w:rsidP="00396ABF">
      <w:pPr>
        <w:rPr>
          <w:rFonts w:ascii="Calibri" w:hAnsi="Calibri"/>
        </w:rPr>
      </w:pPr>
      <w:bookmarkStart w:id="28" w:name="lt_pId106"/>
      <w:r w:rsidRPr="00266546">
        <w:rPr>
          <w:rFonts w:ascii="Calibri" w:hAnsi="Calibri"/>
          <w:b/>
          <w:bCs/>
        </w:rPr>
        <w:t xml:space="preserve">Objetivo: </w:t>
      </w:r>
      <w:bookmarkEnd w:id="28"/>
      <w:r w:rsidRPr="00266546">
        <w:rPr>
          <w:rFonts w:ascii="Calibri" w:hAnsi="Calibri"/>
        </w:rPr>
        <w:t>Prestar asistencia a los Estados Miembros en la transición a la radiodifusión digital, el uso de las frecuencias del dividendo digital y gestión del espectro.</w:t>
      </w:r>
    </w:p>
    <w:p w:rsidR="00396ABF" w:rsidRPr="00266546" w:rsidRDefault="00EB6A5A" w:rsidP="00396ABF">
      <w:pPr>
        <w:pStyle w:val="Headingb"/>
      </w:pPr>
      <w:r w:rsidRPr="00266546">
        <w:t>Resultados previstos</w:t>
      </w:r>
    </w:p>
    <w:p w:rsidR="00396ABF" w:rsidRPr="00266546" w:rsidRDefault="00EB6A5A" w:rsidP="00396ABF">
      <w:pPr>
        <w:pStyle w:val="enumlev1"/>
      </w:pPr>
      <w:r w:rsidRPr="00266546">
        <w:t>1)</w:t>
      </w:r>
      <w:r w:rsidRPr="00266546">
        <w:tab/>
        <w:t>Capacitación en la gestión del espectro, tecnologías de radiodifusión digital, uso del dividendo digital y nuevas aplicaciones/servicios de radiodifusión, proporcionando asistencia en el uso de instrumentos para ayudar a los países en desarrollo a mejorar la coordinación internacional de los servicios terrestres en zonas de frontera.</w:t>
      </w:r>
    </w:p>
    <w:p w:rsidR="00396ABF" w:rsidRPr="00266546" w:rsidRDefault="00EB6A5A" w:rsidP="00396ABF">
      <w:pPr>
        <w:pStyle w:val="enumlev1"/>
      </w:pPr>
      <w:r w:rsidRPr="00266546">
        <w:t>2)</w:t>
      </w:r>
      <w:r w:rsidRPr="00266546">
        <w:tab/>
        <w:t>Apoyo en la elaboración de planes de gestión del espectro a nivel nacional y regional, incluyendo la transición a la radiodifusión digital y la promoción de políticas de uso del espectro para cobertura en zonas no atendidas.</w:t>
      </w:r>
    </w:p>
    <w:p w:rsidR="00396ABF" w:rsidRPr="00266546" w:rsidRDefault="00EB6A5A" w:rsidP="00396ABF">
      <w:pPr>
        <w:pStyle w:val="enumlev1"/>
      </w:pPr>
      <w:r w:rsidRPr="00266546">
        <w:t>3)</w:t>
      </w:r>
      <w:r w:rsidRPr="00266546">
        <w:tab/>
        <w:t xml:space="preserve">Elaboración de estudios, indicadores y directrices en aspectos sobre la asignación y el uso del espectro radioeléctrico, con miras, entre otras cosas, a facilitar el uso del espectro para las Telecomunicaciones Móviles Internacionales, y la armonización del uso del espectro entre países de la región, tomando en consideración la Resolución 9 (Rev. </w:t>
      </w:r>
      <w:r>
        <w:t>[</w:t>
      </w:r>
      <w:r w:rsidRPr="00266546">
        <w:t>Dubái 2014</w:t>
      </w:r>
      <w:r>
        <w:t>]</w:t>
      </w:r>
      <w:r w:rsidRPr="00266546">
        <w:t xml:space="preserve">) </w:t>
      </w:r>
      <w:proofErr w:type="gramStart"/>
      <w:r w:rsidRPr="00266546">
        <w:t>de</w:t>
      </w:r>
      <w:proofErr w:type="gramEnd"/>
      <w:r w:rsidRPr="00266546">
        <w:t xml:space="preserve"> la Conferencia Mundial de Desarrollo de las Telecomunicaciones.</w:t>
      </w:r>
    </w:p>
    <w:p w:rsidR="00396ABF" w:rsidRPr="00266546" w:rsidRDefault="00EB6A5A" w:rsidP="00396ABF">
      <w:pPr>
        <w:pStyle w:val="enumlev1"/>
      </w:pPr>
      <w:r w:rsidRPr="00266546">
        <w:t>4)</w:t>
      </w:r>
      <w:r w:rsidRPr="00266546">
        <w:tab/>
        <w:t>Asistencia a los países en la promoción de estrategias inclusivas relacionadas a la digitalización del servicio de radiodifusión, incluyendo la disponibilidad de receptores a un precio asequible, y estrategias de comunicación para educar y concientizar a los consumidores.</w:t>
      </w:r>
    </w:p>
    <w:p w:rsidR="005949FD" w:rsidRPr="00396ABF" w:rsidRDefault="00EB6A5A" w:rsidP="00396ABF">
      <w:pPr>
        <w:rPr>
          <w:lang w:val="es-ES"/>
        </w:rPr>
      </w:pPr>
      <w:r w:rsidRPr="00266546">
        <w:t>5)</w:t>
      </w:r>
      <w:r w:rsidRPr="00266546">
        <w:tab/>
        <w:t>Asistencia en la planificación a nivel nacional y regional del uso de las frecuencias liberadas con la transición a la radiodifusión digital y el despliegue de nuevas tecnologías para los servicios de radiodifusión.</w:t>
      </w:r>
    </w:p>
    <w:p w:rsidR="000502E7" w:rsidRPr="00EB6A5A" w:rsidRDefault="000502E7">
      <w:pPr>
        <w:pStyle w:val="Reasons"/>
        <w:rPr>
          <w:lang w:val="es-ES"/>
        </w:rPr>
      </w:pPr>
    </w:p>
    <w:p w:rsidR="000502E7" w:rsidRPr="00EB6A5A" w:rsidRDefault="00EB6A5A">
      <w:pPr>
        <w:pStyle w:val="Proposal"/>
        <w:rPr>
          <w:lang w:val="es-ES"/>
        </w:rPr>
      </w:pPr>
      <w:r w:rsidRPr="00EB6A5A">
        <w:rPr>
          <w:b/>
          <w:lang w:val="es-ES"/>
        </w:rPr>
        <w:t>SUP</w:t>
      </w:r>
      <w:r w:rsidRPr="00EB6A5A">
        <w:rPr>
          <w:lang w:val="es-ES"/>
        </w:rPr>
        <w:tab/>
        <w:t>AMS/26/5</w:t>
      </w:r>
    </w:p>
    <w:p w:rsidR="001870F9" w:rsidRPr="007C1BD1" w:rsidRDefault="00EB6A5A" w:rsidP="004F5B91">
      <w:pPr>
        <w:pStyle w:val="Heading1"/>
      </w:pPr>
      <w:bookmarkStart w:id="29" w:name="_Toc270323259"/>
      <w:bookmarkStart w:id="30" w:name="_Toc394050776"/>
      <w:bookmarkStart w:id="31" w:name="_Toc394051194"/>
      <w:bookmarkStart w:id="32" w:name="_Toc394052170"/>
      <w:r>
        <w:t xml:space="preserve">AMS3: </w:t>
      </w:r>
      <w:r w:rsidRPr="007C1BD1">
        <w:t>Desarrollo del acceso en banda ancha</w:t>
      </w:r>
      <w:bookmarkEnd w:id="29"/>
      <w:r w:rsidRPr="007C1BD1">
        <w:t xml:space="preserve"> y su adopción</w:t>
      </w:r>
      <w:bookmarkEnd w:id="30"/>
      <w:bookmarkEnd w:id="31"/>
      <w:bookmarkEnd w:id="32"/>
    </w:p>
    <w:p w:rsidR="000502E7" w:rsidRPr="00EB6A5A" w:rsidRDefault="000502E7">
      <w:pPr>
        <w:pStyle w:val="Reasons"/>
        <w:rPr>
          <w:lang w:val="es-ES"/>
        </w:rPr>
      </w:pPr>
    </w:p>
    <w:p w:rsidR="000502E7" w:rsidRPr="00EB6A5A" w:rsidRDefault="00EB6A5A">
      <w:pPr>
        <w:pStyle w:val="Proposal"/>
        <w:rPr>
          <w:lang w:val="es-ES"/>
        </w:rPr>
      </w:pPr>
      <w:r w:rsidRPr="00EB6A5A">
        <w:rPr>
          <w:b/>
          <w:lang w:val="es-ES"/>
        </w:rPr>
        <w:t>ADD</w:t>
      </w:r>
      <w:r w:rsidRPr="00EB6A5A">
        <w:rPr>
          <w:lang w:val="es-ES"/>
        </w:rPr>
        <w:tab/>
        <w:t>AMS/26/6</w:t>
      </w:r>
    </w:p>
    <w:p w:rsidR="00396ABF" w:rsidRPr="00266546" w:rsidRDefault="00EB6A5A" w:rsidP="00396ABF">
      <w:pPr>
        <w:pStyle w:val="Heading1"/>
      </w:pPr>
      <w:bookmarkStart w:id="33" w:name="lt_pId118"/>
      <w:r w:rsidRPr="00266546">
        <w:t>AMS3:</w:t>
      </w:r>
      <w:bookmarkEnd w:id="33"/>
      <w:r w:rsidRPr="00266546">
        <w:tab/>
        <w:t>Despliegue de la infraestructura de banda ancha, especialmente en zonas rurales y desatendidas, y fortalecimiento del acceso a servicios y aplicaciones de banda ancha</w:t>
      </w:r>
    </w:p>
    <w:p w:rsidR="00396ABF" w:rsidRPr="00266546" w:rsidRDefault="00EB6A5A" w:rsidP="00396ABF">
      <w:pPr>
        <w:rPr>
          <w:rFonts w:ascii="Calibri" w:hAnsi="Calibri"/>
        </w:rPr>
      </w:pPr>
      <w:bookmarkStart w:id="34" w:name="lt_pId119"/>
      <w:r w:rsidRPr="00266546">
        <w:rPr>
          <w:rFonts w:ascii="Calibri" w:hAnsi="Calibri"/>
          <w:b/>
          <w:bCs/>
        </w:rPr>
        <w:t xml:space="preserve">Objetivo: </w:t>
      </w:r>
      <w:bookmarkEnd w:id="34"/>
      <w:r w:rsidRPr="00266546">
        <w:rPr>
          <w:rFonts w:ascii="Calibri" w:hAnsi="Calibri"/>
        </w:rPr>
        <w:t>Prestar asistencia a los Estados Miembros en la detección de necesidades y el desarrollo de políticas, mecanismos e iniciativas reglamentarias para reducir la brecha digital mediante el incremento del acceso a la banda ancha y su adopción, como medio para alcanzar los ODS.</w:t>
      </w:r>
    </w:p>
    <w:p w:rsidR="00396ABF" w:rsidRPr="00266546" w:rsidRDefault="00EB6A5A" w:rsidP="00396ABF">
      <w:pPr>
        <w:pStyle w:val="Headingb"/>
      </w:pPr>
      <w:r w:rsidRPr="00266546">
        <w:lastRenderedPageBreak/>
        <w:t>Resultados previstos</w:t>
      </w:r>
    </w:p>
    <w:p w:rsidR="00396ABF" w:rsidRPr="00266546" w:rsidRDefault="00EB6A5A" w:rsidP="00396ABF">
      <w:pPr>
        <w:pStyle w:val="enumlev1"/>
      </w:pPr>
      <w:r w:rsidRPr="00266546">
        <w:t>1)</w:t>
      </w:r>
      <w:r w:rsidRPr="00266546">
        <w:tab/>
        <w:t>Asistencia para la elaboración de un estudio situacional relativo al despliegue de infraestructura de banda ancha para los servicios fijo y móvil y el uso de espectro, para detectar las necesidades y oportunidades especialmente de las zonas rurales y desatendidas, tomando en cuenta las características específicas de las subregiones.</w:t>
      </w:r>
    </w:p>
    <w:p w:rsidR="00396ABF" w:rsidRPr="00266546" w:rsidRDefault="00EB6A5A" w:rsidP="00396ABF">
      <w:pPr>
        <w:pStyle w:val="enumlev1"/>
      </w:pPr>
      <w:r w:rsidRPr="00266546">
        <w:t>2)</w:t>
      </w:r>
      <w:r w:rsidRPr="00266546">
        <w:tab/>
        <w:t>Asistencia para la instrumentación o mejora de los planes nacionales de cobertura de banda ancha; incluyendo el apoyo a las instituciones educativas, redes avanzadas, centros de investigación, las cooperativas y las organizaciones sin ánimo de lucro que prestan servicios de telecomunicaciones, especialmente en zonas rurales, remotas y desatendidas, tomando en cuenta mecanismos de acceso al espectro y a redes de alta velocidad y fomentar el ambiente propicio para promover la inversión en redes.</w:t>
      </w:r>
    </w:p>
    <w:p w:rsidR="00396ABF" w:rsidRPr="00266546" w:rsidRDefault="00EB6A5A" w:rsidP="00396ABF">
      <w:pPr>
        <w:pStyle w:val="enumlev1"/>
      </w:pPr>
      <w:r w:rsidRPr="00266546">
        <w:t>3)</w:t>
      </w:r>
      <w:r w:rsidRPr="00266546">
        <w:tab/>
        <w:t>Establecimiento de métricas y metodologías para la medición de las condiciones de los servicios de banda ancha, aprovechando las inversiones públicas y privadas, asociaciones público-privadas, y la participación de pequeños operadores y operadores sin fines de lucro, especialmente en los Países en Desarrollo Sin Litoral (PDSL) y los Pequeños Estados Insulares en Desarrollo (PEID).</w:t>
      </w:r>
    </w:p>
    <w:p w:rsidR="00396ABF" w:rsidRPr="00266546" w:rsidRDefault="00EB6A5A" w:rsidP="00396ABF">
      <w:pPr>
        <w:pStyle w:val="enumlev1"/>
      </w:pPr>
      <w:r w:rsidRPr="00266546">
        <w:t>4)</w:t>
      </w:r>
      <w:r w:rsidRPr="00266546">
        <w:tab/>
        <w:t>Asistencia para la implementación de planes que promocionen el acceso a las TIC en los municipios a través del concepto de ciudad digital/inteligente y en las instituciones públicas de servicios sociales, así como fomento del acceso y del uso de las TIC para acceder a servicios sociales por la población, en especial de zonas rurales y desatendidas.</w:t>
      </w:r>
    </w:p>
    <w:p w:rsidR="005949FD" w:rsidRPr="00396ABF" w:rsidRDefault="00EB6A5A" w:rsidP="00396ABF">
      <w:pPr>
        <w:rPr>
          <w:lang w:val="es-ES"/>
        </w:rPr>
      </w:pPr>
      <w:r w:rsidRPr="00266546">
        <w:t>5)</w:t>
      </w:r>
      <w:r w:rsidRPr="00266546">
        <w:tab/>
        <w:t>Consolidación y difusión de información a través de seminarios, talleres, entre otros, acerca de estándares, conformidad e interoperabilidad e intercambio de buenas prácticas relacionadas con el despliegue y operación de redes de banda ancha especialmente en las zonas rurales, y conectividad, con énfasis en PMA,</w:t>
      </w:r>
      <w:r>
        <w:t xml:space="preserve"> </w:t>
      </w:r>
      <w:r w:rsidRPr="00266546">
        <w:t>PDSL y PEID.</w:t>
      </w:r>
    </w:p>
    <w:p w:rsidR="000502E7" w:rsidRPr="00EB6A5A" w:rsidRDefault="000502E7">
      <w:pPr>
        <w:pStyle w:val="Reasons"/>
        <w:rPr>
          <w:lang w:val="es-ES"/>
        </w:rPr>
      </w:pPr>
    </w:p>
    <w:p w:rsidR="000502E7" w:rsidRPr="00EB6A5A" w:rsidRDefault="00EB6A5A">
      <w:pPr>
        <w:pStyle w:val="Proposal"/>
        <w:rPr>
          <w:lang w:val="es-ES"/>
        </w:rPr>
      </w:pPr>
      <w:r w:rsidRPr="00EB6A5A">
        <w:rPr>
          <w:b/>
          <w:lang w:val="es-ES"/>
        </w:rPr>
        <w:t>SUP</w:t>
      </w:r>
      <w:r w:rsidRPr="00EB6A5A">
        <w:rPr>
          <w:lang w:val="es-ES"/>
        </w:rPr>
        <w:tab/>
        <w:t>AMS/26/7</w:t>
      </w:r>
    </w:p>
    <w:p w:rsidR="00396ABF" w:rsidRPr="007C1BD1" w:rsidRDefault="00EB6A5A" w:rsidP="00396ABF">
      <w:pPr>
        <w:pStyle w:val="Heading1"/>
      </w:pPr>
      <w:bookmarkStart w:id="35" w:name="_Toc270323260"/>
      <w:bookmarkStart w:id="36" w:name="_Toc394050778"/>
      <w:bookmarkStart w:id="37" w:name="_Toc394051195"/>
      <w:bookmarkStart w:id="38" w:name="_Toc394052171"/>
      <w:r w:rsidRPr="007C1BD1">
        <w:t>AMS4:</w:t>
      </w:r>
      <w:r>
        <w:t xml:space="preserve"> </w:t>
      </w:r>
      <w:r w:rsidRPr="007C1BD1">
        <w:t xml:space="preserve">Reducción de los precios de los servicios de </w:t>
      </w:r>
      <w:r>
        <w:br/>
      </w:r>
      <w:r w:rsidRPr="007C1BD1">
        <w:t>telecomunicaciones y de los costes de acceso a Internet</w:t>
      </w:r>
      <w:bookmarkEnd w:id="35"/>
      <w:bookmarkEnd w:id="36"/>
      <w:bookmarkEnd w:id="37"/>
      <w:bookmarkEnd w:id="38"/>
    </w:p>
    <w:p w:rsidR="000502E7" w:rsidRPr="00EB6A5A" w:rsidRDefault="000502E7">
      <w:pPr>
        <w:pStyle w:val="Reasons"/>
        <w:rPr>
          <w:lang w:val="es-ES"/>
        </w:rPr>
      </w:pPr>
    </w:p>
    <w:p w:rsidR="000502E7" w:rsidRPr="00EB6A5A" w:rsidRDefault="00EB6A5A">
      <w:pPr>
        <w:pStyle w:val="Proposal"/>
        <w:rPr>
          <w:lang w:val="es-ES"/>
        </w:rPr>
      </w:pPr>
      <w:r w:rsidRPr="00EB6A5A">
        <w:rPr>
          <w:b/>
          <w:lang w:val="es-ES"/>
        </w:rPr>
        <w:t>ADD</w:t>
      </w:r>
      <w:r w:rsidRPr="00EB6A5A">
        <w:rPr>
          <w:lang w:val="es-ES"/>
        </w:rPr>
        <w:tab/>
        <w:t>AMS/26/8</w:t>
      </w:r>
    </w:p>
    <w:p w:rsidR="00DA554C" w:rsidRPr="00266546" w:rsidRDefault="00EB6A5A" w:rsidP="00DA554C">
      <w:pPr>
        <w:pStyle w:val="Heading1"/>
      </w:pPr>
      <w:bookmarkStart w:id="39" w:name="lt_pId131"/>
      <w:r w:rsidRPr="00266546">
        <w:t>AMS4:</w:t>
      </w:r>
      <w:bookmarkEnd w:id="39"/>
      <w:r w:rsidRPr="00266546">
        <w:tab/>
        <w:t>Accesibilidad y asequibilidad para una Región Américas incluyente y sostenible</w:t>
      </w:r>
    </w:p>
    <w:p w:rsidR="00DA554C" w:rsidRPr="00266546" w:rsidRDefault="00EB6A5A" w:rsidP="00DA554C">
      <w:pPr>
        <w:rPr>
          <w:rFonts w:ascii="Calibri" w:hAnsi="Calibri"/>
        </w:rPr>
      </w:pPr>
      <w:bookmarkStart w:id="40" w:name="lt_pId132"/>
      <w:r w:rsidRPr="00266546">
        <w:rPr>
          <w:rFonts w:ascii="Calibri" w:hAnsi="Calibri"/>
          <w:b/>
          <w:bCs/>
        </w:rPr>
        <w:t xml:space="preserve">Objetivo: </w:t>
      </w:r>
      <w:bookmarkEnd w:id="40"/>
      <w:r w:rsidRPr="00266546">
        <w:rPr>
          <w:rFonts w:ascii="Calibri" w:hAnsi="Calibri"/>
        </w:rPr>
        <w:t>Prestar asistencia a los Estados Miembros para garantizar la asequibilidad de los servicios de telecomunicaciones/TIC en pos de construir una Sociedad de la Información para todos y garantizar la accesibilidad de las telecomunicaciones/TIC para las personas con discapacidad y otras personas en situaciones de vulnerabilidad.</w:t>
      </w:r>
    </w:p>
    <w:p w:rsidR="00DA554C" w:rsidRPr="00266546" w:rsidRDefault="00EB6A5A" w:rsidP="00DA554C">
      <w:pPr>
        <w:pStyle w:val="Headingb"/>
      </w:pPr>
      <w:r w:rsidRPr="00266546">
        <w:t>Resultados previstos</w:t>
      </w:r>
    </w:p>
    <w:p w:rsidR="00DA554C" w:rsidRPr="00266546" w:rsidRDefault="00EB6A5A" w:rsidP="00DA554C">
      <w:pPr>
        <w:pStyle w:val="enumlev1"/>
      </w:pPr>
      <w:r w:rsidRPr="00266546">
        <w:t>1)</w:t>
      </w:r>
      <w:r w:rsidRPr="00266546">
        <w:tab/>
        <w:t xml:space="preserve">Asistencia para el desarrollo de directrices y políticas públicas para promover la eficiencia en la provisión y la accesibilidad a los servicios de telecomunicaciones/TIC, especialmente </w:t>
      </w:r>
      <w:r w:rsidRPr="00266546">
        <w:lastRenderedPageBreak/>
        <w:t>los servicios móviles y de emergencia, y también considerando, pero no limitado al uso de herramientas de accesibilidad de medios audiovisuales.</w:t>
      </w:r>
    </w:p>
    <w:p w:rsidR="00DA554C" w:rsidRPr="00266546" w:rsidRDefault="00EB6A5A" w:rsidP="00DA554C">
      <w:pPr>
        <w:pStyle w:val="enumlev1"/>
      </w:pPr>
      <w:r w:rsidRPr="00266546">
        <w:t>2)</w:t>
      </w:r>
      <w:r w:rsidRPr="00266546">
        <w:tab/>
        <w:t>Asistencia para la instrumentación de recomendaciones que contribuyan a mejorar la asequibilidad de la banda ancha; analizando los diferentes factores y recomendaciones sobre acciones para la promoción del desarrollo y gestión, según corresponda, de puntos de intercambio de Internet (IXP) nacionales, subregionales y regionales, sujeta a decisión nacional, así como sobre los aspectos políticos y reglamentarios para la aplicación de acuerdos y alianzas de IXP, además de recomendaciones para mejorar la oferta de transporte hasta los puntos de conexión a las redes internacionales de fibra óptica submarina, en especial para los PDSL y PEID.</w:t>
      </w:r>
    </w:p>
    <w:p w:rsidR="00DA554C" w:rsidRPr="00266546" w:rsidRDefault="00EB6A5A" w:rsidP="00DA554C">
      <w:pPr>
        <w:pStyle w:val="enumlev1"/>
      </w:pPr>
      <w:r w:rsidRPr="00266546">
        <w:t>3)</w:t>
      </w:r>
      <w:r w:rsidRPr="00266546">
        <w:tab/>
        <w:t>Estudio de monitoreo de los niveles de asequibilidad en los países, desagregadas por variables socioeconómicas y tomando en consideración poblaciones específicas y vulnerables, para que se incluyan en los planes de banda ancha, políticas, estrategias, acciones y metas específicas a estos grupos poblacionales, además de recomendaciones fundamentadas en estudios sobre políticas e iniciativas que posibiliten la reducción de los precios de los servicios de telecomunicaciones/TIC y la reducción de los costos de despliegue de la banda ancha y el uso eficiente del espectro.</w:t>
      </w:r>
    </w:p>
    <w:p w:rsidR="00DA554C" w:rsidRPr="00266546" w:rsidRDefault="00EB6A5A" w:rsidP="00DA554C">
      <w:pPr>
        <w:pStyle w:val="enumlev1"/>
      </w:pPr>
      <w:r w:rsidRPr="00266546">
        <w:t>4)</w:t>
      </w:r>
      <w:r w:rsidRPr="00266546">
        <w:tab/>
        <w:t>Recomendar políticas que faciliten un entorno habilitador para el gozo pleno del acceso y uso de los beneficios de los servicios de telecomunicaciones/TIC por todos; a través de la implementación de proyectos TIC locales/nacionales para eliminar las disparidades en la educación en todos sus niveles y la formación profesional, el desarrollo de plataformas para proveer servicios de comunicaciones e interpretación para personas con discapacidades, el desarrollo de sitios web accesibles de instituciones públicas sobre programas, servicios e informaciones del gobierno, la implementación de servicios de gobierno electrónico, entre otros servicios.</w:t>
      </w:r>
    </w:p>
    <w:p w:rsidR="00396ABF" w:rsidRPr="00DA554C" w:rsidRDefault="00EB6A5A" w:rsidP="00DA554C">
      <w:pPr>
        <w:rPr>
          <w:lang w:val="es-ES"/>
        </w:rPr>
      </w:pPr>
      <w:r w:rsidRPr="00266546">
        <w:t>5)</w:t>
      </w:r>
      <w:r w:rsidRPr="00266546">
        <w:tab/>
        <w:t>Recomendaciones sobre acciones para la promoción de la cooperación y el intercambio de información en todos los tópicos relacionados a las políticas públicas y regulatorias que permiten mejorar la asequibilidad para los servicios de telecomunicaciones y la banda ancha.</w:t>
      </w:r>
    </w:p>
    <w:p w:rsidR="000502E7" w:rsidRPr="00EB6A5A" w:rsidRDefault="000502E7">
      <w:pPr>
        <w:pStyle w:val="Reasons"/>
        <w:rPr>
          <w:lang w:val="es-ES"/>
        </w:rPr>
      </w:pPr>
    </w:p>
    <w:p w:rsidR="000502E7" w:rsidRPr="00EB6A5A" w:rsidRDefault="00EB6A5A">
      <w:pPr>
        <w:pStyle w:val="Proposal"/>
        <w:rPr>
          <w:lang w:val="es-ES"/>
        </w:rPr>
      </w:pPr>
      <w:r w:rsidRPr="00EB6A5A">
        <w:rPr>
          <w:b/>
          <w:lang w:val="es-ES"/>
        </w:rPr>
        <w:t>SUP</w:t>
      </w:r>
      <w:r w:rsidRPr="00EB6A5A">
        <w:rPr>
          <w:lang w:val="es-ES"/>
        </w:rPr>
        <w:tab/>
        <w:t>AMS/26/9</w:t>
      </w:r>
    </w:p>
    <w:p w:rsidR="00396ABF" w:rsidRPr="007C1BD1" w:rsidRDefault="00EB6A5A" w:rsidP="00396ABF">
      <w:pPr>
        <w:pStyle w:val="Heading1"/>
      </w:pPr>
      <w:bookmarkStart w:id="41" w:name="_Toc394050780"/>
      <w:bookmarkStart w:id="42" w:name="_Toc394051196"/>
      <w:bookmarkStart w:id="43" w:name="_Toc394052172"/>
      <w:r w:rsidRPr="007C1BD1">
        <w:t>AMS5:</w:t>
      </w:r>
      <w:r>
        <w:t xml:space="preserve"> </w:t>
      </w:r>
      <w:r w:rsidRPr="007C1BD1">
        <w:t xml:space="preserve">Capacitación para la participación en la política global de las TIC, con especial énfasis en mejorar la </w:t>
      </w:r>
      <w:proofErr w:type="spellStart"/>
      <w:r w:rsidRPr="007C1BD1">
        <w:t>ciberseguridad</w:t>
      </w:r>
      <w:proofErr w:type="spellEnd"/>
      <w:r w:rsidRPr="007C1BD1">
        <w:t xml:space="preserve"> y la participación de los países en desarrollo en las instituciones existentes de gobernanza de Internet</w:t>
      </w:r>
      <w:bookmarkEnd w:id="41"/>
      <w:bookmarkEnd w:id="42"/>
      <w:bookmarkEnd w:id="43"/>
    </w:p>
    <w:p w:rsidR="000502E7" w:rsidRPr="00EB6A5A" w:rsidRDefault="000502E7">
      <w:pPr>
        <w:pStyle w:val="Reasons"/>
        <w:rPr>
          <w:lang w:val="es-ES"/>
        </w:rPr>
      </w:pPr>
    </w:p>
    <w:p w:rsidR="000502E7" w:rsidRPr="00EB6A5A" w:rsidRDefault="00EB6A5A">
      <w:pPr>
        <w:pStyle w:val="Proposal"/>
        <w:rPr>
          <w:lang w:val="es-ES"/>
        </w:rPr>
      </w:pPr>
      <w:r w:rsidRPr="00EB6A5A">
        <w:rPr>
          <w:b/>
          <w:lang w:val="es-ES"/>
        </w:rPr>
        <w:t>ADD</w:t>
      </w:r>
      <w:r w:rsidRPr="00EB6A5A">
        <w:rPr>
          <w:lang w:val="es-ES"/>
        </w:rPr>
        <w:tab/>
        <w:t>AMS/26/10</w:t>
      </w:r>
    </w:p>
    <w:p w:rsidR="00DA554C" w:rsidRPr="00266546" w:rsidRDefault="00EB6A5A" w:rsidP="00DA554C">
      <w:pPr>
        <w:pStyle w:val="Heading1"/>
      </w:pPr>
      <w:bookmarkStart w:id="44" w:name="lt_pId144"/>
      <w:r w:rsidRPr="00266546">
        <w:t>AMS5:</w:t>
      </w:r>
      <w:bookmarkEnd w:id="44"/>
      <w:r w:rsidRPr="00266546">
        <w:tab/>
        <w:t>Desarrollo de la economía digital, las Ciudades y Comunidades Inteligentes (C+CI) e Internet de las cosas (IOT) promoviendo la innovación</w:t>
      </w:r>
    </w:p>
    <w:p w:rsidR="00DA554C" w:rsidRPr="00266546" w:rsidRDefault="00EB6A5A" w:rsidP="00DA554C">
      <w:pPr>
        <w:rPr>
          <w:rFonts w:ascii="Calibri" w:hAnsi="Calibri"/>
        </w:rPr>
      </w:pPr>
      <w:bookmarkStart w:id="45" w:name="lt_pId145"/>
      <w:r w:rsidRPr="00266546">
        <w:rPr>
          <w:rFonts w:ascii="Calibri" w:hAnsi="Calibri"/>
          <w:b/>
          <w:bCs/>
        </w:rPr>
        <w:t xml:space="preserve">Objetivo: </w:t>
      </w:r>
      <w:bookmarkEnd w:id="45"/>
      <w:r w:rsidRPr="00266546">
        <w:rPr>
          <w:rFonts w:ascii="Calibri" w:hAnsi="Calibri"/>
        </w:rPr>
        <w:t>Prestar asistencia a los Estados Miembros en el desarrollo de políticas nacionales y regionales para impulsar la economía digital, las Comunidades y Ciudades Inteligentes (C+CI) e Internet de las Cosas (</w:t>
      </w:r>
      <w:proofErr w:type="spellStart"/>
      <w:r w:rsidRPr="00266546">
        <w:rPr>
          <w:rFonts w:ascii="Calibri" w:hAnsi="Calibri"/>
        </w:rPr>
        <w:t>IoT</w:t>
      </w:r>
      <w:proofErr w:type="spellEnd"/>
      <w:r w:rsidRPr="00266546">
        <w:rPr>
          <w:rFonts w:ascii="Calibri" w:hAnsi="Calibri"/>
        </w:rPr>
        <w:t>).</w:t>
      </w:r>
    </w:p>
    <w:p w:rsidR="00DA554C" w:rsidRPr="00266546" w:rsidRDefault="00EB6A5A" w:rsidP="00DA554C">
      <w:pPr>
        <w:pStyle w:val="Headingb"/>
      </w:pPr>
      <w:r w:rsidRPr="00266546">
        <w:lastRenderedPageBreak/>
        <w:t>Resultados previstos</w:t>
      </w:r>
    </w:p>
    <w:p w:rsidR="00DA554C" w:rsidRPr="00266546" w:rsidRDefault="00EB6A5A" w:rsidP="00DA554C">
      <w:pPr>
        <w:pStyle w:val="enumlev1"/>
      </w:pPr>
      <w:r w:rsidRPr="00266546">
        <w:t>1)</w:t>
      </w:r>
      <w:r w:rsidRPr="00266546">
        <w:tab/>
        <w:t>Prestar asistencia a los Estados Miembros en la elaboración de políticas sobre TIC que fomenten el desarrollo de la economía digital de la región, para aprovechar las nuevas tecnologías, fomentar el desarrollo y la promoción de soluciones apropiadas.</w:t>
      </w:r>
    </w:p>
    <w:p w:rsidR="00DA554C" w:rsidRPr="00266546" w:rsidRDefault="00EB6A5A" w:rsidP="00DA554C">
      <w:pPr>
        <w:pStyle w:val="enumlev1"/>
      </w:pPr>
      <w:r w:rsidRPr="00266546">
        <w:t>2)</w:t>
      </w:r>
      <w:r w:rsidRPr="00266546">
        <w:tab/>
        <w:t>Seminarios y talleres sobre el impacto de la economía digital en la región, en colaboración con otras organizaciones relevantes.</w:t>
      </w:r>
    </w:p>
    <w:p w:rsidR="00DA554C" w:rsidRPr="00266546" w:rsidRDefault="00EB6A5A" w:rsidP="00DA554C">
      <w:pPr>
        <w:pStyle w:val="enumlev1"/>
      </w:pPr>
      <w:r w:rsidRPr="00266546">
        <w:t>3)</w:t>
      </w:r>
      <w:r w:rsidRPr="00266546">
        <w:tab/>
        <w:t xml:space="preserve">Elaborar recomendaciones para impulsar la creación de núcleos de innovación, incluyendo la innovación educativa, y proyectos que contribuyan a la industria TIC, haciendo énfasis en </w:t>
      </w:r>
      <w:proofErr w:type="spellStart"/>
      <w:r w:rsidRPr="00266546">
        <w:t>Start</w:t>
      </w:r>
      <w:proofErr w:type="spellEnd"/>
      <w:r w:rsidRPr="00266546">
        <w:t xml:space="preserve">-ups, </w:t>
      </w:r>
      <w:proofErr w:type="spellStart"/>
      <w:r w:rsidRPr="00266546">
        <w:t>PyMEs</w:t>
      </w:r>
      <w:proofErr w:type="spellEnd"/>
      <w:r w:rsidRPr="00266546">
        <w:t xml:space="preserve"> y jóvenes emprendedores, con atención especial a mujeres, entre otros.</w:t>
      </w:r>
    </w:p>
    <w:p w:rsidR="00DA554C" w:rsidRPr="00266546" w:rsidRDefault="00EB6A5A" w:rsidP="00DA554C">
      <w:pPr>
        <w:pStyle w:val="enumlev1"/>
      </w:pPr>
      <w:r w:rsidRPr="00266546">
        <w:t>4)</w:t>
      </w:r>
      <w:r w:rsidRPr="00266546">
        <w:tab/>
        <w:t xml:space="preserve">Identificar socios/asociaciones, para fortalecer la innovación basada en las TIC y el financiamiento de proyectos e iniciativas para el desarrollo de la economía digital, C+CI e </w:t>
      </w:r>
      <w:proofErr w:type="spellStart"/>
      <w:r w:rsidRPr="00266546">
        <w:t>IoT</w:t>
      </w:r>
      <w:proofErr w:type="spellEnd"/>
      <w:r w:rsidRPr="00266546">
        <w:t>, articulando coaliciones y alianzas entre las múltiples partes interesadas priorizando a jóvenes emprendedores.</w:t>
      </w:r>
    </w:p>
    <w:p w:rsidR="00396ABF" w:rsidRPr="00DA554C" w:rsidRDefault="00EB6A5A" w:rsidP="00DA554C">
      <w:pPr>
        <w:rPr>
          <w:lang w:val="es-ES"/>
        </w:rPr>
      </w:pPr>
      <w:r w:rsidRPr="00266546">
        <w:t>5)</w:t>
      </w:r>
      <w:r w:rsidRPr="00266546">
        <w:tab/>
        <w:t>Propiciar estrategias y, difusión de mejores prácticas sobre el adecuado manejo de los residuos electrónicos.</w:t>
      </w:r>
    </w:p>
    <w:p w:rsidR="000502E7" w:rsidRPr="00EB6A5A" w:rsidRDefault="00EB6A5A" w:rsidP="00EB6A5A">
      <w:pPr>
        <w:pStyle w:val="Reasons"/>
        <w:jc w:val="center"/>
        <w:rPr>
          <w:lang w:val="es-ES"/>
        </w:rPr>
      </w:pPr>
      <w:r>
        <w:rPr>
          <w:lang w:val="es-ES"/>
        </w:rPr>
        <w:t>______________</w:t>
      </w:r>
    </w:p>
    <w:sectPr w:rsidR="000502E7" w:rsidRPr="00EB6A5A">
      <w:head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08F" w:rsidRDefault="00D8208F">
      <w:r>
        <w:separator/>
      </w:r>
    </w:p>
  </w:endnote>
  <w:endnote w:type="continuationSeparator" w:id="0">
    <w:p w:rsidR="00D8208F" w:rsidRDefault="00D8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4D495C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</w:t>
          </w:r>
          <w:proofErr w:type="spellEnd"/>
          <w:r w:rsidRPr="004D495C">
            <w:rPr>
              <w:sz w:val="18"/>
              <w:szCs w:val="18"/>
              <w:lang w:val="en-US"/>
            </w:rPr>
            <w:t>/</w:t>
          </w:r>
          <w:proofErr w:type="spellStart"/>
          <w:r w:rsidRPr="004D495C">
            <w:rPr>
              <w:sz w:val="18"/>
              <w:szCs w:val="18"/>
              <w:lang w:val="en-US"/>
            </w:rPr>
            <w:t>Organiza</w:t>
          </w:r>
          <w:r>
            <w:rPr>
              <w:sz w:val="18"/>
              <w:szCs w:val="18"/>
              <w:lang w:val="en-US"/>
            </w:rPr>
            <w:t>ción</w:t>
          </w:r>
          <w:proofErr w:type="spellEnd"/>
          <w:r>
            <w:rPr>
              <w:sz w:val="18"/>
              <w:szCs w:val="18"/>
              <w:lang w:val="en-US"/>
            </w:rPr>
            <w:t>/</w:t>
          </w:r>
          <w:proofErr w:type="spellStart"/>
          <w:r>
            <w:rPr>
              <w:sz w:val="18"/>
              <w:szCs w:val="18"/>
              <w:lang w:val="en-US"/>
            </w:rPr>
            <w:t>Entidad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EB6A5A" w:rsidRDefault="00EB6A5A" w:rsidP="00EB6A5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bookmarkStart w:id="49" w:name="OrgName"/>
          <w:bookmarkEnd w:id="49"/>
          <w:r>
            <w:rPr>
              <w:sz w:val="18"/>
              <w:szCs w:val="18"/>
              <w:lang w:val="es-ES"/>
            </w:rPr>
            <w:t>Sr.</w:t>
          </w:r>
          <w:r>
            <w:rPr>
              <w:sz w:val="18"/>
              <w:szCs w:val="18"/>
              <w:lang w:val="es-PY"/>
            </w:rPr>
            <w:t xml:space="preserve"> </w:t>
          </w:r>
          <w:proofErr w:type="spellStart"/>
          <w:r w:rsidRPr="006519CF">
            <w:rPr>
              <w:sz w:val="18"/>
              <w:szCs w:val="18"/>
              <w:lang w:val="es-PY"/>
            </w:rPr>
            <w:t>Kenji</w:t>
          </w:r>
          <w:proofErr w:type="spellEnd"/>
          <w:r w:rsidRPr="006519CF">
            <w:rPr>
              <w:sz w:val="18"/>
              <w:szCs w:val="18"/>
              <w:lang w:val="es-PY"/>
            </w:rPr>
            <w:t xml:space="preserve"> </w:t>
          </w:r>
          <w:proofErr w:type="spellStart"/>
          <w:r w:rsidRPr="006519CF">
            <w:rPr>
              <w:sz w:val="18"/>
              <w:szCs w:val="18"/>
              <w:lang w:val="es-PY"/>
            </w:rPr>
            <w:t>Kuramochi</w:t>
          </w:r>
          <w:proofErr w:type="spellEnd"/>
          <w:r w:rsidRPr="006519CF">
            <w:rPr>
              <w:sz w:val="18"/>
              <w:szCs w:val="18"/>
              <w:lang w:val="es-PY"/>
            </w:rPr>
            <w:t>, Gerente Internacional e Interinstitucional, Comisi</w:t>
          </w:r>
          <w:r>
            <w:rPr>
              <w:sz w:val="18"/>
              <w:szCs w:val="18"/>
              <w:lang w:val="es-PY"/>
            </w:rPr>
            <w:t>ón Nacional de Telecomunicaciones (CONATEL)</w:t>
          </w:r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EB6A5A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Teléfono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4C4DF7" w:rsidRPr="004D495C" w:rsidRDefault="00EB6A5A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50" w:name="PhoneNo"/>
          <w:bookmarkEnd w:id="50"/>
          <w:r>
            <w:rPr>
              <w:sz w:val="18"/>
              <w:szCs w:val="18"/>
              <w:lang w:val="en-US"/>
            </w:rPr>
            <w:t>+595 21 438 2621</w:t>
          </w:r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Correo</w:t>
          </w:r>
          <w:proofErr w:type="spellEnd"/>
          <w:r>
            <w:rPr>
              <w:sz w:val="18"/>
              <w:szCs w:val="18"/>
              <w:lang w:val="en-US"/>
            </w:rPr>
            <w:t>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51" w:name="Email"/>
      <w:bookmarkEnd w:id="51"/>
      <w:tc>
        <w:tcPr>
          <w:tcW w:w="6237" w:type="dxa"/>
          <w:shd w:val="clear" w:color="auto" w:fill="auto"/>
        </w:tcPr>
        <w:p w:rsidR="004C4DF7" w:rsidRPr="004D495C" w:rsidRDefault="00EB6A5A" w:rsidP="00EB6A5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DA554C">
            <w:rPr>
              <w:sz w:val="18"/>
              <w:szCs w:val="18"/>
              <w:lang w:val="en-US"/>
            </w:rPr>
            <w:instrText>kenji@conatel.gov.py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E85B7A">
            <w:rPr>
              <w:rStyle w:val="Hyperlink"/>
              <w:sz w:val="18"/>
              <w:szCs w:val="18"/>
              <w:lang w:val="en-US"/>
            </w:rPr>
            <w:t>kenji@conatel.gov.py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:rsidR="00805F71" w:rsidRPr="004C4DF7" w:rsidRDefault="00E946AB" w:rsidP="00EB6A5A">
    <w:pPr>
      <w:jc w:val="center"/>
    </w:pPr>
    <w:hyperlink r:id="rId1" w:history="1">
      <w:r w:rsidR="00CA326E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08F" w:rsidRDefault="00D8208F">
      <w:r>
        <w:t>____________________</w:t>
      </w:r>
    </w:p>
  </w:footnote>
  <w:footnote w:type="continuationSeparator" w:id="0">
    <w:p w:rsidR="00D8208F" w:rsidRDefault="00D8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46" w:name="OLE_LINK3"/>
    <w:bookmarkStart w:id="47" w:name="OLE_LINK2"/>
    <w:bookmarkStart w:id="48" w:name="OLE_LINK1"/>
    <w:r w:rsidR="00CA326E" w:rsidRPr="00A74B99">
      <w:rPr>
        <w:sz w:val="22"/>
        <w:szCs w:val="22"/>
      </w:rPr>
      <w:t>26(Rev.1)</w:t>
    </w:r>
    <w:bookmarkEnd w:id="46"/>
    <w:bookmarkEnd w:id="47"/>
    <w:bookmarkEnd w:id="48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</w:r>
    <w:proofErr w:type="spellStart"/>
    <w:r w:rsidR="00841196" w:rsidRPr="00BD13E7">
      <w:rPr>
        <w:rStyle w:val="PageNumber"/>
        <w:sz w:val="22"/>
        <w:szCs w:val="22"/>
      </w:rPr>
      <w:t>P</w:t>
    </w:r>
    <w:r w:rsidR="002F4B23" w:rsidRPr="00BD13E7">
      <w:rPr>
        <w:rStyle w:val="PageNumber"/>
        <w:sz w:val="22"/>
        <w:szCs w:val="22"/>
      </w:rPr>
      <w:t>ágina</w:t>
    </w:r>
    <w:proofErr w:type="spellEnd"/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E946AB">
      <w:rPr>
        <w:rStyle w:val="PageNumber"/>
        <w:noProof/>
        <w:sz w:val="22"/>
        <w:szCs w:val="22"/>
      </w:rPr>
      <w:t>6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502E7"/>
    <w:rsid w:val="000F69BA"/>
    <w:rsid w:val="00101770"/>
    <w:rsid w:val="00104292"/>
    <w:rsid w:val="00111F38"/>
    <w:rsid w:val="001232E9"/>
    <w:rsid w:val="00130051"/>
    <w:rsid w:val="001359A5"/>
    <w:rsid w:val="001432BC"/>
    <w:rsid w:val="00146B88"/>
    <w:rsid w:val="001663C8"/>
    <w:rsid w:val="00187FB4"/>
    <w:rsid w:val="001B4374"/>
    <w:rsid w:val="00216AF0"/>
    <w:rsid w:val="00222133"/>
    <w:rsid w:val="00242C09"/>
    <w:rsid w:val="00250817"/>
    <w:rsid w:val="00250CC1"/>
    <w:rsid w:val="002514A4"/>
    <w:rsid w:val="002A60D8"/>
    <w:rsid w:val="002C1636"/>
    <w:rsid w:val="002C6D7A"/>
    <w:rsid w:val="002E1030"/>
    <w:rsid w:val="002E20C5"/>
    <w:rsid w:val="002E57D3"/>
    <w:rsid w:val="002F4B23"/>
    <w:rsid w:val="00303948"/>
    <w:rsid w:val="0034172E"/>
    <w:rsid w:val="00374AD5"/>
    <w:rsid w:val="00393C10"/>
    <w:rsid w:val="003B74AD"/>
    <w:rsid w:val="003F78AF"/>
    <w:rsid w:val="00400CD0"/>
    <w:rsid w:val="00417E93"/>
    <w:rsid w:val="00420B93"/>
    <w:rsid w:val="004B47C7"/>
    <w:rsid w:val="004C4186"/>
    <w:rsid w:val="004C4DF7"/>
    <w:rsid w:val="004C55A9"/>
    <w:rsid w:val="00546A49"/>
    <w:rsid w:val="005546BB"/>
    <w:rsid w:val="00556004"/>
    <w:rsid w:val="005707D4"/>
    <w:rsid w:val="005967E8"/>
    <w:rsid w:val="005A3734"/>
    <w:rsid w:val="005B277C"/>
    <w:rsid w:val="005B6D63"/>
    <w:rsid w:val="005F6655"/>
    <w:rsid w:val="00621383"/>
    <w:rsid w:val="0064676F"/>
    <w:rsid w:val="0067437A"/>
    <w:rsid w:val="006A70F7"/>
    <w:rsid w:val="006B19EA"/>
    <w:rsid w:val="006B2077"/>
    <w:rsid w:val="006B44F7"/>
    <w:rsid w:val="006C1AF0"/>
    <w:rsid w:val="006C2077"/>
    <w:rsid w:val="00706DB9"/>
    <w:rsid w:val="0071137C"/>
    <w:rsid w:val="00746B65"/>
    <w:rsid w:val="00751F6A"/>
    <w:rsid w:val="00763579"/>
    <w:rsid w:val="00766112"/>
    <w:rsid w:val="00772084"/>
    <w:rsid w:val="007725F2"/>
    <w:rsid w:val="007A1159"/>
    <w:rsid w:val="007B3151"/>
    <w:rsid w:val="007D30E9"/>
    <w:rsid w:val="007D682E"/>
    <w:rsid w:val="007F39DA"/>
    <w:rsid w:val="00805F71"/>
    <w:rsid w:val="00841196"/>
    <w:rsid w:val="00857625"/>
    <w:rsid w:val="00897701"/>
    <w:rsid w:val="008D6FFB"/>
    <w:rsid w:val="009100BA"/>
    <w:rsid w:val="00927BD8"/>
    <w:rsid w:val="00956203"/>
    <w:rsid w:val="00957B66"/>
    <w:rsid w:val="00964DA9"/>
    <w:rsid w:val="00973150"/>
    <w:rsid w:val="00985BBD"/>
    <w:rsid w:val="00996D9C"/>
    <w:rsid w:val="009D0FF0"/>
    <w:rsid w:val="00A12D19"/>
    <w:rsid w:val="00A32892"/>
    <w:rsid w:val="00AA0D3F"/>
    <w:rsid w:val="00AC32D2"/>
    <w:rsid w:val="00AE610D"/>
    <w:rsid w:val="00B164F1"/>
    <w:rsid w:val="00B7661E"/>
    <w:rsid w:val="00B80D14"/>
    <w:rsid w:val="00B8548D"/>
    <w:rsid w:val="00BB17D3"/>
    <w:rsid w:val="00BB68DE"/>
    <w:rsid w:val="00BD13E7"/>
    <w:rsid w:val="00C46AC6"/>
    <w:rsid w:val="00C477B1"/>
    <w:rsid w:val="00C52949"/>
    <w:rsid w:val="00CA326E"/>
    <w:rsid w:val="00CB677C"/>
    <w:rsid w:val="00D17BFD"/>
    <w:rsid w:val="00D317D4"/>
    <w:rsid w:val="00D50E44"/>
    <w:rsid w:val="00D8208F"/>
    <w:rsid w:val="00D84739"/>
    <w:rsid w:val="00DE7A75"/>
    <w:rsid w:val="00E10F96"/>
    <w:rsid w:val="00E176E5"/>
    <w:rsid w:val="00E232F8"/>
    <w:rsid w:val="00E408A7"/>
    <w:rsid w:val="00E47369"/>
    <w:rsid w:val="00E74ED5"/>
    <w:rsid w:val="00E946AB"/>
    <w:rsid w:val="00EA6E15"/>
    <w:rsid w:val="00EB4114"/>
    <w:rsid w:val="00EB6A5A"/>
    <w:rsid w:val="00EB6CD3"/>
    <w:rsid w:val="00EC274E"/>
    <w:rsid w:val="00ED2AE9"/>
    <w:rsid w:val="00F05232"/>
    <w:rsid w:val="00F07445"/>
    <w:rsid w:val="00F324A1"/>
    <w:rsid w:val="00F65879"/>
    <w:rsid w:val="00F83C74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rsid w:val="005707D4"/>
    <w:rPr>
      <w:lang w:val="en-GB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14-WTDC17-C-0004/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14-RPMAMS-C-0041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df60cc5-3168-4bf7-8748-7e8a4454bb73">DPM</DPM_x0020_Author>
    <DPM_x0020_File_x0020_name xmlns="8df60cc5-3168-4bf7-8748-7e8a4454bb73">D14-WTDC17-C-0026!R1!MSW-S</DPM_x0020_File_x0020_name>
    <DPM_x0020_Version xmlns="8df60cc5-3168-4bf7-8748-7e8a4454bb73">DPM_2017.09.27.1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df60cc5-3168-4bf7-8748-7e8a4454bb73" targetNamespace="http://schemas.microsoft.com/office/2006/metadata/properties" ma:root="true" ma:fieldsID="d41af5c836d734370eb92e7ee5f83852" ns2:_="" ns3:_="">
    <xsd:import namespace="996b2e75-67fd-4955-a3b0-5ab9934cb50b"/>
    <xsd:import namespace="8df60cc5-3168-4bf7-8748-7e8a4454bb7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60cc5-3168-4bf7-8748-7e8a4454bb7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996b2e75-67fd-4955-a3b0-5ab9934cb50b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8df60cc5-3168-4bf7-8748-7e8a4454bb7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df60cc5-3168-4bf7-8748-7e8a4454b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2721A-74EA-426E-8CB1-0458583D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1740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D14-WTDC17-C-0026!R1!MSW-S</vt:lpstr>
    </vt:vector>
  </TitlesOfParts>
  <Manager>General Secretariat - Pool</Manager>
  <Company>International Telecommunication Union (ITU)</Company>
  <LinksUpToDate>false</LinksUpToDate>
  <CharactersWithSpaces>12161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D14-WTDC17-C-0026!R1!MSW-S</dc:title>
  <dc:creator>Documents Proposals Manager (DPM)</dc:creator>
  <cp:keywords>DPM_v2017.9.27.2_prod</cp:keywords>
  <dc:description/>
  <cp:lastModifiedBy>Puyana-Linares, Laura</cp:lastModifiedBy>
  <cp:revision>4</cp:revision>
  <cp:lastPrinted>2006-02-14T20:24:00Z</cp:lastPrinted>
  <dcterms:created xsi:type="dcterms:W3CDTF">2017-09-28T07:42:00Z</dcterms:created>
  <dcterms:modified xsi:type="dcterms:W3CDTF">2017-09-28T09:59:00Z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