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6EC2905D" wp14:editId="3929430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7EFD0961" wp14:editId="4C5DC406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Документа WTDC-17/26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27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7765AF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7765AF" w:rsidRPr="00CA596A" w:rsidRDefault="007765AF" w:rsidP="007765A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7765AF" w:rsidRPr="002303C0" w:rsidRDefault="007765AF" w:rsidP="007765AF">
            <w:pPr>
              <w:tabs>
                <w:tab w:val="left" w:pos="993"/>
              </w:tabs>
              <w:spacing w:before="0"/>
              <w:ind w:left="1061" w:hanging="1061"/>
              <w:rPr>
                <w:b/>
                <w:bCs/>
                <w:szCs w:val="22"/>
              </w:rPr>
            </w:pPr>
            <w:r w:rsidRPr="002303C0">
              <w:rPr>
                <w:b/>
                <w:szCs w:val="22"/>
              </w:rPr>
              <w:t>Оригинал:</w:t>
            </w:r>
            <w:r w:rsidRPr="002303C0">
              <w:rPr>
                <w:b/>
                <w:szCs w:val="22"/>
              </w:rPr>
              <w:tab/>
              <w:t>английский/</w:t>
            </w:r>
            <w:r>
              <w:rPr>
                <w:b/>
                <w:szCs w:val="22"/>
              </w:rPr>
              <w:br/>
            </w:r>
            <w:r w:rsidRPr="002303C0">
              <w:rPr>
                <w:b/>
                <w:szCs w:val="22"/>
              </w:rPr>
              <w:t>испанский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755A42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 xml:space="preserve">Государства-Члены из </w:t>
            </w:r>
            <w:r w:rsidR="00E1175A">
              <w:t xml:space="preserve">Региона </w:t>
            </w:r>
            <w:r>
              <w:t>Северной и Южной Америки</w:t>
            </w:r>
          </w:p>
        </w:tc>
      </w:tr>
      <w:tr w:rsidR="002827DC" w:rsidRPr="00095F19" w:rsidTr="00F955EF">
        <w:trPr>
          <w:cantSplit/>
        </w:trPr>
        <w:tc>
          <w:tcPr>
            <w:tcW w:w="10173" w:type="dxa"/>
            <w:gridSpan w:val="3"/>
          </w:tcPr>
          <w:p w:rsidR="002827DC" w:rsidRPr="00095F19" w:rsidRDefault="00095F19" w:rsidP="00755A42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ПРЕДЛОЖЕНИЕ ПО РЕГИОНАЛЬНЫМ ИНИЦИАТИВАМ ДЛЯ РЕГИОНА СЕВЕРНОЙ И ЮЖНОЙ АМЕРИКИ</w:t>
            </w:r>
          </w:p>
        </w:tc>
      </w:tr>
      <w:tr w:rsidR="002827DC" w:rsidRPr="00095F19" w:rsidTr="00F955EF">
        <w:trPr>
          <w:cantSplit/>
        </w:trPr>
        <w:tc>
          <w:tcPr>
            <w:tcW w:w="10173" w:type="dxa"/>
            <w:gridSpan w:val="3"/>
          </w:tcPr>
          <w:p w:rsidR="002827DC" w:rsidRPr="00095F19" w:rsidRDefault="002827DC" w:rsidP="00755A42">
            <w:pPr>
              <w:pStyle w:val="Title2"/>
            </w:pPr>
          </w:p>
        </w:tc>
      </w:tr>
      <w:tr w:rsidR="00310694" w:rsidRPr="00095F19" w:rsidTr="00F955EF">
        <w:trPr>
          <w:cantSplit/>
        </w:trPr>
        <w:tc>
          <w:tcPr>
            <w:tcW w:w="10173" w:type="dxa"/>
            <w:gridSpan w:val="3"/>
          </w:tcPr>
          <w:p w:rsidR="00310694" w:rsidRPr="00095F19" w:rsidRDefault="00310694" w:rsidP="00310694">
            <w:pPr>
              <w:jc w:val="center"/>
            </w:pPr>
          </w:p>
        </w:tc>
      </w:tr>
      <w:tr w:rsidR="00EE64B3" w:rsidTr="007765A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3" w:rsidRPr="00095F19" w:rsidRDefault="000F266D" w:rsidP="00095F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9"/>
                <w:tab w:val="left" w:pos="3662"/>
              </w:tabs>
              <w:ind w:left="3662" w:hanging="3662"/>
            </w:pPr>
            <w:r w:rsidRPr="005E3F58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5E3F58">
              <w:rPr>
                <w:rFonts w:ascii="Calibri" w:eastAsia="SimSun" w:hAnsi="Calibri" w:cs="Traditional Arabic"/>
                <w:szCs w:val="22"/>
              </w:rPr>
              <w:t>:</w:t>
            </w:r>
            <w:r w:rsidR="005E3F58" w:rsidRPr="005E3F58">
              <w:rPr>
                <w:rFonts w:ascii="Calibri" w:eastAsia="SimSun" w:hAnsi="Calibri" w:cs="Traditional Arabic"/>
                <w:szCs w:val="22"/>
              </w:rPr>
              <w:tab/>
            </w:r>
            <w:r w:rsidR="00095F19">
              <w:rPr>
                <w:rFonts w:ascii="Calibri" w:eastAsia="SimSun" w:hAnsi="Calibri" w:cs="Traditional Arabic"/>
                <w:szCs w:val="22"/>
              </w:rPr>
              <w:t>−</w:t>
            </w:r>
            <w:r w:rsidR="005E3F58" w:rsidRPr="0032495B">
              <w:rPr>
                <w:rFonts w:ascii="Calibri" w:eastAsia="SimSun" w:hAnsi="Calibri" w:cs="Traditional Arabic"/>
                <w:szCs w:val="22"/>
              </w:rPr>
              <w:tab/>
            </w:r>
            <w:r w:rsidR="005E3F58" w:rsidRPr="00095F19">
              <w:rPr>
                <w:rFonts w:eastAsia="SimSun"/>
              </w:rPr>
              <w:t>Региональные инициативы, соответствующие проекты и механизмы финансирования</w:t>
            </w:r>
          </w:p>
          <w:p w:rsidR="00EE64B3" w:rsidRPr="005E3F58" w:rsidRDefault="000F266D">
            <w:pPr>
              <w:rPr>
                <w:szCs w:val="22"/>
              </w:rPr>
            </w:pPr>
            <w:r w:rsidRPr="005E3F58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EE64B3" w:rsidRPr="005E3F58" w:rsidRDefault="005E3F58" w:rsidP="00095F19">
            <w:r w:rsidRPr="005E3F58">
              <w:t xml:space="preserve">В настоящем документа представлен проект новых региональных </w:t>
            </w:r>
            <w:r>
              <w:t>инициатив, согласованных в</w:t>
            </w:r>
            <w:r>
              <w:rPr>
                <w:lang w:val="en-US"/>
              </w:rPr>
              <w:t> </w:t>
            </w:r>
            <w:r w:rsidRPr="005E3F58">
              <w:t>результате РПС-АМР, состоявшегося в Асунсьоне, Парагвай</w:t>
            </w:r>
            <w:r>
              <w:t>, 22</w:t>
            </w:r>
            <w:r w:rsidR="005B1B97">
              <w:t>−</w:t>
            </w:r>
            <w:r w:rsidRPr="005E3F58">
              <w:t>24 февраля 2017 года, и отраженных в</w:t>
            </w:r>
            <w:r>
              <w:rPr>
                <w:lang w:val="en-US"/>
              </w:rPr>
              <w:t> </w:t>
            </w:r>
            <w:r w:rsidRPr="005E3F58">
              <w:t xml:space="preserve">отчете Председателя (Документ </w:t>
            </w:r>
            <w:hyperlink r:id="rId11" w:history="1">
              <w:r w:rsidRPr="005E3F58">
                <w:rPr>
                  <w:rStyle w:val="Hyperlink"/>
                  <w:szCs w:val="22"/>
                  <w:lang w:val="en-GB"/>
                </w:rPr>
                <w:t>RPM</w:t>
              </w:r>
              <w:r w:rsidRPr="005E3F58">
                <w:rPr>
                  <w:rStyle w:val="Hyperlink"/>
                  <w:szCs w:val="22"/>
                </w:rPr>
                <w:t>-</w:t>
              </w:r>
              <w:r w:rsidRPr="005E3F58">
                <w:rPr>
                  <w:rStyle w:val="Hyperlink"/>
                  <w:szCs w:val="22"/>
                  <w:lang w:val="en-GB"/>
                </w:rPr>
                <w:t>AMS</w:t>
              </w:r>
              <w:r w:rsidRPr="005E3F58">
                <w:rPr>
                  <w:rStyle w:val="Hyperlink"/>
                  <w:szCs w:val="22"/>
                </w:rPr>
                <w:t>17/41</w:t>
              </w:r>
            </w:hyperlink>
            <w:r w:rsidRPr="005E3F58">
              <w:t>).</w:t>
            </w:r>
          </w:p>
          <w:p w:rsidR="00EE64B3" w:rsidRPr="005E3F58" w:rsidRDefault="000F266D">
            <w:pPr>
              <w:rPr>
                <w:szCs w:val="22"/>
              </w:rPr>
            </w:pPr>
            <w:r w:rsidRPr="005E3F58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EE64B3" w:rsidRPr="005E3F58" w:rsidRDefault="005E3F58" w:rsidP="00095F19">
            <w:r w:rsidRPr="005E3F58">
              <w:t>ВКРЭ-17 предлагается рассмотреть и утвердить данный документ.</w:t>
            </w:r>
          </w:p>
          <w:p w:rsidR="00EE64B3" w:rsidRPr="005E3F58" w:rsidRDefault="000F266D">
            <w:pPr>
              <w:rPr>
                <w:szCs w:val="22"/>
              </w:rPr>
            </w:pPr>
            <w:r w:rsidRPr="005E3F58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EE64B3" w:rsidRPr="005E3F58" w:rsidRDefault="00704DE2" w:rsidP="00095F19">
            <w:pPr>
              <w:spacing w:after="120"/>
              <w:rPr>
                <w:szCs w:val="22"/>
              </w:rPr>
            </w:pPr>
            <w:hyperlink r:id="rId12" w:history="1">
              <w:r w:rsidR="005E3F58" w:rsidRPr="005E3F58">
                <w:rPr>
                  <w:rStyle w:val="Hyperlink"/>
                  <w:szCs w:val="22"/>
                </w:rPr>
                <w:t>RPM-AMS17/41</w:t>
              </w:r>
            </w:hyperlink>
            <w:r w:rsidR="005E3F58" w:rsidRPr="005E3F58">
              <w:rPr>
                <w:szCs w:val="22"/>
              </w:rPr>
              <w:t xml:space="preserve">; TDAG17-22/41; </w:t>
            </w:r>
            <w:hyperlink r:id="rId13" w:history="1">
              <w:r w:rsidR="005E3F58" w:rsidRPr="005E3F58">
                <w:rPr>
                  <w:rStyle w:val="Hyperlink"/>
                  <w:szCs w:val="22"/>
                </w:rPr>
                <w:t>WTDC17/4</w:t>
              </w:r>
            </w:hyperlink>
          </w:p>
        </w:tc>
      </w:tr>
    </w:tbl>
    <w:p w:rsidR="0060302A" w:rsidRPr="00095F19" w:rsidRDefault="0060302A" w:rsidP="00095F19">
      <w:bookmarkStart w:id="8" w:name="dbreak"/>
      <w:bookmarkEnd w:id="6"/>
      <w:bookmarkEnd w:id="7"/>
      <w:bookmarkEnd w:id="8"/>
      <w:r w:rsidRPr="00095F19">
        <w:br w:type="page"/>
      </w:r>
    </w:p>
    <w:p w:rsidR="005E3F58" w:rsidRPr="00715F86" w:rsidRDefault="005E3F58" w:rsidP="005E3F58">
      <w:pPr>
        <w:pStyle w:val="Volumetitle"/>
        <w:rPr>
          <w:lang w:val="ru-RU"/>
        </w:rPr>
      </w:pPr>
      <w:bookmarkStart w:id="9" w:name="_Toc393975580"/>
      <w:bookmarkStart w:id="10" w:name="_Toc402169301"/>
      <w:r w:rsidRPr="00715F86">
        <w:rPr>
          <w:lang w:val="ru-RU"/>
        </w:rPr>
        <w:lastRenderedPageBreak/>
        <w:t>РЕГИОНАЛЬНЫЕ ИНИЦИАТИВЫ</w:t>
      </w:r>
      <w:bookmarkEnd w:id="9"/>
      <w:bookmarkEnd w:id="10"/>
    </w:p>
    <w:p w:rsidR="005E3F58" w:rsidRPr="002C764C" w:rsidRDefault="005E3F58" w:rsidP="005E3F58">
      <w:pPr>
        <w:pStyle w:val="Section1"/>
      </w:pPr>
      <w:bookmarkStart w:id="11" w:name="_Toc393975587"/>
      <w:bookmarkStart w:id="12" w:name="_Toc402169308"/>
      <w:r w:rsidRPr="002C764C">
        <w:t>РЕГИОНАЛЬНЫЕ ИНИЦИАТИВЫ СЕВЕРНОЙ И ЮЖНОЙ АМЕРИКИ</w:t>
      </w:r>
      <w:bookmarkEnd w:id="11"/>
      <w:bookmarkEnd w:id="12"/>
    </w:p>
    <w:p w:rsidR="005E3F58" w:rsidRPr="0032495B" w:rsidRDefault="005E3F58" w:rsidP="005E3F58">
      <w:pPr>
        <w:pStyle w:val="Proposal"/>
        <w:rPr>
          <w:lang w:val="ru-RU"/>
        </w:rPr>
      </w:pPr>
      <w:bookmarkStart w:id="13" w:name="_Toc270684577"/>
      <w:bookmarkStart w:id="14" w:name="_Toc266799593"/>
      <w:bookmarkStart w:id="15" w:name="_Toc393975588"/>
      <w:bookmarkStart w:id="16" w:name="_Toc393976801"/>
      <w:bookmarkStart w:id="17" w:name="_Toc402169309"/>
      <w:r>
        <w:rPr>
          <w:b/>
        </w:rPr>
        <w:t>SUP</w:t>
      </w:r>
      <w:r w:rsidRPr="0032495B">
        <w:rPr>
          <w:lang w:val="ru-RU"/>
        </w:rPr>
        <w:tab/>
      </w:r>
      <w:r>
        <w:t>AMS</w:t>
      </w:r>
      <w:r w:rsidRPr="0032495B">
        <w:rPr>
          <w:lang w:val="ru-RU"/>
        </w:rPr>
        <w:t>/26/1</w:t>
      </w:r>
    </w:p>
    <w:p w:rsidR="005E3F58" w:rsidRPr="002C764C" w:rsidRDefault="005E3F58" w:rsidP="005E3F58">
      <w:pPr>
        <w:pStyle w:val="Heading1"/>
      </w:pPr>
      <w:r>
        <w:t>AMS1:</w:t>
      </w:r>
      <w:r>
        <w:tab/>
      </w:r>
      <w:r w:rsidRPr="002C764C">
        <w:t>Электросвязь в чрезвычайных ситуациях</w:t>
      </w:r>
      <w:bookmarkEnd w:id="13"/>
      <w:bookmarkEnd w:id="14"/>
      <w:bookmarkEnd w:id="15"/>
      <w:bookmarkEnd w:id="16"/>
      <w:bookmarkEnd w:id="17"/>
    </w:p>
    <w:p w:rsidR="005E3F58" w:rsidRDefault="005E3F58" w:rsidP="005E3F58">
      <w:pPr>
        <w:pStyle w:val="Reasons"/>
      </w:pPr>
    </w:p>
    <w:p w:rsidR="005E3F58" w:rsidRPr="0032495B" w:rsidRDefault="005E3F58" w:rsidP="005E3F58">
      <w:pPr>
        <w:pStyle w:val="Proposal"/>
        <w:rPr>
          <w:lang w:val="ru-RU"/>
        </w:rPr>
      </w:pPr>
      <w:r>
        <w:rPr>
          <w:b/>
        </w:rPr>
        <w:t>ADD</w:t>
      </w:r>
      <w:r w:rsidRPr="0032495B">
        <w:rPr>
          <w:lang w:val="ru-RU"/>
        </w:rPr>
        <w:tab/>
      </w:r>
      <w:r>
        <w:t>AMS</w:t>
      </w:r>
      <w:r w:rsidRPr="0032495B">
        <w:rPr>
          <w:lang w:val="ru-RU"/>
        </w:rPr>
        <w:t>/26/2</w:t>
      </w:r>
    </w:p>
    <w:p w:rsidR="005E3F58" w:rsidRPr="002C764C" w:rsidRDefault="005E3F58" w:rsidP="005E3F58">
      <w:pPr>
        <w:pStyle w:val="Heading1"/>
      </w:pPr>
      <w:r w:rsidRPr="002C764C">
        <w:t>AMS1:</w:t>
      </w:r>
      <w:r>
        <w:tab/>
      </w:r>
      <w:r w:rsidRPr="002C764C">
        <w:t>Связь для снижения риска бедствий и управления операциями при бедствиях</w:t>
      </w:r>
    </w:p>
    <w:p w:rsidR="005E3F58" w:rsidRPr="00B750FC" w:rsidRDefault="005E3F58" w:rsidP="005E3F58">
      <w:pPr>
        <w:rPr>
          <w:rFonts w:ascii="Calibri" w:hAnsi="Calibri"/>
        </w:rPr>
      </w:pPr>
      <w:r w:rsidRPr="00CC65DD">
        <w:rPr>
          <w:b/>
          <w:bCs/>
        </w:rPr>
        <w:t>Задача</w:t>
      </w:r>
      <w:r w:rsidRPr="00CC65DD">
        <w:t>: Предоставлять</w:t>
      </w:r>
      <w:r w:rsidRPr="00AE3117">
        <w:t xml:space="preserve"> помощь Государствам-Членам на всех этапах снижения риска бедствий, т. е. при раннем предупреждении, реагировании/оказании помощи при бедствиях и восстановлении сетей электросвязи, в особенности в малых островных развивающихся государствах (СИДС) и наименее развитых странах (НРС).</w:t>
      </w:r>
    </w:p>
    <w:p w:rsidR="005E3F58" w:rsidRPr="002C764C" w:rsidRDefault="005E3F58" w:rsidP="005E3F58">
      <w:pPr>
        <w:rPr>
          <w:b/>
          <w:bCs/>
        </w:rPr>
      </w:pPr>
      <w:r w:rsidRPr="002C764C">
        <w:rPr>
          <w:b/>
          <w:bCs/>
        </w:rPr>
        <w:t>Ожидаемые результаты</w:t>
      </w:r>
    </w:p>
    <w:p w:rsidR="005E3F58" w:rsidRPr="002C764C" w:rsidRDefault="005E3F58" w:rsidP="005E3F58">
      <w:pPr>
        <w:pStyle w:val="enumlev1"/>
      </w:pPr>
      <w:r w:rsidRPr="002C764C">
        <w:t>1)</w:t>
      </w:r>
      <w:r w:rsidRPr="002C764C">
        <w:tab/>
        <w:t>Определение надлежащих технологий для использования в целях снижения риска бедствий и разработка технико-экономических обоснований осуществления, соответствия и функциональной совместимости в числе других технологий и услуг, базирующихся на технологии IP, для электросвязи в чрезвычайных ситуациях.</w:t>
      </w:r>
    </w:p>
    <w:p w:rsidR="005E3F58" w:rsidRPr="002C764C" w:rsidRDefault="005E3F58" w:rsidP="005E3F58">
      <w:pPr>
        <w:pStyle w:val="enumlev1"/>
      </w:pPr>
      <w:r w:rsidRPr="002C764C">
        <w:t>2)</w:t>
      </w:r>
      <w:r w:rsidRPr="002C764C">
        <w:tab/>
        <w:t>Внедрение национальных и субрегиональных систем раннего предупреждения, а также мер реагирования и восстановления и определение критической инфраструктуры, уделяя при этом особое внимание малым островным развивающимся государствам (СИДС) и наименее развитым странам (НРС) и учитывая воздействия изменения климата.</w:t>
      </w:r>
    </w:p>
    <w:p w:rsidR="005E3F58" w:rsidRPr="002C764C" w:rsidRDefault="005E3F58" w:rsidP="005E3F58">
      <w:pPr>
        <w:pStyle w:val="enumlev1"/>
      </w:pPr>
      <w:r w:rsidRPr="002C764C">
        <w:t>3)</w:t>
      </w:r>
      <w:r w:rsidRPr="002C764C">
        <w:tab/>
        <w:t>Помощь в разработке соответствующих политических, регуляторных и законодательных основ, а также протоколов и межучрежденческих процедур для связи в рамках снижения риска бедствий на национальном и региональном уровнях.</w:t>
      </w:r>
    </w:p>
    <w:p w:rsidR="005E3F58" w:rsidRPr="002C764C" w:rsidRDefault="005E3F58" w:rsidP="005E3F58">
      <w:pPr>
        <w:pStyle w:val="enumlev1"/>
      </w:pPr>
      <w:r w:rsidRPr="002C764C">
        <w:t>4)</w:t>
      </w:r>
      <w:r w:rsidRPr="002C764C">
        <w:tab/>
        <w:t>Региональные собрания и семинары-практикумы с целью обмена опытом и видами передовой практики по электросвязи/ИКТ для профилактических мер по снижению риска бедствий и реагированию на чрезвычайные ситуации, максимального увеличения ресурсов, создания более инновационных и эффективных программ и координации действий в пограничных районах для региона Северной и Южной Америки.</w:t>
      </w:r>
    </w:p>
    <w:p w:rsidR="005E3F58" w:rsidRPr="002C764C" w:rsidRDefault="005E3F58" w:rsidP="005E3F58">
      <w:pPr>
        <w:pStyle w:val="enumlev1"/>
      </w:pPr>
      <w:r w:rsidRPr="002C764C">
        <w:t>5)</w:t>
      </w:r>
      <w:r w:rsidRPr="002C764C">
        <w:tab/>
        <w:t>Временное наличие оборудования для связи в чрезвычайных ситуациях и при восстановлении в регионе Северной и Южной Америки, на начальном этапе осуществления мероприятий по реагированию на бедствия в рамках сотрудничества с МСЭ в чрезвычайных ситуациях.</w:t>
      </w:r>
    </w:p>
    <w:p w:rsidR="005E3F58" w:rsidRPr="00B750FC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bookmarkStart w:id="18" w:name="_Toc270684578"/>
      <w:bookmarkStart w:id="19" w:name="_Toc266799594"/>
      <w:bookmarkStart w:id="20" w:name="_Toc393975589"/>
      <w:bookmarkStart w:id="21" w:name="_Toc393976802"/>
      <w:bookmarkStart w:id="22" w:name="_Toc402169310"/>
      <w:r>
        <w:rPr>
          <w:b/>
        </w:rPr>
        <w:lastRenderedPageBreak/>
        <w:t>SUP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/26/3</w:t>
      </w:r>
    </w:p>
    <w:p w:rsidR="005E3F58" w:rsidRPr="006A286A" w:rsidRDefault="005E3F58" w:rsidP="005E3F58">
      <w:pPr>
        <w:pStyle w:val="Heading1"/>
      </w:pPr>
      <w:r w:rsidRPr="006A286A">
        <w:t>AMS2:</w:t>
      </w:r>
      <w:r>
        <w:tab/>
      </w:r>
      <w:r w:rsidRPr="006A286A">
        <w:t>Управление использованием спектра и переход к цифровому радиовещанию</w:t>
      </w:r>
      <w:bookmarkEnd w:id="18"/>
      <w:bookmarkEnd w:id="19"/>
      <w:bookmarkEnd w:id="20"/>
      <w:bookmarkEnd w:id="21"/>
      <w:bookmarkEnd w:id="22"/>
    </w:p>
    <w:p w:rsidR="005E3F58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r>
        <w:rPr>
          <w:b/>
        </w:rPr>
        <w:t>ADD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/26/4</w:t>
      </w:r>
    </w:p>
    <w:p w:rsidR="005E3F58" w:rsidRPr="002C764C" w:rsidRDefault="005E3F58" w:rsidP="005E3F58">
      <w:pPr>
        <w:pStyle w:val="Heading1"/>
      </w:pPr>
      <w:r w:rsidRPr="002C764C">
        <w:t>AMS2:</w:t>
      </w:r>
      <w:r>
        <w:tab/>
      </w:r>
      <w:r w:rsidRPr="002C764C">
        <w:t>Управление использованием спектра и переход на цифровое радиовещание</w:t>
      </w:r>
    </w:p>
    <w:p w:rsidR="005E3F58" w:rsidRPr="00B750FC" w:rsidRDefault="005E3F58" w:rsidP="005E3F58">
      <w:pPr>
        <w:rPr>
          <w:rFonts w:ascii="Calibri" w:hAnsi="Calibri"/>
        </w:rPr>
      </w:pPr>
      <w:r w:rsidRPr="005B1B97">
        <w:rPr>
          <w:b/>
          <w:bCs/>
        </w:rPr>
        <w:t>Задача</w:t>
      </w:r>
      <w:r w:rsidRPr="005B1B97">
        <w:t>: Предоставлять</w:t>
      </w:r>
      <w:r w:rsidRPr="00AE3117">
        <w:t xml:space="preserve"> помощь Государствам-Членам в осуществлении перехода на цифровое радиовещание, использовании частот цифрового дивиденда и в управлении использованием спектра.</w:t>
      </w:r>
    </w:p>
    <w:p w:rsidR="005E3F58" w:rsidRPr="002C764C" w:rsidRDefault="005E3F58" w:rsidP="005E3F58">
      <w:pPr>
        <w:rPr>
          <w:b/>
          <w:bCs/>
        </w:rPr>
      </w:pPr>
      <w:r w:rsidRPr="002C764C">
        <w:rPr>
          <w:b/>
          <w:bCs/>
        </w:rPr>
        <w:t>Ожидаемые результаты</w:t>
      </w:r>
    </w:p>
    <w:p w:rsidR="005E3F58" w:rsidRPr="00B750FC" w:rsidRDefault="005E3F58" w:rsidP="005E3F58">
      <w:pPr>
        <w:pStyle w:val="enumlev1"/>
      </w:pPr>
      <w:r w:rsidRPr="00B750FC">
        <w:t>1)</w:t>
      </w:r>
      <w:r w:rsidRPr="00B750FC">
        <w:tab/>
      </w:r>
      <w:r w:rsidRPr="00AE3117">
        <w:t>Создание потенциала в области управления использованием спектра, технологий цифрового радиовещания и использования цифрового дивиденда и новых радиовещательных услуг и приложений, оказание содействия в использовании инструментов для поддержки развивающихся стран в совершенствовании международной координации наземных служб в пограничных районах.</w:t>
      </w:r>
    </w:p>
    <w:p w:rsidR="005E3F58" w:rsidRPr="00B750FC" w:rsidRDefault="005E3F58" w:rsidP="005E3F58">
      <w:pPr>
        <w:pStyle w:val="enumlev1"/>
      </w:pPr>
      <w:r w:rsidRPr="00B750FC">
        <w:t>2)</w:t>
      </w:r>
      <w:r w:rsidRPr="00B750FC">
        <w:tab/>
      </w:r>
      <w:r w:rsidRPr="00AE3117">
        <w:t>Поддержка разработки планов по управлению использованием спектра на национальном и региональном уровнях, включая переход на цифровое радиовещание и продвижение политики по использованию спектра в районах, обслуживаемых в недостаточной степени.</w:t>
      </w:r>
    </w:p>
    <w:p w:rsidR="005E3F58" w:rsidRPr="00797462" w:rsidRDefault="005E3F58" w:rsidP="005E3F58">
      <w:pPr>
        <w:pStyle w:val="enumlev1"/>
      </w:pPr>
      <w:r w:rsidRPr="00797462">
        <w:t>3)</w:t>
      </w:r>
      <w:r w:rsidRPr="00797462">
        <w:tab/>
      </w:r>
      <w:r w:rsidRPr="00AE3117">
        <w:t>Разработка исследований, показателей и руководящих указаний по аспектам присвоения и использования радиочастотного спектра, с целью, в том числе, содействия использованию спектра для Международной подвижной электросвязи и согласования использования спектра между странами региона, с учетом Резолюции 9 (Пересм. Дубай, 2014 г.) Всемирной конференции по развитию электросвязи.</w:t>
      </w:r>
    </w:p>
    <w:p w:rsidR="005E3F58" w:rsidRPr="00797462" w:rsidRDefault="005E3F58" w:rsidP="005E3F58">
      <w:pPr>
        <w:pStyle w:val="enumlev1"/>
      </w:pPr>
      <w:r w:rsidRPr="00797462">
        <w:t>4)</w:t>
      </w:r>
      <w:r w:rsidRPr="00797462">
        <w:tab/>
      </w:r>
      <w:r w:rsidRPr="00AE3117">
        <w:t>Помощь странам в популяризации всеобъемлющих стратегий, связанных с цифровизацией радиовещательных служб, включая наличие приемлемых в ценовом отношении цифровых радиоприемников, а также стратегии информационной работы для просвещения и повышения осведомленности потребителей.</w:t>
      </w:r>
    </w:p>
    <w:p w:rsidR="005E3F58" w:rsidRPr="00797462" w:rsidRDefault="005E3F58" w:rsidP="005E3F58">
      <w:pPr>
        <w:pStyle w:val="enumlev1"/>
      </w:pPr>
      <w:r w:rsidRPr="00797462">
        <w:t>5)</w:t>
      </w:r>
      <w:r w:rsidRPr="00797462">
        <w:tab/>
      </w:r>
      <w:r w:rsidRPr="00AE3117">
        <w:t>Помощь в планировании на национальном и региональном уровнях для использования частот, высвобождающихся при переходе к цифровому радиовещанию, и в развертывании новых технологий для радиовещательных служб.</w:t>
      </w:r>
    </w:p>
    <w:p w:rsidR="005E3F58" w:rsidRPr="00797462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bookmarkStart w:id="23" w:name="_Toc270684579"/>
      <w:bookmarkStart w:id="24" w:name="_Toc266799595"/>
      <w:bookmarkStart w:id="25" w:name="_Toc393975590"/>
      <w:bookmarkStart w:id="26" w:name="_Toc393976803"/>
      <w:bookmarkStart w:id="27" w:name="_Toc402169311"/>
      <w:r>
        <w:rPr>
          <w:b/>
        </w:rPr>
        <w:t>SUP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/26/5</w:t>
      </w:r>
    </w:p>
    <w:p w:rsidR="005E3F58" w:rsidRPr="006A286A" w:rsidRDefault="005E3F58" w:rsidP="005E3F58">
      <w:pPr>
        <w:pStyle w:val="Heading1"/>
      </w:pPr>
      <w:r w:rsidRPr="006A286A">
        <w:t>AMS3:</w:t>
      </w:r>
      <w:r>
        <w:tab/>
      </w:r>
      <w:r w:rsidRPr="006A286A">
        <w:t>Развитие широкополосного доступа и внедрение</w:t>
      </w:r>
      <w:bookmarkEnd w:id="23"/>
      <w:bookmarkEnd w:id="24"/>
      <w:r w:rsidRPr="006A286A">
        <w:t xml:space="preserve"> широкополосной связи</w:t>
      </w:r>
      <w:bookmarkEnd w:id="25"/>
      <w:bookmarkEnd w:id="26"/>
      <w:bookmarkEnd w:id="27"/>
    </w:p>
    <w:p w:rsidR="005E3F58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/26/6</w:t>
      </w:r>
    </w:p>
    <w:p w:rsidR="005E3F58" w:rsidRPr="002C764C" w:rsidRDefault="005E3F58" w:rsidP="005E3F58">
      <w:pPr>
        <w:pStyle w:val="Heading1"/>
      </w:pPr>
      <w:r w:rsidRPr="002C764C">
        <w:t>AMS3:</w:t>
      </w:r>
      <w:r>
        <w:tab/>
      </w:r>
      <w:r w:rsidRPr="002C764C"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:rsidR="005E3F58" w:rsidRPr="00797462" w:rsidRDefault="005E3F58" w:rsidP="005E3F58">
      <w:pPr>
        <w:rPr>
          <w:rFonts w:ascii="Calibri" w:hAnsi="Calibri"/>
        </w:rPr>
      </w:pPr>
      <w:r w:rsidRPr="00CC65DD">
        <w:rPr>
          <w:b/>
          <w:bCs/>
        </w:rPr>
        <w:t>Задача</w:t>
      </w:r>
      <w:r w:rsidRPr="00CC65DD">
        <w:t>: Оказывать</w:t>
      </w:r>
      <w:r w:rsidRPr="00AE3117">
        <w:t xml:space="preserve"> помощь Государствам-Членам в определении потребностей и в разработке политики, механизмов и регуляторных инициатив для сокращения цифрового разрыва посредством увеличения широкополосного доступа и распространения широкополосной связи как способа достижения ЦУР.</w:t>
      </w:r>
    </w:p>
    <w:p w:rsidR="005E3F58" w:rsidRPr="002C764C" w:rsidRDefault="005E3F58" w:rsidP="005E3F58">
      <w:pPr>
        <w:rPr>
          <w:b/>
          <w:bCs/>
        </w:rPr>
      </w:pPr>
      <w:r w:rsidRPr="002C764C">
        <w:rPr>
          <w:b/>
          <w:bCs/>
        </w:rPr>
        <w:t>Ожидаемые результаты</w:t>
      </w:r>
    </w:p>
    <w:p w:rsidR="005E3F58" w:rsidRPr="003A2345" w:rsidRDefault="005E3F58" w:rsidP="005E3F58">
      <w:pPr>
        <w:pStyle w:val="enumlev1"/>
      </w:pPr>
      <w:r w:rsidRPr="003A2345">
        <w:t>1)</w:t>
      </w:r>
      <w:r w:rsidRPr="003A2345">
        <w:tab/>
        <w:t>Помощь в разработке ситуационного исследования по развертыванию широкополосной инфраструктуры для фиксированной и подвижной служб и использованию спектра, которое даст администрациям возможность определять потребности и перспективы, в особенности в сельских районах и районах, развитию которых уделялось недостаточно внимания, учитывая конкретные субрегиональные характеристики.</w:t>
      </w:r>
    </w:p>
    <w:p w:rsidR="005E3F58" w:rsidRPr="003A2345" w:rsidRDefault="005E3F58" w:rsidP="005E3F58">
      <w:pPr>
        <w:pStyle w:val="enumlev1"/>
      </w:pPr>
      <w:r w:rsidRPr="003A2345">
        <w:t>2)</w:t>
      </w:r>
      <w:r w:rsidRPr="003A2345">
        <w:tab/>
        <w:t>Помощь в осуществлении или совершенствовании национальных планов покрытия широкополосной связью; включая поддержку учебных заведений, передовых сетей, научно-исследовательских центров, кооперативов и некоммерческих организаций, которые оказывают услуги электросвязи, в особенности в сельских, отдаленных и обсуживаемых в недостаточной степени районах, учитывая механизмы доступа к спектру и высокоскоростным сетям, а также содействуя созданию благоприятной обстановки для способствования инвестициям в сети.</w:t>
      </w:r>
    </w:p>
    <w:p w:rsidR="005E3F58" w:rsidRPr="003A2345" w:rsidRDefault="005E3F58" w:rsidP="005E3F58">
      <w:pPr>
        <w:pStyle w:val="enumlev1"/>
      </w:pPr>
      <w:r w:rsidRPr="003A2345">
        <w:t>3)</w:t>
      </w:r>
      <w:r w:rsidRPr="003A2345">
        <w:tab/>
        <w:t>Разработка показателей и методик для измерения условий широкополосных служб, использования государственных и частных инвестиций, партнерств с участием государственного и частного секторов и участия небольших и некоммерческих операторов, в особенности в развивающихся странах, не имеющих выхода к морю (ЛЛДС), и малых островных развивающихся государствах (СИДС).</w:t>
      </w:r>
    </w:p>
    <w:p w:rsidR="005E3F58" w:rsidRPr="003A2345" w:rsidRDefault="005E3F58" w:rsidP="005E3F58">
      <w:pPr>
        <w:pStyle w:val="enumlev1"/>
      </w:pPr>
      <w:r w:rsidRPr="003A2345">
        <w:t>4)</w:t>
      </w:r>
      <w:r w:rsidRPr="003A2345">
        <w:tab/>
        <w:t>Помощь в осуществлении планов, которые способствуют доступу к ИКТ в населенных пунктах, посредством концепции цифровых/"умных" городов, и в учреждениях социальных услуг общего пользования, а также расширение доступа населения к ИКТ и их использование, в особенности в сельских и обслуживаемых в недостаточной степени районах, для содействия доступу к социальным услугам.</w:t>
      </w:r>
    </w:p>
    <w:p w:rsidR="005E3F58" w:rsidRPr="003A2345" w:rsidRDefault="005E3F58" w:rsidP="005E3F58">
      <w:pPr>
        <w:pStyle w:val="enumlev1"/>
      </w:pPr>
      <w:r w:rsidRPr="003A2345">
        <w:t>5)</w:t>
      </w:r>
      <w:r w:rsidRPr="003A2345">
        <w:tab/>
        <w:t>Консолидация и распространение информации, в том числе на собраниях и семинарах-практикумах, по стандартам, соответствию и функциональной совместимости и обмен передовым опытом, касающимся развертывания и эксплуатации широкополосных сетей, в особенности в сельских районах, а также возможности установления соединений, с уделением особого внимания НРС, ЛЛДС и СИДС.</w:t>
      </w:r>
    </w:p>
    <w:p w:rsidR="005E3F58" w:rsidRPr="00797462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bookmarkStart w:id="28" w:name="_Toc270684580"/>
      <w:bookmarkStart w:id="29" w:name="_Toc266799596"/>
      <w:bookmarkStart w:id="30" w:name="_Toc393975591"/>
      <w:bookmarkStart w:id="31" w:name="_Toc393976804"/>
      <w:bookmarkStart w:id="32" w:name="_Toc402169312"/>
      <w:r>
        <w:rPr>
          <w:b/>
        </w:rPr>
        <w:t>SUP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/26/7</w:t>
      </w:r>
    </w:p>
    <w:p w:rsidR="005E3F58" w:rsidRPr="006A286A" w:rsidRDefault="005E3F58" w:rsidP="005E3F58">
      <w:pPr>
        <w:pStyle w:val="Heading1"/>
      </w:pPr>
      <w:r w:rsidRPr="006A286A">
        <w:t>AMS4:</w:t>
      </w:r>
      <w:r>
        <w:tab/>
      </w:r>
      <w:r w:rsidRPr="006A286A">
        <w:t>Снижение цен на услуги электросвязи и стоимости доступа в интернет</w:t>
      </w:r>
      <w:bookmarkEnd w:id="28"/>
      <w:bookmarkEnd w:id="29"/>
      <w:bookmarkEnd w:id="30"/>
      <w:bookmarkEnd w:id="31"/>
      <w:bookmarkEnd w:id="32"/>
    </w:p>
    <w:p w:rsidR="005E3F58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/26/8</w:t>
      </w:r>
    </w:p>
    <w:p w:rsidR="005E3F58" w:rsidRPr="002C764C" w:rsidRDefault="005E3F58" w:rsidP="005E3F58">
      <w:pPr>
        <w:pStyle w:val="Heading1"/>
      </w:pPr>
      <w:r w:rsidRPr="002C764C">
        <w:t>AMS4:</w:t>
      </w:r>
      <w:r>
        <w:tab/>
      </w:r>
      <w:r w:rsidRPr="002C764C">
        <w:t>Доступность и приемлемость в ценовом отношении в интересах открытого для всех и устойчивого региона Северной и Южной Америки</w:t>
      </w:r>
    </w:p>
    <w:p w:rsidR="005E3F58" w:rsidRPr="004402A7" w:rsidRDefault="005E3F58" w:rsidP="005E3F58">
      <w:pPr>
        <w:rPr>
          <w:rFonts w:ascii="Calibri" w:hAnsi="Calibri"/>
        </w:rPr>
      </w:pPr>
      <w:r w:rsidRPr="00CC65DD">
        <w:rPr>
          <w:b/>
          <w:bCs/>
        </w:rPr>
        <w:t>Задача</w:t>
      </w:r>
      <w:r w:rsidRPr="00CC65DD">
        <w:t>: Оказывать</w:t>
      </w:r>
      <w:r w:rsidRPr="00AE3117">
        <w:t xml:space="preserve"> Государствам-Членам помощь в обеспечении приемлемости услуг электросвязи/ИКТ в ценовом отношении для построения информационного общества для всех и в обеспечении доступности электросвязи/ИКТ для лиц с ограниченными возможностями и других лиц, находящихся в уязвимом положении.</w:t>
      </w:r>
    </w:p>
    <w:p w:rsidR="005E3F58" w:rsidRPr="00875329" w:rsidRDefault="005E3F58" w:rsidP="005E3F58">
      <w:pPr>
        <w:rPr>
          <w:b/>
          <w:bCs/>
        </w:rPr>
      </w:pPr>
      <w:r w:rsidRPr="002C764C">
        <w:rPr>
          <w:b/>
          <w:bCs/>
        </w:rPr>
        <w:t>Ожидаемые</w:t>
      </w:r>
      <w:r w:rsidRPr="00875329">
        <w:rPr>
          <w:b/>
          <w:bCs/>
        </w:rPr>
        <w:t xml:space="preserve"> </w:t>
      </w:r>
      <w:r w:rsidRPr="002C764C">
        <w:rPr>
          <w:b/>
          <w:bCs/>
        </w:rPr>
        <w:t>результаты</w:t>
      </w:r>
    </w:p>
    <w:p w:rsidR="005E3F58" w:rsidRPr="004402A7" w:rsidRDefault="005E3F58" w:rsidP="005E3F58">
      <w:pPr>
        <w:pStyle w:val="enumlev1"/>
      </w:pPr>
      <w:r w:rsidRPr="004402A7">
        <w:t>1)</w:t>
      </w:r>
      <w:r w:rsidRPr="004402A7">
        <w:tab/>
      </w:r>
      <w:r w:rsidRPr="00AE3117">
        <w:t>Помощь в разработке руководящих указаний и государственной политики для содействия эффективности в предоставлении услуг электросвязи/ИКТ и их доступности, в особенности услуг подвижной связи и связи в чрезвычайных ситуациях, также учитывая, в том числе, использование инструментов аудиовизуальной доступности.</w:t>
      </w:r>
    </w:p>
    <w:p w:rsidR="005E3F58" w:rsidRPr="004402A7" w:rsidRDefault="005E3F58" w:rsidP="005E3F58">
      <w:pPr>
        <w:pStyle w:val="enumlev1"/>
      </w:pPr>
      <w:r w:rsidRPr="004402A7">
        <w:t>2)</w:t>
      </w:r>
      <w:r w:rsidRPr="004402A7">
        <w:tab/>
      </w:r>
      <w:r w:rsidRPr="00AE3117">
        <w:t>Помощь в осуществлении рекомендаций для содействия повышению приемлемости широкополосной связи в ценовом отношении; анализ различных факторов и рекомендаций по мерам для содействия развитию и управлению, в зависимости от случая, национальными, субрегиональными и региональными пунктами обмена трафиком интернета (IXP), в зависимости от решения, принятого на национальном уровне, и в зависимости от политических и регуляторных аспектов содействия осуществлению соглашения и формирования альянсов по IXP, наряду с рекомендациями по совершенствованию доступности транспортирования к точкам соединения международных подводных волоконно-оптических сетей, в особенности для ЛЛДС и СИДС.</w:t>
      </w:r>
    </w:p>
    <w:p w:rsidR="005E3F58" w:rsidRPr="004402A7" w:rsidRDefault="005E3F58" w:rsidP="005E3F58">
      <w:pPr>
        <w:pStyle w:val="enumlev1"/>
      </w:pPr>
      <w:r w:rsidRPr="004402A7">
        <w:t>3)</w:t>
      </w:r>
      <w:r w:rsidRPr="004402A7">
        <w:tab/>
      </w:r>
      <w:r w:rsidRPr="00AE3117">
        <w:t>Исследования уровней приемлемости в ценовом отношении в странах, в разбивке по социально-экономическим переменным и с учетом особых и уязвимых групп населения, для включения в планы, направления политики, стратегии, действия и цели в области широкополосной связи для этих групп населения, наряду с рекомендациями, основанными на исследовании направлений политики и инициатив, которые делают возможным снижение расценок на услуги электросвязи/ИКТ, развертывание широкополосной связи и эффективное использование спектра.</w:t>
      </w:r>
    </w:p>
    <w:p w:rsidR="005E3F58" w:rsidRPr="004402A7" w:rsidRDefault="005E3F58" w:rsidP="005E3F58">
      <w:pPr>
        <w:pStyle w:val="enumlev1"/>
      </w:pPr>
      <w:r w:rsidRPr="004402A7">
        <w:t>4)</w:t>
      </w:r>
      <w:r w:rsidRPr="004402A7">
        <w:tab/>
      </w:r>
      <w:r w:rsidRPr="00AE3117">
        <w:t>Рекомендация направлений политики, которые способствуют созданию благоприятной обстановки для полноценного применения доступа к услугам электросвязи/ИКТ и их использования всеми в полном масштабе; посредством осуществления проектов в сфере ИКТ на местном/национальном уровне для ликвидации неравенства в образовании на всех уровнях и в профессиональной подготовке, разработки платформ для обеспечения услуг связи и ретрансляции для лиц с ограниченными возможностями, разработки доступных веб</w:t>
      </w:r>
      <w:r w:rsidRPr="00AE3117">
        <w:noBreakHyphen/>
        <w:t>сайтов для государственных программ, услуг и информации, а также реализации государственных услуг и других услуг.</w:t>
      </w:r>
    </w:p>
    <w:p w:rsidR="005E3F58" w:rsidRPr="004402A7" w:rsidRDefault="005E3F58" w:rsidP="005E3F58">
      <w:pPr>
        <w:pStyle w:val="enumlev1"/>
      </w:pPr>
      <w:r w:rsidRPr="004402A7">
        <w:t>5)</w:t>
      </w:r>
      <w:r w:rsidRPr="004402A7">
        <w:tab/>
      </w:r>
      <w:r w:rsidRPr="00AE3117">
        <w:t>Рекомендации по мерам для содействия сотрудничеству и совместному использованию информации по всем темам, касающимся государственной и регуляторной политики, которая повышает приемлемость в ценовом отношении услуг электросвязи и широкополосной связи.</w:t>
      </w:r>
    </w:p>
    <w:p w:rsidR="005E3F58" w:rsidRPr="004402A7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bookmarkStart w:id="33" w:name="_Toc393975592"/>
      <w:bookmarkStart w:id="34" w:name="_Toc393976805"/>
      <w:bookmarkStart w:id="35" w:name="_Toc402169313"/>
      <w:r>
        <w:rPr>
          <w:b/>
        </w:rPr>
        <w:lastRenderedPageBreak/>
        <w:t>SUP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/26/9</w:t>
      </w:r>
    </w:p>
    <w:p w:rsidR="005E3F58" w:rsidRPr="006A286A" w:rsidRDefault="005E3F58" w:rsidP="005E3F58">
      <w:pPr>
        <w:pStyle w:val="Heading1"/>
      </w:pPr>
      <w:r w:rsidRPr="006A286A">
        <w:t>AMS5:</w:t>
      </w:r>
      <w:r>
        <w:tab/>
      </w:r>
      <w:r w:rsidRPr="006A286A">
        <w:t xml:space="preserve">Создание потенциала для участия в глобальной политике в области ИКТ с уделением особого внимания повышению кибербезопасности и участию развивающихся стран в </w:t>
      </w:r>
      <w:bookmarkStart w:id="36" w:name="_GoBack"/>
      <w:bookmarkEnd w:id="36"/>
      <w:r w:rsidRPr="006A286A">
        <w:t>деятельности существующих органов управления использованием интернета</w:t>
      </w:r>
      <w:bookmarkEnd w:id="33"/>
      <w:bookmarkEnd w:id="34"/>
      <w:bookmarkEnd w:id="35"/>
    </w:p>
    <w:p w:rsidR="005E3F58" w:rsidRDefault="005E3F58" w:rsidP="005E3F58">
      <w:pPr>
        <w:pStyle w:val="Reasons"/>
      </w:pPr>
    </w:p>
    <w:p w:rsidR="005E3F58" w:rsidRPr="00755A42" w:rsidRDefault="005E3F58" w:rsidP="005E3F58">
      <w:pPr>
        <w:pStyle w:val="Proposal"/>
        <w:rPr>
          <w:lang w:val="ru-RU"/>
        </w:rPr>
      </w:pPr>
      <w:r>
        <w:rPr>
          <w:b/>
        </w:rPr>
        <w:t>ADD</w:t>
      </w:r>
      <w:r w:rsidRPr="00755A42">
        <w:rPr>
          <w:lang w:val="ru-RU"/>
        </w:rPr>
        <w:tab/>
      </w:r>
      <w:r>
        <w:t>AMS</w:t>
      </w:r>
      <w:r w:rsidRPr="00755A42">
        <w:rPr>
          <w:lang w:val="ru-RU"/>
        </w:rPr>
        <w:t>/26/10</w:t>
      </w:r>
    </w:p>
    <w:p w:rsidR="005E3F58" w:rsidRPr="002C764C" w:rsidRDefault="005E3F58" w:rsidP="005E3F58">
      <w:pPr>
        <w:pStyle w:val="Heading1"/>
      </w:pPr>
      <w:r w:rsidRPr="002C764C">
        <w:t>AMS5:</w:t>
      </w:r>
      <w:r>
        <w:tab/>
      </w:r>
      <w:r w:rsidRPr="002C764C">
        <w:t>Развитие цифровой экономики, "умных" городов и сообществ (SCC) и интернета вещей (IoT), содействие инновациям</w:t>
      </w:r>
    </w:p>
    <w:p w:rsidR="005E3F58" w:rsidRPr="004402A7" w:rsidRDefault="005E3F58" w:rsidP="005E3F58">
      <w:pPr>
        <w:rPr>
          <w:rFonts w:ascii="Calibri" w:hAnsi="Calibri"/>
        </w:rPr>
      </w:pPr>
      <w:r w:rsidRPr="00CC65DD">
        <w:rPr>
          <w:b/>
          <w:bCs/>
        </w:rPr>
        <w:t>Задача</w:t>
      </w:r>
      <w:r w:rsidRPr="00CC65DD">
        <w:t>: Оказывать</w:t>
      </w:r>
      <w:r w:rsidRPr="00AE3117">
        <w:t xml:space="preserve"> помощь Государствам-Членам в разработке национальной и региональной политики для развития цифровой экономики, "умных" городов и сообществ (SCC) и IoT.</w:t>
      </w:r>
    </w:p>
    <w:p w:rsidR="005E3F58" w:rsidRPr="00875329" w:rsidRDefault="005E3F58" w:rsidP="005E3F58">
      <w:pPr>
        <w:rPr>
          <w:b/>
          <w:bCs/>
        </w:rPr>
      </w:pPr>
      <w:r w:rsidRPr="002C764C">
        <w:rPr>
          <w:b/>
          <w:bCs/>
        </w:rPr>
        <w:t>Ожидаемые</w:t>
      </w:r>
      <w:r w:rsidRPr="00875329">
        <w:rPr>
          <w:b/>
          <w:bCs/>
        </w:rPr>
        <w:t xml:space="preserve"> </w:t>
      </w:r>
      <w:r w:rsidRPr="002C764C">
        <w:rPr>
          <w:b/>
          <w:bCs/>
        </w:rPr>
        <w:t>результаты</w:t>
      </w:r>
    </w:p>
    <w:p w:rsidR="005E3F58" w:rsidRPr="004402A7" w:rsidRDefault="005E3F58" w:rsidP="005E3F58">
      <w:pPr>
        <w:pStyle w:val="enumlev1"/>
      </w:pPr>
      <w:r w:rsidRPr="004402A7">
        <w:t>1)</w:t>
      </w:r>
      <w:r w:rsidRPr="004402A7">
        <w:tab/>
      </w:r>
      <w:r w:rsidRPr="00AE3117">
        <w:t>Оказание Государствам-Членам помощи в разработке политики в сфере ИКТ для содействия развитию цифровой экономики в регионе, использованию новых технологий для развития и популяризации соответствующих решений.</w:t>
      </w:r>
    </w:p>
    <w:p w:rsidR="005E3F58" w:rsidRPr="004402A7" w:rsidRDefault="005E3F58" w:rsidP="005E3F58">
      <w:pPr>
        <w:pStyle w:val="enumlev1"/>
      </w:pPr>
      <w:r w:rsidRPr="004402A7">
        <w:t>2)</w:t>
      </w:r>
      <w:r w:rsidRPr="004402A7">
        <w:tab/>
      </w:r>
      <w:r w:rsidRPr="00AE3117">
        <w:t>Собрания и семинары-практикумы по воздействию цифровой экономики в регионе, совместно с другими соответствующими организациями.</w:t>
      </w:r>
    </w:p>
    <w:p w:rsidR="005E3F58" w:rsidRPr="004402A7" w:rsidRDefault="005E3F58" w:rsidP="005E3F58">
      <w:pPr>
        <w:pStyle w:val="enumlev1"/>
      </w:pPr>
      <w:r w:rsidRPr="004402A7">
        <w:t>3)</w:t>
      </w:r>
      <w:r w:rsidRPr="004402A7">
        <w:tab/>
      </w:r>
      <w:r w:rsidRPr="00AE3117">
        <w:t>Разработка рекомендаций по содействию созданию центров инноваций, в том числе инноваций в сфере образования, и проектов, которые вносят вклад в отрасль ИКТ, причем особое внимание уделяется начинающим предприятиям, МСП и молодым предпринимателям, в том числе в первую очередь женщинам.</w:t>
      </w:r>
    </w:p>
    <w:p w:rsidR="005E3F58" w:rsidRPr="004402A7" w:rsidRDefault="005E3F58" w:rsidP="005E3F58">
      <w:pPr>
        <w:pStyle w:val="enumlev1"/>
      </w:pPr>
      <w:r w:rsidRPr="004402A7">
        <w:t>4)</w:t>
      </w:r>
      <w:r w:rsidRPr="004402A7">
        <w:tab/>
      </w:r>
      <w:r w:rsidRPr="00AE3117">
        <w:t>Разработка рекомендаций по содействию созданию центров инноваций, в том числе инноваций в сфере образования, и проектов, которые вносят вклад в отрасль ИКТ, причем особое внимание уделяется начинающим предприятиям, МСП и молодым предпринимателям, в том числе в первую очередь женщинам.</w:t>
      </w:r>
    </w:p>
    <w:p w:rsidR="005E3F58" w:rsidRPr="004402A7" w:rsidRDefault="005E3F58" w:rsidP="005E3F58">
      <w:pPr>
        <w:pStyle w:val="enumlev1"/>
      </w:pPr>
      <w:r w:rsidRPr="004402A7">
        <w:t>5)</w:t>
      </w:r>
      <w:r w:rsidRPr="004402A7">
        <w:tab/>
      </w:r>
      <w:r w:rsidRPr="00AE3117">
        <w:t>Содействие стратегиям и распространение передового опыта надлежащего управления электронными отходами.</w:t>
      </w:r>
    </w:p>
    <w:p w:rsidR="005E3F58" w:rsidRDefault="005E3F58" w:rsidP="005E3F58">
      <w:pPr>
        <w:pStyle w:val="Reasons"/>
      </w:pPr>
    </w:p>
    <w:p w:rsidR="005E3F58" w:rsidRDefault="005E3F58" w:rsidP="005E3F58">
      <w:pPr>
        <w:jc w:val="center"/>
      </w:pPr>
      <w:r>
        <w:t>______________</w:t>
      </w:r>
    </w:p>
    <w:sectPr w:rsidR="005E3F58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E3F5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F266D">
      <w:rPr>
        <w:lang w:val="en-US"/>
      </w:rPr>
      <w:t>P:\RUS\ITU-D\CONF-D\WTDC17\000\026REV1R.docx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E3F58">
      <w:rPr>
        <w:lang w:val="en-US"/>
      </w:rPr>
      <w:t>424967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5E3F58" w:rsidRPr="00755A42" w:rsidTr="005E3F58">
      <w:tc>
        <w:tcPr>
          <w:tcW w:w="1526" w:type="dxa"/>
          <w:tcBorders>
            <w:top w:val="single" w:sz="4" w:space="0" w:color="000000" w:themeColor="text1"/>
          </w:tcBorders>
        </w:tcPr>
        <w:p w:rsidR="005E3F58" w:rsidRPr="00BA0009" w:rsidRDefault="005E3F58" w:rsidP="00095F1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5E3F58" w:rsidRPr="00CB110F" w:rsidRDefault="005E3F58" w:rsidP="00095F19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5E3F58" w:rsidRPr="00755A42" w:rsidRDefault="005E3F58" w:rsidP="00755A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095F19">
            <w:rPr>
              <w:sz w:val="18"/>
              <w:szCs w:val="18"/>
              <w:lang w:val="en-US"/>
            </w:rPr>
            <w:t>г</w:t>
          </w:r>
          <w:r w:rsidRPr="00755A42">
            <w:rPr>
              <w:sz w:val="18"/>
              <w:szCs w:val="18"/>
              <w:lang w:val="en-US"/>
            </w:rPr>
            <w:t>-</w:t>
          </w:r>
          <w:r w:rsidRPr="00095F19">
            <w:rPr>
              <w:sz w:val="18"/>
              <w:szCs w:val="18"/>
              <w:lang w:val="en-US"/>
            </w:rPr>
            <w:t>н</w:t>
          </w:r>
          <w:r w:rsidRPr="00755A42">
            <w:rPr>
              <w:sz w:val="18"/>
              <w:szCs w:val="18"/>
              <w:lang w:val="en-US"/>
            </w:rPr>
            <w:t xml:space="preserve"> </w:t>
          </w:r>
          <w:r w:rsidRPr="00095F19">
            <w:rPr>
              <w:sz w:val="18"/>
              <w:szCs w:val="18"/>
              <w:lang w:val="en-US"/>
            </w:rPr>
            <w:t>Кендзи</w:t>
          </w:r>
          <w:r w:rsidRPr="00755A42">
            <w:rPr>
              <w:sz w:val="18"/>
              <w:szCs w:val="18"/>
              <w:lang w:val="en-US"/>
            </w:rPr>
            <w:t xml:space="preserve"> </w:t>
          </w:r>
          <w:r w:rsidRPr="00095F19">
            <w:rPr>
              <w:sz w:val="18"/>
              <w:szCs w:val="18"/>
              <w:lang w:val="en-US"/>
            </w:rPr>
            <w:t>Курамочи</w:t>
          </w:r>
          <w:r w:rsidRPr="00755A42">
            <w:rPr>
              <w:sz w:val="18"/>
              <w:szCs w:val="18"/>
              <w:lang w:val="en-US"/>
            </w:rPr>
            <w:t xml:space="preserve"> (Mr Kenji Kuramochi), Gerente Internacional e Interinstitucional, </w:t>
          </w:r>
          <w:r w:rsidR="00755A42">
            <w:rPr>
              <w:sz w:val="18"/>
              <w:szCs w:val="18"/>
            </w:rPr>
            <w:t>Национальная</w:t>
          </w:r>
          <w:r w:rsidR="00755A42" w:rsidRPr="00755A42">
            <w:rPr>
              <w:sz w:val="18"/>
              <w:szCs w:val="18"/>
              <w:lang w:val="en-US"/>
            </w:rPr>
            <w:t xml:space="preserve"> </w:t>
          </w:r>
          <w:r w:rsidR="00755A42">
            <w:rPr>
              <w:sz w:val="18"/>
              <w:szCs w:val="18"/>
            </w:rPr>
            <w:t>комиссия</w:t>
          </w:r>
          <w:r w:rsidR="00755A42" w:rsidRPr="00755A42">
            <w:rPr>
              <w:sz w:val="18"/>
              <w:szCs w:val="18"/>
              <w:lang w:val="en-US"/>
            </w:rPr>
            <w:t xml:space="preserve"> </w:t>
          </w:r>
          <w:r w:rsidR="00755A42">
            <w:rPr>
              <w:sz w:val="18"/>
              <w:szCs w:val="18"/>
            </w:rPr>
            <w:t>по</w:t>
          </w:r>
          <w:r w:rsidR="00755A42" w:rsidRPr="00755A42">
            <w:rPr>
              <w:sz w:val="18"/>
              <w:szCs w:val="18"/>
              <w:lang w:val="en-US"/>
            </w:rPr>
            <w:t xml:space="preserve"> </w:t>
          </w:r>
          <w:r w:rsidR="00755A42">
            <w:rPr>
              <w:sz w:val="18"/>
              <w:szCs w:val="18"/>
            </w:rPr>
            <w:t>электросвязи</w:t>
          </w:r>
          <w:r w:rsidRPr="00755A42">
            <w:rPr>
              <w:sz w:val="18"/>
              <w:szCs w:val="18"/>
              <w:lang w:val="en-US"/>
            </w:rPr>
            <w:t xml:space="preserve"> (CONATEL)</w:t>
          </w:r>
        </w:p>
      </w:tc>
    </w:tr>
    <w:tr w:rsidR="005E3F58" w:rsidRPr="00CB110F" w:rsidTr="005E3F58">
      <w:tc>
        <w:tcPr>
          <w:tcW w:w="1526" w:type="dxa"/>
        </w:tcPr>
        <w:p w:rsidR="005E3F58" w:rsidRPr="00755A42" w:rsidRDefault="005E3F58" w:rsidP="00095F1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5E3F58" w:rsidRPr="00CB110F" w:rsidRDefault="005E3F58" w:rsidP="00095F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5E3F58" w:rsidRPr="009359B8" w:rsidRDefault="005E3F58" w:rsidP="00095F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+595 21 438 2621</w:t>
          </w:r>
        </w:p>
      </w:tc>
    </w:tr>
    <w:tr w:rsidR="005E3F58" w:rsidRPr="00CB110F" w:rsidTr="005E3F58">
      <w:tc>
        <w:tcPr>
          <w:tcW w:w="1526" w:type="dxa"/>
        </w:tcPr>
        <w:p w:rsidR="005E3F58" w:rsidRPr="00CB110F" w:rsidRDefault="005E3F58" w:rsidP="00095F1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5E3F58" w:rsidRPr="00CB110F" w:rsidRDefault="005E3F58" w:rsidP="00095F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5E3F58" w:rsidRPr="009359B8" w:rsidRDefault="00704DE2" w:rsidP="00095F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E3F58" w:rsidRPr="00E85B7A">
              <w:rPr>
                <w:rStyle w:val="Hyperlink"/>
                <w:sz w:val="18"/>
                <w:szCs w:val="18"/>
                <w:lang w:val="en-US"/>
              </w:rPr>
              <w:t>kenji@conatel.gov.py</w:t>
            </w:r>
          </w:hyperlink>
        </w:p>
      </w:tc>
    </w:tr>
  </w:tbl>
  <w:p w:rsidR="002E2487" w:rsidRPr="00784E03" w:rsidRDefault="00704DE2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7" w:name="OLE_LINK3"/>
    <w:bookmarkStart w:id="38" w:name="OLE_LINK2"/>
    <w:bookmarkStart w:id="39" w:name="OLE_LINK1"/>
    <w:r w:rsidR="00F955EF" w:rsidRPr="00A74B99">
      <w:rPr>
        <w:szCs w:val="22"/>
      </w:rPr>
      <w:t>26(Rev.1)</w:t>
    </w:r>
    <w:bookmarkEnd w:id="37"/>
    <w:bookmarkEnd w:id="38"/>
    <w:bookmarkEnd w:id="3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04DE2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95F19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0F266D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495B"/>
    <w:rsid w:val="003704F2"/>
    <w:rsid w:val="00372CC3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1B97"/>
    <w:rsid w:val="005B7969"/>
    <w:rsid w:val="005C3DE4"/>
    <w:rsid w:val="005C5456"/>
    <w:rsid w:val="005C67E8"/>
    <w:rsid w:val="005D0C15"/>
    <w:rsid w:val="005E2825"/>
    <w:rsid w:val="005E3F58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04DE2"/>
    <w:rsid w:val="007125C6"/>
    <w:rsid w:val="00720542"/>
    <w:rsid w:val="00727421"/>
    <w:rsid w:val="0073319E"/>
    <w:rsid w:val="00750829"/>
    <w:rsid w:val="00751A19"/>
    <w:rsid w:val="00755A42"/>
    <w:rsid w:val="00767851"/>
    <w:rsid w:val="007765AF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161E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5DD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175A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E64B3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55A42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5E3F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D14-WTDC17-C-0004/e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D14-RPMAMS-C-004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RPMAMS-C-004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enji@conatel.gov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e7d267-2a68-4f52-983b-1bf447b863ab">DPM</DPM_x0020_Author>
    <DPM_x0020_File_x0020_name xmlns="3ae7d267-2a68-4f52-983b-1bf447b863ab">D14-WTDC17-C-0026!R1!MSW-R</DPM_x0020_File_x0020_name>
    <DPM_x0020_Version xmlns="3ae7d267-2a68-4f52-983b-1bf447b863ab">DPM_2017.09.27.1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e7d267-2a68-4f52-983b-1bf447b863ab" targetNamespace="http://schemas.microsoft.com/office/2006/metadata/properties" ma:root="true" ma:fieldsID="d41af5c836d734370eb92e7ee5f83852" ns2:_="" ns3:_="">
    <xsd:import namespace="996b2e75-67fd-4955-a3b0-5ab9934cb50b"/>
    <xsd:import namespace="3ae7d267-2a68-4f52-983b-1bf447b863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d267-2a68-4f52-983b-1bf447b863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ae7d267-2a68-4f52-983b-1bf447b863ab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e7d267-2a68-4f52-983b-1bf447b86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1436</Words>
  <Characters>10614</Characters>
  <Application>Microsoft Office Word</Application>
  <DocSecurity>0</DocSecurity>
  <Lines>196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D14-WTDC17-C-0026!R1!MSW-R</vt:lpstr>
    </vt:vector>
  </TitlesOfParts>
  <Manager>General Secretariat - Pool</Manager>
  <Company>International Telecommunication Union (ITU)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D14-WTDC17-C-0026!R1!MSW-R</dc:title>
  <dc:creator>Documents Proposals Manager (DPM)</dc:creator>
  <cp:keywords>DPM_v2017.9.27.2_prod</cp:keywords>
  <dc:description/>
  <cp:lastModifiedBy>Fedosova, Elena</cp:lastModifiedBy>
  <cp:revision>7</cp:revision>
  <cp:lastPrinted>2017-09-28T13:33:00Z</cp:lastPrinted>
  <dcterms:created xsi:type="dcterms:W3CDTF">2017-09-28T13:21:00Z</dcterms:created>
  <dcterms:modified xsi:type="dcterms:W3CDTF">2017-10-04T14:04:00Z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