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744E0C" w:rsidTr="00D42EE8">
        <w:trPr>
          <w:cantSplit/>
        </w:trPr>
        <w:tc>
          <w:tcPr>
            <w:tcW w:w="1100" w:type="dxa"/>
            <w:tcBorders>
              <w:bottom w:val="single" w:sz="12" w:space="0" w:color="auto"/>
            </w:tcBorders>
          </w:tcPr>
          <w:p w:rsidR="00D42EE8" w:rsidRPr="00744E0C" w:rsidRDefault="00D42EE8" w:rsidP="00D42EE8">
            <w:pPr>
              <w:spacing w:before="240"/>
            </w:pPr>
            <w:r w:rsidRPr="00744E0C">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744E0C"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744E0C">
              <w:rPr>
                <w:b/>
                <w:bCs/>
                <w:sz w:val="28"/>
                <w:szCs w:val="28"/>
              </w:rPr>
              <w:t>Conférence</w:t>
            </w:r>
            <w:r w:rsidRPr="00744E0C">
              <w:rPr>
                <w:b/>
                <w:sz w:val="28"/>
                <w:szCs w:val="28"/>
              </w:rPr>
              <w:t xml:space="preserve"> mondiale de développement des télécommunications (CMDT-17)</w:t>
            </w:r>
          </w:p>
          <w:p w:rsidR="00D42EE8" w:rsidRPr="00744E0C" w:rsidRDefault="00D42EE8" w:rsidP="0056763F">
            <w:pPr>
              <w:tabs>
                <w:tab w:val="clear" w:pos="794"/>
                <w:tab w:val="clear" w:pos="1191"/>
                <w:tab w:val="clear" w:pos="1588"/>
                <w:tab w:val="clear" w:pos="1985"/>
                <w:tab w:val="left" w:pos="1871"/>
              </w:tabs>
              <w:spacing w:after="48" w:line="240" w:lineRule="atLeast"/>
              <w:ind w:left="34"/>
            </w:pPr>
            <w:r w:rsidRPr="00744E0C">
              <w:rPr>
                <w:b/>
                <w:bCs/>
                <w:sz w:val="26"/>
                <w:szCs w:val="26"/>
              </w:rPr>
              <w:t>Buenos Aires, Argentine, 9</w:t>
            </w:r>
            <w:r w:rsidR="0056763F" w:rsidRPr="00744E0C">
              <w:rPr>
                <w:b/>
                <w:bCs/>
                <w:sz w:val="26"/>
                <w:szCs w:val="26"/>
              </w:rPr>
              <w:t>-</w:t>
            </w:r>
            <w:r w:rsidRPr="00744E0C">
              <w:rPr>
                <w:b/>
                <w:bCs/>
                <w:sz w:val="26"/>
                <w:szCs w:val="26"/>
              </w:rPr>
              <w:t>20 octobre 2017</w:t>
            </w:r>
          </w:p>
        </w:tc>
        <w:tc>
          <w:tcPr>
            <w:tcW w:w="3260" w:type="dxa"/>
            <w:tcBorders>
              <w:bottom w:val="single" w:sz="12" w:space="0" w:color="auto"/>
            </w:tcBorders>
          </w:tcPr>
          <w:p w:rsidR="00D42EE8" w:rsidRPr="00744E0C" w:rsidRDefault="00515188" w:rsidP="00D42EE8">
            <w:pPr>
              <w:spacing w:before="0" w:after="80"/>
            </w:pPr>
            <w:bookmarkStart w:id="0" w:name="dlogo"/>
            <w:bookmarkEnd w:id="0"/>
            <w:r w:rsidRPr="00744E0C">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744E0C" w:rsidTr="00D42EE8">
        <w:trPr>
          <w:cantSplit/>
        </w:trPr>
        <w:tc>
          <w:tcPr>
            <w:tcW w:w="6628" w:type="dxa"/>
            <w:gridSpan w:val="2"/>
            <w:tcBorders>
              <w:top w:val="single" w:sz="12" w:space="0" w:color="auto"/>
            </w:tcBorders>
          </w:tcPr>
          <w:p w:rsidR="008830A1" w:rsidRPr="00744E0C"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rsidR="008830A1" w:rsidRPr="00744E0C" w:rsidRDefault="008830A1" w:rsidP="00D42EE8">
            <w:pPr>
              <w:spacing w:before="0"/>
              <w:rPr>
                <w:b/>
                <w:bCs/>
                <w:sz w:val="22"/>
                <w:szCs w:val="22"/>
              </w:rPr>
            </w:pPr>
          </w:p>
        </w:tc>
      </w:tr>
      <w:tr w:rsidR="00D42EE8" w:rsidRPr="00744E0C" w:rsidTr="00403E92">
        <w:trPr>
          <w:cantSplit/>
        </w:trPr>
        <w:tc>
          <w:tcPr>
            <w:tcW w:w="6628" w:type="dxa"/>
            <w:gridSpan w:val="2"/>
          </w:tcPr>
          <w:p w:rsidR="00D42EE8" w:rsidRPr="00744E0C" w:rsidRDefault="00000B37" w:rsidP="00D42EE8">
            <w:pPr>
              <w:pStyle w:val="Committee"/>
              <w:spacing w:before="0"/>
              <w:rPr>
                <w:szCs w:val="24"/>
              </w:rPr>
            </w:pPr>
            <w:bookmarkStart w:id="2" w:name="dnum" w:colFirst="1" w:colLast="1"/>
            <w:bookmarkEnd w:id="1"/>
            <w:r w:rsidRPr="00744E0C">
              <w:rPr>
                <w:szCs w:val="24"/>
              </w:rPr>
              <w:t>SÉANCE PLÉNIÈRE</w:t>
            </w:r>
          </w:p>
        </w:tc>
        <w:tc>
          <w:tcPr>
            <w:tcW w:w="3260" w:type="dxa"/>
          </w:tcPr>
          <w:p w:rsidR="00D42EE8" w:rsidRPr="00744E0C" w:rsidRDefault="00F569A4" w:rsidP="00F328B4">
            <w:pPr>
              <w:spacing w:before="0"/>
              <w:rPr>
                <w:bCs/>
                <w:szCs w:val="24"/>
              </w:rPr>
            </w:pPr>
            <w:r w:rsidRPr="00744E0C">
              <w:rPr>
                <w:b/>
                <w:szCs w:val="24"/>
              </w:rPr>
              <w:t>Révision 1 d</w:t>
            </w:r>
            <w:r w:rsidR="00000B37" w:rsidRPr="00744E0C">
              <w:rPr>
                <w:b/>
                <w:szCs w:val="24"/>
              </w:rPr>
              <w:t>u</w:t>
            </w:r>
            <w:r w:rsidR="00000B37" w:rsidRPr="00744E0C">
              <w:rPr>
                <w:b/>
                <w:szCs w:val="24"/>
              </w:rPr>
              <w:br/>
              <w:t>Document WTDC-17/26</w:t>
            </w:r>
            <w:r w:rsidR="00700D0A" w:rsidRPr="00744E0C">
              <w:rPr>
                <w:b/>
                <w:szCs w:val="24"/>
              </w:rPr>
              <w:t>-</w:t>
            </w:r>
            <w:r w:rsidR="00000B37" w:rsidRPr="00744E0C">
              <w:rPr>
                <w:b/>
                <w:szCs w:val="24"/>
              </w:rPr>
              <w:t>F</w:t>
            </w:r>
          </w:p>
        </w:tc>
      </w:tr>
      <w:tr w:rsidR="00D42EE8" w:rsidRPr="00744E0C" w:rsidTr="00403E92">
        <w:trPr>
          <w:cantSplit/>
        </w:trPr>
        <w:tc>
          <w:tcPr>
            <w:tcW w:w="6628" w:type="dxa"/>
            <w:gridSpan w:val="2"/>
          </w:tcPr>
          <w:p w:rsidR="00D42EE8" w:rsidRPr="00744E0C" w:rsidRDefault="00D42EE8" w:rsidP="00D42EE8">
            <w:pPr>
              <w:spacing w:before="0"/>
              <w:rPr>
                <w:b/>
                <w:bCs/>
                <w:smallCaps/>
                <w:szCs w:val="24"/>
              </w:rPr>
            </w:pPr>
            <w:bookmarkStart w:id="3" w:name="ddate" w:colFirst="1" w:colLast="1"/>
            <w:bookmarkEnd w:id="2"/>
          </w:p>
        </w:tc>
        <w:tc>
          <w:tcPr>
            <w:tcW w:w="3260" w:type="dxa"/>
          </w:tcPr>
          <w:p w:rsidR="00D42EE8" w:rsidRPr="00744E0C" w:rsidRDefault="00000B37" w:rsidP="00D42EE8">
            <w:pPr>
              <w:spacing w:before="0"/>
              <w:rPr>
                <w:bCs/>
                <w:szCs w:val="24"/>
              </w:rPr>
            </w:pPr>
            <w:r w:rsidRPr="00744E0C">
              <w:rPr>
                <w:b/>
                <w:szCs w:val="24"/>
              </w:rPr>
              <w:t>27 septembre 2017</w:t>
            </w:r>
          </w:p>
        </w:tc>
      </w:tr>
      <w:tr w:rsidR="00D42EE8" w:rsidRPr="00744E0C" w:rsidTr="00403E92">
        <w:trPr>
          <w:cantSplit/>
        </w:trPr>
        <w:tc>
          <w:tcPr>
            <w:tcW w:w="6628" w:type="dxa"/>
            <w:gridSpan w:val="2"/>
          </w:tcPr>
          <w:p w:rsidR="00D42EE8" w:rsidRPr="00744E0C" w:rsidRDefault="00D42EE8" w:rsidP="00D42EE8">
            <w:pPr>
              <w:spacing w:before="0"/>
              <w:rPr>
                <w:b/>
                <w:bCs/>
                <w:smallCaps/>
                <w:szCs w:val="24"/>
              </w:rPr>
            </w:pPr>
            <w:bookmarkStart w:id="4" w:name="dorlang" w:colFirst="1" w:colLast="1"/>
            <w:bookmarkEnd w:id="3"/>
          </w:p>
        </w:tc>
        <w:tc>
          <w:tcPr>
            <w:tcW w:w="3260" w:type="dxa"/>
          </w:tcPr>
          <w:p w:rsidR="00D42EE8" w:rsidRPr="00744E0C" w:rsidRDefault="00000B37" w:rsidP="00D42EE8">
            <w:pPr>
              <w:spacing w:before="0"/>
              <w:rPr>
                <w:b/>
                <w:bCs/>
                <w:szCs w:val="24"/>
              </w:rPr>
            </w:pPr>
            <w:r w:rsidRPr="00744E0C">
              <w:rPr>
                <w:b/>
                <w:szCs w:val="24"/>
              </w:rPr>
              <w:t>Original: anglais</w:t>
            </w:r>
            <w:r w:rsidR="00744E0C">
              <w:rPr>
                <w:b/>
                <w:szCs w:val="24"/>
              </w:rPr>
              <w:t>/espagnol</w:t>
            </w:r>
          </w:p>
        </w:tc>
      </w:tr>
      <w:tr w:rsidR="00D42EE8" w:rsidRPr="00744E0C" w:rsidTr="00CD6715">
        <w:trPr>
          <w:cantSplit/>
        </w:trPr>
        <w:tc>
          <w:tcPr>
            <w:tcW w:w="9888" w:type="dxa"/>
            <w:gridSpan w:val="3"/>
          </w:tcPr>
          <w:p w:rsidR="00D42EE8" w:rsidRPr="00744E0C" w:rsidRDefault="005B6CE3" w:rsidP="001A5E6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744E0C">
              <w:t>Etats Membres de</w:t>
            </w:r>
            <w:r w:rsidR="001A5E65" w:rsidRPr="00744E0C">
              <w:t xml:space="preserve"> la région</w:t>
            </w:r>
            <w:r w:rsidRPr="00744E0C">
              <w:t xml:space="preserve"> Amériques</w:t>
            </w:r>
          </w:p>
        </w:tc>
      </w:tr>
      <w:tr w:rsidR="00D42EE8" w:rsidRPr="00744E0C" w:rsidTr="007934DB">
        <w:trPr>
          <w:cantSplit/>
        </w:trPr>
        <w:tc>
          <w:tcPr>
            <w:tcW w:w="9888" w:type="dxa"/>
            <w:gridSpan w:val="3"/>
          </w:tcPr>
          <w:p w:rsidR="00D42EE8" w:rsidRPr="00744E0C" w:rsidRDefault="00184F7B" w:rsidP="001A5E65">
            <w:pPr>
              <w:pStyle w:val="Title1"/>
              <w:tabs>
                <w:tab w:val="clear" w:pos="567"/>
                <w:tab w:val="clear" w:pos="1701"/>
                <w:tab w:val="clear" w:pos="2835"/>
                <w:tab w:val="left" w:pos="1871"/>
              </w:tabs>
            </w:pPr>
            <w:bookmarkStart w:id="6" w:name="dtitle1" w:colFirst="1" w:colLast="1"/>
            <w:bookmarkEnd w:id="5"/>
            <w:r w:rsidRPr="00744E0C">
              <w:t>Propos</w:t>
            </w:r>
            <w:r w:rsidR="001A5E65" w:rsidRPr="00744E0C">
              <w:t>ITION RELATIVE AUX INITIATIVES RÉGIONALES POUR LES AMÉRIQUES</w:t>
            </w:r>
          </w:p>
        </w:tc>
      </w:tr>
      <w:tr w:rsidR="00D42EE8" w:rsidRPr="00744E0C" w:rsidTr="007934DB">
        <w:trPr>
          <w:cantSplit/>
        </w:trPr>
        <w:tc>
          <w:tcPr>
            <w:tcW w:w="9888" w:type="dxa"/>
            <w:gridSpan w:val="3"/>
          </w:tcPr>
          <w:p w:rsidR="00D42EE8" w:rsidRPr="00744E0C"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744E0C" w:rsidTr="007934DB">
        <w:trPr>
          <w:cantSplit/>
        </w:trPr>
        <w:tc>
          <w:tcPr>
            <w:tcW w:w="9888" w:type="dxa"/>
            <w:gridSpan w:val="3"/>
          </w:tcPr>
          <w:p w:rsidR="00863463" w:rsidRPr="00744E0C" w:rsidRDefault="00863463" w:rsidP="00863463">
            <w:pPr>
              <w:jc w:val="center"/>
            </w:pPr>
          </w:p>
        </w:tc>
      </w:tr>
      <w:tr w:rsidR="00391EB2" w:rsidRPr="00744E0C">
        <w:tc>
          <w:tcPr>
            <w:tcW w:w="10031" w:type="dxa"/>
            <w:gridSpan w:val="3"/>
            <w:tcBorders>
              <w:top w:val="single" w:sz="4" w:space="0" w:color="auto"/>
              <w:left w:val="single" w:sz="4" w:space="0" w:color="auto"/>
              <w:bottom w:val="single" w:sz="4" w:space="0" w:color="auto"/>
              <w:right w:val="single" w:sz="4" w:space="0" w:color="auto"/>
            </w:tcBorders>
          </w:tcPr>
          <w:p w:rsidR="00391EB2" w:rsidRPr="00744E0C" w:rsidRDefault="009E574E">
            <w:r w:rsidRPr="00744E0C">
              <w:rPr>
                <w:rFonts w:ascii="Calibri" w:eastAsia="SimSun" w:hAnsi="Calibri" w:cs="Traditional Arabic"/>
                <w:b/>
                <w:bCs/>
                <w:szCs w:val="24"/>
              </w:rPr>
              <w:t>Domaine prioritaire:</w:t>
            </w:r>
          </w:p>
          <w:p w:rsidR="00391EB2" w:rsidRPr="00744E0C" w:rsidRDefault="00217D32">
            <w:pPr>
              <w:rPr>
                <w:szCs w:val="24"/>
              </w:rPr>
            </w:pPr>
            <w:r w:rsidRPr="00744E0C">
              <w:rPr>
                <w:rFonts w:ascii="Calibri" w:eastAsia="SimSun" w:hAnsi="Calibri" w:cs="Traditional Arabic"/>
                <w:szCs w:val="24"/>
              </w:rPr>
              <w:t>–</w:t>
            </w:r>
            <w:r w:rsidRPr="00744E0C">
              <w:rPr>
                <w:rFonts w:ascii="Calibri" w:eastAsia="SimSun" w:hAnsi="Calibri" w:cs="Traditional Arabic"/>
                <w:szCs w:val="24"/>
              </w:rPr>
              <w:tab/>
              <w:t>Initiatives régionales, projets associés et mécanismes de financement</w:t>
            </w:r>
          </w:p>
          <w:p w:rsidR="00391EB2" w:rsidRPr="00744E0C" w:rsidRDefault="009E574E">
            <w:r w:rsidRPr="00744E0C">
              <w:rPr>
                <w:rFonts w:ascii="Calibri" w:eastAsia="SimSun" w:hAnsi="Calibri" w:cs="Traditional Arabic"/>
                <w:b/>
                <w:bCs/>
                <w:szCs w:val="24"/>
              </w:rPr>
              <w:t>Résumé:</w:t>
            </w:r>
          </w:p>
          <w:p w:rsidR="00391EB2" w:rsidRPr="00744E0C" w:rsidRDefault="00217D32">
            <w:pPr>
              <w:rPr>
                <w:szCs w:val="24"/>
              </w:rPr>
            </w:pPr>
            <w:r w:rsidRPr="00744E0C">
              <w:t xml:space="preserve">Le présent document contient les projets de nouvelles initiatives régionales convenues au terme de la RPM-AMS tenue à Asunción (Paraguay) du 22 au 24 février 2017 et figurant dans le rapport de la Présidente (Document </w:t>
            </w:r>
            <w:hyperlink r:id="rId12" w:history="1">
              <w:r w:rsidRPr="00744E0C">
                <w:rPr>
                  <w:rStyle w:val="Hyperlink"/>
                </w:rPr>
                <w:t>RPM-AMS1</w:t>
              </w:r>
              <w:r w:rsidRPr="00744E0C">
                <w:rPr>
                  <w:rStyle w:val="Hyperlink"/>
                </w:rPr>
                <w:t>7</w:t>
              </w:r>
              <w:r w:rsidRPr="00744E0C">
                <w:rPr>
                  <w:rStyle w:val="Hyperlink"/>
                </w:rPr>
                <w:t>/41</w:t>
              </w:r>
            </w:hyperlink>
            <w:r w:rsidRPr="00744E0C">
              <w:t>).</w:t>
            </w:r>
          </w:p>
          <w:p w:rsidR="00391EB2" w:rsidRPr="00744E0C" w:rsidRDefault="009E574E">
            <w:r w:rsidRPr="00744E0C">
              <w:rPr>
                <w:rFonts w:ascii="Calibri" w:eastAsia="SimSun" w:hAnsi="Calibri" w:cs="Traditional Arabic"/>
                <w:b/>
                <w:bCs/>
                <w:szCs w:val="24"/>
              </w:rPr>
              <w:t>Résultats attendus:</w:t>
            </w:r>
          </w:p>
          <w:p w:rsidR="00391EB2" w:rsidRPr="00744E0C" w:rsidRDefault="00217D32">
            <w:pPr>
              <w:rPr>
                <w:szCs w:val="24"/>
              </w:rPr>
            </w:pPr>
            <w:r w:rsidRPr="00744E0C">
              <w:rPr>
                <w:szCs w:val="24"/>
              </w:rPr>
              <w:t>La CMDT-17 est invitée à examiner et à approuver le présent document.</w:t>
            </w:r>
          </w:p>
          <w:p w:rsidR="00391EB2" w:rsidRPr="00744E0C" w:rsidRDefault="009E574E">
            <w:r w:rsidRPr="00744E0C">
              <w:rPr>
                <w:rFonts w:ascii="Calibri" w:eastAsia="SimSun" w:hAnsi="Calibri" w:cs="Traditional Arabic"/>
                <w:b/>
                <w:bCs/>
                <w:szCs w:val="24"/>
              </w:rPr>
              <w:t>Références:</w:t>
            </w:r>
          </w:p>
          <w:p w:rsidR="00391EB2" w:rsidRPr="00744E0C" w:rsidRDefault="00744E0C" w:rsidP="00744E0C">
            <w:pPr>
              <w:spacing w:after="120"/>
              <w:rPr>
                <w:szCs w:val="24"/>
              </w:rPr>
            </w:pPr>
            <w:hyperlink r:id="rId13" w:history="1">
              <w:r w:rsidR="00217D32" w:rsidRPr="00744E0C">
                <w:rPr>
                  <w:rStyle w:val="Hyperlink"/>
                </w:rPr>
                <w:t>RPM-AMS17/41</w:t>
              </w:r>
            </w:hyperlink>
            <w:r w:rsidR="00217D32" w:rsidRPr="00744E0C">
              <w:rPr>
                <w:szCs w:val="24"/>
              </w:rPr>
              <w:t xml:space="preserve">; TDAG17-22/41; </w:t>
            </w:r>
            <w:hyperlink r:id="rId14" w:history="1">
              <w:r w:rsidR="00217D32" w:rsidRPr="00744E0C">
                <w:rPr>
                  <w:rStyle w:val="Hyperlink"/>
                  <w:szCs w:val="24"/>
                </w:rPr>
                <w:t>WTDC17/4</w:t>
              </w:r>
            </w:hyperlink>
            <w:bookmarkStart w:id="7" w:name="_GoBack"/>
            <w:bookmarkEnd w:id="7"/>
          </w:p>
        </w:tc>
      </w:tr>
    </w:tbl>
    <w:p w:rsidR="00E71FC7" w:rsidRPr="00744E0C" w:rsidRDefault="00E71FC7" w:rsidP="0076554A">
      <w:bookmarkStart w:id="8" w:name="dbreak"/>
      <w:bookmarkEnd w:id="6"/>
      <w:bookmarkEnd w:id="8"/>
    </w:p>
    <w:p w:rsidR="00E71FC7" w:rsidRPr="00744E0C"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744E0C">
        <w:br w:type="page"/>
      </w:r>
    </w:p>
    <w:p w:rsidR="00AD4E1C" w:rsidRPr="00744E0C" w:rsidRDefault="009E574E" w:rsidP="001A0D36">
      <w:pPr>
        <w:pStyle w:val="Volumetitle"/>
        <w:rPr>
          <w:rFonts w:asciiTheme="minorHAnsi" w:hAnsiTheme="minorHAnsi"/>
          <w:lang w:val="fr-FR"/>
        </w:rPr>
      </w:pPr>
      <w:r w:rsidRPr="00744E0C">
        <w:rPr>
          <w:rFonts w:asciiTheme="minorHAnsi" w:hAnsiTheme="minorHAnsi"/>
          <w:lang w:val="fr-FR"/>
        </w:rPr>
        <w:lastRenderedPageBreak/>
        <w:t>INITIATIVES RÉGIONALES</w:t>
      </w:r>
    </w:p>
    <w:p w:rsidR="004C3123" w:rsidRPr="00744E0C" w:rsidRDefault="009E574E" w:rsidP="008B4CC9">
      <w:pPr>
        <w:pStyle w:val="Section1"/>
      </w:pPr>
      <w:bookmarkStart w:id="9" w:name="_Toc401906691"/>
      <w:r w:rsidRPr="00744E0C">
        <w:t>INITIATIVES RÉGIONALES POUR LES AMÉRIQUES</w:t>
      </w:r>
      <w:bookmarkEnd w:id="9"/>
    </w:p>
    <w:p w:rsidR="00391EB2" w:rsidRPr="00744E0C" w:rsidRDefault="009E574E">
      <w:pPr>
        <w:pStyle w:val="Proposal"/>
        <w:rPr>
          <w:lang w:val="fr-FR"/>
        </w:rPr>
      </w:pPr>
      <w:r w:rsidRPr="00744E0C">
        <w:rPr>
          <w:b/>
          <w:lang w:val="fr-FR"/>
        </w:rPr>
        <w:t>SUP</w:t>
      </w:r>
      <w:r w:rsidRPr="00744E0C">
        <w:rPr>
          <w:lang w:val="fr-FR"/>
        </w:rPr>
        <w:tab/>
        <w:t>AMS/26/1</w:t>
      </w:r>
    </w:p>
    <w:p w:rsidR="004C3123" w:rsidRPr="00744E0C" w:rsidRDefault="009E574E" w:rsidP="00441E7D">
      <w:pPr>
        <w:pStyle w:val="Heading1"/>
        <w:rPr>
          <w:lang w:eastAsia="ja-JP"/>
        </w:rPr>
      </w:pPr>
      <w:r w:rsidRPr="00744E0C">
        <w:rPr>
          <w:lang w:eastAsia="ja-JP"/>
        </w:rPr>
        <w:t>AMS1: Télécommunications d'urgence</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ADD</w:t>
      </w:r>
      <w:r w:rsidRPr="00744E0C">
        <w:rPr>
          <w:lang w:val="fr-FR"/>
        </w:rPr>
        <w:tab/>
        <w:t>AMS/26/2</w:t>
      </w:r>
    </w:p>
    <w:p w:rsidR="00217D32" w:rsidRPr="00744E0C" w:rsidRDefault="00217D32" w:rsidP="00217D32">
      <w:pPr>
        <w:pStyle w:val="Heading1"/>
        <w:rPr>
          <w:lang w:eastAsia="ja-JP"/>
        </w:rPr>
      </w:pPr>
      <w:r w:rsidRPr="00744E0C">
        <w:rPr>
          <w:lang w:eastAsia="ja-JP"/>
        </w:rPr>
        <w:t>AMS1: Communications pour la réduction et la gestion des risques de catastrophe</w:t>
      </w:r>
    </w:p>
    <w:p w:rsidR="00217D32" w:rsidRPr="00744E0C" w:rsidRDefault="00217D32" w:rsidP="00217D32">
      <w:pPr>
        <w:spacing w:before="40" w:after="40"/>
      </w:pPr>
      <w:bookmarkStart w:id="10" w:name="lt_pId297"/>
      <w:r w:rsidRPr="00744E0C">
        <w:rPr>
          <w:rFonts w:ascii="Calibri" w:hAnsi="Calibri"/>
          <w:b/>
          <w:bCs/>
        </w:rPr>
        <w:t>Objectif</w:t>
      </w:r>
      <w:r w:rsidRPr="00744E0C">
        <w:rPr>
          <w:rFonts w:ascii="Calibri" w:hAnsi="Calibri"/>
        </w:rPr>
        <w:t>:</w:t>
      </w:r>
      <w:bookmarkEnd w:id="10"/>
      <w:r w:rsidRPr="00744E0C">
        <w:rPr>
          <w:rFonts w:ascii="Calibri" w:hAnsi="Calibri"/>
        </w:rPr>
        <w:t xml:space="preserve"> 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p w:rsidR="00217D32" w:rsidRPr="00744E0C" w:rsidRDefault="00217D32" w:rsidP="00217D32">
      <w:pPr>
        <w:pStyle w:val="Headingb"/>
      </w:pPr>
      <w:bookmarkStart w:id="11" w:name="lt_pId299"/>
      <w:r w:rsidRPr="00744E0C">
        <w:t>Résultats attendus</w:t>
      </w:r>
      <w:bookmarkEnd w:id="11"/>
    </w:p>
    <w:p w:rsidR="00217D32" w:rsidRPr="00744E0C" w:rsidRDefault="00217D32" w:rsidP="00217D32">
      <w:pPr>
        <w:pStyle w:val="enumlev1"/>
        <w:rPr>
          <w:sz w:val="22"/>
        </w:rPr>
      </w:pPr>
      <w:r w:rsidRPr="00744E0C">
        <w:t>1)</w:t>
      </w:r>
      <w:r w:rsidRPr="00744E0C">
        <w:tab/>
        <w:t>Déterminer les technologies adaptées à utiliser pour les communications pour la réduction des risques de catastrophe et mettre en place des études sur la faisabilité de la mise en oeuvre, ainsi que sur la conformité et l'interopérabilité avec d'autres technologies et services basés sur la technologie IP pour les télécommunications d'urgence.</w:t>
      </w:r>
    </w:p>
    <w:p w:rsidR="00217D32" w:rsidRPr="00744E0C" w:rsidRDefault="00217D32" w:rsidP="00217D32">
      <w:pPr>
        <w:pStyle w:val="enumlev1"/>
      </w:pPr>
      <w:r w:rsidRPr="00744E0C">
        <w:t>2)</w:t>
      </w:r>
      <w:r w:rsidRPr="00744E0C">
        <w:tab/>
        <w:t>Mettre en oeuvre, aux échelons national et sous-régional, des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p w:rsidR="00217D32" w:rsidRPr="00744E0C" w:rsidRDefault="00217D32" w:rsidP="00217D32">
      <w:pPr>
        <w:pStyle w:val="enumlev1"/>
      </w:pPr>
      <w:r w:rsidRPr="00744E0C">
        <w:t>3)</w:t>
      </w:r>
      <w:r w:rsidRPr="00744E0C">
        <w:tab/>
        <w:t>Aider à l'élaboration de cadres politiques, réglementaires et législatifs appropriés, ainsi que de protocoles et de procédures interinstitutions sur les communications dans le cadre de la réduction des risques de catastrophe aux niveaux national et régional.</w:t>
      </w:r>
    </w:p>
    <w:p w:rsidR="00217D32" w:rsidRPr="00744E0C" w:rsidRDefault="00217D32" w:rsidP="00217D32">
      <w:pPr>
        <w:pStyle w:val="enumlev1"/>
      </w:pPr>
      <w:r w:rsidRPr="00744E0C">
        <w:t>4)</w:t>
      </w:r>
      <w:r w:rsidRPr="00744E0C">
        <w:tab/>
        <w:t>Organiser des réunions et des ateliers à l'échelle régionale afin de faire part d'expériences et de bonnes pratiques au sujet des télécommunications/TIC en vue de l'adoption de mesures préventives pour la réduction des risques de catastrophe et l'intervention d'urgence, de l'optimisation des ressources, de la création de programmes plus innovants et efficaces, ainsi qu'en vue de la coordination d'actions dans les zones frontalières de la région Amériques.</w:t>
      </w:r>
    </w:p>
    <w:p w:rsidR="00217D32" w:rsidRPr="00744E0C" w:rsidRDefault="00217D32" w:rsidP="00217D32">
      <w:pPr>
        <w:pStyle w:val="enumlev1"/>
      </w:pPr>
      <w:r w:rsidRPr="00744E0C">
        <w:t>5)</w:t>
      </w:r>
      <w:r w:rsidRPr="00744E0C">
        <w:tab/>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p w:rsidR="00217D32" w:rsidRPr="00744E0C" w:rsidRDefault="00217D32" w:rsidP="00217D32">
      <w:pPr>
        <w:pStyle w:val="Reasons"/>
        <w:rPr>
          <w:lang w:val="fr-FR"/>
        </w:rPr>
      </w:pPr>
    </w:p>
    <w:p w:rsidR="00391EB2" w:rsidRPr="00744E0C" w:rsidRDefault="009E574E">
      <w:pPr>
        <w:pStyle w:val="Proposal"/>
        <w:rPr>
          <w:lang w:val="fr-FR"/>
        </w:rPr>
      </w:pPr>
      <w:r w:rsidRPr="00744E0C">
        <w:rPr>
          <w:b/>
          <w:lang w:val="fr-FR"/>
        </w:rPr>
        <w:lastRenderedPageBreak/>
        <w:t>SUP</w:t>
      </w:r>
      <w:r w:rsidRPr="00744E0C">
        <w:rPr>
          <w:lang w:val="fr-FR"/>
        </w:rPr>
        <w:tab/>
        <w:t>AMS/26/3</w:t>
      </w:r>
    </w:p>
    <w:p w:rsidR="004C3123" w:rsidRPr="00744E0C" w:rsidRDefault="009E574E" w:rsidP="00441E7D">
      <w:pPr>
        <w:pStyle w:val="Heading1"/>
        <w:rPr>
          <w:lang w:eastAsia="ja-JP"/>
        </w:rPr>
      </w:pPr>
      <w:r w:rsidRPr="00744E0C">
        <w:rPr>
          <w:lang w:eastAsia="ja-JP"/>
        </w:rPr>
        <w:t>AMS2: Gestion du spectre et passage à la radiodiffusion numérique</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ADD</w:t>
      </w:r>
      <w:r w:rsidRPr="00744E0C">
        <w:rPr>
          <w:lang w:val="fr-FR"/>
        </w:rPr>
        <w:tab/>
        <w:t>AMS/26/4</w:t>
      </w:r>
    </w:p>
    <w:p w:rsidR="00217D32" w:rsidRPr="00744E0C" w:rsidRDefault="00217D32" w:rsidP="00217D32">
      <w:pPr>
        <w:pStyle w:val="Heading1"/>
        <w:rPr>
          <w:lang w:eastAsia="ja-JP"/>
        </w:rPr>
      </w:pPr>
      <w:r w:rsidRPr="00744E0C">
        <w:rPr>
          <w:lang w:eastAsia="ja-JP"/>
        </w:rPr>
        <w:t>AMS2: Gestion du spectre et passage à la radiodiffusion numérique</w:t>
      </w:r>
    </w:p>
    <w:p w:rsidR="00217D32" w:rsidRPr="00744E0C" w:rsidRDefault="00217D32" w:rsidP="00217D32">
      <w:bookmarkStart w:id="12" w:name="lt_pId312"/>
      <w:r w:rsidRPr="00744E0C">
        <w:rPr>
          <w:rFonts w:ascii="Calibri" w:hAnsi="Calibri"/>
          <w:b/>
          <w:bCs/>
        </w:rPr>
        <w:t>Objectif</w:t>
      </w:r>
      <w:r w:rsidRPr="00744E0C">
        <w:rPr>
          <w:rFonts w:ascii="Calibri" w:hAnsi="Calibri"/>
        </w:rPr>
        <w:t>:</w:t>
      </w:r>
      <w:bookmarkEnd w:id="12"/>
      <w:r w:rsidRPr="00744E0C">
        <w:rPr>
          <w:b/>
          <w:bCs/>
          <w:smallCaps/>
        </w:rPr>
        <w:t xml:space="preserve"> </w:t>
      </w:r>
      <w:r w:rsidRPr="00744E0C">
        <w:t>Fournir une assistance aux Etats Membres pour le passage à la radiodiffusion numérique, l'utilisation des fréquences du dividende numérique et la gestion du spectre.</w:t>
      </w:r>
    </w:p>
    <w:p w:rsidR="00217D32" w:rsidRPr="00744E0C" w:rsidRDefault="00217D32" w:rsidP="00217D32">
      <w:pPr>
        <w:pStyle w:val="Headingb"/>
      </w:pPr>
      <w:r w:rsidRPr="00744E0C">
        <w:t>Résultats attendus</w:t>
      </w:r>
    </w:p>
    <w:p w:rsidR="00217D32" w:rsidRPr="00744E0C" w:rsidRDefault="00217D32" w:rsidP="00217D32">
      <w:pPr>
        <w:pStyle w:val="enumlev1"/>
      </w:pPr>
      <w:r w:rsidRPr="00744E0C">
        <w:rPr>
          <w:lang w:eastAsia="ja-JP"/>
        </w:rPr>
        <w:t>1)</w:t>
      </w:r>
      <w:r w:rsidRPr="00744E0C">
        <w:rPr>
          <w:lang w:eastAsia="ja-JP"/>
        </w:rPr>
        <w:tab/>
      </w:r>
      <w:r w:rsidRPr="00744E0C">
        <w:t>Renforcer les capacités concernant la gestion du spectre et les techniques de radiodiffusion numérique, ainsi que l'utilisation du dividende numérique et de nouveaux services et applications de radiodiffusion, et fournir une assistance en ce qui concerne l'utilisation des outils destinés à aider les pays en développement à améliorer la coordination internationale des services de Terre dans les zones frontalières.</w:t>
      </w:r>
    </w:p>
    <w:p w:rsidR="00217D32" w:rsidRPr="00744E0C" w:rsidRDefault="00217D32" w:rsidP="00217D32">
      <w:pPr>
        <w:pStyle w:val="enumlev1"/>
      </w:pPr>
      <w:r w:rsidRPr="00744E0C">
        <w:t>2)</w:t>
      </w:r>
      <w:r w:rsidRPr="00744E0C">
        <w:tab/>
        <w:t>Fournir un appui pour l'élaboration de plans de gestion du spectre aux niveaux national et régional, notamment pour le passage à la radiodiffusion numérique et pour la promotion de politiques en faveur de l'utilisation du spectre dans des zones mal desservies.</w:t>
      </w:r>
    </w:p>
    <w:p w:rsidR="00217D32" w:rsidRPr="00744E0C" w:rsidRDefault="00217D32" w:rsidP="00217D32">
      <w:pPr>
        <w:pStyle w:val="enumlev1"/>
      </w:pPr>
      <w:r w:rsidRPr="00744E0C">
        <w:t>3)</w:t>
      </w:r>
      <w:r w:rsidRPr="00744E0C">
        <w:tab/>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compte tenu de la Résolution 9 (Rév.Dubaï, 2014) de la Conférence mondiale de développement des télécommunications.</w:t>
      </w:r>
    </w:p>
    <w:p w:rsidR="00217D32" w:rsidRPr="00744E0C" w:rsidRDefault="00217D32" w:rsidP="00217D32">
      <w:pPr>
        <w:pStyle w:val="enumlev1"/>
      </w:pPr>
      <w:r w:rsidRPr="00744E0C">
        <w:t>4)</w:t>
      </w:r>
      <w:r w:rsidRPr="00744E0C">
        <w:tab/>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p w:rsidR="00217D32" w:rsidRPr="00744E0C" w:rsidRDefault="00217D32" w:rsidP="00217D32">
      <w:pPr>
        <w:pStyle w:val="enumlev1"/>
        <w:rPr>
          <w:sz w:val="20"/>
        </w:rPr>
      </w:pPr>
      <w:r w:rsidRPr="00744E0C">
        <w:t>5)</w:t>
      </w:r>
      <w:r w:rsidRPr="00744E0C">
        <w:tab/>
        <w:t>Fournir une assistance concernant la planification, aux niveaux national et régional, de l'utilisation des fréquences libérées grâce au passage à la radiodiffusion numérique et du déploiement de nouvelles technologies pour des services de radiodiffusion.</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SUP</w:t>
      </w:r>
      <w:r w:rsidRPr="00744E0C">
        <w:rPr>
          <w:lang w:val="fr-FR"/>
        </w:rPr>
        <w:tab/>
        <w:t>AMS/26/5</w:t>
      </w:r>
    </w:p>
    <w:p w:rsidR="004C3123" w:rsidRPr="00744E0C" w:rsidRDefault="009E574E" w:rsidP="00441E7D">
      <w:pPr>
        <w:pStyle w:val="Heading1"/>
        <w:ind w:left="0" w:firstLine="0"/>
        <w:rPr>
          <w:lang w:eastAsia="ja-JP"/>
        </w:rPr>
      </w:pPr>
      <w:r w:rsidRPr="00744E0C">
        <w:rPr>
          <w:lang w:eastAsia="ja-JP"/>
        </w:rPr>
        <w:t>AMS3: Développement de l'accès au large bande et adoption du</w:t>
      </w:r>
      <w:r w:rsidRPr="00744E0C">
        <w:rPr>
          <w:lang w:eastAsia="ja-JP"/>
        </w:rPr>
        <w:br/>
        <w:t>large bande</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lastRenderedPageBreak/>
        <w:t>ADD</w:t>
      </w:r>
      <w:r w:rsidRPr="00744E0C">
        <w:rPr>
          <w:lang w:val="fr-FR"/>
        </w:rPr>
        <w:tab/>
        <w:t>AMS/26/6</w:t>
      </w:r>
    </w:p>
    <w:p w:rsidR="00217D32" w:rsidRPr="00744E0C" w:rsidRDefault="00217D32" w:rsidP="00217D32">
      <w:pPr>
        <w:pStyle w:val="Heading1"/>
        <w:ind w:left="0" w:firstLine="0"/>
        <w:rPr>
          <w:lang w:eastAsia="ja-JP"/>
        </w:rPr>
      </w:pPr>
      <w:r w:rsidRPr="00744E0C">
        <w:rPr>
          <w:lang w:eastAsia="ja-JP"/>
        </w:rPr>
        <w:t>AMS3:</w:t>
      </w:r>
      <w:r w:rsidRPr="00744E0C">
        <w:rPr>
          <w:lang w:eastAsia="ja-JP"/>
        </w:rPr>
        <w:tab/>
        <w:t>Déploiement de l'infrastructure large bande, en particulier en milieu rural et dans les zones les moins développées, et renforcement de l'accès large bande à des services et à des applications</w:t>
      </w:r>
    </w:p>
    <w:p w:rsidR="00217D32" w:rsidRPr="00744E0C" w:rsidRDefault="00217D32" w:rsidP="00217D32">
      <w:bookmarkStart w:id="13" w:name="lt_pId327"/>
      <w:r w:rsidRPr="00744E0C">
        <w:rPr>
          <w:rFonts w:ascii="Calibri" w:hAnsi="Calibri"/>
          <w:b/>
          <w:bCs/>
        </w:rPr>
        <w:t>Objectif</w:t>
      </w:r>
      <w:r w:rsidRPr="00744E0C">
        <w:rPr>
          <w:rFonts w:ascii="Calibri" w:hAnsi="Calibri"/>
        </w:rPr>
        <w:t>:</w:t>
      </w:r>
      <w:bookmarkEnd w:id="13"/>
      <w:r w:rsidRPr="00744E0C">
        <w:t xml:space="preserve"> 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p w:rsidR="00217D32" w:rsidRPr="00744E0C" w:rsidRDefault="00217D32" w:rsidP="00217D32">
      <w:pPr>
        <w:pStyle w:val="Headingb"/>
      </w:pPr>
      <w:r w:rsidRPr="00744E0C">
        <w:t>Résultats attendus</w:t>
      </w:r>
    </w:p>
    <w:p w:rsidR="00217D32" w:rsidRPr="00744E0C" w:rsidRDefault="00217D32" w:rsidP="00217D32">
      <w:pPr>
        <w:pStyle w:val="enumlev1"/>
        <w:rPr>
          <w:sz w:val="20"/>
        </w:rPr>
      </w:pPr>
      <w:r w:rsidRPr="00744E0C">
        <w:t>1)</w:t>
      </w:r>
      <w:r w:rsidRPr="00744E0C">
        <w:tab/>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p w:rsidR="00217D32" w:rsidRPr="00744E0C" w:rsidRDefault="00217D32" w:rsidP="00217D32">
      <w:pPr>
        <w:pStyle w:val="enumlev1"/>
        <w:rPr>
          <w:sz w:val="20"/>
        </w:rPr>
      </w:pPr>
      <w:r w:rsidRPr="00744E0C">
        <w:rPr>
          <w:lang w:eastAsia="ja-JP"/>
        </w:rPr>
        <w:t>2)</w:t>
      </w:r>
      <w:r w:rsidRPr="00744E0C">
        <w:rPr>
          <w:lang w:eastAsia="ja-JP"/>
        </w:rPr>
        <w:tab/>
      </w:r>
      <w:r w:rsidRPr="00744E0C">
        <w:t>Fourniture d'une assistance en vue de la mise en oeuvre ou de l'amélioration de plans nationaux de couverture large bande, notamment en apportant un soutien aux établissements d'enseignement, aux réseaux évolués, aux centres de recherche, aux coopératives et aux organisations à but non lucratif fournissant des services de télécommunications, en particulier en milieu rural et dans des zones reculées ou mal desservies, en tenant compte de mécanismes d'accès aux fréquences et aux réseaux à haut débit et en favorisant un environnement propice pour encourager l'investissement dans des réseaux.</w:t>
      </w:r>
    </w:p>
    <w:p w:rsidR="00217D32" w:rsidRPr="00744E0C" w:rsidRDefault="00217D32" w:rsidP="00217D32">
      <w:pPr>
        <w:pStyle w:val="enumlev1"/>
        <w:rPr>
          <w:sz w:val="20"/>
        </w:rPr>
      </w:pPr>
      <w:r w:rsidRPr="00744E0C">
        <w:rPr>
          <w:lang w:eastAsia="ja-JP"/>
        </w:rPr>
        <w:t>3)</w:t>
      </w:r>
      <w:r w:rsidRPr="00744E0C">
        <w:rPr>
          <w:lang w:eastAsia="ja-JP"/>
        </w:rPr>
        <w:tab/>
      </w:r>
      <w:r w:rsidRPr="00744E0C">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p w:rsidR="00217D32" w:rsidRPr="00744E0C" w:rsidRDefault="00217D32" w:rsidP="00217D32">
      <w:pPr>
        <w:pStyle w:val="enumlev1"/>
        <w:rPr>
          <w:sz w:val="20"/>
        </w:rPr>
      </w:pPr>
      <w:r w:rsidRPr="00744E0C">
        <w:rPr>
          <w:lang w:eastAsia="ja-JP"/>
        </w:rPr>
        <w:t>4)</w:t>
      </w:r>
      <w:r w:rsidRPr="00744E0C">
        <w:rPr>
          <w:lang w:eastAsia="ja-JP"/>
        </w:rPr>
        <w:tab/>
      </w:r>
      <w:r w:rsidRPr="00744E0C">
        <w:t>Fourniture d'une assistance pour la mise en oeuvre de plans visant à promouvoir l'accès aux TIC dans les municipalités, via le concept de villes numériques/intelligentes, et dans des établissements publics assurant des services sociaux; accroître l'accès aux TIC et l'utilisation de ces technologies par le public, en particulier en milieu rural ou dans des zones mal desservies, afin de faciliter l'accès à des services sociaux.</w:t>
      </w:r>
    </w:p>
    <w:p w:rsidR="00217D32" w:rsidRPr="00744E0C" w:rsidRDefault="00217D32" w:rsidP="00217D32">
      <w:pPr>
        <w:pStyle w:val="enumlev1"/>
        <w:rPr>
          <w:sz w:val="20"/>
        </w:rPr>
      </w:pPr>
      <w:r w:rsidRPr="00744E0C">
        <w:rPr>
          <w:lang w:eastAsia="ja-JP"/>
        </w:rPr>
        <w:t>5)</w:t>
      </w:r>
      <w:r w:rsidRPr="00744E0C">
        <w:rPr>
          <w:lang w:eastAsia="ja-JP"/>
        </w:rPr>
        <w:tab/>
      </w:r>
      <w:r w:rsidRPr="00744E0C">
        <w:t>Regrouper et diffuser les informations, notamment dans le cadre de réunions et d'ateliers, sur les normes, ainsi que la conformité et l'interopérabilité, et échanger de bonnes pratiques relatives au déploiement et au fonctionnement de réseaux large bande, en particulier en milieu rural, ainsi qu'à la connectivité, en mettant l'accent sur les PMA, les PDSL et les PEID.</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lastRenderedPageBreak/>
        <w:t>SUP</w:t>
      </w:r>
      <w:r w:rsidRPr="00744E0C">
        <w:rPr>
          <w:lang w:val="fr-FR"/>
        </w:rPr>
        <w:tab/>
        <w:t>AMS/26/7</w:t>
      </w:r>
    </w:p>
    <w:p w:rsidR="004C3123" w:rsidRPr="00744E0C" w:rsidRDefault="009E574E" w:rsidP="00441E7D">
      <w:pPr>
        <w:pStyle w:val="Heading1"/>
        <w:ind w:left="0" w:firstLine="0"/>
        <w:rPr>
          <w:lang w:eastAsia="ja-JP"/>
        </w:rPr>
      </w:pPr>
      <w:r w:rsidRPr="00744E0C">
        <w:rPr>
          <w:lang w:eastAsia="ja-JP"/>
        </w:rPr>
        <w:t>AMS4: Réduction des prix des services de télécommunication et des coûts de l'accès à l'Internet</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ADD</w:t>
      </w:r>
      <w:r w:rsidRPr="00744E0C">
        <w:rPr>
          <w:lang w:val="fr-FR"/>
        </w:rPr>
        <w:tab/>
        <w:t>AMS/26/8</w:t>
      </w:r>
    </w:p>
    <w:p w:rsidR="00217D32" w:rsidRPr="00744E0C" w:rsidRDefault="00217D32" w:rsidP="00217D32">
      <w:pPr>
        <w:pStyle w:val="Heading1"/>
        <w:ind w:left="0" w:firstLine="0"/>
      </w:pPr>
      <w:r w:rsidRPr="00744E0C">
        <w:rPr>
          <w:lang w:eastAsia="ja-JP"/>
        </w:rPr>
        <w:t>AMS4:</w:t>
      </w:r>
      <w:r w:rsidRPr="00744E0C">
        <w:rPr>
          <w:lang w:eastAsia="ja-JP"/>
        </w:rPr>
        <w:tab/>
        <w:t>Question de l'accessibilité, y compris économique, pour une région Amériques inclusive et durable</w:t>
      </w:r>
    </w:p>
    <w:p w:rsidR="00217D32" w:rsidRPr="00744E0C" w:rsidRDefault="00217D32" w:rsidP="00217D32">
      <w:r w:rsidRPr="00744E0C">
        <w:rPr>
          <w:rFonts w:ascii="Calibri" w:hAnsi="Calibri"/>
          <w:b/>
          <w:bCs/>
        </w:rPr>
        <w:t>Objectif</w:t>
      </w:r>
      <w:r w:rsidRPr="00744E0C">
        <w:rPr>
          <w:rFonts w:ascii="Calibri" w:hAnsi="Calibri"/>
        </w:rPr>
        <w:t>:</w:t>
      </w:r>
      <w:r w:rsidRPr="00744E0C">
        <w:t xml:space="preserve"> Fournir une assistance aux Etats Membres en vue de garantir l'accessibilité, sur le plan financier, des services de télécommunication/TIC, afin de construire une société de l'information pour tous et d'assurer l'accessibilité des télécommunications/TIC pour les personnes handicapées et d'autres personnes vulnérables.</w:t>
      </w:r>
    </w:p>
    <w:p w:rsidR="00217D32" w:rsidRPr="00744E0C" w:rsidRDefault="00217D32" w:rsidP="00217D32">
      <w:pPr>
        <w:pStyle w:val="Headingb"/>
        <w:spacing w:before="120"/>
      </w:pPr>
      <w:r w:rsidRPr="00744E0C">
        <w:t>Résultats attendus</w:t>
      </w:r>
    </w:p>
    <w:p w:rsidR="00217D32" w:rsidRPr="00744E0C" w:rsidRDefault="00217D32" w:rsidP="00217D32">
      <w:pPr>
        <w:pStyle w:val="enumlev1"/>
        <w:rPr>
          <w:sz w:val="20"/>
        </w:rPr>
      </w:pPr>
      <w:r w:rsidRPr="00744E0C">
        <w:rPr>
          <w:lang w:eastAsia="ja-JP"/>
        </w:rPr>
        <w:t>1)</w:t>
      </w:r>
      <w:r w:rsidRPr="00744E0C">
        <w:rPr>
          <w:b/>
          <w:bCs/>
          <w:smallCaps/>
          <w:sz w:val="20"/>
        </w:rPr>
        <w:tab/>
      </w:r>
      <w:r w:rsidRPr="00744E0C">
        <w:t>Fournir une assistance pour l'élaboration de lignes directrices et de politiques publiques visant à promouvoir l'efficacité en matière de fourniture de services de télécommunication/TIC et d'accessibilité de ces services, en particulier les services mobiles et les services d'urgence et en tenant compte, sans s'y limiter, de l'utilisation d'outils facilitant l'accessibilité des supports audiovisuels.</w:t>
      </w:r>
    </w:p>
    <w:p w:rsidR="00217D32" w:rsidRPr="00744E0C" w:rsidRDefault="00217D32" w:rsidP="00217D32">
      <w:pPr>
        <w:pStyle w:val="enumlev1"/>
        <w:rPr>
          <w:sz w:val="20"/>
        </w:rPr>
      </w:pPr>
      <w:r w:rsidRPr="00744E0C">
        <w:rPr>
          <w:lang w:eastAsia="ja-JP"/>
        </w:rPr>
        <w:t>2)</w:t>
      </w:r>
      <w:r w:rsidRPr="00744E0C">
        <w:rPr>
          <w:b/>
          <w:bCs/>
          <w:smallCaps/>
          <w:sz w:val="20"/>
        </w:rPr>
        <w:tab/>
      </w:r>
      <w:r w:rsidRPr="00744E0C">
        <w:t>Fournir une assistance pour la mise en oeuvre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oeuvre d'accords et d'alliances au sujet des points d'accès Internet, en plus de recommandations visant à rendre plus disponible le transport vers des points de connexion aux réseaux à fibres optiques sous-marins internationaux, en particulier pour les PDSL et les PEID.</w:t>
      </w:r>
    </w:p>
    <w:p w:rsidR="00217D32" w:rsidRPr="00744E0C" w:rsidRDefault="00217D32" w:rsidP="00217D32">
      <w:pPr>
        <w:pStyle w:val="enumlev1"/>
        <w:rPr>
          <w:sz w:val="20"/>
        </w:rPr>
      </w:pPr>
      <w:r w:rsidRPr="00744E0C">
        <w:rPr>
          <w:lang w:eastAsia="ja-JP"/>
        </w:rPr>
        <w:t>3)</w:t>
      </w:r>
      <w:r w:rsidRPr="00744E0C">
        <w:rPr>
          <w:b/>
          <w:bCs/>
          <w:smallCaps/>
          <w:sz w:val="20"/>
        </w:rPr>
        <w:tab/>
      </w:r>
      <w:r w:rsidRPr="00744E0C">
        <w:t>Réaliser des études portant sur les niveaux d'accessibilité économique dans les pays, avec des données ventilées par variable socioéconomique et tenant compte de populations spécifiques et vulnérables, qu'il convient d'intégrer dans les plans, 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p w:rsidR="00217D32" w:rsidRPr="00744E0C" w:rsidRDefault="00217D32" w:rsidP="00217D32">
      <w:pPr>
        <w:pStyle w:val="enumlev1"/>
        <w:rPr>
          <w:sz w:val="20"/>
        </w:rPr>
      </w:pPr>
      <w:r w:rsidRPr="00744E0C">
        <w:rPr>
          <w:lang w:eastAsia="ja-JP"/>
        </w:rPr>
        <w:t>4)</w:t>
      </w:r>
      <w:r w:rsidRPr="00744E0C">
        <w:rPr>
          <w:b/>
          <w:bCs/>
          <w:smallCaps/>
          <w:sz w:val="20"/>
        </w:rPr>
        <w:tab/>
      </w:r>
      <w:r w:rsidRPr="00744E0C">
        <w:t>Recommander des politiques facilitant la mise en place d'un environnement permettant de profiter pleinement d'un accès aux télécommunications/TIC et d'une utilisation de celles-ci par tous, via la mise en oeuvre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oeuvre de services de cybergouvernement et d'autres services.</w:t>
      </w:r>
    </w:p>
    <w:p w:rsidR="00217D32" w:rsidRPr="00744E0C" w:rsidRDefault="00217D32" w:rsidP="00217D32">
      <w:pPr>
        <w:pStyle w:val="enumlev1"/>
        <w:rPr>
          <w:sz w:val="20"/>
        </w:rPr>
      </w:pPr>
      <w:r w:rsidRPr="00744E0C">
        <w:rPr>
          <w:lang w:eastAsia="ja-JP"/>
        </w:rPr>
        <w:lastRenderedPageBreak/>
        <w:t>5)</w:t>
      </w:r>
      <w:r w:rsidRPr="00744E0C">
        <w:rPr>
          <w:b/>
          <w:bCs/>
          <w:smallCaps/>
          <w:sz w:val="20"/>
        </w:rPr>
        <w:tab/>
      </w:r>
      <w:r w:rsidRPr="00744E0C">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SUP</w:t>
      </w:r>
      <w:r w:rsidRPr="00744E0C">
        <w:rPr>
          <w:lang w:val="fr-FR"/>
        </w:rPr>
        <w:tab/>
        <w:t>AMS/26/9</w:t>
      </w:r>
    </w:p>
    <w:p w:rsidR="004C3123" w:rsidRPr="00744E0C" w:rsidRDefault="009E574E" w:rsidP="00441E7D">
      <w:pPr>
        <w:pStyle w:val="Heading1"/>
        <w:ind w:left="0" w:firstLine="0"/>
        <w:rPr>
          <w:lang w:eastAsia="ja-JP"/>
        </w:rPr>
      </w:pPr>
      <w:r w:rsidRPr="00744E0C">
        <w:rPr>
          <w:lang w:eastAsia="ja-JP"/>
        </w:rPr>
        <w:t>AMS5: Renforcement des capacités pour la participation aux politiques mondiales en matière de TIC, l'accent étant mis en particulier sur l'amélioration de la cybersécurité et de la participation des pays en développement aux travaux des organismes actuels de gouvernance de l'Internet</w:t>
      </w:r>
    </w:p>
    <w:p w:rsidR="00391EB2" w:rsidRPr="00744E0C" w:rsidRDefault="00391EB2">
      <w:pPr>
        <w:pStyle w:val="Reasons"/>
        <w:rPr>
          <w:lang w:val="fr-FR"/>
        </w:rPr>
      </w:pPr>
    </w:p>
    <w:p w:rsidR="00391EB2" w:rsidRPr="00744E0C" w:rsidRDefault="009E574E">
      <w:pPr>
        <w:pStyle w:val="Proposal"/>
        <w:rPr>
          <w:lang w:val="fr-FR"/>
        </w:rPr>
      </w:pPr>
      <w:r w:rsidRPr="00744E0C">
        <w:rPr>
          <w:b/>
          <w:lang w:val="fr-FR"/>
        </w:rPr>
        <w:t>ADD</w:t>
      </w:r>
      <w:r w:rsidRPr="00744E0C">
        <w:rPr>
          <w:lang w:val="fr-FR"/>
        </w:rPr>
        <w:tab/>
        <w:t>AMS/26/10</w:t>
      </w:r>
    </w:p>
    <w:p w:rsidR="00217D32" w:rsidRPr="00744E0C" w:rsidRDefault="00217D32" w:rsidP="00217D32">
      <w:pPr>
        <w:pStyle w:val="Heading1"/>
        <w:ind w:left="0" w:firstLine="0"/>
        <w:rPr>
          <w:lang w:eastAsia="ja-JP"/>
        </w:rPr>
      </w:pPr>
      <w:r w:rsidRPr="00744E0C">
        <w:rPr>
          <w:lang w:eastAsia="ja-JP"/>
        </w:rPr>
        <w:t>AMS5: Développement de l'économie numérique, des villes et des communautés intelligentes, ainsi que de l'Internet des objets, et promotion de l'innovation</w:t>
      </w:r>
    </w:p>
    <w:p w:rsidR="00217D32" w:rsidRPr="00744E0C" w:rsidRDefault="00217D32" w:rsidP="00217D32">
      <w:bookmarkStart w:id="14" w:name="lt_pId357"/>
      <w:r w:rsidRPr="00744E0C">
        <w:rPr>
          <w:rFonts w:ascii="Calibri" w:hAnsi="Calibri"/>
          <w:b/>
          <w:bCs/>
        </w:rPr>
        <w:t>Objectif</w:t>
      </w:r>
      <w:r w:rsidRPr="00744E0C">
        <w:rPr>
          <w:rFonts w:ascii="Calibri" w:hAnsi="Calibri"/>
        </w:rPr>
        <w:t>:</w:t>
      </w:r>
      <w:bookmarkEnd w:id="14"/>
      <w:r w:rsidRPr="00744E0C">
        <w:t xml:space="preserve"> Fournir une assistance aux Etats Membres concernant l'élaboration de politiques à l'échelle nationale et régionale afin de dynamiser l'économie numérique, les villes et communautés intelligentes et l'Internet des objets.</w:t>
      </w:r>
    </w:p>
    <w:p w:rsidR="00217D32" w:rsidRPr="00744E0C" w:rsidRDefault="00217D32" w:rsidP="00217D32">
      <w:pPr>
        <w:pStyle w:val="Headingb"/>
        <w:rPr>
          <w:smallCaps/>
        </w:rPr>
      </w:pPr>
      <w:r w:rsidRPr="00744E0C">
        <w:t>Résultats attendus</w:t>
      </w:r>
    </w:p>
    <w:p w:rsidR="00217D32" w:rsidRPr="00744E0C" w:rsidRDefault="00217D32" w:rsidP="00217D32">
      <w:pPr>
        <w:pStyle w:val="enumlev1"/>
      </w:pPr>
      <w:r w:rsidRPr="00744E0C">
        <w:rPr>
          <w:lang w:eastAsia="ja-JP"/>
        </w:rPr>
        <w:t>1)</w:t>
      </w:r>
      <w:r w:rsidRPr="00744E0C">
        <w:rPr>
          <w:lang w:eastAsia="ja-JP"/>
        </w:rPr>
        <w:tab/>
      </w:r>
      <w:r w:rsidRPr="00744E0C">
        <w:t>Fournir une assistance aux Etats Membres concernant l'élaboration de politiques dans le domaine des TIC afin de promouvoir l'essor de l'économie numérique dans la région et d'exploiter de nouvelles technologies pour stimuler l'élaboration et la promotion de solutions appropriées.</w:t>
      </w:r>
    </w:p>
    <w:p w:rsidR="00217D32" w:rsidRPr="00744E0C" w:rsidRDefault="00217D32" w:rsidP="00217D32">
      <w:pPr>
        <w:pStyle w:val="enumlev1"/>
      </w:pPr>
      <w:r w:rsidRPr="00744E0C">
        <w:rPr>
          <w:lang w:eastAsia="ja-JP"/>
        </w:rPr>
        <w:t>2)</w:t>
      </w:r>
      <w:r w:rsidRPr="00744E0C">
        <w:rPr>
          <w:lang w:eastAsia="ja-JP"/>
        </w:rPr>
        <w:tab/>
      </w:r>
      <w:r w:rsidRPr="00744E0C">
        <w:t xml:space="preserve">Organiser des réunions et des ateliers sur les incidences de l'économie numérique dans la région, en collaboration avec d'autres organisations pertinentes. </w:t>
      </w:r>
    </w:p>
    <w:p w:rsidR="00217D32" w:rsidRPr="00744E0C" w:rsidRDefault="00217D32" w:rsidP="00217D32">
      <w:pPr>
        <w:pStyle w:val="enumlev1"/>
      </w:pPr>
      <w:r w:rsidRPr="00744E0C">
        <w:rPr>
          <w:lang w:eastAsia="ja-JP"/>
        </w:rPr>
        <w:t>3)</w:t>
      </w:r>
      <w:r w:rsidRPr="00744E0C">
        <w:rPr>
          <w:lang w:eastAsia="ja-JP"/>
        </w:rPr>
        <w:tab/>
      </w:r>
      <w:r w:rsidRPr="00744E0C">
        <w:t>Elaborer des recommandations visant à favoriser la création de centres d'innovation, y compris dans le domaine de l'éducation, ainsi que de projets contribuant au secteur des TIC, en mettant l'accent sur les start-ups, les petites et moyennes entreprises et les jeunes entrepreneurs, en se concentrant plus particulièrement sur les femmes, notamment.</w:t>
      </w:r>
    </w:p>
    <w:p w:rsidR="00217D32" w:rsidRPr="00744E0C" w:rsidRDefault="00217D32" w:rsidP="00217D32">
      <w:pPr>
        <w:pStyle w:val="enumlev1"/>
      </w:pPr>
      <w:r w:rsidRPr="00744E0C">
        <w:rPr>
          <w:lang w:eastAsia="ja-JP"/>
        </w:rPr>
        <w:t>4)</w:t>
      </w:r>
      <w:r w:rsidRPr="00744E0C">
        <w:rPr>
          <w:lang w:eastAsia="ja-JP"/>
        </w:rPr>
        <w:tab/>
      </w:r>
      <w:r w:rsidRPr="00744E0C">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p w:rsidR="00217D32" w:rsidRPr="00744E0C" w:rsidRDefault="00217D32" w:rsidP="00217D32">
      <w:pPr>
        <w:pStyle w:val="enumlev1"/>
      </w:pPr>
      <w:r w:rsidRPr="00744E0C">
        <w:rPr>
          <w:lang w:eastAsia="ja-JP"/>
        </w:rPr>
        <w:t>5)</w:t>
      </w:r>
      <w:r w:rsidRPr="00744E0C">
        <w:rPr>
          <w:lang w:eastAsia="ja-JP"/>
        </w:rPr>
        <w:tab/>
      </w:r>
      <w:r w:rsidRPr="00744E0C">
        <w:t xml:space="preserve">Promouvoir des stratégies et diffuser des bonnes pratiques concernant la gestion appropriée des déchets d'équipements électriques et électroniques. </w:t>
      </w:r>
    </w:p>
    <w:p w:rsidR="00217D32" w:rsidRPr="00744E0C" w:rsidRDefault="00217D32" w:rsidP="0032202E">
      <w:pPr>
        <w:pStyle w:val="Reasons"/>
        <w:rPr>
          <w:lang w:val="fr-FR"/>
        </w:rPr>
      </w:pPr>
    </w:p>
    <w:p w:rsidR="00391EB2" w:rsidRPr="00744E0C" w:rsidRDefault="00217D32" w:rsidP="00217D32">
      <w:pPr>
        <w:jc w:val="center"/>
      </w:pPr>
      <w:r w:rsidRPr="00744E0C">
        <w:t>______________</w:t>
      </w:r>
    </w:p>
    <w:sectPr w:rsidR="00391EB2" w:rsidRPr="00744E0C">
      <w:headerReference w:type="default"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217D32">
      <w:rPr>
        <w:lang w:val="en-US"/>
      </w:rPr>
      <w:t>P:\FRA\ITU-D\CONF-D\WTDC17\000\026REV1F.docx</w:t>
    </w:r>
    <w:r>
      <w:fldChar w:fldCharType="end"/>
    </w:r>
    <w:r w:rsidRPr="005D3705">
      <w:rPr>
        <w:lang w:val="en-US"/>
      </w:rPr>
      <w:t xml:space="preserve"> (</w:t>
    </w:r>
    <w:r w:rsidR="00217D32">
      <w:rPr>
        <w:lang w:val="en-US"/>
      </w:rPr>
      <w:t>424967</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17D32" w:rsidRPr="00C100BE" w:rsidTr="00D42EE8">
      <w:tc>
        <w:tcPr>
          <w:tcW w:w="1526" w:type="dxa"/>
          <w:tcBorders>
            <w:top w:val="single" w:sz="4" w:space="0" w:color="000000" w:themeColor="text1"/>
          </w:tcBorders>
        </w:tcPr>
        <w:p w:rsidR="00217D32" w:rsidRPr="00C100BE" w:rsidRDefault="00217D32" w:rsidP="00217D32">
          <w:pPr>
            <w:pStyle w:val="FirstFooter"/>
            <w:tabs>
              <w:tab w:val="left" w:pos="1559"/>
              <w:tab w:val="left" w:pos="3828"/>
            </w:tabs>
            <w:rPr>
              <w:sz w:val="18"/>
              <w:szCs w:val="18"/>
            </w:rPr>
          </w:pPr>
          <w:bookmarkStart w:id="18" w:name="Email"/>
          <w:bookmarkEnd w:id="18"/>
          <w:r w:rsidRPr="00C100BE">
            <w:rPr>
              <w:sz w:val="18"/>
              <w:szCs w:val="18"/>
            </w:rPr>
            <w:t>Contact:</w:t>
          </w:r>
        </w:p>
      </w:tc>
      <w:tc>
        <w:tcPr>
          <w:tcW w:w="2268" w:type="dxa"/>
          <w:tcBorders>
            <w:top w:val="single" w:sz="4" w:space="0" w:color="000000" w:themeColor="text1"/>
          </w:tcBorders>
        </w:tcPr>
        <w:p w:rsidR="00217D32" w:rsidRPr="00C100BE" w:rsidRDefault="00217D32" w:rsidP="00217D32">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217D32" w:rsidRPr="00285980" w:rsidRDefault="00217D32" w:rsidP="00217D32">
          <w:pPr>
            <w:pStyle w:val="FirstFooter"/>
            <w:tabs>
              <w:tab w:val="clear" w:pos="2268"/>
              <w:tab w:val="clear" w:pos="2552"/>
              <w:tab w:val="left" w:pos="794"/>
              <w:tab w:val="left" w:pos="1191"/>
              <w:tab w:val="left" w:pos="1588"/>
              <w:tab w:val="left" w:pos="1985"/>
              <w:tab w:val="left" w:pos="2302"/>
            </w:tabs>
            <w:rPr>
              <w:sz w:val="18"/>
              <w:szCs w:val="18"/>
            </w:rPr>
          </w:pPr>
          <w:r w:rsidRPr="00285980">
            <w:rPr>
              <w:sz w:val="18"/>
              <w:szCs w:val="18"/>
            </w:rPr>
            <w:t>M. Kenji Kuramochi, Gestion internationale et interinstitutions, Conseil national des télécommunications (CONATEL)</w:t>
          </w:r>
        </w:p>
      </w:tc>
    </w:tr>
    <w:tr w:rsidR="00217D32" w:rsidRPr="00C100BE" w:rsidTr="00D42EE8">
      <w:tc>
        <w:tcPr>
          <w:tcW w:w="1526" w:type="dxa"/>
        </w:tcPr>
        <w:p w:rsidR="00217D32" w:rsidRPr="00217D32" w:rsidRDefault="00217D32" w:rsidP="00217D32">
          <w:pPr>
            <w:pStyle w:val="FirstFooter"/>
            <w:tabs>
              <w:tab w:val="left" w:pos="1559"/>
              <w:tab w:val="left" w:pos="3828"/>
            </w:tabs>
            <w:rPr>
              <w:sz w:val="20"/>
              <w:lang w:val="fr-CH"/>
            </w:rPr>
          </w:pPr>
        </w:p>
      </w:tc>
      <w:tc>
        <w:tcPr>
          <w:tcW w:w="2268" w:type="dxa"/>
        </w:tcPr>
        <w:p w:rsidR="00217D32" w:rsidRPr="00C100BE" w:rsidRDefault="00217D32" w:rsidP="00217D32">
          <w:pPr>
            <w:pStyle w:val="FirstFooter"/>
            <w:ind w:left="2160" w:hanging="2160"/>
            <w:rPr>
              <w:sz w:val="18"/>
              <w:szCs w:val="18"/>
              <w:lang w:val="en-US"/>
            </w:rPr>
          </w:pPr>
          <w:r w:rsidRPr="00C100BE">
            <w:rPr>
              <w:sz w:val="18"/>
              <w:szCs w:val="18"/>
              <w:lang w:val="fr-CH"/>
            </w:rPr>
            <w:t>Numéro de téléphone:</w:t>
          </w:r>
        </w:p>
      </w:tc>
      <w:tc>
        <w:tcPr>
          <w:tcW w:w="6237" w:type="dxa"/>
        </w:tcPr>
        <w:p w:rsidR="00217D32" w:rsidRPr="00513580" w:rsidRDefault="00217D32" w:rsidP="00217D32">
          <w:pPr>
            <w:pStyle w:val="FirstFooter"/>
            <w:ind w:left="2160" w:hanging="2160"/>
            <w:rPr>
              <w:sz w:val="18"/>
              <w:szCs w:val="18"/>
              <w:lang w:val="es-ES"/>
            </w:rPr>
          </w:pPr>
          <w:r w:rsidRPr="00513580">
            <w:rPr>
              <w:sz w:val="18"/>
              <w:szCs w:val="18"/>
              <w:lang w:val="es-ES"/>
            </w:rPr>
            <w:t>+595 21 438 2621</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744E0C" w:rsidP="00D42EE8">
          <w:pPr>
            <w:pStyle w:val="FirstFooter"/>
            <w:ind w:left="2160" w:hanging="2160"/>
            <w:rPr>
              <w:sz w:val="18"/>
              <w:szCs w:val="18"/>
              <w:lang w:val="en-US"/>
            </w:rPr>
          </w:pPr>
          <w:hyperlink r:id="rId1" w:history="1">
            <w:r w:rsidR="00217D32" w:rsidRPr="00513580">
              <w:rPr>
                <w:rStyle w:val="Hyperlink"/>
                <w:sz w:val="18"/>
                <w:szCs w:val="18"/>
                <w:lang w:val="es-ES"/>
              </w:rPr>
              <w:t>kenji@conatel.gov.py</w:t>
            </w:r>
          </w:hyperlink>
        </w:p>
      </w:tc>
    </w:tr>
  </w:tbl>
  <w:p w:rsidR="00000B37" w:rsidRPr="00784E03" w:rsidRDefault="00744E0C"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5" w:name="OLE_LINK3"/>
    <w:bookmarkStart w:id="16" w:name="OLE_LINK2"/>
    <w:bookmarkStart w:id="17" w:name="OLE_LINK1"/>
    <w:r w:rsidR="00F569A4">
      <w:rPr>
        <w:sz w:val="22"/>
        <w:szCs w:val="22"/>
      </w:rPr>
      <w:t>26(Ré</w:t>
    </w:r>
    <w:r w:rsidR="007934DB" w:rsidRPr="00A74B99">
      <w:rPr>
        <w:sz w:val="22"/>
        <w:szCs w:val="22"/>
      </w:rPr>
      <w:t>v.1)</w:t>
    </w:r>
    <w:bookmarkEnd w:id="15"/>
    <w:bookmarkEnd w:id="16"/>
    <w:bookmarkEnd w:id="1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44E0C">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65"/>
    <w:rsid w:val="001A5EE2"/>
    <w:rsid w:val="001D264E"/>
    <w:rsid w:val="001E5AA3"/>
    <w:rsid w:val="001E6D58"/>
    <w:rsid w:val="00200C7F"/>
    <w:rsid w:val="00201540"/>
    <w:rsid w:val="00212DA6"/>
    <w:rsid w:val="0021388F"/>
    <w:rsid w:val="00217D32"/>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91EB2"/>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568D6"/>
    <w:rsid w:val="00663A56"/>
    <w:rsid w:val="00680B7C"/>
    <w:rsid w:val="00695438"/>
    <w:rsid w:val="006A1325"/>
    <w:rsid w:val="006A23C2"/>
    <w:rsid w:val="006A3AA9"/>
    <w:rsid w:val="006D6BBE"/>
    <w:rsid w:val="006E5096"/>
    <w:rsid w:val="006F2CB3"/>
    <w:rsid w:val="00700D0A"/>
    <w:rsid w:val="00706AFE"/>
    <w:rsid w:val="00725BB4"/>
    <w:rsid w:val="00726ADF"/>
    <w:rsid w:val="00744E0C"/>
    <w:rsid w:val="007547E3"/>
    <w:rsid w:val="0076554A"/>
    <w:rsid w:val="00772137"/>
    <w:rsid w:val="00783838"/>
    <w:rsid w:val="00790A74"/>
    <w:rsid w:val="007934DB"/>
    <w:rsid w:val="00794165"/>
    <w:rsid w:val="007A553A"/>
    <w:rsid w:val="007C09B2"/>
    <w:rsid w:val="007D1806"/>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E574E"/>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569A4"/>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c012726-1eec-4af3-88be-6911332a4cee">DPM</DPM_x0020_Author>
    <DPM_x0020_File_x0020_name xmlns="6c012726-1eec-4af3-88be-6911332a4cee">D14-WTDC17-C-0026!R1!MSW-F</DPM_x0020_File_x0020_name>
    <DPM_x0020_Version xmlns="6c012726-1eec-4af3-88be-6911332a4cee">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012726-1eec-4af3-88be-6911332a4cee" targetNamespace="http://schemas.microsoft.com/office/2006/metadata/properties" ma:root="true" ma:fieldsID="d41af5c836d734370eb92e7ee5f83852" ns2:_="" ns3:_="">
    <xsd:import namespace="996b2e75-67fd-4955-a3b0-5ab9934cb50b"/>
    <xsd:import namespace="6c012726-1eec-4af3-88be-6911332a4c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012726-1eec-4af3-88be-6911332a4c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6c012726-1eec-4af3-88be-6911332a4cee"/>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012726-1eec-4af3-88be-6911332a4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C04D-2D14-4920-8350-2B086D05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1918</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D14-WTDC17-C-0026!R1!MSW-F</vt:lpstr>
    </vt:vector>
  </TitlesOfParts>
  <Manager>General Secretariat - Pool</Manager>
  <Company>International Telecommunication Union (ITU)</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D14-WTDC17-C-0026!R1!MSW-F</dc:title>
  <dc:creator>Documents Proposals Manager (DPM)</dc:creator>
  <cp:keywords>DPM_v2017.9.27.2_prod</cp:keywords>
  <dc:description/>
  <cp:lastModifiedBy>Alidra, Patricia</cp:lastModifiedBy>
  <cp:revision>9</cp:revision>
  <cp:lastPrinted>2006-02-14T19:11:00Z</cp:lastPrinted>
  <dcterms:created xsi:type="dcterms:W3CDTF">2017-09-28T13:36:00Z</dcterms:created>
  <dcterms:modified xsi:type="dcterms:W3CDTF">2017-09-29T06:36:00Z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