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WTDC-17/23 (Rev.1)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10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5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原文：俄文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AC3A0C" w:rsidRDefault="00F70D39" w:rsidP="00AC3A0C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F70D39">
              <w:rPr>
                <w:lang w:eastAsia="zh-CN"/>
              </w:rPr>
              <w:t>作为区域通信联合体（</w:t>
            </w:r>
            <w:r w:rsidRPr="00F70D39">
              <w:rPr>
                <w:lang w:eastAsia="zh-CN"/>
              </w:rPr>
              <w:t>RCC</w:t>
            </w:r>
            <w:r w:rsidRPr="00F70D39">
              <w:rPr>
                <w:lang w:eastAsia="zh-CN"/>
              </w:rPr>
              <w:t>）成员的国际电联成员国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AC3A0C" w:rsidRDefault="00AC3A0C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 w:rsidRPr="00D31948">
              <w:rPr>
                <w:rFonts w:hint="eastAsia"/>
                <w:lang w:eastAsia="zh-CN"/>
              </w:rPr>
              <w:t>RCC</w:t>
            </w:r>
            <w:r w:rsidRPr="00D31948">
              <w:rPr>
                <w:rFonts w:hint="eastAsia"/>
                <w:lang w:eastAsia="zh-CN"/>
              </w:rPr>
              <w:t>有关大会工作的共同提案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013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0C" w:rsidRDefault="00AC3A0C" w:rsidP="00AC3A0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171C7E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AC3A0C" w:rsidRDefault="00AC3A0C" w:rsidP="00AC3A0C">
            <w:pPr>
              <w:pStyle w:val="enumlev1"/>
              <w:rPr>
                <w:caps/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战略规划</w:t>
            </w:r>
          </w:p>
          <w:p w:rsidR="00AC3A0C" w:rsidRPr="00147DA1" w:rsidRDefault="00AC3A0C" w:rsidP="00AC3A0C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 w:rsidRPr="00C71810">
              <w:rPr>
                <w:rFonts w:hint="eastAsia"/>
                <w:lang w:eastAsia="zh-CN"/>
              </w:rPr>
              <w:t>行动计划</w:t>
            </w:r>
          </w:p>
          <w:p w:rsidR="00AC3A0C" w:rsidRDefault="00AC3A0C" w:rsidP="00AC3A0C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 w:rsidRPr="00C71810">
              <w:rPr>
                <w:rFonts w:hint="eastAsia"/>
                <w:lang w:eastAsia="zh-CN"/>
              </w:rPr>
              <w:t>宣言</w:t>
            </w:r>
          </w:p>
          <w:p w:rsidR="00AC3A0C" w:rsidRDefault="00AC3A0C" w:rsidP="00AC3A0C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 w:rsidRPr="00C71810">
              <w:rPr>
                <w:lang w:eastAsia="zh-CN"/>
              </w:rPr>
              <w:t>ITU-D</w:t>
            </w:r>
            <w:r w:rsidRPr="00C71810">
              <w:rPr>
                <w:lang w:eastAsia="zh-CN"/>
              </w:rPr>
              <w:t>《议事规则》（第</w:t>
            </w:r>
            <w:r w:rsidRPr="00C71810">
              <w:rPr>
                <w:lang w:eastAsia="zh-CN"/>
              </w:rPr>
              <w:t>1</w:t>
            </w:r>
            <w:r w:rsidRPr="00C71810">
              <w:rPr>
                <w:lang w:eastAsia="zh-CN"/>
              </w:rPr>
              <w:t>号决议</w:t>
            </w:r>
            <w:r w:rsidRPr="00C71810">
              <w:rPr>
                <w:rFonts w:hint="eastAsia"/>
                <w:lang w:eastAsia="zh-CN"/>
              </w:rPr>
              <w:t>）</w:t>
            </w:r>
          </w:p>
          <w:p w:rsidR="00AC3A0C" w:rsidRDefault="00AC3A0C" w:rsidP="00AC3A0C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决议和建议</w:t>
            </w:r>
          </w:p>
          <w:p w:rsidR="00AC3A0C" w:rsidRDefault="00AC3A0C" w:rsidP="00AC3A0C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区域性举措</w:t>
            </w:r>
          </w:p>
          <w:p w:rsidR="00AC3A0C" w:rsidRDefault="00AC3A0C" w:rsidP="00AC3A0C">
            <w:pPr>
              <w:pStyle w:val="enumlev1"/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其他提案</w:t>
            </w:r>
          </w:p>
          <w:p w:rsidR="00AC3A0C" w:rsidRDefault="00AC3A0C" w:rsidP="00AC3A0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171C7E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AC3A0C" w:rsidRPr="004C0925" w:rsidRDefault="00AC3A0C" w:rsidP="00AC3A0C">
            <w:pPr>
              <w:ind w:firstLineChars="200" w:firstLine="480"/>
              <w:rPr>
                <w:lang w:eastAsia="zh-CN"/>
              </w:rPr>
            </w:pPr>
            <w:r w:rsidRPr="004C0925">
              <w:rPr>
                <w:rFonts w:hint="eastAsia"/>
                <w:lang w:eastAsia="zh-CN"/>
              </w:rPr>
              <w:t>为加强国际电信合作，</w:t>
            </w:r>
            <w:r w:rsidRPr="004C0925">
              <w:rPr>
                <w:rFonts w:hint="eastAsia"/>
                <w:lang w:eastAsia="zh-CN"/>
              </w:rPr>
              <w:t>RCC</w:t>
            </w:r>
            <w:r w:rsidRPr="004C0925">
              <w:rPr>
                <w:rFonts w:hint="eastAsia"/>
                <w:lang w:eastAsia="zh-CN"/>
              </w:rPr>
              <w:t>成员国主管部门拟定了这些提案，其中包括独联体区域举措，所基于的考虑是，采用平衡和协商一致的发展政策、实施并利用现代电信和</w:t>
            </w:r>
            <w:r w:rsidRPr="004C0925">
              <w:rPr>
                <w:rFonts w:hint="eastAsia"/>
                <w:lang w:eastAsia="zh-CN"/>
              </w:rPr>
              <w:t>ICT</w:t>
            </w:r>
            <w:r w:rsidRPr="004C0925">
              <w:rPr>
                <w:rFonts w:hint="eastAsia"/>
                <w:lang w:eastAsia="zh-CN"/>
              </w:rPr>
              <w:t>设施，用于缩小不同地区间的数字技术鸿沟（包括宽带接入方面），并用于建立一个有利环境并促进</w:t>
            </w:r>
            <w:r w:rsidRPr="004C0925">
              <w:rPr>
                <w:rFonts w:hint="eastAsia"/>
                <w:lang w:eastAsia="zh-CN"/>
              </w:rPr>
              <w:t>ICT</w:t>
            </w:r>
            <w:r w:rsidRPr="004C0925">
              <w:rPr>
                <w:rFonts w:hint="eastAsia"/>
                <w:lang w:eastAsia="zh-CN"/>
              </w:rPr>
              <w:t>领域的能力建设，将有利于本区域各国成功建立一个包容、以发展为导向、极其重视人的利益的信息社会。</w:t>
            </w:r>
          </w:p>
          <w:p w:rsidR="00AC3A0C" w:rsidRPr="004C0925" w:rsidRDefault="00AC3A0C" w:rsidP="00AC3A0C">
            <w:pPr>
              <w:ind w:firstLineChars="200" w:firstLine="480"/>
              <w:rPr>
                <w:lang w:eastAsia="zh-CN"/>
              </w:rPr>
            </w:pPr>
            <w:r w:rsidRPr="004C0925">
              <w:rPr>
                <w:rFonts w:hint="eastAsia"/>
                <w:lang w:eastAsia="zh-CN"/>
              </w:rPr>
              <w:t>具体提案见本文件补遗。</w:t>
            </w:r>
          </w:p>
          <w:p w:rsidR="00013ACF" w:rsidRDefault="00AC3A0C" w:rsidP="00AC3A0C">
            <w:pPr>
              <w:ind w:firstLineChars="200" w:firstLine="480"/>
              <w:rPr>
                <w:szCs w:val="24"/>
                <w:lang w:eastAsia="zh-CN"/>
              </w:rPr>
            </w:pPr>
            <w:r w:rsidRPr="004C0925">
              <w:rPr>
                <w:rFonts w:hint="eastAsia"/>
                <w:lang w:eastAsia="zh-CN"/>
              </w:rPr>
              <w:t>附件中表格包含支持这些提案的</w:t>
            </w:r>
            <w:r w:rsidRPr="004C0925">
              <w:rPr>
                <w:rFonts w:hint="eastAsia"/>
                <w:lang w:eastAsia="zh-CN"/>
              </w:rPr>
              <w:t>RCC</w:t>
            </w:r>
            <w:r w:rsidRPr="004C0925">
              <w:rPr>
                <w:rFonts w:hint="eastAsia"/>
                <w:lang w:eastAsia="zh-CN"/>
              </w:rPr>
              <w:t>成员国</w:t>
            </w:r>
            <w:r w:rsidR="008E07D4">
              <w:rPr>
                <w:rFonts w:hint="eastAsia"/>
                <w:lang w:eastAsia="zh-CN"/>
              </w:rPr>
              <w:t>主管部门</w:t>
            </w:r>
            <w:r w:rsidRPr="004C0925">
              <w:rPr>
                <w:rFonts w:hint="eastAsia"/>
                <w:lang w:eastAsia="zh-CN"/>
              </w:rPr>
              <w:t>名单。</w:t>
            </w:r>
          </w:p>
        </w:tc>
      </w:tr>
    </w:tbl>
    <w:p w:rsidR="00AC3A0C" w:rsidRDefault="00AC3A0C" w:rsidP="00E36169">
      <w:pPr>
        <w:rPr>
          <w:lang w:eastAsia="zh-CN"/>
        </w:rPr>
        <w:sectPr w:rsidR="00AC3A0C" w:rsidSect="00BA20B6">
          <w:headerReference w:type="default" r:id="rId12"/>
          <w:footerReference w:type="defaul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10" w:name="dbreak"/>
      <w:bookmarkEnd w:id="10"/>
    </w:p>
    <w:p w:rsidR="007C3831" w:rsidRPr="003729DF" w:rsidRDefault="007C3831" w:rsidP="007C3831">
      <w:pPr>
        <w:pStyle w:val="Annextitle"/>
        <w:rPr>
          <w:lang w:eastAsia="zh-CN"/>
        </w:rPr>
      </w:pPr>
      <w:r w:rsidRPr="003729DF">
        <w:rPr>
          <w:rFonts w:cs="Microsoft YaHei"/>
          <w:lang w:eastAsia="zh-CN"/>
        </w:rPr>
        <w:lastRenderedPageBreak/>
        <w:t>赞同</w:t>
      </w:r>
      <w:r w:rsidRPr="003729DF">
        <w:rPr>
          <w:rFonts w:cs="Microsoft YaHei"/>
          <w:lang w:eastAsia="zh-CN"/>
        </w:rPr>
        <w:t>WTDC-17</w:t>
      </w:r>
      <w:r w:rsidRPr="003729DF">
        <w:rPr>
          <w:rFonts w:cs="Microsoft YaHei"/>
          <w:lang w:eastAsia="zh-CN"/>
        </w:rPr>
        <w:t>工作共同提案的区域通信联合体（</w:t>
      </w:r>
      <w:r w:rsidRPr="003729DF">
        <w:rPr>
          <w:rFonts w:cs="Microsoft YaHei"/>
          <w:lang w:eastAsia="zh-CN"/>
        </w:rPr>
        <w:t>RCC</w:t>
      </w:r>
      <w:r w:rsidRPr="003729DF">
        <w:rPr>
          <w:rFonts w:cs="Microsoft YaHei"/>
          <w:lang w:eastAsia="zh-CN"/>
        </w:rPr>
        <w:t>）成员主管部门名单</w:t>
      </w: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3831" w:rsidRPr="00E43988" w:rsidTr="00661319">
        <w:trPr>
          <w:cantSplit/>
          <w:trHeight w:val="1474"/>
          <w:tblHeader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补遗号码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831" w:rsidRPr="00CB6576" w:rsidRDefault="007C3831" w:rsidP="00661319">
            <w:pPr>
              <w:pStyle w:val="Tablehead"/>
              <w:rPr>
                <w:szCs w:val="22"/>
              </w:rPr>
            </w:pPr>
            <w:r w:rsidRPr="00CB6576">
              <w:rPr>
                <w:rFonts w:hint="eastAsia"/>
                <w:szCs w:val="22"/>
                <w:lang w:eastAsia="zh-CN"/>
              </w:rPr>
              <w:t>RCC</w:t>
            </w:r>
            <w:r w:rsidRPr="00CB6576">
              <w:rPr>
                <w:rFonts w:hint="eastAsia"/>
                <w:szCs w:val="22"/>
                <w:lang w:eastAsia="zh-CN"/>
              </w:rPr>
              <w:t>提案标题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阿塞拜疆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亚美尼亚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白俄罗斯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格鲁吉亚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哈萨克斯坦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吉尔吉斯斯坦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摩尔多瓦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</w:pPr>
            <w:r>
              <w:rPr>
                <w:rFonts w:hint="eastAsia"/>
                <w:lang w:eastAsia="zh-CN"/>
              </w:rPr>
              <w:t>俄罗斯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塔吉克斯坦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土库曼斯坦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乌兹别克斯坦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3831" w:rsidRPr="00E43988" w:rsidRDefault="007C3831" w:rsidP="00661319">
            <w:pPr>
              <w:pStyle w:val="Tablehead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乌克兰</w:t>
            </w:r>
          </w:p>
        </w:tc>
      </w:tr>
      <w:tr w:rsidR="007C3831" w:rsidRPr="00E43988" w:rsidTr="00661319">
        <w:trPr>
          <w:cantSplit/>
          <w:trHeight w:hRule="exact" w:val="340"/>
          <w:jc w:val="center"/>
        </w:trPr>
        <w:tc>
          <w:tcPr>
            <w:tcW w:w="7508" w:type="dxa"/>
            <w:gridSpan w:val="2"/>
            <w:tcBorders>
              <w:right w:val="nil"/>
            </w:tcBorders>
            <w:shd w:val="clear" w:color="auto" w:fill="FFFFCC"/>
          </w:tcPr>
          <w:p w:rsidR="007C3831" w:rsidRPr="00E43988" w:rsidRDefault="007C3831" w:rsidP="00661319">
            <w:pPr>
              <w:pStyle w:val="Tabletext"/>
              <w:rPr>
                <w:b/>
                <w:bCs/>
              </w:rPr>
            </w:pPr>
            <w:r w:rsidRPr="00E43988">
              <w:rPr>
                <w:b/>
                <w:bCs/>
              </w:rPr>
              <w:t>I</w:t>
            </w:r>
            <w:r w:rsidRPr="00E43988"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  <w:lang w:eastAsia="zh-CN"/>
              </w:rPr>
              <w:t>一般文件</w:t>
            </w:r>
          </w:p>
        </w:tc>
        <w:tc>
          <w:tcPr>
            <w:tcW w:w="6804" w:type="dxa"/>
            <w:gridSpan w:val="12"/>
            <w:tcBorders>
              <w:left w:val="nil"/>
            </w:tcBorders>
            <w:shd w:val="clear" w:color="auto" w:fill="FFFFCC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240" w:after="240"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tabs>
                <w:tab w:val="clear" w:pos="1985"/>
              </w:tabs>
              <w:ind w:left="-113"/>
              <w:jc w:val="center"/>
            </w:pPr>
            <w:r w:rsidRPr="00E43988">
              <w:t>1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</w:rPr>
            </w:pPr>
            <w:r w:rsidRPr="00A343C4">
              <w:rPr>
                <w:rFonts w:hint="eastAsia"/>
              </w:rPr>
              <w:t>《</w:t>
            </w:r>
            <w:r w:rsidRPr="00A343C4">
              <w:rPr>
                <w:rFonts w:hint="eastAsia"/>
              </w:rPr>
              <w:t>WTDC-17</w:t>
            </w:r>
            <w:proofErr w:type="spellStart"/>
            <w:r w:rsidR="00CE087E">
              <w:rPr>
                <w:rFonts w:hint="eastAsia"/>
              </w:rPr>
              <w:t>宣言》</w:t>
            </w:r>
            <w:r w:rsidRPr="00A343C4">
              <w:rPr>
                <w:rFonts w:hint="eastAsia"/>
              </w:rPr>
              <w:t>草案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CE08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4312" w:type="dxa"/>
            <w:gridSpan w:val="14"/>
            <w:shd w:val="clear" w:color="auto" w:fill="FFFFCC"/>
          </w:tcPr>
          <w:p w:rsidR="007C3831" w:rsidRPr="00E43988" w:rsidRDefault="007C3831" w:rsidP="00661319">
            <w:pPr>
              <w:pStyle w:val="Tabletext"/>
              <w:rPr>
                <w:rFonts w:ascii="Times New Roman" w:hAnsi="Times New Roman"/>
                <w:sz w:val="24"/>
                <w:szCs w:val="24"/>
              </w:rPr>
            </w:pPr>
            <w:r w:rsidRPr="00E43988">
              <w:rPr>
                <w:b/>
                <w:bCs/>
              </w:rPr>
              <w:t>II</w:t>
            </w:r>
            <w:r w:rsidRPr="00E43988"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  <w:lang w:eastAsia="zh-CN"/>
              </w:rPr>
              <w:t>区域性举措</w:t>
            </w: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Pr="00C26DD5">
              <w:rPr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区域性举措的提案</w:t>
            </w: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4312" w:type="dxa"/>
            <w:gridSpan w:val="14"/>
            <w:shd w:val="clear" w:color="auto" w:fill="FFFFCC"/>
          </w:tcPr>
          <w:p w:rsidR="007C3831" w:rsidRPr="00E43988" w:rsidRDefault="007C3831" w:rsidP="00661319">
            <w:pPr>
              <w:pStyle w:val="Tabletext"/>
              <w:rPr>
                <w:rFonts w:ascii="Times New Roman" w:hAnsi="Times New Roman"/>
                <w:sz w:val="24"/>
                <w:szCs w:val="24"/>
              </w:rPr>
            </w:pPr>
            <w:r w:rsidRPr="00E43988">
              <w:rPr>
                <w:b/>
                <w:bCs/>
              </w:rPr>
              <w:t>III</w:t>
            </w:r>
            <w:r w:rsidRPr="00E43988">
              <w:rPr>
                <w:b/>
              </w:rPr>
              <w:tab/>
            </w:r>
            <w:r>
              <w:rPr>
                <w:rFonts w:hint="eastAsia"/>
                <w:b/>
                <w:lang w:eastAsia="zh-CN"/>
              </w:rPr>
              <w:t>决议</w:t>
            </w: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3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“国际</w:t>
            </w:r>
            <w:r>
              <w:rPr>
                <w:lang w:eastAsia="zh-CN"/>
              </w:rPr>
              <w:t>电联电信发展部门的议事规则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修订</w:t>
            </w:r>
            <w:r>
              <w:rPr>
                <w:rFonts w:hint="eastAsia"/>
                <w:lang w:eastAsia="zh-CN"/>
              </w:rPr>
              <w:t>草</w:t>
            </w:r>
            <w:r>
              <w:rPr>
                <w:lang w:eastAsia="zh-CN"/>
              </w:rPr>
              <w:t>案</w:t>
            </w: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4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“研究组的设立”</w:t>
            </w:r>
            <w:r>
              <w:rPr>
                <w:lang w:eastAsia="zh-CN"/>
              </w:rPr>
              <w:t>修订</w:t>
            </w:r>
            <w:r>
              <w:rPr>
                <w:rFonts w:hint="eastAsia"/>
                <w:lang w:eastAsia="zh-CN"/>
              </w:rPr>
              <w:t>草案</w:t>
            </w: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5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号决议“</w:t>
            </w:r>
            <w:r w:rsidRPr="0041284D">
              <w:rPr>
                <w:lang w:eastAsia="zh-CN"/>
              </w:rPr>
              <w:t>信息和统计数据的收集和散发</w:t>
            </w:r>
            <w:r>
              <w:rPr>
                <w:rFonts w:hint="eastAsia"/>
                <w:lang w:eastAsia="zh-CN"/>
              </w:rPr>
              <w:t>”修订草案</w:t>
            </w: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6</w:t>
            </w:r>
          </w:p>
        </w:tc>
        <w:tc>
          <w:tcPr>
            <w:tcW w:w="5670" w:type="dxa"/>
          </w:tcPr>
          <w:p w:rsidR="007C3831" w:rsidRPr="00ED6E18" w:rsidRDefault="007C3831" w:rsidP="00661319">
            <w:pPr>
              <w:pStyle w:val="Tabletext"/>
              <w:rPr>
                <w:lang w:eastAsia="zh-CN"/>
              </w:rPr>
            </w:pPr>
            <w:r w:rsidRPr="00A343C4">
              <w:rPr>
                <w:lang w:eastAsia="zh-CN"/>
              </w:rPr>
              <w:t>WTDC</w:t>
            </w:r>
            <w:r w:rsidRPr="00A343C4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 w:rsidRPr="00A343C4">
              <w:rPr>
                <w:rFonts w:hint="eastAsia"/>
                <w:lang w:eastAsia="zh-CN"/>
              </w:rPr>
              <w:t>号</w:t>
            </w:r>
            <w:r w:rsidRPr="00A343C4"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A343C4">
              <w:rPr>
                <w:rFonts w:hint="eastAsia"/>
                <w:lang w:eastAsia="zh-CN"/>
              </w:rPr>
              <w:t>各国，特别是发展中国家</w:t>
            </w:r>
            <w:r>
              <w:rPr>
                <w:rFonts w:hint="eastAsia"/>
                <w:lang w:eastAsia="zh-CN"/>
              </w:rPr>
              <w:t>，</w:t>
            </w:r>
            <w:r w:rsidRPr="00A343C4">
              <w:rPr>
                <w:rFonts w:hint="eastAsia"/>
                <w:lang w:eastAsia="zh-CN"/>
              </w:rPr>
              <w:t>参与频谱管理</w:t>
            </w:r>
            <w:r>
              <w:rPr>
                <w:rFonts w:hint="eastAsia"/>
                <w:lang w:eastAsia="zh-CN"/>
              </w:rPr>
              <w:t>工作”</w:t>
            </w:r>
            <w:r w:rsidRPr="00A343C4">
              <w:rPr>
                <w:lang w:eastAsia="zh-CN"/>
              </w:rPr>
              <w:t>修订</w:t>
            </w:r>
            <w:r w:rsidRPr="00A343C4">
              <w:rPr>
                <w:rFonts w:hint="eastAsia"/>
                <w:lang w:eastAsia="zh-CN"/>
              </w:rPr>
              <w:t>草案</w:t>
            </w:r>
          </w:p>
        </w:tc>
        <w:tc>
          <w:tcPr>
            <w:tcW w:w="567" w:type="dxa"/>
            <w:shd w:val="clear" w:color="auto" w:fill="auto"/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7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2452B1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农村、闭塞地区及服务欠缺地区以及原住民社区的电信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信息通信技术服务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修订</w:t>
            </w:r>
            <w:r>
              <w:rPr>
                <w:rFonts w:hint="eastAsia"/>
                <w:lang w:eastAsia="zh-CN"/>
              </w:rPr>
              <w:t>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8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号决议“</w:t>
            </w:r>
            <w:r w:rsidRPr="004F0D73">
              <w:rPr>
                <w:rFonts w:cstheme="minorHAnsi"/>
                <w:lang w:eastAsia="zh-CN"/>
              </w:rPr>
              <w:t>应用研究与技术转让</w:t>
            </w:r>
            <w:r>
              <w:rPr>
                <w:rFonts w:hint="eastAsia"/>
                <w:lang w:eastAsia="zh-CN"/>
              </w:rPr>
              <w:t>”修订草案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Pr="00C26DD5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针对最不发达国家、小岛屿发展中国家、内陆发展中国家和经济转型国家采取的特别行动和措施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修订</w:t>
            </w:r>
            <w:r>
              <w:rPr>
                <w:rFonts w:hint="eastAsia"/>
                <w:lang w:eastAsia="zh-CN"/>
              </w:rPr>
              <w:t>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 w:after="200" w:line="276" w:lineRule="auto"/>
              <w:contextualSpacing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lastRenderedPageBreak/>
              <w:t>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/>
                <w:lang w:eastAsia="zh-CN"/>
              </w:rPr>
              <w:t>17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</w:t>
            </w:r>
            <w:r w:rsidRPr="00171C7E">
              <w:rPr>
                <w:rFonts w:ascii="Calibri" w:eastAsia="SimSun" w:hAnsi="Calibri"/>
                <w:color w:val="000000"/>
                <w:lang w:eastAsia="zh-CN"/>
              </w:rPr>
              <w:t>各区域批准的举措在国家、区域、区域间和全球范围内的实</w:t>
            </w:r>
            <w:r w:rsidRPr="00171C7E">
              <w:rPr>
                <w:rFonts w:ascii="Calibri" w:eastAsia="SimSun" w:hAnsi="Calibri" w:cs="SimSun" w:hint="eastAsia"/>
                <w:color w:val="000000"/>
                <w:lang w:eastAsia="zh-CN"/>
              </w:rPr>
              <w:t>施</w:t>
            </w:r>
            <w:r w:rsidRPr="00171C7E">
              <w:rPr>
                <w:rFonts w:ascii="Calibri" w:eastAsia="SimSun" w:hAnsi="Calibri" w:hint="eastAsia"/>
                <w:lang w:eastAsia="zh-CN"/>
              </w:rPr>
              <w:t>”</w:t>
            </w:r>
            <w:r w:rsidRPr="00171C7E">
              <w:rPr>
                <w:rFonts w:ascii="Calibri" w:eastAsia="SimSun" w:hAnsi="Calibri" w:cs="SimSun" w:hint="eastAsia"/>
                <w:color w:val="000000"/>
                <w:lang w:eastAsia="zh-CN"/>
              </w:rPr>
              <w:t>与第</w:t>
            </w:r>
            <w:r w:rsidRPr="00171C7E">
              <w:rPr>
                <w:rFonts w:ascii="Calibri" w:eastAsia="SimSun" w:hAnsi="Calibri" w:cs="SimSun"/>
                <w:color w:val="000000"/>
                <w:lang w:eastAsia="zh-CN"/>
              </w:rPr>
              <w:t>32</w:t>
            </w:r>
            <w:r w:rsidRPr="00171C7E">
              <w:rPr>
                <w:rFonts w:ascii="Calibri" w:eastAsia="SimSun" w:hAnsi="Calibri" w:cs="SimSun" w:hint="eastAsia"/>
                <w:color w:val="000000"/>
                <w:lang w:eastAsia="zh-CN"/>
              </w:rPr>
              <w:t>号决议“有关区域性举措的国际和区域合作”的</w:t>
            </w:r>
            <w:r w:rsidRPr="00171C7E">
              <w:rPr>
                <w:rFonts w:ascii="Calibri" w:eastAsia="SimSun" w:hAnsi="Calibri" w:hint="eastAsia"/>
                <w:lang w:eastAsia="zh-CN"/>
              </w:rPr>
              <w:t>合并草案。撤销第</w:t>
            </w:r>
            <w:r w:rsidRPr="00171C7E">
              <w:rPr>
                <w:rFonts w:ascii="Calibri" w:eastAsia="SimSun" w:hAnsi="Calibri" w:hint="eastAsia"/>
                <w:lang w:eastAsia="zh-CN"/>
              </w:rPr>
              <w:t>32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 w:hint="eastAsia"/>
                <w:lang w:eastAsia="zh-CN"/>
              </w:rPr>
              <w:t>2</w:t>
            </w:r>
            <w:r w:rsidRPr="00171C7E">
              <w:rPr>
                <w:rFonts w:ascii="Calibri" w:eastAsia="SimSun" w:hAnsi="Calibri"/>
                <w:lang w:eastAsia="zh-CN"/>
              </w:rPr>
              <w:t>0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现代电信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/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信息通信技术设施、服务和相关应用的非歧视性接入</w:t>
            </w:r>
            <w:r w:rsidRPr="00171C7E">
              <w:rPr>
                <w:rFonts w:ascii="Calibri" w:eastAsia="SimSun" w:hAnsi="Calibri" w:hint="eastAsia"/>
                <w:lang w:eastAsia="zh-CN"/>
              </w:rPr>
              <w:t>”修订草案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/>
                <w:lang w:eastAsia="zh-CN"/>
              </w:rPr>
              <w:t>21</w:t>
            </w:r>
            <w:r w:rsidRPr="00171C7E">
              <w:rPr>
                <w:rFonts w:ascii="Calibri" w:eastAsia="SimSun" w:hAnsi="Calibri" w:hint="eastAsia"/>
                <w:lang w:eastAsia="zh-CN"/>
              </w:rPr>
              <w:t>号</w:t>
            </w:r>
            <w:r w:rsidRPr="00171C7E">
              <w:rPr>
                <w:rFonts w:ascii="Calibri" w:eastAsia="SimSun" w:hAnsi="Calibri"/>
                <w:lang w:eastAsia="zh-CN"/>
              </w:rPr>
              <w:t>决议</w:t>
            </w:r>
            <w:r w:rsidRPr="00171C7E">
              <w:rPr>
                <w:rFonts w:ascii="Calibri" w:eastAsia="SimSun" w:hAnsi="Calibri" w:hint="eastAsia"/>
                <w:lang w:eastAsia="zh-CN"/>
              </w:rPr>
              <w:t>“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与区域性组织的协调和协作</w:t>
            </w:r>
            <w:r w:rsidRPr="00171C7E">
              <w:rPr>
                <w:rFonts w:ascii="Calibri" w:eastAsia="SimSun" w:hAnsi="Calibri" w:hint="eastAsia"/>
                <w:lang w:eastAsia="zh-CN"/>
              </w:rPr>
              <w:t>”</w:t>
            </w:r>
            <w:r w:rsidRPr="00171C7E">
              <w:rPr>
                <w:rFonts w:ascii="Calibri" w:eastAsia="SimSun" w:hAnsi="Calibri"/>
                <w:lang w:eastAsia="zh-CN"/>
              </w:rPr>
              <w:t>修订</w:t>
            </w:r>
            <w:r w:rsidRPr="00171C7E">
              <w:rPr>
                <w:rFonts w:ascii="Calibri" w:eastAsia="SimSun" w:hAnsi="Calibri" w:hint="eastAsia"/>
                <w:lang w:eastAsia="zh-CN"/>
              </w:rPr>
              <w:t>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 w:after="200" w:line="276" w:lineRule="auto"/>
              <w:contextualSpacing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第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22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号决议</w:t>
            </w:r>
            <w:r w:rsidRPr="00171C7E">
              <w:rPr>
                <w:rFonts w:ascii="Calibri" w:eastAsia="SimSun" w:hAnsi="Calibri" w:cstheme="minorHAnsi" w:hint="eastAsia"/>
                <w:lang w:eastAsia="zh-CN"/>
              </w:rPr>
              <w:t>“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国际电信网络的迂回呼叫程序，确定提供国际电信业务的始发地点以及所得收入的摊分</w:t>
            </w:r>
            <w:r w:rsidRPr="00171C7E">
              <w:rPr>
                <w:rFonts w:ascii="Calibri" w:eastAsia="SimSun" w:hAnsi="Calibri" w:cstheme="minorHAnsi" w:hint="eastAsia"/>
                <w:lang w:eastAsia="zh-CN"/>
              </w:rPr>
              <w:t>”</w:t>
            </w:r>
            <w:r w:rsidRPr="00171C7E">
              <w:rPr>
                <w:rFonts w:ascii="Calibri" w:eastAsia="SimSun" w:hAnsi="Calibri" w:hint="eastAsia"/>
                <w:lang w:eastAsia="zh-CN"/>
              </w:rPr>
              <w:t>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 w:hint="eastAsia"/>
                <w:lang w:eastAsia="zh-CN"/>
              </w:rPr>
              <w:t>23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号决议“国际电联电信发展部门在信息社会世界峰会成果落实工作中的作用”修订草案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 w:hint="eastAsia"/>
                <w:lang w:eastAsia="zh-CN"/>
              </w:rPr>
              <w:t>30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发展中国家的互联网接入与可</w:t>
            </w:r>
            <w:r w:rsidRPr="00171C7E">
              <w:rPr>
                <w:rFonts w:ascii="Calibri" w:eastAsia="SimSun" w:hAnsi="Calibri" w:cstheme="minorHAnsi" w:hint="eastAsia"/>
                <w:lang w:eastAsia="zh-CN"/>
              </w:rPr>
              <w:t>用</w:t>
            </w:r>
            <w:r w:rsidRPr="00171C7E">
              <w:rPr>
                <w:rFonts w:ascii="Calibri" w:eastAsia="SimSun" w:hAnsi="Calibri" w:cstheme="minorHAnsi"/>
                <w:lang w:eastAsia="zh-CN"/>
              </w:rPr>
              <w:t>性和国际互联网连接的收费原则</w:t>
            </w:r>
            <w:r w:rsidRPr="00171C7E">
              <w:rPr>
                <w:rFonts w:ascii="Calibri" w:eastAsia="SimSun" w:hAnsi="Calibri" w:hint="eastAsia"/>
                <w:lang w:eastAsia="zh-CN"/>
              </w:rPr>
              <w:t>”修订草案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 w:hint="eastAsia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/>
                <w:lang w:eastAsia="zh-CN"/>
              </w:rPr>
              <w:t>34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</w:t>
            </w:r>
            <w:r w:rsidRPr="00171C7E">
              <w:rPr>
                <w:rFonts w:ascii="Calibri" w:eastAsia="SimSun" w:hAnsi="Calibri"/>
                <w:color w:val="000000"/>
                <w:lang w:eastAsia="zh-CN"/>
              </w:rPr>
              <w:t>电信</w:t>
            </w:r>
            <w:r w:rsidRPr="00171C7E">
              <w:rPr>
                <w:rFonts w:ascii="Calibri" w:eastAsia="SimSun" w:hAnsi="Calibri"/>
                <w:color w:val="000000"/>
                <w:lang w:eastAsia="zh-CN"/>
              </w:rPr>
              <w:t>/</w:t>
            </w:r>
            <w:r w:rsidRPr="00171C7E">
              <w:rPr>
                <w:rFonts w:ascii="Calibri" w:eastAsia="SimSun" w:hAnsi="Calibri"/>
                <w:color w:val="000000"/>
                <w:lang w:eastAsia="zh-CN"/>
              </w:rPr>
              <w:t>信息通信技术在备灾、早期预警、救援、减灾、赈灾和灾害响应方面的作</w:t>
            </w:r>
            <w:r w:rsidRPr="00171C7E">
              <w:rPr>
                <w:rFonts w:ascii="Calibri" w:eastAsia="SimSun" w:hAnsi="Calibri" w:cs="SimSun" w:hint="eastAsia"/>
                <w:color w:val="000000"/>
                <w:lang w:eastAsia="zh-CN"/>
              </w:rPr>
              <w:t>用</w:t>
            </w:r>
            <w:r w:rsidRPr="00171C7E">
              <w:rPr>
                <w:rFonts w:ascii="Calibri" w:eastAsia="SimSun" w:hAnsi="Calibri" w:hint="eastAsia"/>
                <w:lang w:eastAsia="zh-CN"/>
              </w:rPr>
              <w:t>”修订案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 w:after="200" w:line="276" w:lineRule="auto"/>
              <w:contextualSpacing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b/>
                <w:bCs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 w:hint="eastAsia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 w:hint="eastAsia"/>
                <w:lang w:eastAsia="zh-CN"/>
              </w:rPr>
              <w:t>37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</w:t>
            </w:r>
            <w:r w:rsidRPr="00171C7E">
              <w:rPr>
                <w:rFonts w:ascii="Calibri" w:eastAsia="SimSun" w:hAnsi="Calibri"/>
                <w:lang w:eastAsia="zh-CN"/>
              </w:rPr>
              <w:t>弥合数字鸿沟</w:t>
            </w:r>
            <w:r w:rsidRPr="00171C7E">
              <w:rPr>
                <w:rFonts w:ascii="Calibri" w:eastAsia="SimSun" w:hAnsi="Calibri" w:hint="eastAsia"/>
                <w:lang w:eastAsia="zh-CN"/>
              </w:rPr>
              <w:t>”与第</w:t>
            </w:r>
            <w:r w:rsidRPr="00171C7E">
              <w:rPr>
                <w:rFonts w:ascii="Calibri" w:eastAsia="SimSun" w:hAnsi="Calibri" w:hint="eastAsia"/>
                <w:lang w:eastAsia="zh-CN"/>
              </w:rPr>
              <w:t>50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号决议“信息通信技术的最佳整合”和第</w:t>
            </w:r>
            <w:r w:rsidRPr="00171C7E">
              <w:rPr>
                <w:rFonts w:ascii="Calibri" w:eastAsia="SimSun" w:hAnsi="Calibri" w:hint="eastAsia"/>
                <w:lang w:eastAsia="zh-CN"/>
              </w:rPr>
              <w:t>54</w:t>
            </w:r>
            <w:r w:rsidRPr="00171C7E">
              <w:rPr>
                <w:rFonts w:ascii="Calibri" w:eastAsia="SimSun" w:hAnsi="Calibri" w:hint="eastAsia"/>
                <w:lang w:eastAsia="zh-CN"/>
              </w:rPr>
              <w:t>分号决议“信息通信技术的应用”的合并</w:t>
            </w:r>
            <w:r w:rsidRPr="00171C7E">
              <w:rPr>
                <w:rFonts w:ascii="Calibri" w:eastAsia="SimSun" w:hAnsi="Calibri"/>
                <w:lang w:eastAsia="zh-CN"/>
              </w:rPr>
              <w:t>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 w:hint="eastAsia"/>
                <w:lang w:eastAsia="zh-CN"/>
              </w:rPr>
              <w:t>43</w:t>
            </w:r>
            <w:r w:rsidRPr="00171C7E">
              <w:rPr>
                <w:rFonts w:ascii="Calibri" w:eastAsia="SimSun" w:hAnsi="Calibri" w:hint="eastAsia"/>
                <w:lang w:eastAsia="zh-CN"/>
              </w:rPr>
              <w:t>号决议“协助</w:t>
            </w:r>
            <w:r w:rsidRPr="00171C7E">
              <w:rPr>
                <w:rFonts w:ascii="Calibri" w:eastAsia="SimSun" w:hAnsi="Calibri" w:hint="eastAsia"/>
                <w:lang w:eastAsia="zh-CN"/>
              </w:rPr>
              <w:t>IMT</w:t>
            </w:r>
            <w:r w:rsidR="00171C7E">
              <w:rPr>
                <w:rFonts w:ascii="Calibri" w:eastAsia="SimSun" w:hAnsi="Calibri"/>
                <w:lang w:eastAsia="zh-CN"/>
              </w:rPr>
              <w:t xml:space="preserve"> </w:t>
            </w:r>
            <w:r w:rsidR="00171C7E" w:rsidRPr="00171C7E">
              <w:rPr>
                <w:rFonts w:ascii="Calibri" w:eastAsia="SimSun" w:hAnsi="Calibri"/>
                <w:lang w:eastAsia="zh-CN"/>
              </w:rPr>
              <w:t>–</w:t>
            </w:r>
            <w:r w:rsidR="00171C7E">
              <w:rPr>
                <w:rFonts w:ascii="Calibri" w:eastAsia="SimSun" w:hAnsi="Calibri"/>
                <w:lang w:eastAsia="zh-CN"/>
              </w:rPr>
              <w:t xml:space="preserve"> </w:t>
            </w:r>
            <w:r w:rsidRPr="00171C7E">
              <w:rPr>
                <w:rFonts w:ascii="Calibri" w:eastAsia="SimSun" w:hAnsi="Calibri" w:hint="eastAsia"/>
                <w:lang w:eastAsia="zh-CN"/>
              </w:rPr>
              <w:t>国际移动通信的落实工作”修订草案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19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171C7E" w:rsidRDefault="007C3831" w:rsidP="00661319">
            <w:pPr>
              <w:pStyle w:val="Tabletext"/>
              <w:rPr>
                <w:rFonts w:ascii="Calibri" w:eastAsia="SimSun" w:hAnsi="Calibri"/>
                <w:highlight w:val="yellow"/>
                <w:lang w:eastAsia="zh-CN"/>
              </w:rPr>
            </w:pPr>
            <w:r w:rsidRPr="00171C7E">
              <w:rPr>
                <w:rFonts w:ascii="Calibri" w:eastAsia="SimSun" w:hAnsi="Calibri"/>
                <w:lang w:eastAsia="zh-CN"/>
              </w:rPr>
              <w:t>WTDC</w:t>
            </w:r>
            <w:r w:rsidRPr="00171C7E">
              <w:rPr>
                <w:rFonts w:ascii="Calibri" w:eastAsia="SimSun" w:hAnsi="Calibri" w:hint="eastAsia"/>
                <w:lang w:eastAsia="zh-CN"/>
              </w:rPr>
              <w:t>第</w:t>
            </w:r>
            <w:r w:rsidRPr="00171C7E">
              <w:rPr>
                <w:rFonts w:ascii="Calibri" w:eastAsia="SimSun" w:hAnsi="Calibri"/>
                <w:lang w:eastAsia="zh-CN"/>
              </w:rPr>
              <w:t>45</w:t>
            </w:r>
            <w:r w:rsidRPr="00171C7E">
              <w:rPr>
                <w:rFonts w:ascii="Calibri" w:eastAsia="SimSun" w:hAnsi="Calibri" w:hint="eastAsia"/>
                <w:lang w:eastAsia="zh-CN"/>
              </w:rPr>
              <w:t>号</w:t>
            </w:r>
            <w:r w:rsidRPr="00171C7E">
              <w:rPr>
                <w:rFonts w:ascii="Calibri" w:eastAsia="SimSun" w:hAnsi="Calibri"/>
                <w:lang w:eastAsia="zh-CN"/>
              </w:rPr>
              <w:t>决议</w:t>
            </w:r>
            <w:r w:rsidR="00171C7E" w:rsidRPr="00171C7E">
              <w:rPr>
                <w:rFonts w:ascii="SimSun" w:eastAsia="SimSun" w:hAnsi="SimSun"/>
                <w:lang w:eastAsia="zh-CN"/>
              </w:rPr>
              <w:t>“</w:t>
            </w:r>
            <w:r w:rsidRPr="00171C7E">
              <w:rPr>
                <w:rFonts w:ascii="Calibri" w:eastAsia="SimSun" w:hAnsi="Calibri" w:hint="eastAsia"/>
                <w:szCs w:val="24"/>
                <w:lang w:eastAsia="zh-CN"/>
              </w:rPr>
              <w:t>加强在网络安全（包括抵制和打击垃圾信息）领域合作的机制</w:t>
            </w:r>
            <w:r w:rsidR="00171C7E" w:rsidRPr="00171C7E">
              <w:rPr>
                <w:rFonts w:ascii="SimSun" w:eastAsia="SimSun" w:hAnsi="SimSun"/>
                <w:szCs w:val="24"/>
                <w:lang w:eastAsia="zh-CN"/>
              </w:rPr>
              <w:t>”</w:t>
            </w:r>
            <w:r w:rsidRPr="00171C7E">
              <w:rPr>
                <w:rFonts w:ascii="Calibri" w:eastAsia="SimSun" w:hAnsi="Calibri" w:hint="eastAsia"/>
                <w:lang w:eastAsia="zh-CN"/>
              </w:rPr>
              <w:t>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  <w:p w:rsidR="007C3831" w:rsidRPr="00E43988" w:rsidRDefault="007C3831" w:rsidP="0066131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lastRenderedPageBreak/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47</w:t>
            </w:r>
            <w:r>
              <w:rPr>
                <w:rFonts w:hint="eastAsia"/>
                <w:lang w:eastAsia="zh-CN"/>
              </w:rPr>
              <w:t>号决议“</w:t>
            </w:r>
            <w:r w:rsidRPr="004F0D73">
              <w:rPr>
                <w:rFonts w:cstheme="minorHAnsi"/>
                <w:lang w:eastAsia="zh-CN"/>
              </w:rPr>
              <w:t>在发展中国家普及有关国际电联建议书的知识和有效使用建议书，包括对按照国际电联建议书生产的系统进行一致性和互操作性测试</w:t>
            </w:r>
            <w:r>
              <w:rPr>
                <w:rFonts w:hint="eastAsia"/>
                <w:lang w:eastAsia="zh-CN"/>
              </w:rPr>
              <w:t>”修订草案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21</w:t>
            </w:r>
          </w:p>
        </w:tc>
        <w:tc>
          <w:tcPr>
            <w:tcW w:w="5670" w:type="dxa"/>
          </w:tcPr>
          <w:p w:rsidR="007C3831" w:rsidRPr="007A05A1" w:rsidRDefault="007C3831" w:rsidP="00171C7E">
            <w:pPr>
              <w:pStyle w:val="Tabletext"/>
              <w:rPr>
                <w:highlight w:val="yellow"/>
                <w:lang w:eastAsia="zh-CN"/>
              </w:rPr>
            </w:pPr>
            <w:r w:rsidRPr="000262AF">
              <w:rPr>
                <w:lang w:eastAsia="zh-CN"/>
              </w:rPr>
              <w:t>WTDC</w:t>
            </w:r>
            <w:r w:rsidRPr="000262AF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48</w:t>
            </w:r>
            <w:r w:rsidRPr="000262AF">
              <w:rPr>
                <w:rFonts w:hint="eastAsia"/>
                <w:lang w:eastAsia="zh-CN"/>
              </w:rPr>
              <w:t>号决议</w:t>
            </w:r>
            <w:r w:rsidRPr="007B4366">
              <w:rPr>
                <w:rFonts w:asciiTheme="minorEastAsia" w:hAnsiTheme="minorEastAsia"/>
                <w:lang w:eastAsia="zh-CN"/>
              </w:rPr>
              <w:t>“</w:t>
            </w:r>
            <w:r w:rsidRPr="004E1B03">
              <w:rPr>
                <w:rFonts w:hint="eastAsia"/>
                <w:lang w:eastAsia="zh-CN"/>
              </w:rPr>
              <w:t>加强电信监管机构间的合作</w:t>
            </w:r>
            <w:r w:rsidRPr="007B4366">
              <w:rPr>
                <w:rFonts w:asciiTheme="minorEastAsia" w:hAnsiTheme="minorEastAsia"/>
                <w:lang w:eastAsia="zh-CN"/>
              </w:rPr>
              <w:t>”</w:t>
            </w:r>
            <w:r w:rsidR="00A4036F">
              <w:rPr>
                <w:rFonts w:hint="eastAsia"/>
                <w:lang w:eastAsia="zh-CN"/>
              </w:rPr>
              <w:t>修订</w:t>
            </w:r>
            <w:r>
              <w:rPr>
                <w:rFonts w:hint="eastAsia"/>
                <w:lang w:eastAsia="zh-CN"/>
              </w:rPr>
              <w:t>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pStyle w:val="Tabletext"/>
              <w:jc w:val="center"/>
              <w:rPr>
                <w:lang w:eastAsia="zh-CN"/>
              </w:rPr>
            </w:pPr>
            <w:r w:rsidRPr="00E43988">
              <w:rPr>
                <w:lang w:eastAsia="zh-CN"/>
              </w:rPr>
              <w:t>22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加强国际电联三个部门之间在共同关心问题上的协调与合作</w:t>
            </w:r>
            <w:r>
              <w:rPr>
                <w:rFonts w:hint="eastAsia"/>
                <w:lang w:eastAsia="zh-CN"/>
              </w:rPr>
              <w:t>”修订案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  <w:rPr>
                <w:lang w:eastAsia="zh-CN"/>
              </w:rPr>
            </w:pPr>
            <w:r w:rsidRPr="00E43988">
              <w:rPr>
                <w:lang w:eastAsia="zh-CN"/>
              </w:rPr>
              <w:t>23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0262AF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64</w:t>
            </w:r>
            <w:r>
              <w:rPr>
                <w:rFonts w:hint="eastAsia"/>
                <w:lang w:eastAsia="zh-CN"/>
              </w:rPr>
              <w:t>号决议“</w:t>
            </w:r>
            <w:r w:rsidRPr="004F0D73">
              <w:rPr>
                <w:rFonts w:cstheme="minorHAnsi"/>
                <w:lang w:eastAsia="zh-CN"/>
              </w:rPr>
              <w:t>保护并支持电信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信息通信技术服务的用户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消费者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cstheme="minorHAnsi" w:hint="eastAsia"/>
                <w:lang w:eastAsia="zh-CN"/>
              </w:rPr>
              <w:t>修订草案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24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rFonts w:hint="eastAsia"/>
                <w:lang w:eastAsia="zh-CN"/>
              </w:rPr>
              <w:t>号决议“</w:t>
            </w:r>
            <w:r w:rsidRPr="004966C5">
              <w:rPr>
                <w:lang w:eastAsia="zh-CN"/>
              </w:rPr>
              <w:t>信息通信技术与气候变化</w:t>
            </w:r>
            <w:r>
              <w:rPr>
                <w:rFonts w:hint="eastAsia"/>
                <w:lang w:eastAsia="zh-CN"/>
              </w:rPr>
              <w:t>”修订草案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25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67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国际电联电信发展部门在保护上网儿童中的作用</w:t>
            </w:r>
            <w:r>
              <w:rPr>
                <w:rFonts w:hint="eastAsia"/>
                <w:lang w:eastAsia="zh-CN"/>
              </w:rPr>
              <w:t>”修订案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26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 w:rsidRPr="00C26DD5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szCs w:val="24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加强成员国与国际电联电信发展部门部门成员（包括私营部门）、部门准成员和学术成员之间的合作</w:t>
            </w:r>
            <w:r>
              <w:rPr>
                <w:rFonts w:hint="eastAsia"/>
                <w:szCs w:val="24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修订案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27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73</w:t>
            </w:r>
            <w:r>
              <w:rPr>
                <w:rFonts w:hint="eastAsia"/>
                <w:lang w:eastAsia="zh-CN"/>
              </w:rPr>
              <w:t>号决议“</w:t>
            </w:r>
            <w:r w:rsidRPr="004F0D73">
              <w:rPr>
                <w:rFonts w:cstheme="minorHAnsi"/>
                <w:lang w:eastAsia="zh-CN"/>
              </w:rPr>
              <w:t>国际电联高级培训中心</w:t>
            </w:r>
            <w:r>
              <w:rPr>
                <w:rFonts w:hint="eastAsia"/>
                <w:lang w:eastAsia="zh-CN"/>
              </w:rPr>
              <w:t>”修订案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28</w:t>
            </w:r>
          </w:p>
        </w:tc>
        <w:tc>
          <w:tcPr>
            <w:tcW w:w="5670" w:type="dxa"/>
          </w:tcPr>
          <w:p w:rsidR="007C3831" w:rsidRPr="008911F2" w:rsidRDefault="007C3831" w:rsidP="00661319">
            <w:pPr>
              <w:pStyle w:val="Tabletext"/>
              <w:rPr>
                <w:lang w:eastAsia="zh-CN"/>
              </w:rPr>
            </w:pPr>
            <w:r w:rsidRPr="008911F2">
              <w:rPr>
                <w:lang w:eastAsia="zh-CN"/>
              </w:rPr>
              <w:t>WTDC</w:t>
            </w:r>
            <w:r w:rsidRPr="008911F2">
              <w:rPr>
                <w:rFonts w:hint="eastAsia"/>
                <w:lang w:eastAsia="zh-CN"/>
              </w:rPr>
              <w:t>第</w:t>
            </w:r>
            <w:r w:rsidRPr="008911F2">
              <w:rPr>
                <w:lang w:eastAsia="zh-CN"/>
              </w:rPr>
              <w:t>78</w:t>
            </w:r>
            <w:r w:rsidRPr="008911F2">
              <w:rPr>
                <w:rFonts w:hint="eastAsia"/>
                <w:lang w:eastAsia="zh-CN"/>
              </w:rPr>
              <w:t>号</w:t>
            </w:r>
            <w:r w:rsidRPr="008911F2"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8911F2">
              <w:rPr>
                <w:rFonts w:hint="eastAsia"/>
                <w:lang w:eastAsia="zh-CN"/>
              </w:rPr>
              <w:t>开展能力建设，打击对</w:t>
            </w:r>
            <w:r w:rsidRPr="008911F2">
              <w:rPr>
                <w:rFonts w:hint="eastAsia"/>
                <w:lang w:eastAsia="zh-CN"/>
              </w:rPr>
              <w:t>ITU-T E.164</w:t>
            </w:r>
            <w:r w:rsidRPr="008911F2">
              <w:rPr>
                <w:rFonts w:hint="eastAsia"/>
                <w:lang w:eastAsia="zh-CN"/>
              </w:rPr>
              <w:t>建议书电话号码的挪用</w:t>
            </w:r>
            <w:r>
              <w:rPr>
                <w:rFonts w:hint="eastAsia"/>
                <w:lang w:eastAsia="zh-CN"/>
              </w:rPr>
              <w:t>”</w:t>
            </w:r>
            <w:r w:rsidRPr="008911F2">
              <w:rPr>
                <w:rFonts w:hint="eastAsia"/>
                <w:lang w:eastAsia="zh-CN"/>
              </w:rPr>
              <w:t>修订</w:t>
            </w:r>
            <w:r w:rsidRPr="008911F2">
              <w:rPr>
                <w:lang w:eastAsia="zh-CN"/>
              </w:rPr>
              <w:t>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t>29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 w:rsidRPr="00C26DD5">
              <w:rPr>
                <w:lang w:eastAsia="zh-CN"/>
              </w:rPr>
              <w:t>79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“</w:t>
            </w:r>
            <w:r w:rsidRPr="004F0D73">
              <w:rPr>
                <w:rFonts w:cstheme="minorHAnsi"/>
                <w:lang w:eastAsia="zh-CN"/>
              </w:rPr>
              <w:t>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信息通信技术在打击和处理假冒电信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信息通信设备方面的作用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cstheme="minorHAnsi" w:hint="eastAsia"/>
                <w:lang w:eastAsia="zh-CN"/>
              </w:rPr>
              <w:t>修订</w:t>
            </w:r>
            <w:r>
              <w:rPr>
                <w:rFonts w:cstheme="minorHAnsi"/>
                <w:lang w:eastAsia="zh-CN"/>
              </w:rPr>
              <w:t>草案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CB6576" w:rsidRDefault="007C3831" w:rsidP="00661319">
            <w:pPr>
              <w:pStyle w:val="Tabletext"/>
              <w:jc w:val="center"/>
              <w:rPr>
                <w:rFonts w:cstheme="minorHAnsi"/>
                <w:lang w:eastAsia="zh-CN"/>
              </w:rPr>
            </w:pPr>
            <w:r w:rsidRPr="00CB6576">
              <w:rPr>
                <w:rFonts w:cstheme="minorHAnsi"/>
                <w:lang w:eastAsia="zh-CN"/>
              </w:rPr>
              <w:t>30</w:t>
            </w:r>
          </w:p>
        </w:tc>
        <w:tc>
          <w:tcPr>
            <w:tcW w:w="5670" w:type="dxa"/>
          </w:tcPr>
          <w:p w:rsidR="007C3831" w:rsidRPr="00CB6576" w:rsidRDefault="007C3831" w:rsidP="00661319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left"/>
              <w:rPr>
                <w:rFonts w:cstheme="minorHAnsi"/>
                <w:caps w:val="0"/>
                <w:sz w:val="22"/>
                <w:lang w:eastAsia="zh-CN"/>
              </w:rPr>
            </w:pPr>
            <w:r w:rsidRPr="00CB6576">
              <w:rPr>
                <w:rFonts w:cstheme="minorHAnsi" w:hint="eastAsia"/>
                <w:caps w:val="0"/>
                <w:sz w:val="22"/>
                <w:lang w:eastAsia="zh-CN"/>
              </w:rPr>
              <w:t>WTDC</w:t>
            </w:r>
            <w:r w:rsidRPr="00CB6576">
              <w:rPr>
                <w:rFonts w:cstheme="minorHAnsi" w:hint="eastAsia"/>
                <w:caps w:val="0"/>
                <w:sz w:val="22"/>
                <w:lang w:eastAsia="zh-CN"/>
              </w:rPr>
              <w:t>第</w:t>
            </w:r>
            <w:r w:rsidRPr="00CB6576">
              <w:rPr>
                <w:rFonts w:cstheme="minorHAnsi"/>
                <w:caps w:val="0"/>
                <w:sz w:val="22"/>
                <w:lang w:eastAsia="zh-CN"/>
              </w:rPr>
              <w:t>81</w:t>
            </w:r>
            <w:r w:rsidRPr="00CB6576">
              <w:rPr>
                <w:rFonts w:cstheme="minorHAnsi" w:hint="eastAsia"/>
                <w:caps w:val="0"/>
                <w:sz w:val="22"/>
                <w:lang w:eastAsia="zh-CN"/>
              </w:rPr>
              <w:t>号</w:t>
            </w:r>
            <w:r w:rsidRPr="00CB6576">
              <w:rPr>
                <w:rFonts w:cstheme="minorHAnsi"/>
                <w:caps w:val="0"/>
                <w:sz w:val="22"/>
                <w:lang w:eastAsia="zh-CN"/>
              </w:rPr>
              <w:t>决议</w:t>
            </w:r>
            <w:r w:rsidRPr="00CB6576">
              <w:rPr>
                <w:rFonts w:cstheme="minorHAnsi" w:hint="eastAsia"/>
                <w:caps w:val="0"/>
                <w:sz w:val="22"/>
                <w:lang w:eastAsia="zh-CN"/>
              </w:rPr>
              <w:t>“在国际电联电信发展部门的工作中进一步采用电子工作方法”修订</w:t>
            </w:r>
            <w:r w:rsidRPr="00CB6576">
              <w:rPr>
                <w:rFonts w:cstheme="minorHAnsi"/>
                <w:caps w:val="0"/>
                <w:sz w:val="22"/>
                <w:lang w:eastAsia="zh-CN"/>
              </w:rPr>
              <w:t>案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C3831" w:rsidRPr="00E43988" w:rsidTr="00661319">
        <w:trPr>
          <w:jc w:val="center"/>
        </w:trPr>
        <w:tc>
          <w:tcPr>
            <w:tcW w:w="1838" w:type="dxa"/>
          </w:tcPr>
          <w:p w:rsidR="007C3831" w:rsidRPr="00E43988" w:rsidRDefault="007C3831" w:rsidP="00661319">
            <w:pPr>
              <w:pStyle w:val="Tabletext"/>
              <w:jc w:val="center"/>
            </w:pPr>
            <w:r w:rsidRPr="00E43988">
              <w:lastRenderedPageBreak/>
              <w:t>31</w:t>
            </w:r>
          </w:p>
        </w:tc>
        <w:tc>
          <w:tcPr>
            <w:tcW w:w="5670" w:type="dxa"/>
          </w:tcPr>
          <w:p w:rsidR="007C3831" w:rsidRPr="007A05A1" w:rsidRDefault="007C3831" w:rsidP="00661319">
            <w:pPr>
              <w:pStyle w:val="Tabletext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新决议草案“国际电联电信发展部门在同等地位上使用国际电联的各种</w:t>
            </w:r>
            <w:r w:rsidRPr="00120FE1"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  <w:lang w:eastAsia="zh-CN"/>
              </w:rPr>
              <w:t>”</w:t>
            </w: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7C3831" w:rsidRPr="00E43988" w:rsidRDefault="007C3831" w:rsidP="00661319">
            <w:pPr>
              <w:tabs>
                <w:tab w:val="left" w:pos="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</w:tbl>
    <w:p w:rsidR="007C3831" w:rsidRPr="00E43988" w:rsidRDefault="007C3831" w:rsidP="007C3831">
      <w:pPr>
        <w:rPr>
          <w:rFonts w:eastAsia="Calibri"/>
          <w:lang w:eastAsia="zh-CN"/>
        </w:rPr>
      </w:pPr>
      <w:r>
        <w:rPr>
          <w:rFonts w:hint="eastAsia"/>
          <w:lang w:eastAsia="zh-CN"/>
        </w:rPr>
        <w:t>注意</w:t>
      </w:r>
      <w:r>
        <w:rPr>
          <w:lang w:eastAsia="zh-CN"/>
        </w:rPr>
        <w:t>：</w:t>
      </w:r>
    </w:p>
    <w:p w:rsidR="007C3831" w:rsidRPr="00E43988" w:rsidRDefault="007C3831" w:rsidP="007C3831">
      <w:pPr>
        <w:rPr>
          <w:rFonts w:eastAsia="Calibri"/>
          <w:color w:val="000000"/>
          <w:szCs w:val="28"/>
          <w:lang w:eastAsia="zh-CN"/>
        </w:rPr>
      </w:pPr>
      <w:r w:rsidRPr="00F0620D">
        <w:rPr>
          <w:rFonts w:asciiTheme="minorEastAsia" w:hAnsiTheme="minorEastAsia"/>
          <w:color w:val="000000"/>
          <w:szCs w:val="28"/>
          <w:lang w:eastAsia="zh-CN"/>
        </w:rPr>
        <w:t>“</w:t>
      </w:r>
      <w:r w:rsidRPr="00E43988">
        <w:rPr>
          <w:rFonts w:eastAsia="Calibri"/>
          <w:color w:val="000000"/>
          <w:szCs w:val="28"/>
        </w:rPr>
        <w:sym w:font="Wingdings" w:char="00FC"/>
      </w:r>
      <w:r>
        <w:rPr>
          <w:rFonts w:asciiTheme="minorEastAsia" w:hAnsiTheme="minorEastAsia"/>
          <w:color w:val="000000"/>
          <w:szCs w:val="28"/>
          <w:lang w:eastAsia="zh-CN"/>
        </w:rPr>
        <w:t>”</w:t>
      </w:r>
      <w:r>
        <w:rPr>
          <w:rFonts w:eastAsia="Calibri"/>
          <w:color w:val="000000"/>
          <w:szCs w:val="28"/>
          <w:lang w:eastAsia="zh-CN"/>
        </w:rPr>
        <w:t xml:space="preserve"> </w:t>
      </w:r>
      <w:r w:rsidRPr="00F0620D">
        <w:rPr>
          <w:rFonts w:eastAsia="Calibri"/>
          <w:color w:val="000000"/>
          <w:szCs w:val="28"/>
          <w:lang w:eastAsia="zh-CN"/>
        </w:rPr>
        <w:t>–</w:t>
      </w:r>
      <w:r>
        <w:rPr>
          <w:rFonts w:eastAsia="Calibri"/>
          <w:color w:val="000000"/>
          <w:szCs w:val="28"/>
          <w:lang w:eastAsia="zh-CN"/>
        </w:rPr>
        <w:t xml:space="preserve"> </w:t>
      </w:r>
      <w:r w:rsidRPr="00E43988">
        <w:rPr>
          <w:rFonts w:eastAsia="Calibri"/>
          <w:color w:val="000000"/>
          <w:szCs w:val="28"/>
          <w:lang w:eastAsia="zh-CN"/>
        </w:rPr>
        <w:tab/>
      </w:r>
      <w:r>
        <w:rPr>
          <w:rFonts w:asciiTheme="minorEastAsia" w:hAnsiTheme="minorEastAsia" w:hint="eastAsia"/>
          <w:color w:val="000000"/>
          <w:szCs w:val="28"/>
          <w:lang w:eastAsia="zh-CN"/>
        </w:rPr>
        <w:t>赞成提案的主管部门。</w:t>
      </w:r>
    </w:p>
    <w:p w:rsidR="007C3831" w:rsidRDefault="007C3831" w:rsidP="007C3831">
      <w:pPr>
        <w:pStyle w:val="Reasons"/>
        <w:rPr>
          <w:lang w:eastAsia="zh-CN"/>
        </w:rPr>
      </w:pPr>
      <w:bookmarkStart w:id="11" w:name="_GoBack"/>
      <w:bookmarkEnd w:id="11"/>
    </w:p>
    <w:p w:rsidR="007C3831" w:rsidRDefault="007C3831" w:rsidP="007C383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C3831" w:rsidSect="007C3831">
      <w:pgSz w:w="16834" w:h="11913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A4036F" w:rsidP="002E582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71C7E" w:rsidRPr="00171C7E">
      <w:rPr>
        <w:lang w:val="en-US"/>
      </w:rPr>
      <w:t>P</w:t>
    </w:r>
    <w:r w:rsidR="00171C7E">
      <w:t>:\CHI\ITU-D\CONF-D\WTDC17\000\023REV1C.docx</w:t>
    </w:r>
    <w:r>
      <w:fldChar w:fldCharType="end"/>
    </w:r>
    <w:r w:rsidR="007C3831">
      <w:rPr>
        <w:lang w:val="en-US"/>
      </w:rPr>
      <w:t xml:space="preserve"> (425525)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AC3A0C" w:rsidRPr="00345A8D" w:rsidTr="00661319">
      <w:tc>
        <w:tcPr>
          <w:tcW w:w="1526" w:type="dxa"/>
          <w:tcBorders>
            <w:top w:val="single" w:sz="4" w:space="0" w:color="000000" w:themeColor="text1"/>
          </w:tcBorders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AC3A0C" w:rsidRPr="00345A8D" w:rsidRDefault="00AC3A0C" w:rsidP="00AC3A0C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Natalya</w:t>
          </w:r>
          <w:r w:rsidRPr="00345A8D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</w:rPr>
            <w:t>Zorya</w:t>
          </w:r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r>
            <w:rPr>
              <w:sz w:val="18"/>
              <w:szCs w:val="18"/>
              <w:lang w:val="en-US"/>
            </w:rPr>
            <w:t>RCC</w:t>
          </w:r>
          <w:r>
            <w:rPr>
              <w:rFonts w:hint="eastAsia"/>
              <w:sz w:val="18"/>
              <w:szCs w:val="18"/>
              <w:lang w:val="en-US" w:eastAsia="zh-CN"/>
            </w:rPr>
            <w:t>执行委员会</w:t>
          </w:r>
        </w:p>
      </w:tc>
    </w:tr>
    <w:tr w:rsidR="00AC3A0C" w:rsidRPr="00CB110F" w:rsidTr="00661319">
      <w:tc>
        <w:tcPr>
          <w:tcW w:w="1526" w:type="dxa"/>
        </w:tcPr>
        <w:p w:rsidR="00AC3A0C" w:rsidRPr="00345A8D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2D1770" w:rsidRDefault="00AC3A0C" w:rsidP="00AC3A0C">
          <w:pPr>
            <w:pStyle w:val="FirstFooter"/>
            <w:rPr>
              <w:sz w:val="18"/>
              <w:szCs w:val="18"/>
              <w:lang w:val="en-US"/>
            </w:rPr>
          </w:pPr>
          <w:r w:rsidRPr="002D1770">
            <w:rPr>
              <w:sz w:val="18"/>
              <w:szCs w:val="18"/>
            </w:rPr>
            <w:t xml:space="preserve">+7 </w:t>
          </w:r>
          <w:r w:rsidRPr="002D1770">
            <w:rPr>
              <w:sz w:val="18"/>
              <w:szCs w:val="18"/>
              <w:lang w:val="en-US"/>
            </w:rPr>
            <w:t>495</w:t>
          </w:r>
          <w:r w:rsidRPr="002D1770">
            <w:rPr>
              <w:sz w:val="18"/>
              <w:szCs w:val="18"/>
            </w:rPr>
            <w:t xml:space="preserve"> </w:t>
          </w:r>
          <w:r w:rsidRPr="002D1770">
            <w:rPr>
              <w:sz w:val="18"/>
              <w:szCs w:val="18"/>
              <w:lang w:val="en-US"/>
            </w:rPr>
            <w:t>692</w:t>
          </w:r>
          <w:r w:rsidRPr="002D1770">
            <w:rPr>
              <w:sz w:val="18"/>
              <w:szCs w:val="18"/>
            </w:rPr>
            <w:t xml:space="preserve"> </w:t>
          </w:r>
          <w:r w:rsidRPr="002D1770">
            <w:rPr>
              <w:sz w:val="18"/>
              <w:szCs w:val="18"/>
              <w:lang w:val="en-US"/>
            </w:rPr>
            <w:t>2108</w:t>
          </w:r>
        </w:p>
      </w:tc>
    </w:tr>
    <w:tr w:rsidR="00AC3A0C" w:rsidRPr="00CB110F" w:rsidTr="00661319">
      <w:tc>
        <w:tcPr>
          <w:tcW w:w="1526" w:type="dxa"/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2D1770" w:rsidRDefault="00A4036F" w:rsidP="00AC3A0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C3A0C" w:rsidRPr="002D1770">
              <w:rPr>
                <w:rStyle w:val="Hyperlink"/>
                <w:sz w:val="18"/>
                <w:szCs w:val="18"/>
                <w:lang w:val="en-US"/>
              </w:rPr>
              <w:t>ecrcc</w:t>
            </w:r>
            <w:r w:rsidR="00AC3A0C" w:rsidRPr="002D1770">
              <w:rPr>
                <w:rStyle w:val="Hyperlink"/>
                <w:sz w:val="18"/>
                <w:szCs w:val="18"/>
              </w:rPr>
              <w:t>@</w:t>
            </w:r>
            <w:r w:rsidR="00AC3A0C" w:rsidRPr="002D1770">
              <w:rPr>
                <w:rStyle w:val="Hyperlink"/>
                <w:sz w:val="18"/>
                <w:szCs w:val="18"/>
                <w:lang w:val="en-US"/>
              </w:rPr>
              <w:t>rcc</w:t>
            </w:r>
            <w:r w:rsidR="00AC3A0C" w:rsidRPr="002D1770">
              <w:rPr>
                <w:rStyle w:val="Hyperlink"/>
                <w:sz w:val="18"/>
                <w:szCs w:val="18"/>
              </w:rPr>
              <w:t>.</w:t>
            </w:r>
            <w:r w:rsidR="00AC3A0C" w:rsidRPr="002D1770">
              <w:rPr>
                <w:rStyle w:val="Hyperlink"/>
                <w:sz w:val="18"/>
                <w:szCs w:val="18"/>
                <w:lang w:val="en-US"/>
              </w:rPr>
              <w:t>org</w:t>
            </w:r>
            <w:r w:rsidR="00AC3A0C" w:rsidRPr="002D1770">
              <w:rPr>
                <w:rStyle w:val="Hyperlink"/>
                <w:sz w:val="18"/>
                <w:szCs w:val="18"/>
              </w:rPr>
              <w:t>.</w:t>
            </w:r>
            <w:r w:rsidR="00AC3A0C" w:rsidRPr="002D1770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  <w:tr w:rsidR="00AC3A0C" w:rsidRPr="00B249C9" w:rsidTr="00661319">
      <w:tc>
        <w:tcPr>
          <w:tcW w:w="1526" w:type="dxa"/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177" w:type="dxa"/>
        </w:tcPr>
        <w:p w:rsidR="00AC3A0C" w:rsidRPr="00B249C9" w:rsidRDefault="00AC3A0C" w:rsidP="00AC3A0C">
          <w:pPr>
            <w:pStyle w:val="FirstFooter"/>
            <w:rPr>
              <w:sz w:val="18"/>
              <w:szCs w:val="18"/>
              <w:lang w:val="en-US" w:eastAsia="zh-CN"/>
            </w:rPr>
          </w:pPr>
          <w:r w:rsidRPr="00B249C9">
            <w:rPr>
              <w:sz w:val="18"/>
              <w:szCs w:val="18"/>
              <w:lang w:val="en-US" w:eastAsia="zh-CN"/>
            </w:rPr>
            <w:t>Rashid Ismailov</w:t>
          </w:r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r>
            <w:rPr>
              <w:sz w:val="18"/>
              <w:szCs w:val="18"/>
              <w:lang w:val="en-US" w:eastAsia="zh-CN"/>
            </w:rPr>
            <w:t>RCC</w:t>
          </w:r>
          <w:r>
            <w:rPr>
              <w:rFonts w:hint="eastAsia"/>
              <w:sz w:val="18"/>
              <w:szCs w:val="18"/>
              <w:lang w:val="en-US" w:eastAsia="zh-CN"/>
            </w:rPr>
            <w:t>国际合作协调委员会主席</w:t>
          </w:r>
        </w:p>
      </w:tc>
    </w:tr>
    <w:tr w:rsidR="00AC3A0C" w:rsidRPr="00CB110F" w:rsidTr="00661319">
      <w:tc>
        <w:tcPr>
          <w:tcW w:w="1526" w:type="dxa"/>
        </w:tcPr>
        <w:p w:rsidR="00AC3A0C" w:rsidRPr="00B249C9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2D1770" w:rsidRDefault="00AC3A0C" w:rsidP="00AC3A0C">
          <w:pPr>
            <w:pStyle w:val="FirstFooter"/>
            <w:rPr>
              <w:sz w:val="18"/>
              <w:szCs w:val="18"/>
            </w:rPr>
          </w:pPr>
          <w:r w:rsidRPr="002D1770">
            <w:rPr>
              <w:sz w:val="18"/>
              <w:szCs w:val="18"/>
            </w:rPr>
            <w:t>+7 495 771 8100</w:t>
          </w:r>
        </w:p>
      </w:tc>
    </w:tr>
    <w:tr w:rsidR="00AC3A0C" w:rsidRPr="00CB110F" w:rsidTr="00661319">
      <w:tc>
        <w:tcPr>
          <w:tcW w:w="1526" w:type="dxa"/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2D1770" w:rsidRDefault="00A4036F" w:rsidP="00AC3A0C">
          <w:pPr>
            <w:pStyle w:val="FirstFooter"/>
            <w:rPr>
              <w:sz w:val="18"/>
              <w:szCs w:val="18"/>
            </w:rPr>
          </w:pPr>
          <w:hyperlink r:id="rId2" w:history="1">
            <w:r w:rsidR="00AC3A0C" w:rsidRPr="002D1770">
              <w:rPr>
                <w:rStyle w:val="Hyperlink"/>
                <w:sz w:val="18"/>
                <w:szCs w:val="18"/>
              </w:rPr>
              <w:t>m.kazanskaya@minsvyaz.ru</w:t>
            </w:r>
          </w:hyperlink>
        </w:p>
      </w:tc>
    </w:tr>
    <w:tr w:rsidR="00AC3A0C" w:rsidRPr="00B249C9" w:rsidTr="00661319">
      <w:tc>
        <w:tcPr>
          <w:tcW w:w="1526" w:type="dxa"/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BF764B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177" w:type="dxa"/>
        </w:tcPr>
        <w:p w:rsidR="00AC3A0C" w:rsidRPr="008B1997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249C9">
            <w:rPr>
              <w:sz w:val="18"/>
              <w:szCs w:val="18"/>
              <w:lang w:val="en-US"/>
            </w:rPr>
            <w:t>Vladimir Minkin</w:t>
          </w:r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r w:rsidRPr="00A343C4">
            <w:rPr>
              <w:sz w:val="18"/>
              <w:szCs w:val="18"/>
              <w:lang w:val="en-US" w:eastAsia="zh-CN"/>
            </w:rPr>
            <w:t>RCC</w:t>
          </w:r>
          <w:r>
            <w:rPr>
              <w:rFonts w:hint="eastAsia"/>
              <w:sz w:val="18"/>
              <w:szCs w:val="18"/>
              <w:lang w:val="en-US" w:eastAsia="zh-CN"/>
            </w:rPr>
            <w:t>与国际电联合作工作组主席</w:t>
          </w:r>
        </w:p>
      </w:tc>
    </w:tr>
    <w:tr w:rsidR="00AC3A0C" w:rsidRPr="00CB110F" w:rsidTr="00661319">
      <w:tc>
        <w:tcPr>
          <w:tcW w:w="1526" w:type="dxa"/>
        </w:tcPr>
        <w:p w:rsidR="00AC3A0C" w:rsidRPr="00B249C9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8B1997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B1997">
            <w:rPr>
              <w:sz w:val="18"/>
              <w:szCs w:val="18"/>
              <w:lang w:val="en-US"/>
            </w:rPr>
            <w:t>+372 59875999</w:t>
          </w:r>
        </w:p>
      </w:tc>
    </w:tr>
    <w:tr w:rsidR="00AC3A0C" w:rsidRPr="00CB110F" w:rsidTr="00661319">
      <w:tc>
        <w:tcPr>
          <w:tcW w:w="1526" w:type="dxa"/>
        </w:tcPr>
        <w:p w:rsidR="00AC3A0C" w:rsidRPr="002D1770" w:rsidRDefault="00AC3A0C" w:rsidP="00AC3A0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C3A0C" w:rsidRPr="002D1770" w:rsidRDefault="00AC3A0C" w:rsidP="00AC3A0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177" w:type="dxa"/>
        </w:tcPr>
        <w:p w:rsidR="00AC3A0C" w:rsidRPr="002D1770" w:rsidRDefault="00A4036F" w:rsidP="00AC3A0C">
          <w:pPr>
            <w:pStyle w:val="FirstFooter"/>
            <w:rPr>
              <w:sz w:val="18"/>
              <w:szCs w:val="18"/>
            </w:rPr>
          </w:pPr>
          <w:hyperlink r:id="rId3" w:history="1">
            <w:r w:rsidR="00AC3A0C" w:rsidRPr="002D1770">
              <w:rPr>
                <w:rStyle w:val="Hyperlink"/>
                <w:sz w:val="18"/>
                <w:szCs w:val="18"/>
              </w:rPr>
              <w:t>minkin-niir@mail.ru</w:t>
            </w:r>
          </w:hyperlink>
        </w:p>
      </w:tc>
    </w:tr>
  </w:tbl>
  <w:bookmarkStart w:id="9" w:name="Email"/>
  <w:bookmarkEnd w:id="9"/>
  <w:p w:rsidR="00A252AD" w:rsidRPr="00784E03" w:rsidRDefault="007C3831" w:rsidP="00A252AD">
    <w:pPr>
      <w:jc w:val="center"/>
      <w:rPr>
        <w:sz w:val="20"/>
      </w:rPr>
    </w:pPr>
    <w:r>
      <w:fldChar w:fldCharType="begin"/>
    </w:r>
    <w:r>
      <w:instrText xml:space="preserve"> HYPERLINK "http://www.itu.int/zh/ITU-D/Conferences/WTDC/WTDC17/Pages/default.aspx" </w:instrText>
    </w:r>
    <w:r>
      <w:fldChar w:fldCharType="separate"/>
    </w:r>
    <w:r w:rsidR="00A252AD" w:rsidRPr="008B61EA">
      <w:rPr>
        <w:rStyle w:val="Hyperlink"/>
        <w:sz w:val="20"/>
      </w:rPr>
      <w:t>WTDC-17</w:t>
    </w:r>
    <w:r>
      <w:rPr>
        <w:rStyle w:val="Hyperlink"/>
        <w:sz w:val="20"/>
      </w:rPr>
      <w:fldChar w:fldCharType="end"/>
    </w:r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7C3831">
    <w:pPr>
      <w:pStyle w:val="Header"/>
      <w:tabs>
        <w:tab w:val="clear" w:pos="794"/>
        <w:tab w:val="clear" w:pos="1191"/>
        <w:tab w:val="clear" w:pos="1588"/>
        <w:tab w:val="clear" w:pos="1985"/>
        <w:tab w:val="center" w:pos="7088"/>
        <w:tab w:val="right" w:pos="13998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6" w:name="OLE_LINK3"/>
    <w:bookmarkStart w:id="7" w:name="OLE_LINK2"/>
    <w:bookmarkStart w:id="8" w:name="OLE_LINK1"/>
    <w:r w:rsidR="00963A4D" w:rsidRPr="00A74B99">
      <w:rPr>
        <w:sz w:val="22"/>
        <w:szCs w:val="22"/>
      </w:rPr>
      <w:t>23(Rev.1)</w:t>
    </w:r>
    <w:bookmarkEnd w:id="6"/>
    <w:bookmarkEnd w:id="7"/>
    <w:bookmarkEnd w:id="8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A4036F">
      <w:rPr>
        <w:noProof/>
        <w:sz w:val="22"/>
        <w:szCs w:val="22"/>
        <w:lang w:val="es-ES_tradnl"/>
      </w:rPr>
      <w:t>4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DB7"/>
    <w:multiLevelType w:val="hybridMultilevel"/>
    <w:tmpl w:val="718A347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64D91CFC"/>
    <w:multiLevelType w:val="hybridMultilevel"/>
    <w:tmpl w:val="6E4E2C80"/>
    <w:lvl w:ilvl="0" w:tplc="8F16C1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03CD3"/>
    <w:multiLevelType w:val="hybridMultilevel"/>
    <w:tmpl w:val="DD5C9EB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3ACF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71C7E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941F9"/>
    <w:rsid w:val="007A06F3"/>
    <w:rsid w:val="007A5E79"/>
    <w:rsid w:val="007B316B"/>
    <w:rsid w:val="007C3831"/>
    <w:rsid w:val="007C4DC3"/>
    <w:rsid w:val="00814482"/>
    <w:rsid w:val="0083753E"/>
    <w:rsid w:val="00850AEF"/>
    <w:rsid w:val="008726C7"/>
    <w:rsid w:val="008822F4"/>
    <w:rsid w:val="00882B6A"/>
    <w:rsid w:val="008869BB"/>
    <w:rsid w:val="008B44F5"/>
    <w:rsid w:val="008C14E4"/>
    <w:rsid w:val="008C2CB3"/>
    <w:rsid w:val="008D3BE2"/>
    <w:rsid w:val="008E07D4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4036F"/>
    <w:rsid w:val="00A57140"/>
    <w:rsid w:val="00A6085C"/>
    <w:rsid w:val="00A62DA7"/>
    <w:rsid w:val="00A83EDE"/>
    <w:rsid w:val="00AA7C4A"/>
    <w:rsid w:val="00AB205E"/>
    <w:rsid w:val="00AC3A0C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087E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20FF3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nkin-niir@mail.ru" TargetMode="External"/><Relationship Id="rId2" Type="http://schemas.openxmlformats.org/officeDocument/2006/relationships/hyperlink" Target="mailto:m.kazanskaya@minsvyaz.ru" TargetMode="External"/><Relationship Id="rId1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b4286e-7504-41fb-ab03-8088ffa5ebd3">DPM</DPM_x0020_Author>
    <DPM_x0020_File_x0020_name xmlns="dab4286e-7504-41fb-ab03-8088ffa5ebd3">D14-WTDC17-C-0023!R1!MSW-C</DPM_x0020_File_x0020_name>
    <DPM_x0020_Version xmlns="dab4286e-7504-41fb-ab03-8088ffa5ebd3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b4286e-7504-41fb-ab03-8088ffa5ebd3" targetNamespace="http://schemas.microsoft.com/office/2006/metadata/properties" ma:root="true" ma:fieldsID="d41af5c836d734370eb92e7ee5f83852" ns2:_="" ns3:_="">
    <xsd:import namespace="996b2e75-67fd-4955-a3b0-5ab9934cb50b"/>
    <xsd:import namespace="dab4286e-7504-41fb-ab03-8088ffa5eb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86e-7504-41fb-ab03-8088ffa5eb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ab4286e-7504-41fb-ab03-8088ffa5ebd3"/>
    <ds:schemaRef ds:uri="http://purl.org/dc/dcmitype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b4286e-7504-41fb-ab03-8088ffa5e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1AB48-FB74-4021-AFF1-0A529BD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1774</Words>
  <Characters>614</Characters>
  <Application>Microsoft Office Word</Application>
  <DocSecurity>0</DocSecurity>
  <Lines>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D14-WTDC17-C-0023!R1!MSW-C</vt:lpstr>
    </vt:vector>
  </TitlesOfParts>
  <Manager>General Secretariat - Pool</Manager>
  <Company>International Telecommunication Union (ITU)</Company>
  <LinksUpToDate>false</LinksUpToDate>
  <CharactersWithSpaces>2384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D14-WTDC17-C-0023!R1!MSW-C</dc:title>
  <dc:creator>Documents Proposals Manager (DPM)</dc:creator>
  <cp:keywords>DPM_v2017.10.6.1_prod</cp:keywords>
  <dc:description/>
  <cp:lastModifiedBy>Liu, Yang</cp:lastModifiedBy>
  <cp:revision>4</cp:revision>
  <cp:lastPrinted>2014-01-23T09:26:00Z</cp:lastPrinted>
  <dcterms:created xsi:type="dcterms:W3CDTF">2017-10-09T11:56:00Z</dcterms:created>
  <dcterms:modified xsi:type="dcterms:W3CDTF">2017-10-09T12:12:00Z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