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7206CF" w:rsidTr="004C4DF7">
        <w:trPr>
          <w:cantSplit/>
        </w:trPr>
        <w:tc>
          <w:tcPr>
            <w:tcW w:w="1100" w:type="dxa"/>
            <w:tcBorders>
              <w:bottom w:val="single" w:sz="12" w:space="0" w:color="auto"/>
            </w:tcBorders>
          </w:tcPr>
          <w:p w:rsidR="00805F71" w:rsidRPr="007206CF" w:rsidRDefault="00805F71" w:rsidP="00DF16C6">
            <w:pPr>
              <w:pStyle w:val="Priorityarea"/>
            </w:pPr>
            <w:r w:rsidRPr="007206CF">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7206CF" w:rsidRDefault="004C4DF7" w:rsidP="00DF16C6">
            <w:pPr>
              <w:tabs>
                <w:tab w:val="clear" w:pos="794"/>
                <w:tab w:val="clear" w:pos="1191"/>
                <w:tab w:val="clear" w:pos="1588"/>
                <w:tab w:val="clear" w:pos="1985"/>
                <w:tab w:val="left" w:pos="1871"/>
                <w:tab w:val="left" w:pos="2268"/>
              </w:tabs>
              <w:spacing w:before="20" w:after="48"/>
              <w:ind w:left="34"/>
              <w:rPr>
                <w:b/>
                <w:bCs/>
                <w:sz w:val="28"/>
                <w:szCs w:val="28"/>
              </w:rPr>
            </w:pPr>
            <w:r w:rsidRPr="007206CF">
              <w:rPr>
                <w:b/>
                <w:bCs/>
                <w:sz w:val="28"/>
                <w:szCs w:val="28"/>
              </w:rPr>
              <w:t>Conferencia Mundial de Desarrollo de las Telecomunicaciones 2017 (CMDT-17)</w:t>
            </w:r>
          </w:p>
          <w:p w:rsidR="00805F71" w:rsidRPr="007206CF" w:rsidRDefault="004C4DF7" w:rsidP="00DF16C6">
            <w:pPr>
              <w:tabs>
                <w:tab w:val="clear" w:pos="794"/>
                <w:tab w:val="clear" w:pos="1191"/>
                <w:tab w:val="clear" w:pos="1588"/>
                <w:tab w:val="clear" w:pos="1985"/>
                <w:tab w:val="left" w:pos="1871"/>
                <w:tab w:val="left" w:pos="2268"/>
              </w:tabs>
              <w:spacing w:after="48"/>
              <w:ind w:left="34"/>
              <w:rPr>
                <w:b/>
                <w:bCs/>
                <w:sz w:val="26"/>
                <w:szCs w:val="26"/>
              </w:rPr>
            </w:pPr>
            <w:r w:rsidRPr="007206CF">
              <w:rPr>
                <w:b/>
                <w:bCs/>
                <w:sz w:val="26"/>
                <w:szCs w:val="26"/>
              </w:rPr>
              <w:t>Buenos Aires, Argentina, 9-20 de octubre de 2017</w:t>
            </w:r>
          </w:p>
        </w:tc>
        <w:tc>
          <w:tcPr>
            <w:tcW w:w="3261" w:type="dxa"/>
            <w:tcBorders>
              <w:bottom w:val="single" w:sz="12" w:space="0" w:color="auto"/>
            </w:tcBorders>
          </w:tcPr>
          <w:p w:rsidR="00805F71" w:rsidRPr="007206CF" w:rsidRDefault="00746B65" w:rsidP="00DF16C6">
            <w:pPr>
              <w:spacing w:before="0" w:after="80"/>
            </w:pPr>
            <w:bookmarkStart w:id="0" w:name="dlogo"/>
            <w:bookmarkEnd w:id="0"/>
            <w:r w:rsidRPr="007206CF">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7206CF" w:rsidTr="004C4DF7">
        <w:trPr>
          <w:cantSplit/>
        </w:trPr>
        <w:tc>
          <w:tcPr>
            <w:tcW w:w="6804" w:type="dxa"/>
            <w:gridSpan w:val="2"/>
            <w:tcBorders>
              <w:top w:val="single" w:sz="12" w:space="0" w:color="auto"/>
            </w:tcBorders>
          </w:tcPr>
          <w:p w:rsidR="00805F71" w:rsidRPr="007206CF" w:rsidRDefault="00805F71" w:rsidP="00DF16C6">
            <w:pPr>
              <w:spacing w:before="0"/>
              <w:rPr>
                <w:rFonts w:cs="Arial"/>
                <w:b/>
                <w:bCs/>
                <w:szCs w:val="24"/>
              </w:rPr>
            </w:pPr>
            <w:bookmarkStart w:id="1" w:name="dspace"/>
          </w:p>
        </w:tc>
        <w:tc>
          <w:tcPr>
            <w:tcW w:w="3261" w:type="dxa"/>
            <w:tcBorders>
              <w:top w:val="single" w:sz="12" w:space="0" w:color="auto"/>
            </w:tcBorders>
          </w:tcPr>
          <w:p w:rsidR="00805F71" w:rsidRPr="007206CF" w:rsidRDefault="00805F71" w:rsidP="00DF16C6">
            <w:pPr>
              <w:spacing w:before="0"/>
              <w:rPr>
                <w:b/>
                <w:bCs/>
                <w:szCs w:val="24"/>
              </w:rPr>
            </w:pPr>
          </w:p>
        </w:tc>
      </w:tr>
      <w:tr w:rsidR="00805F71" w:rsidRPr="007206CF" w:rsidTr="004C4DF7">
        <w:trPr>
          <w:cantSplit/>
        </w:trPr>
        <w:tc>
          <w:tcPr>
            <w:tcW w:w="6804" w:type="dxa"/>
            <w:gridSpan w:val="2"/>
          </w:tcPr>
          <w:p w:rsidR="00805F71" w:rsidRPr="007206CF" w:rsidRDefault="006A70F7" w:rsidP="00DF16C6">
            <w:pPr>
              <w:spacing w:before="0"/>
              <w:rPr>
                <w:rFonts w:cs="Arial"/>
                <w:b/>
                <w:bCs/>
                <w:szCs w:val="24"/>
              </w:rPr>
            </w:pPr>
            <w:bookmarkStart w:id="2" w:name="dnum" w:colFirst="1" w:colLast="1"/>
            <w:bookmarkEnd w:id="1"/>
            <w:r w:rsidRPr="007206CF">
              <w:rPr>
                <w:b/>
                <w:bCs/>
                <w:szCs w:val="24"/>
              </w:rPr>
              <w:t>SESIÓN PLENARIA</w:t>
            </w:r>
          </w:p>
        </w:tc>
        <w:tc>
          <w:tcPr>
            <w:tcW w:w="3261" w:type="dxa"/>
          </w:tcPr>
          <w:p w:rsidR="00805F71" w:rsidRPr="007206CF" w:rsidRDefault="006A70F7" w:rsidP="00DF16C6">
            <w:pPr>
              <w:spacing w:before="0"/>
              <w:rPr>
                <w:bCs/>
                <w:szCs w:val="24"/>
              </w:rPr>
            </w:pPr>
            <w:r w:rsidRPr="007206CF">
              <w:rPr>
                <w:b/>
                <w:szCs w:val="24"/>
              </w:rPr>
              <w:t>Documento WTDC-17/23</w:t>
            </w:r>
            <w:r w:rsidR="00E232F8" w:rsidRPr="007206CF">
              <w:rPr>
                <w:b/>
                <w:szCs w:val="24"/>
              </w:rPr>
              <w:t>-</w:t>
            </w:r>
            <w:r w:rsidR="005B6D63" w:rsidRPr="007206CF">
              <w:rPr>
                <w:b/>
                <w:szCs w:val="24"/>
              </w:rPr>
              <w:t>S</w:t>
            </w:r>
          </w:p>
        </w:tc>
      </w:tr>
      <w:tr w:rsidR="00805F71" w:rsidRPr="007206CF" w:rsidTr="004C4DF7">
        <w:trPr>
          <w:cantSplit/>
        </w:trPr>
        <w:tc>
          <w:tcPr>
            <w:tcW w:w="6804" w:type="dxa"/>
            <w:gridSpan w:val="2"/>
          </w:tcPr>
          <w:p w:rsidR="00805F71" w:rsidRPr="007206CF" w:rsidRDefault="00805F71" w:rsidP="00DF16C6">
            <w:pPr>
              <w:spacing w:before="0"/>
              <w:rPr>
                <w:b/>
                <w:bCs/>
                <w:smallCaps/>
                <w:szCs w:val="24"/>
              </w:rPr>
            </w:pPr>
            <w:bookmarkStart w:id="3" w:name="ddate" w:colFirst="1" w:colLast="1"/>
            <w:bookmarkEnd w:id="2"/>
          </w:p>
        </w:tc>
        <w:tc>
          <w:tcPr>
            <w:tcW w:w="3261" w:type="dxa"/>
          </w:tcPr>
          <w:p w:rsidR="00805F71" w:rsidRPr="007206CF" w:rsidRDefault="006A70F7" w:rsidP="00DF16C6">
            <w:pPr>
              <w:spacing w:before="0"/>
              <w:rPr>
                <w:bCs/>
                <w:szCs w:val="24"/>
              </w:rPr>
            </w:pPr>
            <w:r w:rsidRPr="007206CF">
              <w:rPr>
                <w:b/>
                <w:szCs w:val="24"/>
              </w:rPr>
              <w:t>4 de septiembre de 2017</w:t>
            </w:r>
          </w:p>
        </w:tc>
      </w:tr>
      <w:tr w:rsidR="00805F71" w:rsidRPr="007206CF" w:rsidTr="004C4DF7">
        <w:trPr>
          <w:cantSplit/>
        </w:trPr>
        <w:tc>
          <w:tcPr>
            <w:tcW w:w="6804" w:type="dxa"/>
            <w:gridSpan w:val="2"/>
          </w:tcPr>
          <w:p w:rsidR="00805F71" w:rsidRPr="007206CF" w:rsidRDefault="00805F71" w:rsidP="00DF16C6">
            <w:pPr>
              <w:spacing w:before="0"/>
              <w:rPr>
                <w:b/>
                <w:bCs/>
                <w:smallCaps/>
                <w:szCs w:val="24"/>
              </w:rPr>
            </w:pPr>
            <w:bookmarkStart w:id="4" w:name="dorlang" w:colFirst="1" w:colLast="1"/>
            <w:bookmarkEnd w:id="3"/>
          </w:p>
        </w:tc>
        <w:tc>
          <w:tcPr>
            <w:tcW w:w="3261" w:type="dxa"/>
          </w:tcPr>
          <w:p w:rsidR="00805F71" w:rsidRPr="007206CF" w:rsidRDefault="006A70F7" w:rsidP="00DF16C6">
            <w:pPr>
              <w:spacing w:before="0"/>
              <w:rPr>
                <w:bCs/>
                <w:szCs w:val="24"/>
              </w:rPr>
            </w:pPr>
            <w:r w:rsidRPr="007206CF">
              <w:rPr>
                <w:b/>
                <w:szCs w:val="24"/>
              </w:rPr>
              <w:t>Original: ruso</w:t>
            </w:r>
          </w:p>
        </w:tc>
      </w:tr>
      <w:tr w:rsidR="00805F71" w:rsidRPr="007206CF" w:rsidTr="004C4DF7">
        <w:trPr>
          <w:cantSplit/>
        </w:trPr>
        <w:tc>
          <w:tcPr>
            <w:tcW w:w="10065" w:type="dxa"/>
            <w:gridSpan w:val="3"/>
          </w:tcPr>
          <w:p w:rsidR="00805F71" w:rsidRPr="007206CF" w:rsidRDefault="00DF16C6" w:rsidP="00DF16C6">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7206CF">
              <w:t>Estados Miembros de la U</w:t>
            </w:r>
            <w:r w:rsidR="00976F2A" w:rsidRPr="007206CF">
              <w:t xml:space="preserve">IT, </w:t>
            </w:r>
            <w:r w:rsidRPr="007206CF">
              <w:t xml:space="preserve">miembros de la </w:t>
            </w:r>
            <w:r w:rsidR="00DF332D" w:rsidRPr="007206CF">
              <w:br/>
            </w:r>
            <w:r w:rsidRPr="007206CF">
              <w:t xml:space="preserve">Comunidad Regional de Comunicaciones </w:t>
            </w:r>
            <w:r w:rsidR="00976F2A" w:rsidRPr="007206CF">
              <w:t>(</w:t>
            </w:r>
            <w:r w:rsidRPr="007206CF">
              <w:t>C</w:t>
            </w:r>
            <w:r w:rsidR="00976F2A" w:rsidRPr="007206CF">
              <w:t>RC)</w:t>
            </w:r>
            <w:r w:rsidR="00976F2A" w:rsidRPr="007206CF">
              <w:br/>
              <w:t>(</w:t>
            </w:r>
            <w:r w:rsidRPr="007206CF">
              <w:t xml:space="preserve">véase el Anexo </w:t>
            </w:r>
            <w:r w:rsidR="00976F2A" w:rsidRPr="007206CF">
              <w:t>1)</w:t>
            </w:r>
          </w:p>
        </w:tc>
      </w:tr>
      <w:tr w:rsidR="00805F71" w:rsidRPr="007206CF" w:rsidTr="00CA326E">
        <w:trPr>
          <w:cantSplit/>
        </w:trPr>
        <w:tc>
          <w:tcPr>
            <w:tcW w:w="10065" w:type="dxa"/>
            <w:gridSpan w:val="3"/>
          </w:tcPr>
          <w:p w:rsidR="00805F71" w:rsidRPr="007206CF" w:rsidRDefault="00DF16C6" w:rsidP="00DF332D">
            <w:pPr>
              <w:pStyle w:val="Title1"/>
            </w:pPr>
            <w:bookmarkStart w:id="6" w:name="dtitle1" w:colFirst="1" w:colLast="1"/>
            <w:bookmarkEnd w:id="5"/>
            <w:r w:rsidRPr="007206CF">
              <w:t>PROPUESTAS COMUNES DE LA CRC PARA LOS TRABAJOS DE LA CONFERENCIA</w:t>
            </w:r>
          </w:p>
        </w:tc>
      </w:tr>
      <w:tr w:rsidR="00EB6CD3" w:rsidRPr="007206CF" w:rsidTr="00CA326E">
        <w:trPr>
          <w:cantSplit/>
        </w:trPr>
        <w:tc>
          <w:tcPr>
            <w:tcW w:w="10065" w:type="dxa"/>
            <w:gridSpan w:val="3"/>
          </w:tcPr>
          <w:p w:rsidR="00EB6CD3" w:rsidRPr="007206CF" w:rsidRDefault="00EB6CD3" w:rsidP="00DF16C6">
            <w:pPr>
              <w:jc w:val="center"/>
            </w:pPr>
          </w:p>
        </w:tc>
      </w:tr>
      <w:tr w:rsidR="00465FB6" w:rsidRPr="007206CF" w:rsidTr="00976F2A">
        <w:tc>
          <w:tcPr>
            <w:tcW w:w="10065" w:type="dxa"/>
            <w:gridSpan w:val="3"/>
            <w:tcBorders>
              <w:top w:val="single" w:sz="4" w:space="0" w:color="auto"/>
              <w:left w:val="single" w:sz="4" w:space="0" w:color="auto"/>
              <w:bottom w:val="single" w:sz="4" w:space="0" w:color="auto"/>
              <w:right w:val="single" w:sz="4" w:space="0" w:color="auto"/>
            </w:tcBorders>
          </w:tcPr>
          <w:p w:rsidR="00976F2A" w:rsidRPr="007206CF" w:rsidRDefault="006354E2" w:rsidP="001B00B8">
            <w:pPr>
              <w:tabs>
                <w:tab w:val="clear" w:pos="1191"/>
                <w:tab w:val="clear" w:pos="1588"/>
                <w:tab w:val="clear" w:pos="1985"/>
                <w:tab w:val="left" w:pos="1301"/>
                <w:tab w:val="left" w:pos="1878"/>
                <w:tab w:val="left" w:pos="2303"/>
              </w:tabs>
              <w:rPr>
                <w:rFonts w:ascii="Calibri" w:eastAsia="SimSun" w:hAnsi="Calibri" w:cs="Traditional Arabic"/>
                <w:b/>
                <w:bCs/>
                <w:sz w:val="22"/>
                <w:szCs w:val="22"/>
              </w:rPr>
            </w:pPr>
            <w:r w:rsidRPr="007206CF">
              <w:rPr>
                <w:rFonts w:ascii="Calibri" w:eastAsia="SimSun" w:hAnsi="Calibri" w:cs="Traditional Arabic"/>
                <w:b/>
                <w:bCs/>
                <w:szCs w:val="24"/>
              </w:rPr>
              <w:t>Área prioritaria:</w:t>
            </w:r>
            <w:r w:rsidR="001B00B8" w:rsidRPr="007206CF">
              <w:rPr>
                <w:rFonts w:ascii="Calibri" w:eastAsia="SimSun" w:hAnsi="Calibri" w:cs="Traditional Arabic"/>
                <w:b/>
                <w:bCs/>
                <w:sz w:val="22"/>
                <w:szCs w:val="22"/>
              </w:rPr>
              <w:tab/>
            </w:r>
            <w:r w:rsidR="00976F2A" w:rsidRPr="007206CF">
              <w:rPr>
                <w:rFonts w:ascii="Calibri" w:eastAsia="SimSun" w:hAnsi="Calibri" w:cs="Traditional Arabic"/>
                <w:b/>
                <w:bCs/>
                <w:sz w:val="22"/>
                <w:szCs w:val="22"/>
              </w:rPr>
              <w:t>–</w:t>
            </w:r>
            <w:r w:rsidR="00976F2A" w:rsidRPr="007206CF">
              <w:rPr>
                <w:rFonts w:ascii="Calibri" w:eastAsia="SimSun" w:hAnsi="Calibri" w:cs="Traditional Arabic"/>
                <w:b/>
                <w:bCs/>
                <w:sz w:val="22"/>
                <w:szCs w:val="22"/>
              </w:rPr>
              <w:tab/>
            </w:r>
            <w:r w:rsidR="001B00B8" w:rsidRPr="007206CF">
              <w:rPr>
                <w:rFonts w:cs="Times New Roman Bold"/>
                <w:szCs w:val="24"/>
              </w:rPr>
              <w:t>Plan Estratégico</w:t>
            </w:r>
          </w:p>
          <w:p w:rsidR="00976F2A" w:rsidRPr="007206CF" w:rsidRDefault="00976F2A" w:rsidP="001B00B8">
            <w:pPr>
              <w:tabs>
                <w:tab w:val="clear" w:pos="1985"/>
                <w:tab w:val="left" w:pos="2303"/>
              </w:tabs>
              <w:snapToGrid w:val="0"/>
              <w:spacing w:before="0"/>
              <w:ind w:firstLine="1878"/>
              <w:rPr>
                <w:rFonts w:cs="Times New Roman Bold"/>
                <w:szCs w:val="24"/>
              </w:rPr>
            </w:pPr>
            <w:r w:rsidRPr="007206CF">
              <w:rPr>
                <w:rFonts w:ascii="Calibri" w:eastAsia="SimSun" w:hAnsi="Calibri" w:cs="Traditional Arabic"/>
                <w:b/>
                <w:bCs/>
                <w:sz w:val="22"/>
                <w:szCs w:val="22"/>
              </w:rPr>
              <w:t>–</w:t>
            </w:r>
            <w:r w:rsidRPr="007206CF">
              <w:rPr>
                <w:rFonts w:ascii="Calibri" w:eastAsia="SimSun" w:hAnsi="Calibri" w:cs="Traditional Arabic"/>
                <w:b/>
                <w:bCs/>
                <w:sz w:val="22"/>
                <w:szCs w:val="22"/>
              </w:rPr>
              <w:tab/>
            </w:r>
            <w:r w:rsidR="001B00B8" w:rsidRPr="007206CF">
              <w:rPr>
                <w:rFonts w:cs="Times New Roman Bold"/>
                <w:szCs w:val="24"/>
              </w:rPr>
              <w:t>Plan de Acción</w:t>
            </w:r>
          </w:p>
          <w:p w:rsidR="001B00B8" w:rsidRPr="007206CF" w:rsidRDefault="001B00B8" w:rsidP="001B00B8">
            <w:pPr>
              <w:tabs>
                <w:tab w:val="clear" w:pos="1985"/>
                <w:tab w:val="left" w:pos="2303"/>
              </w:tabs>
              <w:snapToGrid w:val="0"/>
              <w:spacing w:before="0"/>
              <w:ind w:firstLine="1878"/>
              <w:rPr>
                <w:rFonts w:ascii="Calibri" w:eastAsia="SimSun" w:hAnsi="Calibri" w:cs="Traditional Arabic"/>
                <w:b/>
                <w:bCs/>
                <w:sz w:val="22"/>
                <w:szCs w:val="22"/>
              </w:rPr>
            </w:pPr>
            <w:r w:rsidRPr="007206CF">
              <w:rPr>
                <w:rFonts w:ascii="Calibri" w:eastAsia="SimSun" w:hAnsi="Calibri" w:cs="Traditional Arabic"/>
                <w:b/>
                <w:bCs/>
                <w:sz w:val="22"/>
                <w:szCs w:val="22"/>
              </w:rPr>
              <w:t>–</w:t>
            </w:r>
            <w:r w:rsidRPr="007206CF">
              <w:rPr>
                <w:rFonts w:ascii="Calibri" w:eastAsia="SimSun" w:hAnsi="Calibri" w:cs="Traditional Arabic"/>
                <w:b/>
                <w:bCs/>
                <w:sz w:val="22"/>
                <w:szCs w:val="22"/>
              </w:rPr>
              <w:tab/>
            </w:r>
            <w:r w:rsidRPr="007206CF">
              <w:rPr>
                <w:rFonts w:cs="Times New Roman Bold"/>
                <w:szCs w:val="24"/>
              </w:rPr>
              <w:t>Declaración</w:t>
            </w:r>
          </w:p>
          <w:p w:rsidR="00976F2A" w:rsidRPr="007206CF" w:rsidRDefault="00976F2A" w:rsidP="001B00B8">
            <w:pPr>
              <w:tabs>
                <w:tab w:val="clear" w:pos="1985"/>
                <w:tab w:val="left" w:pos="2303"/>
              </w:tabs>
              <w:snapToGrid w:val="0"/>
              <w:spacing w:before="0"/>
              <w:ind w:firstLine="1878"/>
              <w:rPr>
                <w:rFonts w:ascii="Calibri" w:eastAsia="SimSun" w:hAnsi="Calibri" w:cs="Traditional Arabic"/>
                <w:b/>
                <w:bCs/>
                <w:sz w:val="22"/>
                <w:szCs w:val="22"/>
              </w:rPr>
            </w:pPr>
            <w:r w:rsidRPr="007206CF">
              <w:rPr>
                <w:rFonts w:ascii="Calibri" w:eastAsia="SimSun" w:hAnsi="Calibri" w:cs="Traditional Arabic"/>
                <w:b/>
                <w:bCs/>
                <w:sz w:val="22"/>
                <w:szCs w:val="22"/>
              </w:rPr>
              <w:t>–</w:t>
            </w:r>
            <w:r w:rsidRPr="007206CF">
              <w:rPr>
                <w:rFonts w:ascii="Calibri" w:eastAsia="SimSun" w:hAnsi="Calibri" w:cs="Traditional Arabic"/>
                <w:b/>
                <w:bCs/>
                <w:sz w:val="22"/>
                <w:szCs w:val="22"/>
              </w:rPr>
              <w:tab/>
            </w:r>
            <w:r w:rsidR="00DF16C6" w:rsidRPr="007206CF">
              <w:t xml:space="preserve">Reglamento </w:t>
            </w:r>
            <w:r w:rsidR="001B00B8" w:rsidRPr="007206CF">
              <w:t xml:space="preserve">Interno </w:t>
            </w:r>
            <w:r w:rsidR="00DF16C6" w:rsidRPr="007206CF">
              <w:t>del U</w:t>
            </w:r>
            <w:r w:rsidRPr="007206CF">
              <w:t>IT-D (</w:t>
            </w:r>
            <w:r w:rsidR="00DF16C6" w:rsidRPr="007206CF">
              <w:t>Resolución</w:t>
            </w:r>
            <w:r w:rsidRPr="007206CF">
              <w:t xml:space="preserve"> 1)</w:t>
            </w:r>
          </w:p>
          <w:p w:rsidR="00976F2A" w:rsidRPr="007206CF" w:rsidRDefault="00976F2A" w:rsidP="001B00B8">
            <w:pPr>
              <w:tabs>
                <w:tab w:val="clear" w:pos="1985"/>
                <w:tab w:val="left" w:pos="2303"/>
              </w:tabs>
              <w:snapToGrid w:val="0"/>
              <w:spacing w:before="0"/>
              <w:ind w:firstLine="1878"/>
              <w:rPr>
                <w:rFonts w:ascii="Calibri" w:eastAsia="SimSun" w:hAnsi="Calibri" w:cs="Traditional Arabic"/>
                <w:b/>
                <w:bCs/>
                <w:sz w:val="22"/>
                <w:szCs w:val="22"/>
              </w:rPr>
            </w:pPr>
            <w:r w:rsidRPr="007206CF">
              <w:rPr>
                <w:rFonts w:ascii="Calibri" w:eastAsia="SimSun" w:hAnsi="Calibri" w:cs="Traditional Arabic"/>
                <w:b/>
                <w:bCs/>
                <w:sz w:val="22"/>
                <w:szCs w:val="22"/>
              </w:rPr>
              <w:t>–</w:t>
            </w:r>
            <w:r w:rsidRPr="007206CF">
              <w:rPr>
                <w:rFonts w:ascii="Calibri" w:eastAsia="SimSun" w:hAnsi="Calibri" w:cs="Traditional Arabic"/>
                <w:b/>
                <w:bCs/>
                <w:sz w:val="22"/>
                <w:szCs w:val="22"/>
              </w:rPr>
              <w:tab/>
            </w:r>
            <w:r w:rsidR="00DF16C6" w:rsidRPr="007206CF">
              <w:t>Resoluciones</w:t>
            </w:r>
            <w:r w:rsidRPr="007206CF">
              <w:t xml:space="preserve"> </w:t>
            </w:r>
            <w:r w:rsidR="00DF16C6" w:rsidRPr="007206CF">
              <w:t>y</w:t>
            </w:r>
            <w:r w:rsidRPr="007206CF">
              <w:t xml:space="preserve"> </w:t>
            </w:r>
            <w:r w:rsidR="001B00B8" w:rsidRPr="007206CF">
              <w:t>Recomendaciones</w:t>
            </w:r>
          </w:p>
          <w:p w:rsidR="00976F2A" w:rsidRPr="007206CF" w:rsidRDefault="00976F2A" w:rsidP="001B00B8">
            <w:pPr>
              <w:tabs>
                <w:tab w:val="clear" w:pos="1985"/>
                <w:tab w:val="left" w:pos="2303"/>
              </w:tabs>
              <w:snapToGrid w:val="0"/>
              <w:spacing w:before="0"/>
              <w:ind w:firstLine="1878"/>
              <w:rPr>
                <w:rFonts w:ascii="Calibri" w:eastAsia="SimSun" w:hAnsi="Calibri" w:cs="Traditional Arabic"/>
                <w:b/>
                <w:bCs/>
                <w:sz w:val="22"/>
                <w:szCs w:val="22"/>
              </w:rPr>
            </w:pPr>
            <w:r w:rsidRPr="007206CF">
              <w:rPr>
                <w:rFonts w:ascii="Calibri" w:eastAsia="SimSun" w:hAnsi="Calibri" w:cs="Traditional Arabic"/>
                <w:b/>
                <w:bCs/>
                <w:sz w:val="22"/>
                <w:szCs w:val="22"/>
              </w:rPr>
              <w:t>–</w:t>
            </w:r>
            <w:r w:rsidRPr="007206CF">
              <w:rPr>
                <w:rFonts w:ascii="Calibri" w:eastAsia="SimSun" w:hAnsi="Calibri" w:cs="Traditional Arabic"/>
                <w:b/>
                <w:bCs/>
                <w:sz w:val="22"/>
                <w:szCs w:val="22"/>
              </w:rPr>
              <w:tab/>
            </w:r>
            <w:r w:rsidR="00DF16C6" w:rsidRPr="007206CF">
              <w:t xml:space="preserve">Iniciativas </w:t>
            </w:r>
            <w:r w:rsidR="001B00B8" w:rsidRPr="007206CF">
              <w:t>Regionales</w:t>
            </w:r>
          </w:p>
          <w:p w:rsidR="00465FB6" w:rsidRPr="007206CF" w:rsidRDefault="00976F2A" w:rsidP="001B00B8">
            <w:pPr>
              <w:tabs>
                <w:tab w:val="clear" w:pos="1985"/>
                <w:tab w:val="left" w:pos="2303"/>
              </w:tabs>
              <w:snapToGrid w:val="0"/>
              <w:spacing w:before="0"/>
              <w:ind w:firstLine="1878"/>
              <w:rPr>
                <w:szCs w:val="24"/>
              </w:rPr>
            </w:pPr>
            <w:r w:rsidRPr="007206CF">
              <w:rPr>
                <w:rFonts w:ascii="Calibri" w:eastAsia="SimSun" w:hAnsi="Calibri" w:cs="Traditional Arabic"/>
                <w:b/>
                <w:bCs/>
                <w:sz w:val="22"/>
                <w:szCs w:val="22"/>
              </w:rPr>
              <w:t>–</w:t>
            </w:r>
            <w:r w:rsidRPr="007206CF">
              <w:rPr>
                <w:rFonts w:ascii="Calibri" w:eastAsia="SimSun" w:hAnsi="Calibri" w:cs="Traditional Arabic"/>
                <w:b/>
                <w:bCs/>
                <w:sz w:val="22"/>
                <w:szCs w:val="22"/>
              </w:rPr>
              <w:tab/>
            </w:r>
            <w:r w:rsidR="00DF16C6" w:rsidRPr="007206CF">
              <w:t>Otras propuestas</w:t>
            </w:r>
          </w:p>
          <w:p w:rsidR="00465FB6" w:rsidRPr="007206CF" w:rsidRDefault="006354E2" w:rsidP="00F0332E">
            <w:pPr>
              <w:tabs>
                <w:tab w:val="clear" w:pos="1191"/>
                <w:tab w:val="clear" w:pos="1588"/>
                <w:tab w:val="clear" w:pos="1985"/>
                <w:tab w:val="left" w:pos="1301"/>
                <w:tab w:val="left" w:pos="1878"/>
                <w:tab w:val="left" w:pos="2303"/>
              </w:tabs>
            </w:pPr>
            <w:r w:rsidRPr="007206CF">
              <w:rPr>
                <w:rFonts w:ascii="Calibri" w:eastAsia="SimSun" w:hAnsi="Calibri" w:cs="Traditional Arabic"/>
                <w:b/>
                <w:bCs/>
                <w:szCs w:val="24"/>
              </w:rPr>
              <w:t>Resumen:</w:t>
            </w:r>
          </w:p>
          <w:p w:rsidR="00976F2A" w:rsidRPr="007206CF" w:rsidRDefault="00976F2A" w:rsidP="00DF16C6">
            <w:pPr>
              <w:rPr>
                <w:szCs w:val="24"/>
              </w:rPr>
            </w:pPr>
            <w:r w:rsidRPr="007206CF">
              <w:rPr>
                <w:szCs w:val="24"/>
              </w:rPr>
              <w:t>Con el objetivo de fortalecer la cooperación internacional en el ámbito de las telecomunicaciones, las administraciones de los Estados Miembros de la CRC han elaborado las siguientes propuestas, incluidas las iniciativas regionales de la CEI, al considerar que una política equilibrada y acordada para el desarrollo, la implementación y la utilización de modernas instalaciones de telecomunicaciones y TIC, para reducir la brecha de la tecnología digital en ámbitos que incluyen el acceso de banda ancha, la normalización y la seguridad, y para establecer un entorno propicio y desarrollar las capacidades en el ámbito de las TIC, permitirán a los países de nuestra región progresar con éxito hacia el establecimiento de una sociedad de la información integradora y orientada al desarrollo, en la que se otorgue una importancia primordi</w:t>
            </w:r>
            <w:r w:rsidR="00115AEF" w:rsidRPr="007206CF">
              <w:rPr>
                <w:szCs w:val="24"/>
              </w:rPr>
              <w:t>al a los intereses de la gente.</w:t>
            </w:r>
          </w:p>
          <w:p w:rsidR="00976F2A" w:rsidRPr="007206CF" w:rsidRDefault="00976F2A" w:rsidP="00DF16C6">
            <w:pPr>
              <w:rPr>
                <w:szCs w:val="24"/>
              </w:rPr>
            </w:pPr>
            <w:r w:rsidRPr="007206CF">
              <w:rPr>
                <w:szCs w:val="24"/>
              </w:rPr>
              <w:t xml:space="preserve">Las propuestas específicas figuran en los </w:t>
            </w:r>
            <w:r w:rsidR="00E1028A" w:rsidRPr="007206CF">
              <w:rPr>
                <w:szCs w:val="24"/>
              </w:rPr>
              <w:t xml:space="preserve">addenda </w:t>
            </w:r>
            <w:r w:rsidRPr="007206CF">
              <w:rPr>
                <w:szCs w:val="24"/>
              </w:rPr>
              <w:t>al presente documento.</w:t>
            </w:r>
          </w:p>
          <w:p w:rsidR="00465FB6" w:rsidRPr="007206CF" w:rsidRDefault="00DF16C6" w:rsidP="00DF16C6">
            <w:pPr>
              <w:spacing w:after="120"/>
              <w:rPr>
                <w:szCs w:val="24"/>
              </w:rPr>
            </w:pPr>
            <w:r w:rsidRPr="007206CF">
              <w:rPr>
                <w:szCs w:val="24"/>
              </w:rPr>
              <w:t xml:space="preserve">Se adjunta en el </w:t>
            </w:r>
            <w:r w:rsidR="00F9444E" w:rsidRPr="007206CF">
              <w:rPr>
                <w:szCs w:val="24"/>
              </w:rPr>
              <w:t xml:space="preserve">anexo </w:t>
            </w:r>
            <w:r w:rsidRPr="007206CF">
              <w:rPr>
                <w:szCs w:val="24"/>
              </w:rPr>
              <w:t xml:space="preserve">un </w:t>
            </w:r>
            <w:r w:rsidR="00976F2A" w:rsidRPr="007206CF">
              <w:rPr>
                <w:szCs w:val="24"/>
              </w:rPr>
              <w:t xml:space="preserve">cuadro </w:t>
            </w:r>
            <w:r w:rsidRPr="007206CF">
              <w:rPr>
                <w:szCs w:val="24"/>
              </w:rPr>
              <w:t xml:space="preserve">con </w:t>
            </w:r>
            <w:r w:rsidR="00976F2A" w:rsidRPr="007206CF">
              <w:rPr>
                <w:szCs w:val="24"/>
              </w:rPr>
              <w:t xml:space="preserve">la lista de </w:t>
            </w:r>
            <w:r w:rsidRPr="007206CF">
              <w:rPr>
                <w:szCs w:val="24"/>
              </w:rPr>
              <w:t>las administraciones</w:t>
            </w:r>
            <w:r w:rsidR="00976F2A" w:rsidRPr="007206CF">
              <w:rPr>
                <w:szCs w:val="24"/>
              </w:rPr>
              <w:t xml:space="preserve"> de la Comunidad Regional de Comunicaciones (CRC) que </w:t>
            </w:r>
            <w:r w:rsidRPr="007206CF">
              <w:rPr>
                <w:szCs w:val="24"/>
              </w:rPr>
              <w:t>refrendan</w:t>
            </w:r>
            <w:r w:rsidR="00976F2A" w:rsidRPr="007206CF">
              <w:rPr>
                <w:szCs w:val="24"/>
              </w:rPr>
              <w:t xml:space="preserve"> las citadas propuestas.</w:t>
            </w:r>
          </w:p>
        </w:tc>
      </w:tr>
    </w:tbl>
    <w:p w:rsidR="008E7C65" w:rsidRPr="007206CF" w:rsidRDefault="008E7C65" w:rsidP="00306273">
      <w:pPr>
        <w:spacing w:before="0"/>
      </w:pPr>
      <w:bookmarkStart w:id="7" w:name="dbreak"/>
      <w:bookmarkEnd w:id="6"/>
      <w:bookmarkEnd w:id="7"/>
    </w:p>
    <w:p w:rsidR="000E16A1" w:rsidRPr="007206CF" w:rsidRDefault="000E16A1" w:rsidP="00DF16C6">
      <w:pPr>
        <w:sectPr w:rsidR="000E16A1" w:rsidRPr="007206CF" w:rsidSect="00C000A4">
          <w:headerReference w:type="default" r:id="rId12"/>
          <w:footerReference w:type="default" r:id="rId13"/>
          <w:footerReference w:type="first" r:id="rId14"/>
          <w:pgSz w:w="11907" w:h="16834"/>
          <w:pgMar w:top="1418" w:right="1134" w:bottom="1418" w:left="1134" w:header="720" w:footer="794" w:gutter="0"/>
          <w:paperSrc w:first="15" w:other="15"/>
          <w:cols w:space="720"/>
          <w:titlePg/>
        </w:sectPr>
      </w:pPr>
    </w:p>
    <w:p w:rsidR="00AF5A3E" w:rsidRPr="007206CF" w:rsidRDefault="00AF5A3E" w:rsidP="00DF16C6">
      <w:pPr>
        <w:pStyle w:val="Annextitle"/>
        <w:rPr>
          <w:rFonts w:eastAsia="Calibri"/>
        </w:rPr>
      </w:pPr>
      <w:r w:rsidRPr="007206CF">
        <w:rPr>
          <w:rFonts w:eastAsia="Calibri"/>
        </w:rPr>
        <w:lastRenderedPageBreak/>
        <w:t>List</w:t>
      </w:r>
      <w:r w:rsidR="00DF16C6" w:rsidRPr="007206CF">
        <w:rPr>
          <w:rFonts w:eastAsia="Calibri"/>
        </w:rPr>
        <w:t xml:space="preserve">a de administraciones miembros de la </w:t>
      </w:r>
      <w:r w:rsidR="00DF16C6" w:rsidRPr="007206CF">
        <w:rPr>
          <w:szCs w:val="24"/>
        </w:rPr>
        <w:t xml:space="preserve">Comunidad Regional de Comunicaciones (CRC) </w:t>
      </w:r>
      <w:r w:rsidR="00DF16C6" w:rsidRPr="007206CF">
        <w:rPr>
          <w:szCs w:val="24"/>
        </w:rPr>
        <w:br/>
        <w:t>que refrendan las propuestas comunes para los trabajos de la CMDT</w:t>
      </w:r>
      <w:r w:rsidRPr="007206CF">
        <w:rPr>
          <w:rFonts w:eastAsia="Calibri"/>
        </w:rPr>
        <w:t>-17</w:t>
      </w:r>
    </w:p>
    <w:tbl>
      <w:tblPr>
        <w:tblStyle w:val="TableGrid"/>
        <w:tblW w:w="14312" w:type="dxa"/>
        <w:jc w:val="center"/>
        <w:tblLayout w:type="fixed"/>
        <w:tblLook w:val="04A0" w:firstRow="1" w:lastRow="0" w:firstColumn="1" w:lastColumn="0" w:noHBand="0" w:noVBand="1"/>
      </w:tblPr>
      <w:tblGrid>
        <w:gridCol w:w="1838"/>
        <w:gridCol w:w="5670"/>
        <w:gridCol w:w="567"/>
        <w:gridCol w:w="567"/>
        <w:gridCol w:w="567"/>
        <w:gridCol w:w="567"/>
        <w:gridCol w:w="567"/>
        <w:gridCol w:w="567"/>
        <w:gridCol w:w="567"/>
        <w:gridCol w:w="567"/>
        <w:gridCol w:w="567"/>
        <w:gridCol w:w="567"/>
        <w:gridCol w:w="567"/>
        <w:gridCol w:w="567"/>
      </w:tblGrid>
      <w:tr w:rsidR="00AF5A3E" w:rsidRPr="007206CF" w:rsidTr="00622644">
        <w:trPr>
          <w:cantSplit/>
          <w:trHeight w:val="1474"/>
          <w:tblHeader/>
          <w:jc w:val="center"/>
        </w:trPr>
        <w:tc>
          <w:tcPr>
            <w:tcW w:w="1838" w:type="dxa"/>
            <w:tcBorders>
              <w:bottom w:val="single" w:sz="4" w:space="0" w:color="auto"/>
            </w:tcBorders>
            <w:shd w:val="clear" w:color="auto" w:fill="D9D9D9" w:themeFill="background1" w:themeFillShade="D9"/>
            <w:vAlign w:val="center"/>
          </w:tcPr>
          <w:p w:rsidR="00AF5A3E" w:rsidRPr="007206CF" w:rsidRDefault="00AF5A3E" w:rsidP="00110316">
            <w:pPr>
              <w:pStyle w:val="Tablehead"/>
            </w:pPr>
            <w:r w:rsidRPr="007206CF">
              <w:t>Add</w:t>
            </w:r>
            <w:r w:rsidR="00110316" w:rsidRPr="007206CF">
              <w:t>é</w:t>
            </w:r>
            <w:r w:rsidRPr="007206CF">
              <w:t xml:space="preserve">ndum </w:t>
            </w:r>
            <w:r w:rsidR="00110316" w:rsidRPr="007206CF">
              <w:t>Nº</w:t>
            </w:r>
          </w:p>
        </w:tc>
        <w:tc>
          <w:tcPr>
            <w:tcW w:w="5670" w:type="dxa"/>
            <w:tcBorders>
              <w:bottom w:val="single" w:sz="4" w:space="0" w:color="auto"/>
            </w:tcBorders>
            <w:shd w:val="clear" w:color="auto" w:fill="D9D9D9" w:themeFill="background1" w:themeFillShade="D9"/>
            <w:vAlign w:val="center"/>
          </w:tcPr>
          <w:p w:rsidR="00AF5A3E" w:rsidRPr="007206CF" w:rsidRDefault="00DF16C6" w:rsidP="00DF16C6">
            <w:pPr>
              <w:pStyle w:val="Tablehead"/>
            </w:pPr>
            <w:r w:rsidRPr="007206CF">
              <w:t>T</w:t>
            </w:r>
            <w:r w:rsidR="00110316" w:rsidRPr="007206CF">
              <w:t>ítulo</w:t>
            </w:r>
            <w:r w:rsidRPr="007206CF">
              <w:t xml:space="preserve"> de la propuesta de la CRC</w:t>
            </w:r>
          </w:p>
        </w:tc>
        <w:tc>
          <w:tcPr>
            <w:tcW w:w="567" w:type="dxa"/>
            <w:tcBorders>
              <w:bottom w:val="single" w:sz="4" w:space="0" w:color="auto"/>
            </w:tcBorders>
            <w:shd w:val="clear" w:color="auto" w:fill="D9D9D9" w:themeFill="background1" w:themeFillShade="D9"/>
            <w:textDirection w:val="btLr"/>
            <w:vAlign w:val="center"/>
          </w:tcPr>
          <w:p w:rsidR="00AF5A3E" w:rsidRPr="007206CF" w:rsidRDefault="00DF16C6" w:rsidP="00DF16C6">
            <w:pPr>
              <w:pStyle w:val="Tablehead"/>
            </w:pPr>
            <w:r w:rsidRPr="007206CF">
              <w:t>Azerbaiyán</w:t>
            </w:r>
          </w:p>
        </w:tc>
        <w:tc>
          <w:tcPr>
            <w:tcW w:w="567" w:type="dxa"/>
            <w:tcBorders>
              <w:bottom w:val="single" w:sz="4" w:space="0" w:color="auto"/>
            </w:tcBorders>
            <w:shd w:val="clear" w:color="auto" w:fill="D9D9D9" w:themeFill="background1" w:themeFillShade="D9"/>
            <w:textDirection w:val="btLr"/>
            <w:vAlign w:val="center"/>
          </w:tcPr>
          <w:p w:rsidR="00AF5A3E" w:rsidRPr="007206CF" w:rsidRDefault="00AF5A3E" w:rsidP="00DF16C6">
            <w:pPr>
              <w:pStyle w:val="Tablehead"/>
            </w:pPr>
            <w:r w:rsidRPr="007206CF">
              <w:t>Armenia</w:t>
            </w:r>
          </w:p>
        </w:tc>
        <w:tc>
          <w:tcPr>
            <w:tcW w:w="567" w:type="dxa"/>
            <w:tcBorders>
              <w:bottom w:val="single" w:sz="4" w:space="0" w:color="auto"/>
            </w:tcBorders>
            <w:shd w:val="clear" w:color="auto" w:fill="D9D9D9" w:themeFill="background1" w:themeFillShade="D9"/>
            <w:textDirection w:val="btLr"/>
            <w:vAlign w:val="center"/>
          </w:tcPr>
          <w:p w:rsidR="00AF5A3E" w:rsidRPr="007206CF" w:rsidRDefault="00DF16C6" w:rsidP="00DF16C6">
            <w:pPr>
              <w:pStyle w:val="Tablehead"/>
            </w:pPr>
            <w:r w:rsidRPr="007206CF">
              <w:t>Belarú</w:t>
            </w:r>
            <w:r w:rsidR="00AF5A3E" w:rsidRPr="007206CF">
              <w:t>s</w:t>
            </w:r>
          </w:p>
        </w:tc>
        <w:tc>
          <w:tcPr>
            <w:tcW w:w="567" w:type="dxa"/>
            <w:tcBorders>
              <w:bottom w:val="single" w:sz="4" w:space="0" w:color="auto"/>
            </w:tcBorders>
            <w:shd w:val="clear" w:color="auto" w:fill="D9D9D9" w:themeFill="background1" w:themeFillShade="D9"/>
            <w:textDirection w:val="btLr"/>
            <w:vAlign w:val="center"/>
          </w:tcPr>
          <w:p w:rsidR="00AF5A3E" w:rsidRPr="007206CF" w:rsidRDefault="00AF5A3E" w:rsidP="00DF16C6">
            <w:pPr>
              <w:pStyle w:val="Tablehead"/>
            </w:pPr>
            <w:r w:rsidRPr="007206CF">
              <w:t>Georgia</w:t>
            </w:r>
          </w:p>
        </w:tc>
        <w:tc>
          <w:tcPr>
            <w:tcW w:w="567" w:type="dxa"/>
            <w:tcBorders>
              <w:bottom w:val="single" w:sz="4" w:space="0" w:color="auto"/>
            </w:tcBorders>
            <w:shd w:val="clear" w:color="auto" w:fill="D9D9D9" w:themeFill="background1" w:themeFillShade="D9"/>
            <w:textDirection w:val="btLr"/>
            <w:vAlign w:val="center"/>
          </w:tcPr>
          <w:p w:rsidR="00AF5A3E" w:rsidRPr="007206CF" w:rsidRDefault="00E377DA" w:rsidP="00DF16C6">
            <w:pPr>
              <w:pStyle w:val="Tablehead"/>
            </w:pPr>
            <w:r w:rsidRPr="007206CF">
              <w:t>Kazaj</w:t>
            </w:r>
            <w:r w:rsidR="00DF16C6" w:rsidRPr="007206CF">
              <w:t>stán</w:t>
            </w:r>
          </w:p>
        </w:tc>
        <w:tc>
          <w:tcPr>
            <w:tcW w:w="567" w:type="dxa"/>
            <w:tcBorders>
              <w:bottom w:val="single" w:sz="4" w:space="0" w:color="auto"/>
            </w:tcBorders>
            <w:shd w:val="clear" w:color="auto" w:fill="D9D9D9" w:themeFill="background1" w:themeFillShade="D9"/>
            <w:textDirection w:val="btLr"/>
            <w:vAlign w:val="center"/>
          </w:tcPr>
          <w:p w:rsidR="00AF5A3E" w:rsidRPr="007206CF" w:rsidRDefault="00DF16C6" w:rsidP="00DF16C6">
            <w:pPr>
              <w:pStyle w:val="Tablehead"/>
            </w:pPr>
            <w:r w:rsidRPr="007206CF">
              <w:t>Kirguistán</w:t>
            </w:r>
          </w:p>
        </w:tc>
        <w:tc>
          <w:tcPr>
            <w:tcW w:w="567" w:type="dxa"/>
            <w:tcBorders>
              <w:bottom w:val="single" w:sz="4" w:space="0" w:color="auto"/>
            </w:tcBorders>
            <w:shd w:val="clear" w:color="auto" w:fill="D9D9D9" w:themeFill="background1" w:themeFillShade="D9"/>
            <w:textDirection w:val="btLr"/>
            <w:vAlign w:val="center"/>
          </w:tcPr>
          <w:p w:rsidR="00AF5A3E" w:rsidRPr="007206CF" w:rsidRDefault="00AF5A3E" w:rsidP="00DF16C6">
            <w:pPr>
              <w:pStyle w:val="Tablehead"/>
            </w:pPr>
            <w:r w:rsidRPr="007206CF">
              <w:t>Moldova</w:t>
            </w:r>
          </w:p>
        </w:tc>
        <w:tc>
          <w:tcPr>
            <w:tcW w:w="567" w:type="dxa"/>
            <w:tcBorders>
              <w:bottom w:val="single" w:sz="4" w:space="0" w:color="auto"/>
            </w:tcBorders>
            <w:shd w:val="clear" w:color="auto" w:fill="D9D9D9" w:themeFill="background1" w:themeFillShade="D9"/>
            <w:textDirection w:val="btLr"/>
            <w:vAlign w:val="center"/>
          </w:tcPr>
          <w:p w:rsidR="00AF5A3E" w:rsidRPr="007206CF" w:rsidRDefault="00DF16C6" w:rsidP="00DF16C6">
            <w:pPr>
              <w:pStyle w:val="Tablehead"/>
            </w:pPr>
            <w:r w:rsidRPr="007206CF">
              <w:t>Ru</w:t>
            </w:r>
            <w:r w:rsidR="00AF5A3E" w:rsidRPr="007206CF">
              <w:t>sia</w:t>
            </w:r>
          </w:p>
        </w:tc>
        <w:tc>
          <w:tcPr>
            <w:tcW w:w="567" w:type="dxa"/>
            <w:tcBorders>
              <w:bottom w:val="single" w:sz="4" w:space="0" w:color="auto"/>
            </w:tcBorders>
            <w:shd w:val="clear" w:color="auto" w:fill="D9D9D9" w:themeFill="background1" w:themeFillShade="D9"/>
            <w:textDirection w:val="btLr"/>
            <w:vAlign w:val="center"/>
          </w:tcPr>
          <w:p w:rsidR="00AF5A3E" w:rsidRPr="007206CF" w:rsidRDefault="00DF16C6" w:rsidP="00DF16C6">
            <w:pPr>
              <w:pStyle w:val="Tablehead"/>
              <w:rPr>
                <w:color w:val="000000" w:themeColor="text1"/>
              </w:rPr>
            </w:pPr>
            <w:r w:rsidRPr="007206CF">
              <w:t>Tayikistán</w:t>
            </w:r>
          </w:p>
        </w:tc>
        <w:tc>
          <w:tcPr>
            <w:tcW w:w="567" w:type="dxa"/>
            <w:tcBorders>
              <w:bottom w:val="single" w:sz="4" w:space="0" w:color="auto"/>
            </w:tcBorders>
            <w:shd w:val="clear" w:color="auto" w:fill="D9D9D9" w:themeFill="background1" w:themeFillShade="D9"/>
            <w:textDirection w:val="btLr"/>
            <w:vAlign w:val="center"/>
          </w:tcPr>
          <w:p w:rsidR="00AF5A3E" w:rsidRPr="007206CF" w:rsidRDefault="00DF16C6" w:rsidP="00DF16C6">
            <w:pPr>
              <w:pStyle w:val="Tablehead"/>
              <w:rPr>
                <w:color w:val="000000" w:themeColor="text1"/>
              </w:rPr>
            </w:pPr>
            <w:r w:rsidRPr="007206CF">
              <w:t>Turkmenistán</w:t>
            </w:r>
          </w:p>
        </w:tc>
        <w:tc>
          <w:tcPr>
            <w:tcW w:w="567" w:type="dxa"/>
            <w:tcBorders>
              <w:bottom w:val="single" w:sz="4" w:space="0" w:color="auto"/>
            </w:tcBorders>
            <w:shd w:val="clear" w:color="auto" w:fill="D9D9D9" w:themeFill="background1" w:themeFillShade="D9"/>
            <w:textDirection w:val="btLr"/>
            <w:vAlign w:val="center"/>
          </w:tcPr>
          <w:p w:rsidR="00AF5A3E" w:rsidRPr="007206CF" w:rsidRDefault="00DF16C6" w:rsidP="00DF16C6">
            <w:pPr>
              <w:pStyle w:val="Tablehead"/>
              <w:rPr>
                <w:color w:val="000000" w:themeColor="text1"/>
              </w:rPr>
            </w:pPr>
            <w:r w:rsidRPr="007206CF">
              <w:t>Uzbekistán</w:t>
            </w:r>
          </w:p>
        </w:tc>
        <w:tc>
          <w:tcPr>
            <w:tcW w:w="567" w:type="dxa"/>
            <w:tcBorders>
              <w:bottom w:val="single" w:sz="4" w:space="0" w:color="auto"/>
            </w:tcBorders>
            <w:shd w:val="clear" w:color="auto" w:fill="D9D9D9" w:themeFill="background1" w:themeFillShade="D9"/>
            <w:textDirection w:val="btLr"/>
            <w:vAlign w:val="center"/>
          </w:tcPr>
          <w:p w:rsidR="00AF5A3E" w:rsidRPr="007206CF" w:rsidRDefault="00DF16C6" w:rsidP="00DF16C6">
            <w:pPr>
              <w:pStyle w:val="Tablehead"/>
              <w:rPr>
                <w:color w:val="000000" w:themeColor="text1"/>
              </w:rPr>
            </w:pPr>
            <w:r w:rsidRPr="007206CF">
              <w:t>Ucrania</w:t>
            </w:r>
          </w:p>
        </w:tc>
      </w:tr>
      <w:tr w:rsidR="00AF5A3E" w:rsidRPr="007206CF" w:rsidTr="00622644">
        <w:trPr>
          <w:cantSplit/>
          <w:trHeight w:hRule="exact" w:val="340"/>
          <w:jc w:val="center"/>
        </w:trPr>
        <w:tc>
          <w:tcPr>
            <w:tcW w:w="7508" w:type="dxa"/>
            <w:gridSpan w:val="2"/>
            <w:tcBorders>
              <w:right w:val="nil"/>
            </w:tcBorders>
            <w:shd w:val="clear" w:color="auto" w:fill="FFFFCC"/>
          </w:tcPr>
          <w:p w:rsidR="00AF5A3E" w:rsidRPr="007206CF" w:rsidRDefault="00AF5A3E" w:rsidP="00DF16C6">
            <w:pPr>
              <w:pStyle w:val="Tabletext"/>
              <w:rPr>
                <w:b/>
                <w:bCs/>
              </w:rPr>
            </w:pPr>
            <w:r w:rsidRPr="007206CF">
              <w:rPr>
                <w:b/>
                <w:bCs/>
              </w:rPr>
              <w:t>I</w:t>
            </w:r>
            <w:r w:rsidRPr="007206CF">
              <w:rPr>
                <w:b/>
                <w:bCs/>
              </w:rPr>
              <w:tab/>
            </w:r>
            <w:r w:rsidR="00DF16C6" w:rsidRPr="007206CF">
              <w:rPr>
                <w:b/>
                <w:bCs/>
              </w:rPr>
              <w:t>Documentos generales</w:t>
            </w:r>
          </w:p>
        </w:tc>
        <w:tc>
          <w:tcPr>
            <w:tcW w:w="6804" w:type="dxa"/>
            <w:gridSpan w:val="12"/>
            <w:tcBorders>
              <w:left w:val="nil"/>
            </w:tcBorders>
            <w:shd w:val="clear" w:color="auto" w:fill="FFFFCC"/>
          </w:tcPr>
          <w:p w:rsidR="00AF5A3E" w:rsidRPr="007206CF" w:rsidRDefault="00AF5A3E" w:rsidP="00DF16C6">
            <w:pPr>
              <w:tabs>
                <w:tab w:val="center" w:pos="4677"/>
                <w:tab w:val="right" w:pos="9355"/>
              </w:tabs>
              <w:overflowPunct/>
              <w:autoSpaceDE/>
              <w:autoSpaceDN/>
              <w:adjustRightInd/>
              <w:spacing w:before="240" w:after="240"/>
              <w:jc w:val="both"/>
              <w:textAlignment w:val="auto"/>
              <w:rPr>
                <w:rFonts w:ascii="Times New Roman" w:hAnsi="Times New Roman"/>
                <w:szCs w:val="24"/>
              </w:rPr>
            </w:pPr>
          </w:p>
        </w:tc>
      </w:tr>
      <w:tr w:rsidR="00AF5A3E" w:rsidRPr="007206CF" w:rsidTr="00622644">
        <w:trPr>
          <w:jc w:val="center"/>
        </w:trPr>
        <w:tc>
          <w:tcPr>
            <w:tcW w:w="1838" w:type="dxa"/>
          </w:tcPr>
          <w:p w:rsidR="00AF5A3E" w:rsidRPr="007206CF" w:rsidRDefault="00AF5A3E" w:rsidP="00DF16C6">
            <w:pPr>
              <w:pStyle w:val="Tabletext"/>
              <w:tabs>
                <w:tab w:val="clear" w:pos="284"/>
                <w:tab w:val="clear" w:pos="851"/>
                <w:tab w:val="clear" w:pos="1418"/>
                <w:tab w:val="clear" w:pos="1985"/>
                <w:tab w:val="clear" w:pos="2552"/>
                <w:tab w:val="clear" w:pos="3119"/>
                <w:tab w:val="clear" w:pos="3402"/>
                <w:tab w:val="clear" w:pos="3686"/>
                <w:tab w:val="clear" w:pos="3969"/>
              </w:tabs>
              <w:ind w:left="-113"/>
              <w:jc w:val="center"/>
            </w:pPr>
            <w:r w:rsidRPr="007206CF">
              <w:t>1</w:t>
            </w:r>
          </w:p>
        </w:tc>
        <w:tc>
          <w:tcPr>
            <w:tcW w:w="5670" w:type="dxa"/>
          </w:tcPr>
          <w:p w:rsidR="00AF5A3E" w:rsidRPr="007206CF" w:rsidRDefault="00921B3D" w:rsidP="00921B3D">
            <w:pPr>
              <w:pStyle w:val="Tabletext"/>
            </w:pPr>
            <w:r w:rsidRPr="007206CF">
              <w:t>Propuesta</w:t>
            </w:r>
            <w:r w:rsidR="004128B9" w:rsidRPr="007206CF">
              <w:t>s</w:t>
            </w:r>
            <w:r w:rsidRPr="007206CF">
              <w:t xml:space="preserve"> relativa</w:t>
            </w:r>
            <w:r w:rsidR="004128B9" w:rsidRPr="007206CF">
              <w:t>s</w:t>
            </w:r>
            <w:r w:rsidRPr="007206CF">
              <w:t xml:space="preserve"> al antep</w:t>
            </w:r>
            <w:r w:rsidR="003A1200" w:rsidRPr="007206CF">
              <w:t xml:space="preserve">royecto de Declaración </w:t>
            </w:r>
            <w:r w:rsidRPr="007206CF">
              <w:br/>
            </w:r>
            <w:r w:rsidR="003A1200" w:rsidRPr="007206CF">
              <w:t>de la CMDT-17</w:t>
            </w:r>
          </w:p>
        </w:tc>
        <w:tc>
          <w:tcPr>
            <w:tcW w:w="567" w:type="dxa"/>
            <w:shd w:val="clear" w:color="auto" w:fill="auto"/>
          </w:tcPr>
          <w:p w:rsidR="00AF5A3E" w:rsidRPr="007206CF" w:rsidRDefault="00AF5A3E" w:rsidP="00DF16C6">
            <w:pPr>
              <w:numPr>
                <w:ilvl w:val="0"/>
                <w:numId w:val="12"/>
              </w:numPr>
              <w:tabs>
                <w:tab w:val="clear" w:pos="794"/>
                <w:tab w:val="clear" w:pos="1191"/>
                <w:tab w:val="clear" w:pos="1588"/>
                <w:tab w:val="clear" w:pos="1985"/>
                <w:tab w:val="left" w:pos="173"/>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5"/>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7"/>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4"/>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r>
      <w:tr w:rsidR="00AF5A3E" w:rsidRPr="007206CF" w:rsidTr="00622644">
        <w:trPr>
          <w:jc w:val="center"/>
        </w:trPr>
        <w:tc>
          <w:tcPr>
            <w:tcW w:w="14312" w:type="dxa"/>
            <w:gridSpan w:val="14"/>
            <w:shd w:val="clear" w:color="auto" w:fill="FFFFCC"/>
          </w:tcPr>
          <w:p w:rsidR="00AF5A3E" w:rsidRPr="007206CF" w:rsidRDefault="00DF16C6" w:rsidP="00DF16C6">
            <w:pPr>
              <w:pStyle w:val="Tabletext"/>
              <w:rPr>
                <w:rFonts w:ascii="Times New Roman" w:hAnsi="Times New Roman"/>
                <w:sz w:val="24"/>
                <w:szCs w:val="24"/>
              </w:rPr>
            </w:pPr>
            <w:r w:rsidRPr="007206CF">
              <w:rPr>
                <w:b/>
                <w:bCs/>
              </w:rPr>
              <w:t>II</w:t>
            </w:r>
            <w:r w:rsidRPr="007206CF">
              <w:rPr>
                <w:b/>
                <w:bCs/>
              </w:rPr>
              <w:tab/>
              <w:t xml:space="preserve">Iniciativas </w:t>
            </w:r>
            <w:r w:rsidR="00F41614" w:rsidRPr="007206CF">
              <w:rPr>
                <w:b/>
                <w:bCs/>
              </w:rPr>
              <w:t>Regionales</w:t>
            </w:r>
          </w:p>
        </w:tc>
      </w:tr>
      <w:tr w:rsidR="00AF5A3E" w:rsidRPr="007206CF" w:rsidTr="00622644">
        <w:trPr>
          <w:jc w:val="center"/>
        </w:trPr>
        <w:tc>
          <w:tcPr>
            <w:tcW w:w="1838" w:type="dxa"/>
          </w:tcPr>
          <w:p w:rsidR="00AF5A3E" w:rsidRPr="007206CF" w:rsidRDefault="00AF5A3E" w:rsidP="00DF16C6">
            <w:pPr>
              <w:pStyle w:val="Tabletext"/>
              <w:tabs>
                <w:tab w:val="clear" w:pos="284"/>
                <w:tab w:val="clear" w:pos="851"/>
                <w:tab w:val="clear" w:pos="1418"/>
              </w:tabs>
              <w:jc w:val="center"/>
            </w:pPr>
            <w:r w:rsidRPr="007206CF">
              <w:t>2</w:t>
            </w:r>
          </w:p>
        </w:tc>
        <w:tc>
          <w:tcPr>
            <w:tcW w:w="5670" w:type="dxa"/>
          </w:tcPr>
          <w:p w:rsidR="00AF5A3E" w:rsidRPr="007206CF" w:rsidRDefault="003A1200" w:rsidP="00DF16C6">
            <w:pPr>
              <w:pStyle w:val="Tabletext"/>
            </w:pPr>
            <w:r w:rsidRPr="007206CF">
              <w:t>Propuesta de Iniciativas Regionales de la CRC</w:t>
            </w:r>
          </w:p>
        </w:tc>
        <w:tc>
          <w:tcPr>
            <w:tcW w:w="567" w:type="dxa"/>
            <w:shd w:val="clear" w:color="auto" w:fill="auto"/>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6"/>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r>
      <w:tr w:rsidR="00AF5A3E" w:rsidRPr="007206CF" w:rsidTr="00622644">
        <w:trPr>
          <w:jc w:val="center"/>
        </w:trPr>
        <w:tc>
          <w:tcPr>
            <w:tcW w:w="14312" w:type="dxa"/>
            <w:gridSpan w:val="14"/>
            <w:shd w:val="clear" w:color="auto" w:fill="FFFFCC"/>
          </w:tcPr>
          <w:p w:rsidR="00AF5A3E" w:rsidRPr="007206CF" w:rsidRDefault="00AF5A3E" w:rsidP="00DF16C6">
            <w:pPr>
              <w:pStyle w:val="Tabletext"/>
              <w:rPr>
                <w:rFonts w:ascii="Times New Roman" w:hAnsi="Times New Roman"/>
                <w:sz w:val="24"/>
                <w:szCs w:val="24"/>
              </w:rPr>
            </w:pPr>
            <w:r w:rsidRPr="007206CF">
              <w:rPr>
                <w:b/>
                <w:bCs/>
              </w:rPr>
              <w:t>III</w:t>
            </w:r>
            <w:r w:rsidRPr="007206CF">
              <w:rPr>
                <w:b/>
              </w:rPr>
              <w:tab/>
              <w:t>R</w:t>
            </w:r>
            <w:r w:rsidRPr="007206CF">
              <w:rPr>
                <w:b/>
                <w:bCs/>
              </w:rPr>
              <w:t>esol</w:t>
            </w:r>
            <w:r w:rsidR="00DF16C6" w:rsidRPr="007206CF">
              <w:rPr>
                <w:b/>
                <w:bCs/>
              </w:rPr>
              <w:t>uc</w:t>
            </w:r>
            <w:r w:rsidRPr="007206CF">
              <w:rPr>
                <w:b/>
                <w:bCs/>
              </w:rPr>
              <w:t>ion</w:t>
            </w:r>
            <w:r w:rsidR="00DF16C6" w:rsidRPr="007206CF">
              <w:rPr>
                <w:b/>
                <w:bCs/>
              </w:rPr>
              <w:t>e</w:t>
            </w:r>
            <w:r w:rsidRPr="007206CF">
              <w:rPr>
                <w:b/>
                <w:bCs/>
              </w:rPr>
              <w:t>s</w:t>
            </w:r>
          </w:p>
        </w:tc>
      </w:tr>
      <w:tr w:rsidR="00AF5A3E" w:rsidRPr="007206CF" w:rsidTr="00622644">
        <w:trPr>
          <w:jc w:val="center"/>
        </w:trPr>
        <w:tc>
          <w:tcPr>
            <w:tcW w:w="1838" w:type="dxa"/>
          </w:tcPr>
          <w:p w:rsidR="00AF5A3E" w:rsidRPr="007206CF" w:rsidRDefault="00AF5A3E" w:rsidP="00DF16C6">
            <w:pPr>
              <w:pStyle w:val="Tabletext"/>
              <w:jc w:val="center"/>
            </w:pPr>
            <w:r w:rsidRPr="007206CF">
              <w:t>3</w:t>
            </w:r>
          </w:p>
        </w:tc>
        <w:tc>
          <w:tcPr>
            <w:tcW w:w="5670" w:type="dxa"/>
          </w:tcPr>
          <w:p w:rsidR="00AF5A3E" w:rsidRPr="007206CF" w:rsidRDefault="003A1200" w:rsidP="00DF16C6">
            <w:pPr>
              <w:pStyle w:val="Tabletext"/>
            </w:pPr>
            <w:r w:rsidRPr="007206CF">
              <w:t>Proyecto de revisión de la Resolución 1 de la CMDT</w:t>
            </w:r>
            <w:r w:rsidR="006B3CE9" w:rsidRPr="007206CF">
              <w:t xml:space="preserve"> </w:t>
            </w:r>
            <w:r w:rsidRPr="007206CF">
              <w:t xml:space="preserve">– </w:t>
            </w:r>
            <w:r w:rsidRPr="007206CF">
              <w:rPr>
                <w:szCs w:val="34"/>
              </w:rPr>
              <w:t>Reglamento Interno del Sector de Desarrollo de las Telecomunicaciones de la UIT</w:t>
            </w:r>
          </w:p>
        </w:tc>
        <w:tc>
          <w:tcPr>
            <w:tcW w:w="567" w:type="dxa"/>
            <w:shd w:val="clear" w:color="auto" w:fill="auto"/>
          </w:tcPr>
          <w:p w:rsidR="00AF5A3E" w:rsidRPr="007206CF" w:rsidRDefault="00AF5A3E" w:rsidP="00DF16C6">
            <w:pPr>
              <w:numPr>
                <w:ilvl w:val="0"/>
                <w:numId w:val="12"/>
              </w:numPr>
              <w:tabs>
                <w:tab w:val="clear" w:pos="794"/>
                <w:tab w:val="clear" w:pos="1191"/>
                <w:tab w:val="clear" w:pos="1588"/>
                <w:tab w:val="clear" w:pos="1985"/>
                <w:tab w:val="left" w:pos="173"/>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5"/>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4"/>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r>
      <w:tr w:rsidR="00AF5A3E" w:rsidRPr="007206CF" w:rsidTr="00622644">
        <w:trPr>
          <w:jc w:val="center"/>
        </w:trPr>
        <w:tc>
          <w:tcPr>
            <w:tcW w:w="1838" w:type="dxa"/>
          </w:tcPr>
          <w:p w:rsidR="00AF5A3E" w:rsidRPr="007206CF" w:rsidRDefault="00AF5A3E" w:rsidP="00DF16C6">
            <w:pPr>
              <w:pStyle w:val="Tabletext"/>
              <w:jc w:val="center"/>
            </w:pPr>
            <w:r w:rsidRPr="007206CF">
              <w:t>4</w:t>
            </w:r>
          </w:p>
        </w:tc>
        <w:tc>
          <w:tcPr>
            <w:tcW w:w="5670" w:type="dxa"/>
          </w:tcPr>
          <w:p w:rsidR="00AF5A3E" w:rsidRPr="007206CF" w:rsidRDefault="003A1200" w:rsidP="00DF16C6">
            <w:pPr>
              <w:pStyle w:val="Tabletext"/>
            </w:pPr>
            <w:r w:rsidRPr="007206CF">
              <w:t xml:space="preserve">Proyecto de revisión de la Resolución 2 de la CMDT – Establecimiento de </w:t>
            </w:r>
            <w:r w:rsidR="00EC5D60" w:rsidRPr="007206CF">
              <w:t xml:space="preserve">Comisiones </w:t>
            </w:r>
            <w:r w:rsidRPr="007206CF">
              <w:t xml:space="preserve">de </w:t>
            </w:r>
            <w:r w:rsidR="00EC5D60" w:rsidRPr="007206CF">
              <w:t>Estudio</w:t>
            </w:r>
          </w:p>
        </w:tc>
        <w:tc>
          <w:tcPr>
            <w:tcW w:w="567" w:type="dxa"/>
            <w:shd w:val="clear" w:color="auto" w:fill="auto"/>
          </w:tcPr>
          <w:p w:rsidR="00AF5A3E" w:rsidRPr="007206CF" w:rsidRDefault="00AF5A3E" w:rsidP="00DF16C6">
            <w:pPr>
              <w:numPr>
                <w:ilvl w:val="0"/>
                <w:numId w:val="12"/>
              </w:numPr>
              <w:tabs>
                <w:tab w:val="clear" w:pos="794"/>
                <w:tab w:val="clear" w:pos="1191"/>
                <w:tab w:val="clear" w:pos="1588"/>
                <w:tab w:val="clear" w:pos="1985"/>
                <w:tab w:val="left" w:pos="173"/>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5"/>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4"/>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r>
      <w:tr w:rsidR="00AF5A3E" w:rsidRPr="007206CF" w:rsidTr="00622644">
        <w:trPr>
          <w:jc w:val="center"/>
        </w:trPr>
        <w:tc>
          <w:tcPr>
            <w:tcW w:w="1838" w:type="dxa"/>
          </w:tcPr>
          <w:p w:rsidR="00AF5A3E" w:rsidRPr="007206CF" w:rsidRDefault="00AF5A3E" w:rsidP="00DF16C6">
            <w:pPr>
              <w:pStyle w:val="Tabletext"/>
              <w:jc w:val="center"/>
            </w:pPr>
            <w:r w:rsidRPr="007206CF">
              <w:t>5</w:t>
            </w:r>
          </w:p>
        </w:tc>
        <w:tc>
          <w:tcPr>
            <w:tcW w:w="5670" w:type="dxa"/>
          </w:tcPr>
          <w:p w:rsidR="00AF5A3E" w:rsidRPr="007206CF" w:rsidRDefault="003A1200" w:rsidP="00DF16C6">
            <w:pPr>
              <w:pStyle w:val="Tabletext"/>
            </w:pPr>
            <w:r w:rsidRPr="007206CF">
              <w:t>Proyecto de revisión de la Resolución 8 – Recopilación y difusión de información y estadísticas</w:t>
            </w:r>
          </w:p>
        </w:tc>
        <w:tc>
          <w:tcPr>
            <w:tcW w:w="567" w:type="dxa"/>
            <w:shd w:val="clear" w:color="auto" w:fill="auto"/>
          </w:tcPr>
          <w:p w:rsidR="00AF5A3E" w:rsidRPr="007206CF" w:rsidRDefault="00AF5A3E" w:rsidP="00DF16C6">
            <w:pPr>
              <w:numPr>
                <w:ilvl w:val="0"/>
                <w:numId w:val="12"/>
              </w:numPr>
              <w:tabs>
                <w:tab w:val="clear" w:pos="794"/>
                <w:tab w:val="clear" w:pos="1191"/>
                <w:tab w:val="clear" w:pos="1588"/>
                <w:tab w:val="clear" w:pos="1985"/>
                <w:tab w:val="left" w:pos="173"/>
                <w:tab w:val="center" w:pos="4677"/>
                <w:tab w:val="right" w:pos="9355"/>
              </w:tabs>
              <w:overflowPunct/>
              <w:autoSpaceDE/>
              <w:autoSpaceDN/>
              <w:adjustRightInd/>
              <w:spacing w:before="0"/>
              <w:textAlignment w:val="auto"/>
              <w:rPr>
                <w:rFonts w:ascii="Times New Roman" w:hAnsi="Times New Roman"/>
                <w:szCs w:val="24"/>
              </w:rPr>
            </w:pPr>
          </w:p>
        </w:tc>
        <w:tc>
          <w:tcPr>
            <w:tcW w:w="567" w:type="dxa"/>
            <w:shd w:val="clear" w:color="auto" w:fill="auto"/>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shd w:val="clear" w:color="auto" w:fill="auto"/>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5"/>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4"/>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r>
      <w:tr w:rsidR="00AF5A3E" w:rsidRPr="007206CF" w:rsidTr="00622644">
        <w:trPr>
          <w:jc w:val="center"/>
        </w:trPr>
        <w:tc>
          <w:tcPr>
            <w:tcW w:w="1838" w:type="dxa"/>
          </w:tcPr>
          <w:p w:rsidR="00AF5A3E" w:rsidRPr="007206CF" w:rsidRDefault="00AF5A3E" w:rsidP="00DF16C6">
            <w:pPr>
              <w:pStyle w:val="Tabletext"/>
              <w:jc w:val="center"/>
            </w:pPr>
            <w:r w:rsidRPr="007206CF">
              <w:t>6</w:t>
            </w:r>
          </w:p>
        </w:tc>
        <w:tc>
          <w:tcPr>
            <w:tcW w:w="5670" w:type="dxa"/>
          </w:tcPr>
          <w:p w:rsidR="00AF5A3E" w:rsidRPr="007206CF" w:rsidRDefault="00363200" w:rsidP="00DF16C6">
            <w:pPr>
              <w:pStyle w:val="Tabletext"/>
            </w:pPr>
            <w:r w:rsidRPr="007206CF">
              <w:t xml:space="preserve">Proyecto de revisión de la Resolución 9 de la CMDT – </w:t>
            </w:r>
            <w:bookmarkStart w:id="11" w:name="_Toc401734399"/>
            <w:r w:rsidRPr="007206CF">
              <w:rPr>
                <w:szCs w:val="34"/>
              </w:rPr>
              <w:t>Participación de los países, en particular de los países en desarrollo, en la gestión del espectro de frecuencias</w:t>
            </w:r>
            <w:bookmarkEnd w:id="11"/>
          </w:p>
        </w:tc>
        <w:tc>
          <w:tcPr>
            <w:tcW w:w="567" w:type="dxa"/>
            <w:shd w:val="clear" w:color="auto" w:fill="auto"/>
          </w:tcPr>
          <w:p w:rsidR="00AF5A3E" w:rsidRPr="007206CF" w:rsidRDefault="00AF5A3E" w:rsidP="00DF16C6">
            <w:pPr>
              <w:numPr>
                <w:ilvl w:val="0"/>
                <w:numId w:val="12"/>
              </w:numPr>
              <w:tabs>
                <w:tab w:val="clear" w:pos="794"/>
                <w:tab w:val="clear" w:pos="1191"/>
                <w:tab w:val="clear" w:pos="1588"/>
                <w:tab w:val="clear" w:pos="1985"/>
                <w:tab w:val="left" w:pos="173"/>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5"/>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4"/>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r>
      <w:tr w:rsidR="00AF5A3E" w:rsidRPr="007206CF" w:rsidTr="00622644">
        <w:trPr>
          <w:jc w:val="center"/>
        </w:trPr>
        <w:tc>
          <w:tcPr>
            <w:tcW w:w="1838" w:type="dxa"/>
          </w:tcPr>
          <w:p w:rsidR="00AF5A3E" w:rsidRPr="007206CF" w:rsidRDefault="00AF5A3E" w:rsidP="00DF16C6">
            <w:pPr>
              <w:pStyle w:val="Tabletext"/>
              <w:jc w:val="center"/>
            </w:pPr>
            <w:r w:rsidRPr="007206CF">
              <w:t>7</w:t>
            </w:r>
          </w:p>
        </w:tc>
        <w:tc>
          <w:tcPr>
            <w:tcW w:w="5670" w:type="dxa"/>
          </w:tcPr>
          <w:p w:rsidR="00AF5A3E" w:rsidRPr="007206CF" w:rsidRDefault="001E4BC1" w:rsidP="00DF16C6">
            <w:pPr>
              <w:pStyle w:val="Tabletext"/>
            </w:pPr>
            <w:r w:rsidRPr="007206CF">
              <w:t>Proyecto de revisión de la Resolución 11 de la CMDT – Servicios de telecomunicaciones/tecnologías de la información y la comunicación en zonas rurales, aisladas e insuficientemente atendidas y en comunidades indígenas</w:t>
            </w:r>
          </w:p>
        </w:tc>
        <w:tc>
          <w:tcPr>
            <w:tcW w:w="567" w:type="dxa"/>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Calibri" w:hAnsi="Calibri"/>
                <w:szCs w:val="24"/>
              </w:rPr>
            </w:pPr>
          </w:p>
        </w:tc>
        <w:tc>
          <w:tcPr>
            <w:tcW w:w="567" w:type="dxa"/>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rPr>
                <w:rFonts w:ascii="Times New Roman" w:hAnsi="Times New Roman"/>
                <w:szCs w:val="24"/>
              </w:rPr>
            </w:pPr>
          </w:p>
        </w:tc>
        <w:tc>
          <w:tcPr>
            <w:tcW w:w="567" w:type="dxa"/>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Calibri" w:hAnsi="Calibri"/>
                <w:szCs w:val="24"/>
              </w:rPr>
            </w:pPr>
          </w:p>
        </w:tc>
        <w:tc>
          <w:tcPr>
            <w:tcW w:w="567" w:type="dxa"/>
          </w:tcPr>
          <w:p w:rsidR="00AF5A3E" w:rsidRPr="007206CF" w:rsidRDefault="00AF5A3E" w:rsidP="00DF16C6">
            <w:pPr>
              <w:rPr>
                <w:rFonts w:ascii="Times New Roman" w:hAnsi="Times New Roman"/>
                <w:szCs w:val="24"/>
              </w:rPr>
            </w:pPr>
          </w:p>
        </w:tc>
        <w:tc>
          <w:tcPr>
            <w:tcW w:w="567" w:type="dxa"/>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after="20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rPr>
                <w:rFonts w:ascii="Times New Roman" w:hAnsi="Times New Roman"/>
                <w:szCs w:val="24"/>
              </w:rPr>
            </w:pPr>
          </w:p>
        </w:tc>
        <w:tc>
          <w:tcPr>
            <w:tcW w:w="567" w:type="dxa"/>
          </w:tcPr>
          <w:p w:rsidR="00AF5A3E" w:rsidRPr="007206CF" w:rsidRDefault="00AF5A3E" w:rsidP="00DF16C6">
            <w:pPr>
              <w:tabs>
                <w:tab w:val="center" w:pos="4677"/>
                <w:tab w:val="right" w:pos="9355"/>
              </w:tabs>
              <w:rPr>
                <w:rFonts w:ascii="Times New Roman" w:hAnsi="Times New Roman"/>
                <w:szCs w:val="24"/>
              </w:rPr>
            </w:pPr>
          </w:p>
        </w:tc>
      </w:tr>
      <w:tr w:rsidR="00AF5A3E" w:rsidRPr="007206CF" w:rsidTr="00622644">
        <w:trPr>
          <w:jc w:val="center"/>
        </w:trPr>
        <w:tc>
          <w:tcPr>
            <w:tcW w:w="1838" w:type="dxa"/>
          </w:tcPr>
          <w:p w:rsidR="00AF5A3E" w:rsidRPr="007206CF" w:rsidRDefault="00AF5A3E" w:rsidP="00DF16C6">
            <w:pPr>
              <w:pStyle w:val="Tabletext"/>
              <w:jc w:val="center"/>
            </w:pPr>
            <w:r w:rsidRPr="007206CF">
              <w:t>8</w:t>
            </w:r>
          </w:p>
        </w:tc>
        <w:tc>
          <w:tcPr>
            <w:tcW w:w="5670" w:type="dxa"/>
          </w:tcPr>
          <w:p w:rsidR="00AF5A3E" w:rsidRPr="007206CF" w:rsidRDefault="001E4BC1" w:rsidP="00DF16C6">
            <w:pPr>
              <w:pStyle w:val="Tabletext"/>
            </w:pPr>
            <w:r w:rsidRPr="007206CF">
              <w:t>Proyecto de revisión de la Resolución 15 de la CMDT – Investigación aplicada y transferencia de tecnología</w:t>
            </w:r>
          </w:p>
        </w:tc>
        <w:tc>
          <w:tcPr>
            <w:tcW w:w="567" w:type="dxa"/>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Calibri" w:hAnsi="Calibri"/>
                <w:szCs w:val="24"/>
              </w:rPr>
            </w:pPr>
          </w:p>
        </w:tc>
        <w:tc>
          <w:tcPr>
            <w:tcW w:w="567" w:type="dxa"/>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rPr>
                <w:rFonts w:ascii="Times New Roman" w:hAnsi="Times New Roman"/>
                <w:szCs w:val="24"/>
              </w:rPr>
            </w:pPr>
          </w:p>
        </w:tc>
        <w:tc>
          <w:tcPr>
            <w:tcW w:w="567" w:type="dxa"/>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Calibri" w:hAnsi="Calibri"/>
                <w:szCs w:val="24"/>
              </w:rPr>
            </w:pPr>
          </w:p>
        </w:tc>
        <w:tc>
          <w:tcPr>
            <w:tcW w:w="567" w:type="dxa"/>
          </w:tcPr>
          <w:p w:rsidR="00AF5A3E" w:rsidRPr="007206CF" w:rsidRDefault="00AF5A3E" w:rsidP="00DF16C6">
            <w:pPr>
              <w:rPr>
                <w:rFonts w:ascii="Times New Roman" w:hAnsi="Times New Roman"/>
                <w:szCs w:val="24"/>
              </w:rPr>
            </w:pPr>
          </w:p>
        </w:tc>
        <w:tc>
          <w:tcPr>
            <w:tcW w:w="567" w:type="dxa"/>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after="20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rPr>
                <w:rFonts w:ascii="Times New Roman" w:hAnsi="Times New Roman"/>
                <w:szCs w:val="24"/>
              </w:rPr>
            </w:pPr>
          </w:p>
        </w:tc>
        <w:tc>
          <w:tcPr>
            <w:tcW w:w="567" w:type="dxa"/>
          </w:tcPr>
          <w:p w:rsidR="00AF5A3E" w:rsidRPr="007206CF" w:rsidRDefault="00AF5A3E" w:rsidP="00DF16C6">
            <w:pPr>
              <w:tabs>
                <w:tab w:val="center" w:pos="4677"/>
                <w:tab w:val="right" w:pos="9355"/>
              </w:tabs>
              <w:rPr>
                <w:rFonts w:ascii="Times New Roman" w:hAnsi="Times New Roman"/>
                <w:szCs w:val="24"/>
              </w:rPr>
            </w:pPr>
          </w:p>
        </w:tc>
      </w:tr>
      <w:tr w:rsidR="00AF5A3E" w:rsidRPr="007206CF" w:rsidTr="00622644">
        <w:trPr>
          <w:jc w:val="center"/>
        </w:trPr>
        <w:tc>
          <w:tcPr>
            <w:tcW w:w="1838" w:type="dxa"/>
            <w:tcBorders>
              <w:bottom w:val="single" w:sz="4" w:space="0" w:color="auto"/>
            </w:tcBorders>
          </w:tcPr>
          <w:p w:rsidR="00AF5A3E" w:rsidRPr="007206CF" w:rsidRDefault="00AF5A3E" w:rsidP="00DF16C6">
            <w:pPr>
              <w:pStyle w:val="Tabletext"/>
              <w:jc w:val="center"/>
            </w:pPr>
            <w:r w:rsidRPr="007206CF">
              <w:lastRenderedPageBreak/>
              <w:t>9</w:t>
            </w:r>
          </w:p>
        </w:tc>
        <w:tc>
          <w:tcPr>
            <w:tcW w:w="5670" w:type="dxa"/>
            <w:tcBorders>
              <w:bottom w:val="single" w:sz="4" w:space="0" w:color="auto"/>
            </w:tcBorders>
          </w:tcPr>
          <w:p w:rsidR="00AF5A3E" w:rsidRPr="007206CF" w:rsidRDefault="001E4BC1" w:rsidP="00DF16C6">
            <w:pPr>
              <w:pStyle w:val="Tabletext"/>
            </w:pPr>
            <w:r w:rsidRPr="007206CF">
              <w:t>Proyecto de revisión de la Resolución 16 de la CMDT – Acciones y medidas especiales para los países menos adelantados, los pequeños estados insulares en desarrollo, los países en desarrollo sin litoral y los países con economías en transición</w:t>
            </w: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overflowPunct/>
              <w:autoSpaceDE/>
              <w:autoSpaceDN/>
              <w:adjustRightInd/>
              <w:spacing w:before="0" w:after="200"/>
              <w:contextualSpacing/>
              <w:textAlignment w:val="auto"/>
              <w:rPr>
                <w:rFonts w:ascii="Calibri" w:hAnsi="Calibri"/>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after="20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rPr>
                <w:rFonts w:ascii="Times New Roman" w:hAnsi="Times New Roman"/>
                <w:szCs w:val="24"/>
              </w:rPr>
            </w:pPr>
          </w:p>
        </w:tc>
      </w:tr>
      <w:tr w:rsidR="00AF5A3E" w:rsidRPr="007206CF" w:rsidTr="00622644">
        <w:trPr>
          <w:jc w:val="center"/>
        </w:trPr>
        <w:tc>
          <w:tcPr>
            <w:tcW w:w="1838" w:type="dxa"/>
            <w:tcBorders>
              <w:bottom w:val="single" w:sz="4" w:space="0" w:color="auto"/>
            </w:tcBorders>
          </w:tcPr>
          <w:p w:rsidR="00AF5A3E" w:rsidRPr="007206CF" w:rsidRDefault="00AF5A3E" w:rsidP="00DF16C6">
            <w:pPr>
              <w:pStyle w:val="Tabletext"/>
              <w:jc w:val="center"/>
            </w:pPr>
            <w:r w:rsidRPr="007206CF">
              <w:t>10</w:t>
            </w:r>
          </w:p>
        </w:tc>
        <w:tc>
          <w:tcPr>
            <w:tcW w:w="5670" w:type="dxa"/>
            <w:tcBorders>
              <w:bottom w:val="single" w:sz="4" w:space="0" w:color="auto"/>
            </w:tcBorders>
          </w:tcPr>
          <w:p w:rsidR="00363200" w:rsidRPr="007206CF" w:rsidRDefault="001E4BC1" w:rsidP="006841C9">
            <w:pPr>
              <w:pStyle w:val="Tabletext"/>
            </w:pPr>
            <w:r w:rsidRPr="007206CF">
              <w:t xml:space="preserve">Proyecto de </w:t>
            </w:r>
            <w:r w:rsidR="006841C9" w:rsidRPr="007206CF">
              <w:t>fusión</w:t>
            </w:r>
            <w:r w:rsidRPr="007206CF">
              <w:t xml:space="preserve"> de la Resolución 17 – Ejecución en los planos nacional, regional, interregional y mundial de las iniciativas aprobadas por las regiones</w:t>
            </w:r>
            <w:r w:rsidR="006841C9" w:rsidRPr="007206CF">
              <w:t xml:space="preserve"> –</w:t>
            </w:r>
            <w:r w:rsidR="006841C9" w:rsidRPr="007206CF">
              <w:t xml:space="preserve"> con la </w:t>
            </w:r>
            <w:r w:rsidR="00363200" w:rsidRPr="007206CF">
              <w:t>Resolución</w:t>
            </w:r>
            <w:r w:rsidR="00363200" w:rsidRPr="007206CF">
              <w:rPr>
                <w:snapToGrid w:val="0"/>
                <w:lang w:eastAsia="fr-FR"/>
              </w:rPr>
              <w:t xml:space="preserve"> 32 – </w:t>
            </w:r>
            <w:bookmarkStart w:id="12" w:name="_Toc401734437"/>
            <w:r w:rsidR="00363200" w:rsidRPr="007206CF">
              <w:t>Cooperación internacional y regional para las Iniciativas Regionales</w:t>
            </w:r>
            <w:bookmarkEnd w:id="12"/>
            <w:r w:rsidR="006841C9" w:rsidRPr="007206CF">
              <w:t xml:space="preserve">. Supresión de la </w:t>
            </w:r>
            <w:r w:rsidR="006841C9" w:rsidRPr="007206CF">
              <w:t xml:space="preserve">Resolución </w:t>
            </w:r>
            <w:r w:rsidR="006841C9" w:rsidRPr="007206CF">
              <w:t>32</w:t>
            </w:r>
            <w:bookmarkStart w:id="13" w:name="_GoBack"/>
            <w:bookmarkEnd w:id="13"/>
          </w:p>
        </w:tc>
        <w:tc>
          <w:tcPr>
            <w:tcW w:w="567" w:type="dxa"/>
            <w:tcBorders>
              <w:bottom w:val="single" w:sz="4" w:space="0" w:color="auto"/>
            </w:tcBorders>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2"/>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2"/>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r>
      <w:tr w:rsidR="00AF5A3E" w:rsidRPr="007206CF" w:rsidTr="00622644">
        <w:trPr>
          <w:jc w:val="center"/>
        </w:trPr>
        <w:tc>
          <w:tcPr>
            <w:tcW w:w="1838" w:type="dxa"/>
            <w:tcBorders>
              <w:bottom w:val="single" w:sz="4" w:space="0" w:color="auto"/>
            </w:tcBorders>
          </w:tcPr>
          <w:p w:rsidR="00AF5A3E" w:rsidRPr="007206CF" w:rsidRDefault="00AF5A3E" w:rsidP="00DF16C6">
            <w:pPr>
              <w:pStyle w:val="Tabletext"/>
              <w:jc w:val="center"/>
            </w:pPr>
            <w:r w:rsidRPr="007206CF">
              <w:t>11</w:t>
            </w:r>
          </w:p>
        </w:tc>
        <w:tc>
          <w:tcPr>
            <w:tcW w:w="5670" w:type="dxa"/>
            <w:tcBorders>
              <w:bottom w:val="single" w:sz="4" w:space="0" w:color="auto"/>
            </w:tcBorders>
          </w:tcPr>
          <w:p w:rsidR="00AF5A3E" w:rsidRPr="007206CF" w:rsidRDefault="001E4BC1" w:rsidP="00DF16C6">
            <w:pPr>
              <w:pStyle w:val="Tabletext"/>
            </w:pPr>
            <w:r w:rsidRPr="007206CF">
              <w:t>Proyecto de revisión de la Resolución 20 de la CMDT – Acceso no discriminatorio a los modernos medios, servicios y aplicaciones conexas de telecomunicaciones/tecnologías de la información y comunicación</w:t>
            </w: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Calibri" w:hAnsi="Calibri"/>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r>
      <w:tr w:rsidR="00AF5A3E" w:rsidRPr="007206CF" w:rsidTr="00622644">
        <w:trPr>
          <w:jc w:val="center"/>
        </w:trPr>
        <w:tc>
          <w:tcPr>
            <w:tcW w:w="1838" w:type="dxa"/>
            <w:tcBorders>
              <w:bottom w:val="single" w:sz="4" w:space="0" w:color="auto"/>
            </w:tcBorders>
          </w:tcPr>
          <w:p w:rsidR="00AF5A3E" w:rsidRPr="007206CF" w:rsidRDefault="00AF5A3E" w:rsidP="00DF16C6">
            <w:pPr>
              <w:pStyle w:val="Tabletext"/>
              <w:jc w:val="center"/>
            </w:pPr>
            <w:r w:rsidRPr="007206CF">
              <w:t>12</w:t>
            </w:r>
          </w:p>
        </w:tc>
        <w:tc>
          <w:tcPr>
            <w:tcW w:w="5670" w:type="dxa"/>
            <w:tcBorders>
              <w:bottom w:val="single" w:sz="4" w:space="0" w:color="auto"/>
            </w:tcBorders>
          </w:tcPr>
          <w:p w:rsidR="00AF5A3E" w:rsidRPr="007206CF" w:rsidRDefault="001E4BC1" w:rsidP="00DF16C6">
            <w:pPr>
              <w:pStyle w:val="Tabletext"/>
            </w:pPr>
            <w:r w:rsidRPr="007206CF">
              <w:t>Proyecto de revisión de la Resolución 21 de la CMDT – Coordinación y colaboración con organizaciones regionales</w:t>
            </w: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Calibri" w:hAnsi="Calibri"/>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overflowPunct/>
              <w:autoSpaceDE/>
              <w:autoSpaceDN/>
              <w:adjustRightInd/>
              <w:spacing w:before="0" w:after="200"/>
              <w:contextualSpacing/>
              <w:textAlignment w:val="auto"/>
              <w:rPr>
                <w:rFonts w:ascii="Calibri" w:hAnsi="Calibri"/>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r>
      <w:tr w:rsidR="00AF5A3E" w:rsidRPr="007206CF" w:rsidTr="00622644">
        <w:trPr>
          <w:jc w:val="center"/>
        </w:trPr>
        <w:tc>
          <w:tcPr>
            <w:tcW w:w="1838" w:type="dxa"/>
            <w:tcBorders>
              <w:bottom w:val="single" w:sz="4" w:space="0" w:color="auto"/>
            </w:tcBorders>
          </w:tcPr>
          <w:p w:rsidR="00AF5A3E" w:rsidRPr="007206CF" w:rsidRDefault="00AF5A3E" w:rsidP="00DF16C6">
            <w:pPr>
              <w:pStyle w:val="Tabletext"/>
              <w:jc w:val="center"/>
            </w:pPr>
            <w:r w:rsidRPr="007206CF">
              <w:t>13</w:t>
            </w:r>
          </w:p>
        </w:tc>
        <w:tc>
          <w:tcPr>
            <w:tcW w:w="5670" w:type="dxa"/>
            <w:tcBorders>
              <w:bottom w:val="single" w:sz="4" w:space="0" w:color="auto"/>
            </w:tcBorders>
          </w:tcPr>
          <w:p w:rsidR="00AF5A3E" w:rsidRPr="007206CF" w:rsidRDefault="001E4BC1" w:rsidP="00DF16C6">
            <w:pPr>
              <w:pStyle w:val="Tabletext"/>
            </w:pPr>
            <w:r w:rsidRPr="007206CF">
              <w:t>Proyecto de revisión de la Resolución 22 de la CMDT – Procedimientos alternativos de llamada en las redes internacionales de telecomunicaciones, identificación del origen de las llamadas y reparto de los ingresos derivados de la prestación de servicios internacionales de telecomunicaciones</w:t>
            </w: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Calibri" w:hAnsi="Calibri"/>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Calibri" w:hAnsi="Calibri"/>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r>
      <w:tr w:rsidR="00AF5A3E" w:rsidRPr="007206CF" w:rsidTr="00622644">
        <w:trPr>
          <w:jc w:val="center"/>
        </w:trPr>
        <w:tc>
          <w:tcPr>
            <w:tcW w:w="1838" w:type="dxa"/>
            <w:tcBorders>
              <w:bottom w:val="single" w:sz="4" w:space="0" w:color="auto"/>
            </w:tcBorders>
          </w:tcPr>
          <w:p w:rsidR="00AF5A3E" w:rsidRPr="007206CF" w:rsidRDefault="00AF5A3E" w:rsidP="00DF16C6">
            <w:pPr>
              <w:pStyle w:val="Tabletext"/>
              <w:jc w:val="center"/>
            </w:pPr>
            <w:r w:rsidRPr="007206CF">
              <w:t>14</w:t>
            </w:r>
          </w:p>
        </w:tc>
        <w:tc>
          <w:tcPr>
            <w:tcW w:w="5670" w:type="dxa"/>
            <w:tcBorders>
              <w:bottom w:val="single" w:sz="4" w:space="0" w:color="auto"/>
            </w:tcBorders>
          </w:tcPr>
          <w:p w:rsidR="00AF5A3E" w:rsidRPr="007206CF" w:rsidRDefault="001E4BC1" w:rsidP="00DF16C6">
            <w:pPr>
              <w:pStyle w:val="Tabletext"/>
            </w:pPr>
            <w:r w:rsidRPr="007206CF">
              <w:t>Proyecto de revisión de la Resolución 23 de la CDMT – Acceso a Internet y su disponibilidad en los países en desarrollo y principios de tasación de la conexión internacional a Internet</w:t>
            </w: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Calibri" w:hAnsi="Calibri"/>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r>
      <w:tr w:rsidR="00AF5A3E" w:rsidRPr="007206CF" w:rsidTr="00622644">
        <w:trPr>
          <w:jc w:val="center"/>
        </w:trPr>
        <w:tc>
          <w:tcPr>
            <w:tcW w:w="1838" w:type="dxa"/>
            <w:tcBorders>
              <w:bottom w:val="single" w:sz="4" w:space="0" w:color="auto"/>
            </w:tcBorders>
          </w:tcPr>
          <w:p w:rsidR="00AF5A3E" w:rsidRPr="007206CF" w:rsidRDefault="00AF5A3E" w:rsidP="00DF16C6">
            <w:pPr>
              <w:pStyle w:val="Tabletext"/>
              <w:jc w:val="center"/>
            </w:pPr>
            <w:r w:rsidRPr="007206CF">
              <w:t>15</w:t>
            </w:r>
          </w:p>
        </w:tc>
        <w:tc>
          <w:tcPr>
            <w:tcW w:w="5670" w:type="dxa"/>
            <w:tcBorders>
              <w:bottom w:val="single" w:sz="4" w:space="0" w:color="auto"/>
            </w:tcBorders>
          </w:tcPr>
          <w:p w:rsidR="00AF5A3E" w:rsidRPr="007206CF" w:rsidRDefault="001E4BC1" w:rsidP="00DF16C6">
            <w:pPr>
              <w:pStyle w:val="Tabletext"/>
            </w:pPr>
            <w:r w:rsidRPr="007206CF">
              <w:t xml:space="preserve">Proyecto de revisión de la Resolución 30 de la CMDT – Función del Sector de Desarrollo de las Telecomunicaciones </w:t>
            </w:r>
            <w:r w:rsidRPr="007206CF">
              <w:lastRenderedPageBreak/>
              <w:t>de la UIT en la aplicación de los resultados de la Cumbre Mundial sobre la Sociedad de la Información</w:t>
            </w: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Calibri" w:hAnsi="Calibri"/>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r>
      <w:tr w:rsidR="00AF5A3E" w:rsidRPr="007206CF" w:rsidTr="00622644">
        <w:trPr>
          <w:jc w:val="center"/>
        </w:trPr>
        <w:tc>
          <w:tcPr>
            <w:tcW w:w="1838" w:type="dxa"/>
            <w:tcBorders>
              <w:bottom w:val="single" w:sz="4" w:space="0" w:color="auto"/>
            </w:tcBorders>
          </w:tcPr>
          <w:p w:rsidR="00AF5A3E" w:rsidRPr="007206CF" w:rsidRDefault="00AF5A3E" w:rsidP="00DF16C6">
            <w:pPr>
              <w:pStyle w:val="Tabletext"/>
              <w:jc w:val="center"/>
            </w:pPr>
            <w:r w:rsidRPr="007206CF">
              <w:t>16</w:t>
            </w:r>
          </w:p>
        </w:tc>
        <w:tc>
          <w:tcPr>
            <w:tcW w:w="5670" w:type="dxa"/>
            <w:tcBorders>
              <w:bottom w:val="single" w:sz="4" w:space="0" w:color="auto"/>
            </w:tcBorders>
          </w:tcPr>
          <w:p w:rsidR="00AF5A3E" w:rsidRPr="007206CF" w:rsidRDefault="001E4BC1" w:rsidP="00DF16C6">
            <w:pPr>
              <w:pStyle w:val="Tabletext"/>
            </w:pPr>
            <w:r w:rsidRPr="007206CF">
              <w:t xml:space="preserve">Revisión de la Resolución 34 de la CMDT – Función de las telecomunicaciones </w:t>
            </w:r>
            <w:r w:rsidR="00363200" w:rsidRPr="007206CF">
              <w:t xml:space="preserve">y las </w:t>
            </w:r>
            <w:r w:rsidRPr="007206CF">
              <w:t>tecnologías de la información y la comunicación (TIC) en la preparación, alerta temprana, rescate, mitigación, socorro y respuesta en situaciones de catástrofe</w:t>
            </w: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overflowPunct/>
              <w:autoSpaceDE/>
              <w:autoSpaceDN/>
              <w:adjustRightInd/>
              <w:spacing w:before="0" w:after="200"/>
              <w:contextualSpacing/>
              <w:textAlignment w:val="auto"/>
              <w:rPr>
                <w:rFonts w:ascii="Calibri" w:hAnsi="Calibri"/>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r>
      <w:tr w:rsidR="00AF5A3E" w:rsidRPr="007206CF" w:rsidTr="00622644">
        <w:trPr>
          <w:jc w:val="center"/>
        </w:trPr>
        <w:tc>
          <w:tcPr>
            <w:tcW w:w="1838" w:type="dxa"/>
            <w:tcBorders>
              <w:bottom w:val="single" w:sz="4" w:space="0" w:color="auto"/>
            </w:tcBorders>
          </w:tcPr>
          <w:p w:rsidR="00AF5A3E" w:rsidRPr="007206CF" w:rsidRDefault="00AF5A3E" w:rsidP="00DF16C6">
            <w:pPr>
              <w:pStyle w:val="Tabletext"/>
              <w:jc w:val="center"/>
            </w:pPr>
            <w:r w:rsidRPr="007206CF">
              <w:t>17</w:t>
            </w:r>
          </w:p>
        </w:tc>
        <w:tc>
          <w:tcPr>
            <w:tcW w:w="5670" w:type="dxa"/>
            <w:tcBorders>
              <w:bottom w:val="single" w:sz="4" w:space="0" w:color="auto"/>
            </w:tcBorders>
          </w:tcPr>
          <w:p w:rsidR="00AF5A3E" w:rsidRPr="007206CF" w:rsidRDefault="00D87B59" w:rsidP="00D87B59">
            <w:pPr>
              <w:pStyle w:val="Tabletext"/>
              <w:rPr>
                <w:b/>
                <w:bCs/>
              </w:rPr>
            </w:pPr>
            <w:r w:rsidRPr="007206CF">
              <w:t xml:space="preserve">Proyecto de fusión de la Resolución </w:t>
            </w:r>
            <w:r w:rsidR="00AF5A3E" w:rsidRPr="007206CF">
              <w:t xml:space="preserve">37 – </w:t>
            </w:r>
            <w:r w:rsidR="00172EAC" w:rsidRPr="007206CF">
              <w:t>Reducción de la brecha digital</w:t>
            </w:r>
            <w:r w:rsidR="00AF5A3E" w:rsidRPr="007206CF">
              <w:t xml:space="preserve"> – </w:t>
            </w:r>
            <w:r w:rsidRPr="007206CF">
              <w:t>con</w:t>
            </w:r>
            <w:r w:rsidR="00AF5A3E" w:rsidRPr="007206CF">
              <w:t xml:space="preserve"> </w:t>
            </w:r>
            <w:r w:rsidRPr="007206CF">
              <w:t xml:space="preserve">la Resolución </w:t>
            </w:r>
            <w:r w:rsidR="00AF5A3E" w:rsidRPr="007206CF">
              <w:t xml:space="preserve">50 – </w:t>
            </w:r>
            <w:bookmarkStart w:id="14" w:name="_Toc401734465"/>
            <w:r w:rsidR="00172EAC" w:rsidRPr="007206CF">
              <w:t xml:space="preserve">Integración óptima de las tecnologías de la información y la </w:t>
            </w:r>
            <w:bookmarkEnd w:id="14"/>
            <w:r w:rsidR="00C9079E" w:rsidRPr="007206CF">
              <w:t>comunicación</w:t>
            </w:r>
            <w:r w:rsidR="00AF5A3E" w:rsidRPr="007206CF">
              <w:t xml:space="preserve"> – </w:t>
            </w:r>
            <w:r w:rsidRPr="007206CF">
              <w:t>y la</w:t>
            </w:r>
            <w:r w:rsidR="00306298" w:rsidRPr="007206CF">
              <w:t> </w:t>
            </w:r>
            <w:r w:rsidRPr="007206CF">
              <w:t xml:space="preserve">Resolución </w:t>
            </w:r>
            <w:r w:rsidR="00AF5A3E" w:rsidRPr="007206CF">
              <w:t>54 –</w:t>
            </w:r>
            <w:bookmarkStart w:id="15" w:name="_Toc401734473"/>
            <w:r w:rsidR="00172EAC" w:rsidRPr="007206CF">
              <w:t xml:space="preserve"> Aplicaciones de las tecnologías de la información y la comunicación</w:t>
            </w:r>
            <w:bookmarkEnd w:id="15"/>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Calibri" w:hAnsi="Calibri"/>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r>
      <w:tr w:rsidR="00AF5A3E" w:rsidRPr="007206CF" w:rsidTr="00622644">
        <w:trPr>
          <w:jc w:val="center"/>
        </w:trPr>
        <w:tc>
          <w:tcPr>
            <w:tcW w:w="1838" w:type="dxa"/>
            <w:tcBorders>
              <w:bottom w:val="single" w:sz="4" w:space="0" w:color="auto"/>
            </w:tcBorders>
          </w:tcPr>
          <w:p w:rsidR="00AF5A3E" w:rsidRPr="007206CF" w:rsidRDefault="00AF5A3E" w:rsidP="00DF16C6">
            <w:pPr>
              <w:pStyle w:val="Tabletext"/>
              <w:jc w:val="center"/>
            </w:pPr>
            <w:r w:rsidRPr="007206CF">
              <w:t>18</w:t>
            </w:r>
          </w:p>
        </w:tc>
        <w:tc>
          <w:tcPr>
            <w:tcW w:w="5670" w:type="dxa"/>
            <w:tcBorders>
              <w:bottom w:val="single" w:sz="4" w:space="0" w:color="auto"/>
            </w:tcBorders>
          </w:tcPr>
          <w:p w:rsidR="00AF5A3E" w:rsidRPr="007206CF" w:rsidRDefault="00363200" w:rsidP="00DF16C6">
            <w:pPr>
              <w:pStyle w:val="Tabletext"/>
            </w:pPr>
            <w:r w:rsidRPr="007206CF">
              <w:t>Proyecto de revisión de la Resolución</w:t>
            </w:r>
            <w:r w:rsidR="00AF5A3E" w:rsidRPr="007206CF">
              <w:t xml:space="preserve"> 43 – </w:t>
            </w:r>
            <w:bookmarkStart w:id="16" w:name="_Toc401734455"/>
            <w:r w:rsidRPr="007206CF">
              <w:t>Asistencia para la implantación de las Telecomunicaciones Móviles Internacionales</w:t>
            </w:r>
            <w:bookmarkEnd w:id="16"/>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after="20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7"/>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c>
          <w:tcPr>
            <w:tcW w:w="567" w:type="dxa"/>
            <w:tcBorders>
              <w:bottom w:val="single" w:sz="4" w:space="0" w:color="auto"/>
            </w:tcBorders>
          </w:tcPr>
          <w:p w:rsidR="00AF5A3E" w:rsidRPr="007206CF" w:rsidRDefault="00AF5A3E" w:rsidP="00DF16C6">
            <w:pPr>
              <w:rPr>
                <w:rFonts w:ascii="Times New Roman" w:hAnsi="Times New Roman"/>
                <w:szCs w:val="24"/>
              </w:rPr>
            </w:pPr>
          </w:p>
        </w:tc>
      </w:tr>
      <w:tr w:rsidR="00AF5A3E" w:rsidRPr="007206CF" w:rsidTr="00622644">
        <w:trPr>
          <w:jc w:val="center"/>
        </w:trPr>
        <w:tc>
          <w:tcPr>
            <w:tcW w:w="1838" w:type="dxa"/>
            <w:tcBorders>
              <w:bottom w:val="single" w:sz="4" w:space="0" w:color="auto"/>
            </w:tcBorders>
          </w:tcPr>
          <w:p w:rsidR="00AF5A3E" w:rsidRPr="007206CF" w:rsidRDefault="00AF5A3E" w:rsidP="00DF16C6">
            <w:pPr>
              <w:pStyle w:val="Tabletext"/>
              <w:jc w:val="center"/>
            </w:pPr>
            <w:r w:rsidRPr="007206CF">
              <w:t>19</w:t>
            </w:r>
          </w:p>
        </w:tc>
        <w:tc>
          <w:tcPr>
            <w:tcW w:w="5670" w:type="dxa"/>
            <w:tcBorders>
              <w:bottom w:val="single" w:sz="4" w:space="0" w:color="auto"/>
            </w:tcBorders>
          </w:tcPr>
          <w:p w:rsidR="00AF5A3E" w:rsidRPr="007206CF" w:rsidRDefault="00172EAC" w:rsidP="00DF16C6">
            <w:pPr>
              <w:pStyle w:val="Tabletext"/>
            </w:pPr>
            <w:r w:rsidRPr="007206CF">
              <w:t>Proyecto de revisión de la Resolución 45 de la CMDT – Mecanismos para mejorar la cooperación en materia de ciberseguridad, incluida la lucha contra el correo basura</w:t>
            </w:r>
          </w:p>
        </w:tc>
        <w:tc>
          <w:tcPr>
            <w:tcW w:w="567" w:type="dxa"/>
            <w:tcBorders>
              <w:bottom w:val="single" w:sz="4" w:space="0" w:color="auto"/>
            </w:tcBorders>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2"/>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p w:rsidR="00AF5A3E" w:rsidRPr="007206CF" w:rsidRDefault="00AF5A3E" w:rsidP="00DF16C6">
            <w:pPr>
              <w:rPr>
                <w:rFonts w:ascii="Times New Roman" w:hAnsi="Times New Roman"/>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r>
      <w:tr w:rsidR="00AF5A3E" w:rsidRPr="007206CF" w:rsidTr="00622644">
        <w:trPr>
          <w:jc w:val="center"/>
        </w:trPr>
        <w:tc>
          <w:tcPr>
            <w:tcW w:w="1838" w:type="dxa"/>
            <w:tcBorders>
              <w:bottom w:val="single" w:sz="4" w:space="0" w:color="auto"/>
            </w:tcBorders>
          </w:tcPr>
          <w:p w:rsidR="00AF5A3E" w:rsidRPr="007206CF" w:rsidRDefault="00AF5A3E" w:rsidP="00DF16C6">
            <w:pPr>
              <w:pStyle w:val="Tabletext"/>
              <w:jc w:val="center"/>
            </w:pPr>
            <w:r w:rsidRPr="007206CF">
              <w:t>20</w:t>
            </w:r>
          </w:p>
        </w:tc>
        <w:tc>
          <w:tcPr>
            <w:tcW w:w="5670" w:type="dxa"/>
            <w:tcBorders>
              <w:bottom w:val="single" w:sz="4" w:space="0" w:color="auto"/>
            </w:tcBorders>
          </w:tcPr>
          <w:p w:rsidR="00AF5A3E" w:rsidRPr="007206CF" w:rsidRDefault="006A7804" w:rsidP="00DF16C6">
            <w:pPr>
              <w:pStyle w:val="Tabletext"/>
            </w:pPr>
            <w:r w:rsidRPr="007206CF">
              <w:t>Proyecto de revisión de la Resolución 47 de la CMDT – Perfeccionamiento del conocimiento y aplicación efectiva de las Recomendaciones de la UIT en los países en desarrollo, incluidas las pruebas de conformidad e interoperabilidad de los sistemas fabricados con arreglo a las Recomendaciones de la UIT</w:t>
            </w:r>
          </w:p>
        </w:tc>
        <w:tc>
          <w:tcPr>
            <w:tcW w:w="567" w:type="dxa"/>
            <w:tcBorders>
              <w:bottom w:val="single" w:sz="4" w:space="0" w:color="auto"/>
            </w:tcBorders>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2"/>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r>
      <w:tr w:rsidR="00AF5A3E" w:rsidRPr="007206CF" w:rsidTr="00622644">
        <w:trPr>
          <w:jc w:val="center"/>
        </w:trPr>
        <w:tc>
          <w:tcPr>
            <w:tcW w:w="1838" w:type="dxa"/>
          </w:tcPr>
          <w:p w:rsidR="00AF5A3E" w:rsidRPr="007206CF" w:rsidRDefault="00AF5A3E" w:rsidP="00DF16C6">
            <w:pPr>
              <w:pStyle w:val="Tabletext"/>
              <w:jc w:val="center"/>
            </w:pPr>
            <w:r w:rsidRPr="007206CF">
              <w:t>21</w:t>
            </w:r>
          </w:p>
        </w:tc>
        <w:tc>
          <w:tcPr>
            <w:tcW w:w="5670" w:type="dxa"/>
          </w:tcPr>
          <w:p w:rsidR="00AF5A3E" w:rsidRPr="007206CF" w:rsidRDefault="006A7804" w:rsidP="00DF16C6">
            <w:pPr>
              <w:pStyle w:val="Tabletext"/>
            </w:pPr>
            <w:r w:rsidRPr="007206CF">
              <w:t>Proyecto de revisión de la Resolución 48 de la CMDT – Fortalecimiento de la cooperación entre organismos reguladores de las telecomunicaciones</w:t>
            </w: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r>
      <w:tr w:rsidR="00AF5A3E" w:rsidRPr="007206CF" w:rsidTr="00622644">
        <w:trPr>
          <w:jc w:val="center"/>
        </w:trPr>
        <w:tc>
          <w:tcPr>
            <w:tcW w:w="1838" w:type="dxa"/>
            <w:tcBorders>
              <w:bottom w:val="single" w:sz="4" w:space="0" w:color="auto"/>
            </w:tcBorders>
          </w:tcPr>
          <w:p w:rsidR="00AF5A3E" w:rsidRPr="007206CF" w:rsidRDefault="00AF5A3E" w:rsidP="00DF16C6">
            <w:pPr>
              <w:pStyle w:val="Tabletext"/>
              <w:jc w:val="center"/>
            </w:pPr>
            <w:r w:rsidRPr="007206CF">
              <w:lastRenderedPageBreak/>
              <w:t>22</w:t>
            </w:r>
          </w:p>
        </w:tc>
        <w:tc>
          <w:tcPr>
            <w:tcW w:w="5670" w:type="dxa"/>
            <w:tcBorders>
              <w:bottom w:val="single" w:sz="4" w:space="0" w:color="auto"/>
            </w:tcBorders>
          </w:tcPr>
          <w:p w:rsidR="00AF5A3E" w:rsidRPr="007206CF" w:rsidRDefault="006A7804" w:rsidP="00DF16C6">
            <w:pPr>
              <w:pStyle w:val="Tabletext"/>
            </w:pPr>
            <w:r w:rsidRPr="007206CF">
              <w:t>Revisión de la Resolución 59 de la CMDT – Fortalecimiento de la coordinación y la cooperación entre los tres Sectores en asuntos de interés mutuo</w:t>
            </w:r>
          </w:p>
        </w:tc>
        <w:tc>
          <w:tcPr>
            <w:tcW w:w="567" w:type="dxa"/>
            <w:tcBorders>
              <w:bottom w:val="single" w:sz="4" w:space="0" w:color="auto"/>
            </w:tcBorders>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 w:val="28"/>
                <w:szCs w:val="28"/>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AF5A3E" w:rsidRPr="007206CF" w:rsidRDefault="00AF5A3E" w:rsidP="00DF16C6">
            <w:pPr>
              <w:tabs>
                <w:tab w:val="center" w:pos="4677"/>
                <w:tab w:val="right" w:pos="9355"/>
              </w:tabs>
              <w:overflowPunct/>
              <w:autoSpaceDE/>
              <w:autoSpaceDN/>
              <w:adjustRightInd/>
              <w:spacing w:before="0" w:after="120"/>
              <w:textAlignment w:val="auto"/>
              <w:rPr>
                <w:rFonts w:ascii="Times New Roman" w:hAnsi="Times New Roman"/>
                <w:szCs w:val="24"/>
              </w:rPr>
            </w:pPr>
          </w:p>
        </w:tc>
      </w:tr>
      <w:tr w:rsidR="00AF5A3E" w:rsidRPr="007206CF" w:rsidTr="00622644">
        <w:trPr>
          <w:jc w:val="center"/>
        </w:trPr>
        <w:tc>
          <w:tcPr>
            <w:tcW w:w="1838" w:type="dxa"/>
          </w:tcPr>
          <w:p w:rsidR="00AF5A3E" w:rsidRPr="007206CF" w:rsidRDefault="00AF5A3E" w:rsidP="00DF16C6">
            <w:pPr>
              <w:pStyle w:val="Tabletext"/>
              <w:jc w:val="center"/>
            </w:pPr>
            <w:r w:rsidRPr="007206CF">
              <w:t>23</w:t>
            </w:r>
          </w:p>
        </w:tc>
        <w:tc>
          <w:tcPr>
            <w:tcW w:w="5670" w:type="dxa"/>
          </w:tcPr>
          <w:p w:rsidR="00AF5A3E" w:rsidRPr="007206CF" w:rsidRDefault="006A7804" w:rsidP="00DF16C6">
            <w:pPr>
              <w:pStyle w:val="Tabletext"/>
            </w:pPr>
            <w:r w:rsidRPr="007206CF">
              <w:t>Proyecto de revisión de la Resolución 64 de la CMDT – Prestación de protección y apoyo a los usuarios/consumidores de servicios de telecomunicaciones/tecnologías de la información y la comunicación</w:t>
            </w: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r>
      <w:tr w:rsidR="00AF5A3E" w:rsidRPr="007206CF" w:rsidTr="00622644">
        <w:trPr>
          <w:jc w:val="center"/>
        </w:trPr>
        <w:tc>
          <w:tcPr>
            <w:tcW w:w="1838" w:type="dxa"/>
          </w:tcPr>
          <w:p w:rsidR="00AF5A3E" w:rsidRPr="007206CF" w:rsidRDefault="00AF5A3E" w:rsidP="00DF16C6">
            <w:pPr>
              <w:pStyle w:val="Tabletext"/>
              <w:jc w:val="center"/>
            </w:pPr>
            <w:r w:rsidRPr="007206CF">
              <w:t>24</w:t>
            </w:r>
          </w:p>
        </w:tc>
        <w:tc>
          <w:tcPr>
            <w:tcW w:w="5670" w:type="dxa"/>
          </w:tcPr>
          <w:p w:rsidR="00AF5A3E" w:rsidRPr="007206CF" w:rsidRDefault="00363200" w:rsidP="00DF16C6">
            <w:pPr>
              <w:pStyle w:val="Tabletext"/>
            </w:pPr>
            <w:r w:rsidRPr="007206CF">
              <w:t>Proyecto de revisión de la Resolución 6</w:t>
            </w:r>
            <w:r w:rsidR="009C498B" w:rsidRPr="007206CF">
              <w:t>6</w:t>
            </w:r>
            <w:r w:rsidRPr="007206CF">
              <w:t xml:space="preserve"> de la CMDT</w:t>
            </w:r>
            <w:r w:rsidR="00AF5A3E" w:rsidRPr="007206CF">
              <w:t xml:space="preserve"> – </w:t>
            </w:r>
            <w:bookmarkStart w:id="17" w:name="_Toc401734495"/>
            <w:r w:rsidRPr="007206CF">
              <w:t>Tecnologías de la información y la comunicación y cambio climático</w:t>
            </w:r>
            <w:bookmarkEnd w:id="17"/>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center" w:pos="4677"/>
                <w:tab w:val="right" w:pos="9355"/>
              </w:tabs>
              <w:overflowPunct/>
              <w:autoSpaceDE/>
              <w:autoSpaceDN/>
              <w:adjustRightInd/>
              <w:spacing w:before="0"/>
              <w:textAlignment w:val="auto"/>
              <w:rPr>
                <w:rFonts w:ascii="Times New Roman" w:hAnsi="Times New Roman"/>
                <w:szCs w:val="24"/>
              </w:rPr>
            </w:pPr>
          </w:p>
        </w:tc>
      </w:tr>
      <w:tr w:rsidR="00AF5A3E" w:rsidRPr="007206CF" w:rsidTr="00622644">
        <w:trPr>
          <w:jc w:val="center"/>
        </w:trPr>
        <w:tc>
          <w:tcPr>
            <w:tcW w:w="1838" w:type="dxa"/>
          </w:tcPr>
          <w:p w:rsidR="00AF5A3E" w:rsidRPr="007206CF" w:rsidRDefault="00AF5A3E" w:rsidP="00DF16C6">
            <w:pPr>
              <w:pStyle w:val="Tabletext"/>
              <w:jc w:val="center"/>
            </w:pPr>
            <w:r w:rsidRPr="007206CF">
              <w:t>25</w:t>
            </w:r>
          </w:p>
        </w:tc>
        <w:tc>
          <w:tcPr>
            <w:tcW w:w="5670" w:type="dxa"/>
          </w:tcPr>
          <w:p w:rsidR="00AF5A3E" w:rsidRPr="007206CF" w:rsidRDefault="006A7804" w:rsidP="00DF16C6">
            <w:pPr>
              <w:pStyle w:val="Tabletext"/>
            </w:pPr>
            <w:r w:rsidRPr="007206CF">
              <w:t>Revisión de la Resolución 67 de la CMDT – Función del Sector de Desarrollo de las Telecomunicaciones de la UIT en la protección de la infancia en línea</w:t>
            </w: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r>
      <w:tr w:rsidR="00AF5A3E" w:rsidRPr="007206CF" w:rsidTr="00622644">
        <w:trPr>
          <w:jc w:val="center"/>
        </w:trPr>
        <w:tc>
          <w:tcPr>
            <w:tcW w:w="1838" w:type="dxa"/>
          </w:tcPr>
          <w:p w:rsidR="00AF5A3E" w:rsidRPr="007206CF" w:rsidRDefault="00AF5A3E" w:rsidP="00DF16C6">
            <w:pPr>
              <w:pStyle w:val="Tabletext"/>
              <w:jc w:val="center"/>
            </w:pPr>
            <w:r w:rsidRPr="007206CF">
              <w:t>26</w:t>
            </w:r>
          </w:p>
        </w:tc>
        <w:tc>
          <w:tcPr>
            <w:tcW w:w="5670" w:type="dxa"/>
          </w:tcPr>
          <w:p w:rsidR="00AF5A3E" w:rsidRPr="007206CF" w:rsidRDefault="006A7804" w:rsidP="00DF16C6">
            <w:pPr>
              <w:pStyle w:val="Tabletext"/>
            </w:pPr>
            <w:r w:rsidRPr="007206CF">
              <w:t>Revisión de la Resolución 71 de la CMDT – Fortalecimiento de la cooperación entre los Estados Miembros, los Miembros de Sector, los Asociados y las Instituciones Académicas del Sector de Desarrollo de las Telecomunicaciones, con inclusión del sector privado</w:t>
            </w: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6"/>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r>
      <w:tr w:rsidR="00AF5A3E" w:rsidRPr="007206CF" w:rsidTr="00622644">
        <w:trPr>
          <w:jc w:val="center"/>
        </w:trPr>
        <w:tc>
          <w:tcPr>
            <w:tcW w:w="1838" w:type="dxa"/>
          </w:tcPr>
          <w:p w:rsidR="00AF5A3E" w:rsidRPr="007206CF" w:rsidRDefault="00AF5A3E" w:rsidP="00DF16C6">
            <w:pPr>
              <w:pStyle w:val="Tabletext"/>
              <w:jc w:val="center"/>
            </w:pPr>
            <w:r w:rsidRPr="007206CF">
              <w:t>27</w:t>
            </w:r>
          </w:p>
        </w:tc>
        <w:tc>
          <w:tcPr>
            <w:tcW w:w="5670" w:type="dxa"/>
          </w:tcPr>
          <w:p w:rsidR="00AF5A3E" w:rsidRPr="007206CF" w:rsidRDefault="009C498B" w:rsidP="00DF16C6">
            <w:pPr>
              <w:pStyle w:val="Tabletext"/>
            </w:pPr>
            <w:r w:rsidRPr="007206CF">
              <w:t>Revisión de la Resolución 73 de la CMDT</w:t>
            </w:r>
            <w:r w:rsidR="00AF5A3E" w:rsidRPr="007206CF">
              <w:t xml:space="preserve"> – </w:t>
            </w:r>
            <w:bookmarkStart w:id="18" w:name="_Toc401734509"/>
            <w:r w:rsidRPr="007206CF">
              <w:t>Centros de Excelencia de la UIT</w:t>
            </w:r>
            <w:bookmarkEnd w:id="18"/>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6"/>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r>
      <w:tr w:rsidR="00AF5A3E" w:rsidRPr="007206CF" w:rsidTr="00622644">
        <w:trPr>
          <w:jc w:val="center"/>
        </w:trPr>
        <w:tc>
          <w:tcPr>
            <w:tcW w:w="1838" w:type="dxa"/>
          </w:tcPr>
          <w:p w:rsidR="00AF5A3E" w:rsidRPr="007206CF" w:rsidRDefault="00AF5A3E" w:rsidP="00DF16C6">
            <w:pPr>
              <w:pStyle w:val="Tabletext"/>
              <w:jc w:val="center"/>
            </w:pPr>
            <w:r w:rsidRPr="007206CF">
              <w:t>28</w:t>
            </w:r>
          </w:p>
        </w:tc>
        <w:tc>
          <w:tcPr>
            <w:tcW w:w="5670" w:type="dxa"/>
          </w:tcPr>
          <w:p w:rsidR="00AF5A3E" w:rsidRPr="007206CF" w:rsidRDefault="006A7804" w:rsidP="00DF16C6">
            <w:pPr>
              <w:pStyle w:val="Tabletext"/>
            </w:pPr>
            <w:r w:rsidRPr="007206CF">
              <w:t>Proyecto de revisión de la Resolución 78 de la CMDT – Capacitación para combatir la apropiación indebida de los números de teléfono de la Recomendación UIT-T E.164</w:t>
            </w: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6"/>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r>
      <w:tr w:rsidR="00AF5A3E" w:rsidRPr="007206CF" w:rsidTr="00622644">
        <w:trPr>
          <w:jc w:val="center"/>
        </w:trPr>
        <w:tc>
          <w:tcPr>
            <w:tcW w:w="1838" w:type="dxa"/>
          </w:tcPr>
          <w:p w:rsidR="00AF5A3E" w:rsidRPr="007206CF" w:rsidRDefault="00AF5A3E" w:rsidP="00DF16C6">
            <w:pPr>
              <w:pStyle w:val="Tabletext"/>
              <w:jc w:val="center"/>
            </w:pPr>
            <w:r w:rsidRPr="007206CF">
              <w:t>29</w:t>
            </w:r>
          </w:p>
        </w:tc>
        <w:tc>
          <w:tcPr>
            <w:tcW w:w="5670" w:type="dxa"/>
          </w:tcPr>
          <w:p w:rsidR="00AF5A3E" w:rsidRPr="007206CF" w:rsidRDefault="006A7804" w:rsidP="00DF16C6">
            <w:pPr>
              <w:pStyle w:val="Tabletext"/>
            </w:pPr>
            <w:r w:rsidRPr="007206CF">
              <w:t xml:space="preserve">Proyecto de revisión de la Resolución 79 de la CMDT – Función de las telecomunicaciones/tecnologías de la información y la comunicación en la gestión y lucha contra la </w:t>
            </w:r>
            <w:r w:rsidRPr="007206CF">
              <w:lastRenderedPageBreak/>
              <w:t>falsificación de dispositivos de telecomunicaciones/tecnologías de la información y la comunicación</w:t>
            </w: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6"/>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r>
      <w:tr w:rsidR="00AF5A3E" w:rsidRPr="007206CF" w:rsidTr="00622644">
        <w:trPr>
          <w:jc w:val="center"/>
        </w:trPr>
        <w:tc>
          <w:tcPr>
            <w:tcW w:w="1838" w:type="dxa"/>
          </w:tcPr>
          <w:p w:rsidR="00AF5A3E" w:rsidRPr="007206CF" w:rsidRDefault="00AF5A3E" w:rsidP="00DF16C6">
            <w:pPr>
              <w:pStyle w:val="Tabletext"/>
              <w:jc w:val="center"/>
            </w:pPr>
            <w:r w:rsidRPr="007206CF">
              <w:t>30</w:t>
            </w:r>
          </w:p>
        </w:tc>
        <w:tc>
          <w:tcPr>
            <w:tcW w:w="5670" w:type="dxa"/>
          </w:tcPr>
          <w:p w:rsidR="00AF5A3E" w:rsidRPr="007206CF" w:rsidRDefault="006A7804" w:rsidP="00DF16C6">
            <w:pPr>
              <w:pStyle w:val="Tabletext"/>
            </w:pPr>
            <w:r w:rsidRPr="007206CF">
              <w:t>Revisión de la Resolución 81 de la CMDT – Perfeccionamiento de los métodos de trabajo electrónicos para la labor del Sector de Desarrollo de las Telecomunicaciones de la UIT</w:t>
            </w: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6"/>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r>
      <w:tr w:rsidR="00AF5A3E" w:rsidRPr="007206CF" w:rsidTr="00622644">
        <w:trPr>
          <w:jc w:val="center"/>
        </w:trPr>
        <w:tc>
          <w:tcPr>
            <w:tcW w:w="1838" w:type="dxa"/>
          </w:tcPr>
          <w:p w:rsidR="00AF5A3E" w:rsidRPr="007206CF" w:rsidRDefault="00AF5A3E" w:rsidP="00DF16C6">
            <w:pPr>
              <w:pStyle w:val="Tabletext"/>
              <w:jc w:val="center"/>
            </w:pPr>
            <w:r w:rsidRPr="007206CF">
              <w:t>31</w:t>
            </w:r>
          </w:p>
        </w:tc>
        <w:tc>
          <w:tcPr>
            <w:tcW w:w="5670" w:type="dxa"/>
          </w:tcPr>
          <w:p w:rsidR="00AF5A3E" w:rsidRPr="007206CF" w:rsidRDefault="006A7804" w:rsidP="00DF16C6">
            <w:pPr>
              <w:pStyle w:val="Tabletext"/>
            </w:pPr>
            <w:r w:rsidRPr="007206CF">
              <w:t xml:space="preserve">Proyecto de nueva Resolución </w:t>
            </w:r>
            <w:r w:rsidR="00AF5A3E" w:rsidRPr="007206CF">
              <w:t xml:space="preserve">– </w:t>
            </w:r>
            <w:r w:rsidRPr="007206CF">
              <w:t>Utilización en igualdad de condiciones de los idiomas de la unión en el Sector de Desarrollo de las Telecomunicaciones de la UIT</w:t>
            </w: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6"/>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numPr>
                <w:ilvl w:val="0"/>
                <w:numId w:val="13"/>
              </w:numPr>
              <w:tabs>
                <w:tab w:val="clear" w:pos="794"/>
                <w:tab w:val="clear" w:pos="1191"/>
                <w:tab w:val="clear" w:pos="1588"/>
                <w:tab w:val="clear" w:pos="1985"/>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c>
          <w:tcPr>
            <w:tcW w:w="567" w:type="dxa"/>
          </w:tcPr>
          <w:p w:rsidR="00AF5A3E" w:rsidRPr="007206CF" w:rsidRDefault="00AF5A3E" w:rsidP="00DF16C6">
            <w:pPr>
              <w:tabs>
                <w:tab w:val="left" w:pos="954"/>
              </w:tabs>
              <w:overflowPunct/>
              <w:autoSpaceDE/>
              <w:autoSpaceDN/>
              <w:adjustRightInd/>
              <w:spacing w:before="0"/>
              <w:textAlignment w:val="auto"/>
              <w:rPr>
                <w:rFonts w:ascii="Times New Roman" w:hAnsi="Times New Roman"/>
                <w:szCs w:val="24"/>
              </w:rPr>
            </w:pPr>
          </w:p>
        </w:tc>
      </w:tr>
    </w:tbl>
    <w:p w:rsidR="00AF5A3E" w:rsidRPr="007206CF" w:rsidRDefault="00AF5A3E" w:rsidP="002247A5">
      <w:pPr>
        <w:rPr>
          <w:rFonts w:eastAsia="Calibri"/>
        </w:rPr>
      </w:pPr>
      <w:r w:rsidRPr="007206CF">
        <w:rPr>
          <w:rFonts w:eastAsia="Calibri"/>
        </w:rPr>
        <w:t>Not</w:t>
      </w:r>
      <w:r w:rsidR="002247A5" w:rsidRPr="007206CF">
        <w:rPr>
          <w:rFonts w:eastAsia="Calibri"/>
        </w:rPr>
        <w:t>a:</w:t>
      </w:r>
    </w:p>
    <w:p w:rsidR="00AF5A3E" w:rsidRPr="007206CF" w:rsidRDefault="00AF5A3E" w:rsidP="00DF16C6">
      <w:pPr>
        <w:rPr>
          <w:rFonts w:eastAsia="Calibri"/>
          <w:color w:val="000000"/>
          <w:szCs w:val="28"/>
        </w:rPr>
      </w:pPr>
      <w:r w:rsidRPr="007206CF">
        <w:rPr>
          <w:rFonts w:eastAsia="Calibri"/>
          <w:color w:val="000000"/>
          <w:szCs w:val="28"/>
        </w:rPr>
        <w:t>"</w:t>
      </w:r>
      <w:r w:rsidRPr="007206CF">
        <w:rPr>
          <w:rFonts w:eastAsia="Calibri"/>
          <w:color w:val="000000"/>
          <w:szCs w:val="28"/>
        </w:rPr>
        <w:sym w:font="Wingdings" w:char="00FC"/>
      </w:r>
      <w:r w:rsidRPr="007206CF">
        <w:rPr>
          <w:rFonts w:eastAsia="Calibri"/>
          <w:color w:val="000000"/>
          <w:szCs w:val="28"/>
        </w:rPr>
        <w:t xml:space="preserve">" – </w:t>
      </w:r>
      <w:r w:rsidRPr="007206CF">
        <w:rPr>
          <w:rFonts w:eastAsia="Calibri"/>
          <w:color w:val="000000"/>
          <w:szCs w:val="28"/>
        </w:rPr>
        <w:tab/>
      </w:r>
      <w:r w:rsidR="00DF16C6" w:rsidRPr="007206CF">
        <w:rPr>
          <w:rFonts w:eastAsia="Calibri"/>
          <w:color w:val="000000"/>
          <w:szCs w:val="28"/>
        </w:rPr>
        <w:t>la administración refrenda la propuesta</w:t>
      </w:r>
      <w:r w:rsidRPr="007206CF">
        <w:rPr>
          <w:rFonts w:eastAsia="Calibri"/>
          <w:color w:val="000000"/>
          <w:szCs w:val="28"/>
        </w:rPr>
        <w:t>.</w:t>
      </w:r>
    </w:p>
    <w:p w:rsidR="00E377DA" w:rsidRPr="007206CF" w:rsidRDefault="00E377DA" w:rsidP="0032202E">
      <w:pPr>
        <w:pStyle w:val="Reasons"/>
        <w:rPr>
          <w:lang w:val="es-ES_tradnl"/>
        </w:rPr>
      </w:pPr>
    </w:p>
    <w:p w:rsidR="00E377DA" w:rsidRPr="007206CF" w:rsidRDefault="00E377DA">
      <w:pPr>
        <w:jc w:val="center"/>
      </w:pPr>
      <w:r w:rsidRPr="007206CF">
        <w:t>______________</w:t>
      </w:r>
    </w:p>
    <w:sectPr w:rsidR="00E377DA" w:rsidRPr="007206CF" w:rsidSect="008E7C65">
      <w:headerReference w:type="first" r:id="rId15"/>
      <w:footerReference w:type="first" r:id="rId16"/>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8F" w:rsidRDefault="00D8208F">
      <w:r>
        <w:separator/>
      </w:r>
    </w:p>
  </w:endnote>
  <w:endnote w:type="continuationSeparator" w:id="0">
    <w:p w:rsidR="00D8208F" w:rsidRDefault="00D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BE6" w:rsidRDefault="00E53BE6" w:rsidP="00E53BE6">
    <w:pPr>
      <w:pStyle w:val="Footer"/>
    </w:pPr>
    <w:r>
      <w:rPr>
        <w:noProof w:val="0"/>
        <w:sz w:val="24"/>
      </w:rPr>
      <w:fldChar w:fldCharType="begin"/>
    </w:r>
    <w:r>
      <w:instrText xml:space="preserve"> FILENAME \p  \* MERGEFORMAT </w:instrText>
    </w:r>
    <w:r>
      <w:rPr>
        <w:noProof w:val="0"/>
        <w:sz w:val="24"/>
      </w:rPr>
      <w:fldChar w:fldCharType="separate"/>
    </w:r>
    <w:r w:rsidR="008500E7">
      <w:t>P:\ESP\ITU-D\CONF-D\WTDC17\000\023S.docx</w:t>
    </w:r>
    <w:r>
      <w:fldChar w:fldCharType="end"/>
    </w:r>
    <w:r>
      <w:t xml:space="preserve"> (421479)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993"/>
      <w:gridCol w:w="2551"/>
      <w:gridCol w:w="6804"/>
    </w:tblGrid>
    <w:tr w:rsidR="009D6E51" w:rsidRPr="008A28C5" w:rsidTr="000E16A1">
      <w:tc>
        <w:tcPr>
          <w:tcW w:w="993" w:type="dxa"/>
          <w:tcBorders>
            <w:top w:val="single" w:sz="4" w:space="0" w:color="000000"/>
          </w:tcBorders>
          <w:shd w:val="clear" w:color="auto" w:fill="auto"/>
        </w:tcPr>
        <w:p w:rsidR="009D6E51" w:rsidRPr="004D495C" w:rsidRDefault="009D6E51" w:rsidP="00AF5A3E">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1" w:type="dxa"/>
          <w:tcBorders>
            <w:top w:val="single" w:sz="4" w:space="0" w:color="000000"/>
          </w:tcBorders>
          <w:shd w:val="clear" w:color="auto" w:fill="auto"/>
        </w:tcPr>
        <w:p w:rsidR="009D6E51" w:rsidRPr="004D495C" w:rsidRDefault="009D6E51" w:rsidP="00AF5A3E">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804" w:type="dxa"/>
          <w:tcBorders>
            <w:top w:val="single" w:sz="4" w:space="0" w:color="000000"/>
          </w:tcBorders>
        </w:tcPr>
        <w:p w:rsidR="009D6E51" w:rsidRPr="008A28C5" w:rsidRDefault="009D6E51" w:rsidP="00AF5A3E">
          <w:pPr>
            <w:pStyle w:val="FirstFooter"/>
            <w:rPr>
              <w:sz w:val="18"/>
              <w:szCs w:val="18"/>
              <w:lang w:val="es-ES_tradnl"/>
            </w:rPr>
          </w:pPr>
          <w:r w:rsidRPr="008A28C5">
            <w:rPr>
              <w:sz w:val="18"/>
              <w:szCs w:val="18"/>
              <w:lang w:val="es-ES_tradnl"/>
            </w:rPr>
            <w:t xml:space="preserve">Natalya Zorya, </w:t>
          </w:r>
          <w:r w:rsidR="008A28C5" w:rsidRPr="008A28C5">
            <w:rPr>
              <w:sz w:val="18"/>
              <w:szCs w:val="18"/>
              <w:lang w:val="es-ES_tradnl"/>
            </w:rPr>
            <w:t>Comité Ejecutivo de la CRC</w:t>
          </w:r>
        </w:p>
      </w:tc>
      <w:bookmarkStart w:id="8" w:name="OrgName"/>
      <w:bookmarkEnd w:id="8"/>
    </w:tr>
    <w:tr w:rsidR="009D6E51" w:rsidRPr="004D495C" w:rsidTr="000E16A1">
      <w:tc>
        <w:tcPr>
          <w:tcW w:w="993" w:type="dxa"/>
          <w:shd w:val="clear" w:color="auto" w:fill="auto"/>
        </w:tcPr>
        <w:p w:rsidR="009D6E51" w:rsidRPr="008A28C5" w:rsidRDefault="009D6E51" w:rsidP="00AF5A3E">
          <w:pPr>
            <w:pStyle w:val="FirstFooter"/>
            <w:tabs>
              <w:tab w:val="left" w:pos="1559"/>
              <w:tab w:val="left" w:pos="3828"/>
            </w:tabs>
            <w:rPr>
              <w:sz w:val="20"/>
              <w:lang w:val="es-ES_tradnl"/>
            </w:rPr>
          </w:pPr>
        </w:p>
      </w:tc>
      <w:tc>
        <w:tcPr>
          <w:tcW w:w="2551" w:type="dxa"/>
          <w:shd w:val="clear" w:color="auto" w:fill="auto"/>
        </w:tcPr>
        <w:p w:rsidR="009D6E51" w:rsidRPr="004D495C" w:rsidRDefault="009D6E51" w:rsidP="00AF5A3E">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804" w:type="dxa"/>
        </w:tcPr>
        <w:p w:rsidR="009D6E51" w:rsidRPr="002D1770" w:rsidRDefault="009D6E51" w:rsidP="00AF5A3E">
          <w:pPr>
            <w:pStyle w:val="FirstFooter"/>
            <w:rPr>
              <w:sz w:val="18"/>
              <w:szCs w:val="18"/>
              <w:lang w:val="en-US"/>
            </w:rPr>
          </w:pPr>
          <w:r w:rsidRPr="002D1770">
            <w:rPr>
              <w:sz w:val="18"/>
              <w:szCs w:val="18"/>
            </w:rPr>
            <w:t xml:space="preserve">+7 </w:t>
          </w:r>
          <w:r w:rsidRPr="002D1770">
            <w:rPr>
              <w:sz w:val="18"/>
              <w:szCs w:val="18"/>
              <w:lang w:val="en-US"/>
            </w:rPr>
            <w:t>495</w:t>
          </w:r>
          <w:r w:rsidRPr="002D1770">
            <w:rPr>
              <w:sz w:val="18"/>
              <w:szCs w:val="18"/>
            </w:rPr>
            <w:t xml:space="preserve"> </w:t>
          </w:r>
          <w:r w:rsidRPr="002D1770">
            <w:rPr>
              <w:sz w:val="18"/>
              <w:szCs w:val="18"/>
              <w:lang w:val="en-US"/>
            </w:rPr>
            <w:t>692</w:t>
          </w:r>
          <w:r w:rsidRPr="002D1770">
            <w:rPr>
              <w:sz w:val="18"/>
              <w:szCs w:val="18"/>
            </w:rPr>
            <w:t xml:space="preserve"> </w:t>
          </w:r>
          <w:r w:rsidRPr="002D1770">
            <w:rPr>
              <w:sz w:val="18"/>
              <w:szCs w:val="18"/>
              <w:lang w:val="en-US"/>
            </w:rPr>
            <w:t>2108</w:t>
          </w:r>
        </w:p>
      </w:tc>
      <w:bookmarkStart w:id="9" w:name="PhoneNo"/>
      <w:bookmarkEnd w:id="9"/>
    </w:tr>
    <w:tr w:rsidR="009D6E51" w:rsidRPr="004D495C" w:rsidTr="000E16A1">
      <w:tc>
        <w:tcPr>
          <w:tcW w:w="993" w:type="dxa"/>
          <w:tcBorders>
            <w:bottom w:val="single" w:sz="4" w:space="0" w:color="auto"/>
          </w:tcBorders>
          <w:shd w:val="clear" w:color="auto" w:fill="auto"/>
        </w:tcPr>
        <w:p w:rsidR="009D6E51" w:rsidRPr="004D495C" w:rsidRDefault="009D6E51" w:rsidP="00AF5A3E">
          <w:pPr>
            <w:pStyle w:val="FirstFooter"/>
            <w:tabs>
              <w:tab w:val="left" w:pos="1559"/>
              <w:tab w:val="left" w:pos="3828"/>
            </w:tabs>
            <w:rPr>
              <w:sz w:val="20"/>
              <w:lang w:val="en-US"/>
            </w:rPr>
          </w:pPr>
        </w:p>
      </w:tc>
      <w:tc>
        <w:tcPr>
          <w:tcW w:w="2551" w:type="dxa"/>
          <w:tcBorders>
            <w:bottom w:val="single" w:sz="4" w:space="0" w:color="auto"/>
          </w:tcBorders>
          <w:shd w:val="clear" w:color="auto" w:fill="auto"/>
        </w:tcPr>
        <w:p w:rsidR="009D6E51" w:rsidRPr="004D495C" w:rsidRDefault="009D6E51" w:rsidP="00AF5A3E">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804" w:type="dxa"/>
          <w:tcBorders>
            <w:bottom w:val="single" w:sz="4" w:space="0" w:color="auto"/>
          </w:tcBorders>
        </w:tcPr>
        <w:p w:rsidR="009D6E51" w:rsidRPr="002D1770" w:rsidRDefault="009D6E51" w:rsidP="00AF5A3E">
          <w:pPr>
            <w:pStyle w:val="FirstFooter"/>
            <w:tabs>
              <w:tab w:val="left" w:pos="2302"/>
            </w:tabs>
            <w:rPr>
              <w:sz w:val="18"/>
              <w:szCs w:val="18"/>
            </w:rPr>
          </w:pPr>
          <w:hyperlink r:id="rId1" w:history="1">
            <w:r w:rsidRPr="002D1770">
              <w:rPr>
                <w:rStyle w:val="Hyperlink"/>
                <w:sz w:val="18"/>
                <w:szCs w:val="18"/>
                <w:lang w:val="en-US"/>
              </w:rPr>
              <w:t>ecrcc</w:t>
            </w:r>
            <w:r w:rsidRPr="002D1770">
              <w:rPr>
                <w:rStyle w:val="Hyperlink"/>
                <w:sz w:val="18"/>
                <w:szCs w:val="18"/>
              </w:rPr>
              <w:t>@</w:t>
            </w:r>
            <w:r w:rsidRPr="002D1770">
              <w:rPr>
                <w:rStyle w:val="Hyperlink"/>
                <w:sz w:val="18"/>
                <w:szCs w:val="18"/>
                <w:lang w:val="en-US"/>
              </w:rPr>
              <w:t>rcc</w:t>
            </w:r>
            <w:r w:rsidRPr="002D1770">
              <w:rPr>
                <w:rStyle w:val="Hyperlink"/>
                <w:sz w:val="18"/>
                <w:szCs w:val="18"/>
              </w:rPr>
              <w:t>.</w:t>
            </w:r>
            <w:r w:rsidRPr="002D1770">
              <w:rPr>
                <w:rStyle w:val="Hyperlink"/>
                <w:sz w:val="18"/>
                <w:szCs w:val="18"/>
                <w:lang w:val="en-US"/>
              </w:rPr>
              <w:t>org</w:t>
            </w:r>
            <w:r w:rsidRPr="002D1770">
              <w:rPr>
                <w:rStyle w:val="Hyperlink"/>
                <w:sz w:val="18"/>
                <w:szCs w:val="18"/>
              </w:rPr>
              <w:t>.</w:t>
            </w:r>
            <w:r w:rsidRPr="002D1770">
              <w:rPr>
                <w:rStyle w:val="Hyperlink"/>
                <w:sz w:val="18"/>
                <w:szCs w:val="18"/>
                <w:lang w:val="en-US"/>
              </w:rPr>
              <w:t>ru</w:t>
            </w:r>
          </w:hyperlink>
        </w:p>
      </w:tc>
      <w:bookmarkStart w:id="10" w:name="Email"/>
      <w:bookmarkEnd w:id="10"/>
    </w:tr>
    <w:tr w:rsidR="009D6E51" w:rsidRPr="000E16A1" w:rsidTr="000E16A1">
      <w:tc>
        <w:tcPr>
          <w:tcW w:w="993" w:type="dxa"/>
          <w:tcBorders>
            <w:top w:val="single" w:sz="4" w:space="0" w:color="auto"/>
          </w:tcBorders>
          <w:shd w:val="clear" w:color="auto" w:fill="auto"/>
        </w:tcPr>
        <w:p w:rsidR="009D6E51" w:rsidRPr="004D495C" w:rsidRDefault="009D6E51" w:rsidP="00AF5A3E">
          <w:pPr>
            <w:pStyle w:val="FirstFooter"/>
            <w:tabs>
              <w:tab w:val="left" w:pos="1559"/>
              <w:tab w:val="left" w:pos="3828"/>
            </w:tabs>
            <w:rPr>
              <w:sz w:val="20"/>
              <w:lang w:val="en-US"/>
            </w:rPr>
          </w:pPr>
        </w:p>
      </w:tc>
      <w:tc>
        <w:tcPr>
          <w:tcW w:w="2551" w:type="dxa"/>
          <w:tcBorders>
            <w:top w:val="single" w:sz="4" w:space="0" w:color="auto"/>
          </w:tcBorders>
          <w:shd w:val="clear" w:color="auto" w:fill="auto"/>
        </w:tcPr>
        <w:p w:rsidR="009D6E51" w:rsidRPr="004D495C" w:rsidRDefault="009D6E51" w:rsidP="00AF5A3E">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804" w:type="dxa"/>
          <w:tcBorders>
            <w:top w:val="single" w:sz="4" w:space="0" w:color="auto"/>
          </w:tcBorders>
        </w:tcPr>
        <w:p w:rsidR="009D6E51" w:rsidRPr="000E16A1" w:rsidRDefault="009D6E51" w:rsidP="000E16A1">
          <w:pPr>
            <w:pStyle w:val="FirstFooter"/>
            <w:rPr>
              <w:sz w:val="18"/>
              <w:szCs w:val="18"/>
              <w:lang w:val="es-ES_tradnl"/>
            </w:rPr>
          </w:pPr>
          <w:r w:rsidRPr="000E16A1">
            <w:rPr>
              <w:sz w:val="18"/>
              <w:szCs w:val="18"/>
              <w:lang w:val="es-ES_tradnl"/>
            </w:rPr>
            <w:t xml:space="preserve">Rashid Ismailov, </w:t>
          </w:r>
          <w:r w:rsidR="000E16A1" w:rsidRPr="000E16A1">
            <w:rPr>
              <w:sz w:val="18"/>
              <w:szCs w:val="18"/>
              <w:lang w:val="es-ES_tradnl"/>
            </w:rPr>
            <w:t xml:space="preserve">Presidente del Comité </w:t>
          </w:r>
          <w:r w:rsidR="000E16A1">
            <w:rPr>
              <w:sz w:val="18"/>
              <w:szCs w:val="18"/>
              <w:lang w:val="es-ES_tradnl"/>
            </w:rPr>
            <w:t>sobre</w:t>
          </w:r>
          <w:r w:rsidRPr="000E16A1">
            <w:rPr>
              <w:sz w:val="18"/>
              <w:szCs w:val="18"/>
              <w:lang w:val="es-ES_tradnl"/>
            </w:rPr>
            <w:t xml:space="preserve"> </w:t>
          </w:r>
          <w:r w:rsidR="000E16A1" w:rsidRPr="000E16A1">
            <w:rPr>
              <w:sz w:val="18"/>
              <w:szCs w:val="18"/>
              <w:lang w:val="es-ES_tradnl"/>
            </w:rPr>
            <w:t xml:space="preserve">Coordinación de la Cooperación Internacional </w:t>
          </w:r>
          <w:r w:rsidR="000E16A1" w:rsidRPr="000E16A1">
            <w:rPr>
              <w:sz w:val="18"/>
              <w:szCs w:val="18"/>
              <w:lang w:val="es-ES_tradnl"/>
            </w:rPr>
            <w:t>de la CRC</w:t>
          </w:r>
        </w:p>
      </w:tc>
    </w:tr>
    <w:tr w:rsidR="009D6E51" w:rsidRPr="004D495C" w:rsidTr="000E16A1">
      <w:tc>
        <w:tcPr>
          <w:tcW w:w="993" w:type="dxa"/>
          <w:shd w:val="clear" w:color="auto" w:fill="auto"/>
        </w:tcPr>
        <w:p w:rsidR="009D6E51" w:rsidRPr="000E16A1" w:rsidRDefault="009D6E51" w:rsidP="00AF5A3E">
          <w:pPr>
            <w:pStyle w:val="FirstFooter"/>
            <w:tabs>
              <w:tab w:val="left" w:pos="1559"/>
              <w:tab w:val="left" w:pos="3828"/>
            </w:tabs>
            <w:rPr>
              <w:sz w:val="20"/>
              <w:lang w:val="es-ES_tradnl"/>
            </w:rPr>
          </w:pPr>
        </w:p>
      </w:tc>
      <w:tc>
        <w:tcPr>
          <w:tcW w:w="2551" w:type="dxa"/>
          <w:shd w:val="clear" w:color="auto" w:fill="auto"/>
        </w:tcPr>
        <w:p w:rsidR="009D6E51" w:rsidRPr="004D495C" w:rsidRDefault="009D6E51" w:rsidP="00AF5A3E">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804" w:type="dxa"/>
        </w:tcPr>
        <w:p w:rsidR="009D6E51" w:rsidRPr="002D1770" w:rsidRDefault="009D6E51" w:rsidP="00AF5A3E">
          <w:pPr>
            <w:pStyle w:val="FirstFooter"/>
            <w:rPr>
              <w:sz w:val="18"/>
              <w:szCs w:val="18"/>
            </w:rPr>
          </w:pPr>
          <w:r w:rsidRPr="002D1770">
            <w:rPr>
              <w:sz w:val="18"/>
              <w:szCs w:val="18"/>
            </w:rPr>
            <w:t>+7 495 771 8100</w:t>
          </w:r>
        </w:p>
      </w:tc>
    </w:tr>
    <w:tr w:rsidR="009D6E51" w:rsidRPr="004D495C" w:rsidTr="000E16A1">
      <w:tc>
        <w:tcPr>
          <w:tcW w:w="993" w:type="dxa"/>
          <w:tcBorders>
            <w:bottom w:val="single" w:sz="4" w:space="0" w:color="auto"/>
          </w:tcBorders>
          <w:shd w:val="clear" w:color="auto" w:fill="auto"/>
        </w:tcPr>
        <w:p w:rsidR="009D6E51" w:rsidRPr="004D495C" w:rsidRDefault="009D6E51" w:rsidP="00AF5A3E">
          <w:pPr>
            <w:pStyle w:val="FirstFooter"/>
            <w:tabs>
              <w:tab w:val="left" w:pos="1559"/>
              <w:tab w:val="left" w:pos="3828"/>
            </w:tabs>
            <w:rPr>
              <w:sz w:val="20"/>
              <w:lang w:val="en-US"/>
            </w:rPr>
          </w:pPr>
        </w:p>
      </w:tc>
      <w:tc>
        <w:tcPr>
          <w:tcW w:w="2551" w:type="dxa"/>
          <w:tcBorders>
            <w:bottom w:val="single" w:sz="4" w:space="0" w:color="auto"/>
          </w:tcBorders>
          <w:shd w:val="clear" w:color="auto" w:fill="auto"/>
        </w:tcPr>
        <w:p w:rsidR="009D6E51" w:rsidRPr="004D495C" w:rsidRDefault="009D6E51" w:rsidP="00AF5A3E">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804" w:type="dxa"/>
          <w:tcBorders>
            <w:bottom w:val="single" w:sz="4" w:space="0" w:color="auto"/>
          </w:tcBorders>
        </w:tcPr>
        <w:p w:rsidR="009D6E51" w:rsidRPr="002D1770" w:rsidRDefault="009D6E51" w:rsidP="00AF5A3E">
          <w:pPr>
            <w:pStyle w:val="FirstFooter"/>
            <w:rPr>
              <w:sz w:val="18"/>
              <w:szCs w:val="18"/>
            </w:rPr>
          </w:pPr>
          <w:hyperlink r:id="rId2" w:history="1">
            <w:r w:rsidRPr="002D1770">
              <w:rPr>
                <w:rStyle w:val="Hyperlink"/>
                <w:sz w:val="18"/>
                <w:szCs w:val="18"/>
              </w:rPr>
              <w:t>m.kazanskaya@minsvyaz.ru</w:t>
            </w:r>
          </w:hyperlink>
          <w:r w:rsidRPr="002D1770">
            <w:rPr>
              <w:sz w:val="18"/>
              <w:szCs w:val="18"/>
            </w:rPr>
            <w:t xml:space="preserve"> </w:t>
          </w:r>
        </w:p>
      </w:tc>
    </w:tr>
    <w:tr w:rsidR="009D6E51" w:rsidRPr="000E16A1" w:rsidTr="000E16A1">
      <w:tc>
        <w:tcPr>
          <w:tcW w:w="993" w:type="dxa"/>
          <w:tcBorders>
            <w:top w:val="single" w:sz="4" w:space="0" w:color="auto"/>
          </w:tcBorders>
          <w:shd w:val="clear" w:color="auto" w:fill="auto"/>
        </w:tcPr>
        <w:p w:rsidR="009D6E51" w:rsidRPr="004D495C" w:rsidRDefault="009D6E51" w:rsidP="00AF5A3E">
          <w:pPr>
            <w:pStyle w:val="FirstFooter"/>
            <w:tabs>
              <w:tab w:val="left" w:pos="1559"/>
              <w:tab w:val="left" w:pos="3828"/>
            </w:tabs>
            <w:rPr>
              <w:sz w:val="20"/>
              <w:lang w:val="en-US"/>
            </w:rPr>
          </w:pPr>
        </w:p>
      </w:tc>
      <w:tc>
        <w:tcPr>
          <w:tcW w:w="2551" w:type="dxa"/>
          <w:tcBorders>
            <w:top w:val="single" w:sz="4" w:space="0" w:color="auto"/>
          </w:tcBorders>
          <w:shd w:val="clear" w:color="auto" w:fill="auto"/>
        </w:tcPr>
        <w:p w:rsidR="009D6E51" w:rsidRPr="004D495C" w:rsidRDefault="009D6E51" w:rsidP="00AF5A3E">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804" w:type="dxa"/>
          <w:tcBorders>
            <w:top w:val="single" w:sz="4" w:space="0" w:color="auto"/>
          </w:tcBorders>
        </w:tcPr>
        <w:p w:rsidR="009D6E51" w:rsidRPr="000E16A1" w:rsidRDefault="009D6E51" w:rsidP="000E16A1">
          <w:pPr>
            <w:pStyle w:val="FirstFooter"/>
            <w:tabs>
              <w:tab w:val="left" w:pos="2302"/>
            </w:tabs>
            <w:rPr>
              <w:sz w:val="18"/>
              <w:szCs w:val="18"/>
              <w:lang w:val="es-ES_tradnl"/>
            </w:rPr>
          </w:pPr>
          <w:r w:rsidRPr="000E16A1">
            <w:rPr>
              <w:sz w:val="18"/>
              <w:szCs w:val="18"/>
              <w:lang w:val="es-ES_tradnl"/>
            </w:rPr>
            <w:t xml:space="preserve">Vladimir Minkin, </w:t>
          </w:r>
          <w:r w:rsidR="000E16A1" w:rsidRPr="000E16A1">
            <w:rPr>
              <w:sz w:val="18"/>
              <w:szCs w:val="18"/>
              <w:lang w:val="es-ES_tradnl"/>
            </w:rPr>
            <w:t>Presidente</w:t>
          </w:r>
          <w:r w:rsidRPr="000E16A1">
            <w:rPr>
              <w:sz w:val="18"/>
              <w:szCs w:val="18"/>
              <w:lang w:val="es-ES_tradnl"/>
            </w:rPr>
            <w:t xml:space="preserve"> </w:t>
          </w:r>
          <w:r w:rsidR="000E16A1" w:rsidRPr="000E16A1">
            <w:rPr>
              <w:sz w:val="18"/>
              <w:szCs w:val="18"/>
              <w:lang w:val="es-ES_tradnl"/>
            </w:rPr>
            <w:t>del Grupo de Trabajo de la CRC</w:t>
          </w:r>
          <w:r w:rsidRPr="000E16A1">
            <w:rPr>
              <w:sz w:val="18"/>
              <w:szCs w:val="18"/>
              <w:lang w:val="es-ES_tradnl"/>
            </w:rPr>
            <w:t xml:space="preserve"> </w:t>
          </w:r>
          <w:r w:rsidR="000E16A1">
            <w:rPr>
              <w:sz w:val="18"/>
              <w:szCs w:val="18"/>
              <w:lang w:val="es-ES_tradnl"/>
            </w:rPr>
            <w:t>sobre los trabajos con la UIT</w:t>
          </w:r>
        </w:p>
      </w:tc>
    </w:tr>
    <w:tr w:rsidR="009D6E51" w:rsidRPr="004D495C" w:rsidTr="000E16A1">
      <w:tc>
        <w:tcPr>
          <w:tcW w:w="993" w:type="dxa"/>
          <w:shd w:val="clear" w:color="auto" w:fill="auto"/>
        </w:tcPr>
        <w:p w:rsidR="009D6E51" w:rsidRPr="000E16A1" w:rsidRDefault="009D6E51" w:rsidP="00AF5A3E">
          <w:pPr>
            <w:pStyle w:val="FirstFooter"/>
            <w:tabs>
              <w:tab w:val="left" w:pos="1559"/>
              <w:tab w:val="left" w:pos="3828"/>
            </w:tabs>
            <w:rPr>
              <w:sz w:val="20"/>
              <w:lang w:val="es-ES_tradnl"/>
            </w:rPr>
          </w:pPr>
        </w:p>
      </w:tc>
      <w:tc>
        <w:tcPr>
          <w:tcW w:w="2551" w:type="dxa"/>
          <w:shd w:val="clear" w:color="auto" w:fill="auto"/>
        </w:tcPr>
        <w:p w:rsidR="009D6E51" w:rsidRPr="006823B2" w:rsidRDefault="009D6E51" w:rsidP="00AF5A3E">
          <w:pPr>
            <w:pStyle w:val="FirstFooter"/>
            <w:tabs>
              <w:tab w:val="left" w:pos="2302"/>
            </w:tabs>
            <w:rPr>
              <w:sz w:val="18"/>
              <w:szCs w:val="18"/>
              <w:lang w:val="es-ES_tradnl"/>
            </w:rPr>
          </w:pPr>
          <w:r w:rsidRPr="006823B2">
            <w:rPr>
              <w:sz w:val="18"/>
              <w:szCs w:val="18"/>
              <w:lang w:val="es-ES_tradnl"/>
            </w:rPr>
            <w:t>Teléfono:</w:t>
          </w:r>
        </w:p>
      </w:tc>
      <w:tc>
        <w:tcPr>
          <w:tcW w:w="6804" w:type="dxa"/>
        </w:tcPr>
        <w:p w:rsidR="009D6E51" w:rsidRPr="006823B2" w:rsidRDefault="009D6E51" w:rsidP="00AF5A3E">
          <w:pPr>
            <w:pStyle w:val="FirstFooter"/>
            <w:tabs>
              <w:tab w:val="left" w:pos="2302"/>
            </w:tabs>
            <w:rPr>
              <w:sz w:val="18"/>
              <w:szCs w:val="18"/>
              <w:lang w:val="es-ES_tradnl"/>
            </w:rPr>
          </w:pPr>
          <w:r w:rsidRPr="006823B2">
            <w:rPr>
              <w:sz w:val="18"/>
              <w:szCs w:val="18"/>
              <w:lang w:val="es-ES_tradnl"/>
            </w:rPr>
            <w:t>+372 59875999</w:t>
          </w:r>
        </w:p>
      </w:tc>
    </w:tr>
    <w:tr w:rsidR="009D6E51" w:rsidRPr="004D495C" w:rsidTr="000E16A1">
      <w:tc>
        <w:tcPr>
          <w:tcW w:w="993" w:type="dxa"/>
          <w:shd w:val="clear" w:color="auto" w:fill="auto"/>
        </w:tcPr>
        <w:p w:rsidR="009D6E51" w:rsidRPr="006823B2" w:rsidRDefault="009D6E51" w:rsidP="00AF5A3E">
          <w:pPr>
            <w:pStyle w:val="FirstFooter"/>
            <w:tabs>
              <w:tab w:val="left" w:pos="1559"/>
              <w:tab w:val="left" w:pos="3828"/>
            </w:tabs>
            <w:rPr>
              <w:sz w:val="20"/>
              <w:lang w:val="es-ES_tradnl"/>
            </w:rPr>
          </w:pPr>
        </w:p>
      </w:tc>
      <w:tc>
        <w:tcPr>
          <w:tcW w:w="2551" w:type="dxa"/>
          <w:shd w:val="clear" w:color="auto" w:fill="auto"/>
        </w:tcPr>
        <w:p w:rsidR="009D6E51" w:rsidRPr="006823B2" w:rsidRDefault="009D6E51" w:rsidP="00AF5A3E">
          <w:pPr>
            <w:pStyle w:val="FirstFooter"/>
            <w:tabs>
              <w:tab w:val="left" w:pos="2302"/>
            </w:tabs>
            <w:rPr>
              <w:sz w:val="18"/>
              <w:szCs w:val="18"/>
              <w:lang w:val="es-ES_tradnl"/>
            </w:rPr>
          </w:pPr>
          <w:r w:rsidRPr="006823B2">
            <w:rPr>
              <w:sz w:val="18"/>
              <w:szCs w:val="18"/>
              <w:lang w:val="es-ES_tradnl"/>
            </w:rPr>
            <w:t>Correo-e:</w:t>
          </w:r>
        </w:p>
      </w:tc>
      <w:tc>
        <w:tcPr>
          <w:tcW w:w="6804" w:type="dxa"/>
        </w:tcPr>
        <w:p w:rsidR="009D6E51" w:rsidRPr="006823B2" w:rsidRDefault="009D6E51" w:rsidP="00AF5A3E">
          <w:pPr>
            <w:pStyle w:val="FirstFooter"/>
            <w:rPr>
              <w:sz w:val="18"/>
              <w:szCs w:val="18"/>
              <w:lang w:val="es-ES_tradnl"/>
            </w:rPr>
          </w:pPr>
          <w:hyperlink r:id="rId3" w:history="1">
            <w:r w:rsidRPr="006823B2">
              <w:rPr>
                <w:rStyle w:val="Hyperlink"/>
                <w:sz w:val="18"/>
                <w:szCs w:val="18"/>
                <w:lang w:val="es-ES_tradnl"/>
              </w:rPr>
              <w:t>minkin-niir@mail.ru</w:t>
            </w:r>
          </w:hyperlink>
          <w:r w:rsidRPr="006823B2">
            <w:rPr>
              <w:sz w:val="18"/>
              <w:szCs w:val="18"/>
              <w:lang w:val="es-ES_tradnl"/>
            </w:rPr>
            <w:t xml:space="preserve"> </w:t>
          </w:r>
        </w:p>
      </w:tc>
    </w:tr>
  </w:tbl>
  <w:p w:rsidR="004C4DF7" w:rsidRPr="008E7C65" w:rsidRDefault="00E73139" w:rsidP="006823B2">
    <w:pPr>
      <w:jc w:val="center"/>
      <w:rPr>
        <w:sz w:val="20"/>
        <w:lang w:val="en-US"/>
      </w:rPr>
    </w:pPr>
    <w:hyperlink r:id="rId4" w:history="1">
      <w:r w:rsidR="00CA326E">
        <w:rPr>
          <w:rStyle w:val="Hyperlink"/>
          <w:sz w:val="20"/>
        </w:rPr>
        <w:t>CMDT-17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BE6" w:rsidRDefault="00E53BE6" w:rsidP="00E53BE6">
    <w:pPr>
      <w:pStyle w:val="Footer"/>
    </w:pPr>
    <w:fldSimple w:instr=" FILENAME \p  \* MERGEFORMAT ">
      <w:r w:rsidR="008500E7">
        <w:t>P:\ESP\ITU-D\CONF-D\WTDC17\000\023S.docx</w:t>
      </w:r>
    </w:fldSimple>
    <w:r>
      <w:t xml:space="preserve"> (421479)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8F" w:rsidRDefault="00D8208F">
      <w:r>
        <w:t>____________________</w:t>
      </w:r>
    </w:p>
  </w:footnote>
  <w:footnote w:type="continuationSeparator" w:id="0">
    <w:p w:rsidR="00D8208F" w:rsidRDefault="00D82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F9" w:rsidRPr="00BD13E7" w:rsidRDefault="007637F9" w:rsidP="007637F9">
    <w:pPr>
      <w:pStyle w:val="Header"/>
      <w:tabs>
        <w:tab w:val="center" w:pos="6946"/>
        <w:tab w:val="right" w:pos="13998"/>
      </w:tabs>
      <w:jc w:val="left"/>
      <w:rPr>
        <w:rStyle w:val="PageNumber"/>
        <w:sz w:val="22"/>
        <w:szCs w:val="22"/>
      </w:rPr>
    </w:pPr>
    <w:r w:rsidRPr="00BD13E7">
      <w:rPr>
        <w:rStyle w:val="PageNumber"/>
        <w:sz w:val="22"/>
        <w:szCs w:val="22"/>
      </w:rPr>
      <w:tab/>
    </w:r>
    <w:r>
      <w:rPr>
        <w:sz w:val="22"/>
        <w:szCs w:val="22"/>
        <w:lang w:val="de-CH"/>
      </w:rPr>
      <w:t>CMDT</w:t>
    </w:r>
    <w:r w:rsidRPr="00A74B99">
      <w:rPr>
        <w:sz w:val="22"/>
        <w:szCs w:val="22"/>
        <w:lang w:val="de-CH"/>
      </w:rPr>
      <w:t>-17/</w:t>
    </w:r>
    <w:r w:rsidRPr="00A74B99">
      <w:rPr>
        <w:sz w:val="22"/>
        <w:szCs w:val="22"/>
      </w:rPr>
      <w:t>23-</w:t>
    </w:r>
    <w:r w:rsidRPr="00C26DD5">
      <w:rPr>
        <w:sz w:val="22"/>
        <w:szCs w:val="22"/>
      </w:rPr>
      <w:t>S</w:t>
    </w:r>
    <w:r w:rsidRPr="00BD13E7">
      <w:rPr>
        <w:rStyle w:val="PageNumber"/>
        <w:sz w:val="22"/>
        <w:szCs w:val="22"/>
      </w:rPr>
      <w:tab/>
      <w:t xml:space="preserve">Página </w:t>
    </w:r>
    <w:r w:rsidRPr="00BD13E7">
      <w:rPr>
        <w:rStyle w:val="PageNumber"/>
        <w:sz w:val="22"/>
        <w:szCs w:val="22"/>
      </w:rPr>
      <w:fldChar w:fldCharType="begin"/>
    </w:r>
    <w:r w:rsidRPr="00BD13E7">
      <w:rPr>
        <w:rStyle w:val="PageNumber"/>
        <w:sz w:val="22"/>
        <w:szCs w:val="22"/>
      </w:rPr>
      <w:instrText xml:space="preserve"> PAGE </w:instrText>
    </w:r>
    <w:r w:rsidRPr="00BD13E7">
      <w:rPr>
        <w:rStyle w:val="PageNumber"/>
        <w:sz w:val="22"/>
        <w:szCs w:val="22"/>
      </w:rPr>
      <w:fldChar w:fldCharType="separate"/>
    </w:r>
    <w:r w:rsidR="00E73139">
      <w:rPr>
        <w:rStyle w:val="PageNumber"/>
        <w:noProof/>
        <w:sz w:val="22"/>
        <w:szCs w:val="22"/>
      </w:rPr>
      <w:t>6</w:t>
    </w:r>
    <w:r w:rsidRPr="00BD13E7">
      <w:rPr>
        <w:rStyle w:val="PageNumbe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C65" w:rsidRPr="00BD13E7" w:rsidRDefault="008E7C65" w:rsidP="007637F9">
    <w:pPr>
      <w:pStyle w:val="Header"/>
      <w:tabs>
        <w:tab w:val="center" w:pos="6946"/>
        <w:tab w:val="right" w:pos="13998"/>
      </w:tabs>
      <w:jc w:val="left"/>
      <w:rPr>
        <w:rStyle w:val="PageNumber"/>
        <w:sz w:val="22"/>
        <w:szCs w:val="22"/>
      </w:rPr>
    </w:pPr>
    <w:r w:rsidRPr="00BD13E7">
      <w:rPr>
        <w:rStyle w:val="PageNumber"/>
        <w:sz w:val="22"/>
        <w:szCs w:val="22"/>
      </w:rPr>
      <w:tab/>
    </w:r>
    <w:r>
      <w:rPr>
        <w:sz w:val="22"/>
        <w:szCs w:val="22"/>
        <w:lang w:val="de-CH"/>
      </w:rPr>
      <w:t>CMDT</w:t>
    </w:r>
    <w:r w:rsidRPr="00A74B99">
      <w:rPr>
        <w:sz w:val="22"/>
        <w:szCs w:val="22"/>
        <w:lang w:val="de-CH"/>
      </w:rPr>
      <w:t>-17/</w:t>
    </w:r>
    <w:r w:rsidRPr="00A74B99">
      <w:rPr>
        <w:sz w:val="22"/>
        <w:szCs w:val="22"/>
      </w:rPr>
      <w:t>23-</w:t>
    </w:r>
    <w:r w:rsidRPr="00C26DD5">
      <w:rPr>
        <w:sz w:val="22"/>
        <w:szCs w:val="22"/>
      </w:rPr>
      <w:t>S</w:t>
    </w:r>
    <w:r w:rsidRPr="00BD13E7">
      <w:rPr>
        <w:rStyle w:val="PageNumber"/>
        <w:sz w:val="22"/>
        <w:szCs w:val="22"/>
      </w:rPr>
      <w:tab/>
      <w:t xml:space="preserve">Página </w:t>
    </w:r>
    <w:r w:rsidRPr="00BD13E7">
      <w:rPr>
        <w:rStyle w:val="PageNumber"/>
        <w:sz w:val="22"/>
        <w:szCs w:val="22"/>
      </w:rPr>
      <w:fldChar w:fldCharType="begin"/>
    </w:r>
    <w:r w:rsidRPr="00BD13E7">
      <w:rPr>
        <w:rStyle w:val="PageNumber"/>
        <w:sz w:val="22"/>
        <w:szCs w:val="22"/>
      </w:rPr>
      <w:instrText xml:space="preserve"> PAGE </w:instrText>
    </w:r>
    <w:r w:rsidRPr="00BD13E7">
      <w:rPr>
        <w:rStyle w:val="PageNumber"/>
        <w:sz w:val="22"/>
        <w:szCs w:val="22"/>
      </w:rPr>
      <w:fldChar w:fldCharType="separate"/>
    </w:r>
    <w:r w:rsidR="007206CF">
      <w:rPr>
        <w:rStyle w:val="PageNumber"/>
        <w:noProof/>
        <w:sz w:val="22"/>
        <w:szCs w:val="22"/>
      </w:rPr>
      <w:t>2</w:t>
    </w:r>
    <w:r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45DB7"/>
    <w:multiLevelType w:val="hybridMultilevel"/>
    <w:tmpl w:val="718A3470"/>
    <w:lvl w:ilvl="0" w:tplc="1C729616">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5E7A3D"/>
    <w:multiLevelType w:val="hybridMultilevel"/>
    <w:tmpl w:val="0408E4F2"/>
    <w:lvl w:ilvl="0" w:tplc="0E6805AC">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FA66C1"/>
    <w:multiLevelType w:val="hybridMultilevel"/>
    <w:tmpl w:val="352E7244"/>
    <w:lvl w:ilvl="0" w:tplc="85A45BE8">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64D91CFC"/>
    <w:multiLevelType w:val="hybridMultilevel"/>
    <w:tmpl w:val="6E4E2C80"/>
    <w:lvl w:ilvl="0" w:tplc="8F16C12C">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9AD5D87"/>
    <w:multiLevelType w:val="hybridMultilevel"/>
    <w:tmpl w:val="8EF241A2"/>
    <w:lvl w:ilvl="0" w:tplc="CB2E4594">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C03CD3"/>
    <w:multiLevelType w:val="hybridMultilevel"/>
    <w:tmpl w:val="DD5C9EB4"/>
    <w:lvl w:ilvl="0" w:tplc="B1CA255E">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6"/>
  </w:num>
  <w:num w:numId="14">
    <w:abstractNumId w:val="11"/>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E16A1"/>
    <w:rsid w:val="000F69BA"/>
    <w:rsid w:val="00101770"/>
    <w:rsid w:val="00104292"/>
    <w:rsid w:val="00110316"/>
    <w:rsid w:val="00111F38"/>
    <w:rsid w:val="00115AEF"/>
    <w:rsid w:val="001232E9"/>
    <w:rsid w:val="00130051"/>
    <w:rsid w:val="001359A5"/>
    <w:rsid w:val="001432BC"/>
    <w:rsid w:val="00146B88"/>
    <w:rsid w:val="001663C8"/>
    <w:rsid w:val="00172EAC"/>
    <w:rsid w:val="00187FB4"/>
    <w:rsid w:val="001B00B8"/>
    <w:rsid w:val="001B4374"/>
    <w:rsid w:val="001C4711"/>
    <w:rsid w:val="001E4BC1"/>
    <w:rsid w:val="00216AF0"/>
    <w:rsid w:val="00222133"/>
    <w:rsid w:val="002247A5"/>
    <w:rsid w:val="00242C09"/>
    <w:rsid w:val="00250817"/>
    <w:rsid w:val="00250CC1"/>
    <w:rsid w:val="002514A4"/>
    <w:rsid w:val="002A60D8"/>
    <w:rsid w:val="002C1636"/>
    <w:rsid w:val="002C6D7A"/>
    <w:rsid w:val="002E1030"/>
    <w:rsid w:val="002E20C5"/>
    <w:rsid w:val="002E57D3"/>
    <w:rsid w:val="002F0460"/>
    <w:rsid w:val="002F4B23"/>
    <w:rsid w:val="00303948"/>
    <w:rsid w:val="00306273"/>
    <w:rsid w:val="00306298"/>
    <w:rsid w:val="00307250"/>
    <w:rsid w:val="00325421"/>
    <w:rsid w:val="0034172E"/>
    <w:rsid w:val="00363200"/>
    <w:rsid w:val="00374AD5"/>
    <w:rsid w:val="00393C10"/>
    <w:rsid w:val="003A1200"/>
    <w:rsid w:val="003B74AD"/>
    <w:rsid w:val="003F78AF"/>
    <w:rsid w:val="00400CD0"/>
    <w:rsid w:val="004128B9"/>
    <w:rsid w:val="00417E93"/>
    <w:rsid w:val="00420B93"/>
    <w:rsid w:val="00465FB6"/>
    <w:rsid w:val="004B47C7"/>
    <w:rsid w:val="004C4186"/>
    <w:rsid w:val="004C4DF7"/>
    <w:rsid w:val="004C55A9"/>
    <w:rsid w:val="00546A49"/>
    <w:rsid w:val="005546BB"/>
    <w:rsid w:val="00556004"/>
    <w:rsid w:val="005707D4"/>
    <w:rsid w:val="00586DF6"/>
    <w:rsid w:val="005967E8"/>
    <w:rsid w:val="005A32E2"/>
    <w:rsid w:val="005A3734"/>
    <w:rsid w:val="005B277C"/>
    <w:rsid w:val="005B6D63"/>
    <w:rsid w:val="005B77C4"/>
    <w:rsid w:val="005F6655"/>
    <w:rsid w:val="00621383"/>
    <w:rsid w:val="006354E2"/>
    <w:rsid w:val="0064676F"/>
    <w:rsid w:val="0067437A"/>
    <w:rsid w:val="006823B2"/>
    <w:rsid w:val="006841C9"/>
    <w:rsid w:val="006A70F7"/>
    <w:rsid w:val="006A7804"/>
    <w:rsid w:val="006B19EA"/>
    <w:rsid w:val="006B2077"/>
    <w:rsid w:val="006B3C2C"/>
    <w:rsid w:val="006B3CE9"/>
    <w:rsid w:val="006B44F7"/>
    <w:rsid w:val="006C1AF0"/>
    <w:rsid w:val="006C2077"/>
    <w:rsid w:val="00706DB9"/>
    <w:rsid w:val="0071137C"/>
    <w:rsid w:val="007206CF"/>
    <w:rsid w:val="00746B65"/>
    <w:rsid w:val="00751F6A"/>
    <w:rsid w:val="00763579"/>
    <w:rsid w:val="007637F9"/>
    <w:rsid w:val="00766112"/>
    <w:rsid w:val="00772084"/>
    <w:rsid w:val="007725F2"/>
    <w:rsid w:val="007819B5"/>
    <w:rsid w:val="007A1159"/>
    <w:rsid w:val="007B3151"/>
    <w:rsid w:val="007D30E9"/>
    <w:rsid w:val="007D682E"/>
    <w:rsid w:val="007F39DA"/>
    <w:rsid w:val="00805F71"/>
    <w:rsid w:val="00841196"/>
    <w:rsid w:val="008500E7"/>
    <w:rsid w:val="00857625"/>
    <w:rsid w:val="008A28C5"/>
    <w:rsid w:val="008A72BE"/>
    <w:rsid w:val="008D6FFB"/>
    <w:rsid w:val="008E7C65"/>
    <w:rsid w:val="009100BA"/>
    <w:rsid w:val="00921B3D"/>
    <w:rsid w:val="00927BD8"/>
    <w:rsid w:val="00950FF4"/>
    <w:rsid w:val="00956203"/>
    <w:rsid w:val="00957B66"/>
    <w:rsid w:val="00964DA9"/>
    <w:rsid w:val="00973150"/>
    <w:rsid w:val="00976F2A"/>
    <w:rsid w:val="00985BBD"/>
    <w:rsid w:val="00996D9C"/>
    <w:rsid w:val="009B2317"/>
    <w:rsid w:val="009C498B"/>
    <w:rsid w:val="009D0FF0"/>
    <w:rsid w:val="009D6E51"/>
    <w:rsid w:val="00A12D19"/>
    <w:rsid w:val="00A32892"/>
    <w:rsid w:val="00A93359"/>
    <w:rsid w:val="00AA0D3F"/>
    <w:rsid w:val="00AC32D2"/>
    <w:rsid w:val="00AE610D"/>
    <w:rsid w:val="00AF5A3E"/>
    <w:rsid w:val="00B164F1"/>
    <w:rsid w:val="00B36227"/>
    <w:rsid w:val="00B7661E"/>
    <w:rsid w:val="00B80D14"/>
    <w:rsid w:val="00B8548D"/>
    <w:rsid w:val="00B91E5C"/>
    <w:rsid w:val="00BB17D3"/>
    <w:rsid w:val="00BB68DE"/>
    <w:rsid w:val="00BD13E7"/>
    <w:rsid w:val="00C000A4"/>
    <w:rsid w:val="00C1596B"/>
    <w:rsid w:val="00C46AC6"/>
    <w:rsid w:val="00C477B1"/>
    <w:rsid w:val="00C52949"/>
    <w:rsid w:val="00C9079E"/>
    <w:rsid w:val="00CA326E"/>
    <w:rsid w:val="00CB677C"/>
    <w:rsid w:val="00D17BFD"/>
    <w:rsid w:val="00D231EE"/>
    <w:rsid w:val="00D26E48"/>
    <w:rsid w:val="00D317D4"/>
    <w:rsid w:val="00D50E44"/>
    <w:rsid w:val="00D8208F"/>
    <w:rsid w:val="00D84739"/>
    <w:rsid w:val="00D87B59"/>
    <w:rsid w:val="00DE7A75"/>
    <w:rsid w:val="00DF16C6"/>
    <w:rsid w:val="00DF332D"/>
    <w:rsid w:val="00E1028A"/>
    <w:rsid w:val="00E10F96"/>
    <w:rsid w:val="00E176E5"/>
    <w:rsid w:val="00E20929"/>
    <w:rsid w:val="00E232F8"/>
    <w:rsid w:val="00E377DA"/>
    <w:rsid w:val="00E408A7"/>
    <w:rsid w:val="00E47369"/>
    <w:rsid w:val="00E53BE6"/>
    <w:rsid w:val="00E64E66"/>
    <w:rsid w:val="00E73139"/>
    <w:rsid w:val="00E74ED5"/>
    <w:rsid w:val="00EA6E15"/>
    <w:rsid w:val="00EB4114"/>
    <w:rsid w:val="00EB6CD3"/>
    <w:rsid w:val="00EC274E"/>
    <w:rsid w:val="00EC5D60"/>
    <w:rsid w:val="00ED2AE9"/>
    <w:rsid w:val="00F0332E"/>
    <w:rsid w:val="00F05232"/>
    <w:rsid w:val="00F07445"/>
    <w:rsid w:val="00F324A1"/>
    <w:rsid w:val="00F41614"/>
    <w:rsid w:val="00F65879"/>
    <w:rsid w:val="00F83C74"/>
    <w:rsid w:val="00F9444E"/>
    <w:rsid w:val="00FA3D6E"/>
    <w:rsid w:val="00FC7D53"/>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uiPriority w:val="59"/>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minkin-niir@mail.ru" TargetMode="External"/><Relationship Id="rId2" Type="http://schemas.openxmlformats.org/officeDocument/2006/relationships/hyperlink" Target="mailto:m.kazanskaya@minsvyaz.ru" TargetMode="External"/><Relationship Id="rId1" Type="http://schemas.openxmlformats.org/officeDocument/2006/relationships/hyperlink" Target="mailto:ecrcc@rcc.org.ru" TargetMode="External"/><Relationship Id="rId4"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9f5ffa-f52e-481e-b38e-5a12ab40da97" targetNamespace="http://schemas.microsoft.com/office/2006/metadata/properties" ma:root="true" ma:fieldsID="d41af5c836d734370eb92e7ee5f83852" ns2:_="" ns3:_="">
    <xsd:import namespace="996b2e75-67fd-4955-a3b0-5ab9934cb50b"/>
    <xsd:import namespace="4d9f5ffa-f52e-481e-b38e-5a12ab40da9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9f5ffa-f52e-481e-b38e-5a12ab40da9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d9f5ffa-f52e-481e-b38e-5a12ab40da97">DPM</DPM_x0020_Author>
    <DPM_x0020_File_x0020_name xmlns="4d9f5ffa-f52e-481e-b38e-5a12ab40da97">D14-WTDC17-C-0023!!MSW-S</DPM_x0020_File_x0020_name>
    <DPM_x0020_Version xmlns="4d9f5ffa-f52e-481e-b38e-5a12ab40da97">DPM_2017.10.03.1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9f5ffa-f52e-481e-b38e-5a12ab40d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4d9f5ffa-f52e-481e-b38e-5a12ab40da97"/>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996b2e75-67fd-4955-a3b0-5ab9934cb50b"/>
    <ds:schemaRef ds:uri="http://www.w3.org/XML/1998/namespace"/>
    <ds:schemaRef ds:uri="http://purl.org/dc/terms/"/>
  </ds:schemaRefs>
</ds:datastoreItem>
</file>

<file path=customXml/itemProps3.xml><?xml version="1.0" encoding="utf-8"?>
<ds:datastoreItem xmlns:ds="http://schemas.openxmlformats.org/officeDocument/2006/customXml" ds:itemID="{37B70291-8A8E-4BAB-ABBE-1CC912E3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1345</Words>
  <Characters>6697</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D14-WTDC17-C-0023!!MSW-S</vt:lpstr>
    </vt:vector>
  </TitlesOfParts>
  <Manager>General Secretariat - Pool</Manager>
  <Company>International Telecommunication Union (ITU)</Company>
  <LinksUpToDate>false</LinksUpToDate>
  <CharactersWithSpaces>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D14-WTDC17-C-0023!!MSW-S</dc:title>
  <dc:creator>Documents Proposals Manager (DPM)</dc:creator>
  <cp:keywords>DPM_v2017.10.3.1_prod</cp:keywords>
  <dc:description/>
  <cp:lastModifiedBy>Spanish</cp:lastModifiedBy>
  <cp:revision>49</cp:revision>
  <cp:lastPrinted>2006-02-14T20:24:00Z</cp:lastPrinted>
  <dcterms:created xsi:type="dcterms:W3CDTF">2017-10-05T12:03:00Z</dcterms:created>
  <dcterms:modified xsi:type="dcterms:W3CDTF">2017-10-05T13:20:00Z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