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206" w:type="dxa"/>
        <w:tblLayout w:type="fixed"/>
        <w:tblCellMar>
          <w:left w:w="107" w:type="dxa"/>
          <w:right w:w="107" w:type="dxa"/>
        </w:tblCellMar>
        <w:tblLook w:val="0000" w:firstRow="0" w:lastRow="0" w:firstColumn="0" w:lastColumn="0" w:noHBand="0" w:noVBand="0"/>
      </w:tblPr>
      <w:tblGrid>
        <w:gridCol w:w="1100"/>
        <w:gridCol w:w="5704"/>
        <w:gridCol w:w="3402"/>
      </w:tblGrid>
      <w:tr w:rsidR="00805F71" w:rsidRPr="00A80CF5" w:rsidTr="00AD20EE">
        <w:trPr>
          <w:cantSplit/>
        </w:trPr>
        <w:tc>
          <w:tcPr>
            <w:tcW w:w="1100" w:type="dxa"/>
            <w:tcBorders>
              <w:bottom w:val="single" w:sz="12" w:space="0" w:color="auto"/>
            </w:tcBorders>
          </w:tcPr>
          <w:p w:rsidR="00805F71" w:rsidRPr="00A80CF5" w:rsidRDefault="00805F71" w:rsidP="00A80CF5">
            <w:pPr>
              <w:pStyle w:val="Priorityarea"/>
            </w:pPr>
            <w:r w:rsidRPr="00A80CF5">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A80CF5" w:rsidRDefault="004C4DF7" w:rsidP="00A80CF5">
            <w:pPr>
              <w:tabs>
                <w:tab w:val="clear" w:pos="794"/>
                <w:tab w:val="clear" w:pos="1191"/>
                <w:tab w:val="clear" w:pos="1588"/>
                <w:tab w:val="clear" w:pos="1985"/>
                <w:tab w:val="left" w:pos="1871"/>
                <w:tab w:val="left" w:pos="2268"/>
              </w:tabs>
              <w:spacing w:before="20" w:after="48"/>
              <w:ind w:left="34"/>
              <w:rPr>
                <w:b/>
                <w:bCs/>
                <w:sz w:val="28"/>
                <w:szCs w:val="28"/>
              </w:rPr>
            </w:pPr>
            <w:r w:rsidRPr="00A80CF5">
              <w:rPr>
                <w:b/>
                <w:bCs/>
                <w:sz w:val="28"/>
                <w:szCs w:val="28"/>
              </w:rPr>
              <w:t>Conferencia Mundial de Desarrollo de las Telecomunicaciones 2017 (CMDT-17)</w:t>
            </w:r>
          </w:p>
          <w:p w:rsidR="00805F71" w:rsidRPr="00A80CF5" w:rsidRDefault="004C4DF7" w:rsidP="00A80CF5">
            <w:pPr>
              <w:tabs>
                <w:tab w:val="clear" w:pos="794"/>
                <w:tab w:val="clear" w:pos="1191"/>
                <w:tab w:val="clear" w:pos="1588"/>
                <w:tab w:val="clear" w:pos="1985"/>
                <w:tab w:val="left" w:pos="1871"/>
                <w:tab w:val="left" w:pos="2268"/>
              </w:tabs>
              <w:spacing w:after="48"/>
              <w:ind w:left="34"/>
              <w:rPr>
                <w:b/>
                <w:bCs/>
                <w:sz w:val="26"/>
                <w:szCs w:val="26"/>
              </w:rPr>
            </w:pPr>
            <w:r w:rsidRPr="00A80CF5">
              <w:rPr>
                <w:b/>
                <w:bCs/>
                <w:sz w:val="26"/>
                <w:szCs w:val="26"/>
              </w:rPr>
              <w:t>Buenos Aires, Argentina, 9-20 de octubre de 2017</w:t>
            </w:r>
          </w:p>
        </w:tc>
        <w:tc>
          <w:tcPr>
            <w:tcW w:w="3402" w:type="dxa"/>
            <w:tcBorders>
              <w:bottom w:val="single" w:sz="12" w:space="0" w:color="auto"/>
            </w:tcBorders>
          </w:tcPr>
          <w:p w:rsidR="00805F71" w:rsidRPr="00A80CF5" w:rsidRDefault="00746B65" w:rsidP="00A80CF5">
            <w:pPr>
              <w:spacing w:before="0" w:after="80"/>
            </w:pPr>
            <w:bookmarkStart w:id="0" w:name="dlogo"/>
            <w:bookmarkEnd w:id="0"/>
            <w:r w:rsidRPr="00A80CF5">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A80CF5" w:rsidTr="00AD20EE">
        <w:trPr>
          <w:cantSplit/>
        </w:trPr>
        <w:tc>
          <w:tcPr>
            <w:tcW w:w="6804" w:type="dxa"/>
            <w:gridSpan w:val="2"/>
            <w:tcBorders>
              <w:top w:val="single" w:sz="12" w:space="0" w:color="auto"/>
            </w:tcBorders>
          </w:tcPr>
          <w:p w:rsidR="00805F71" w:rsidRPr="00A80CF5" w:rsidRDefault="00805F71" w:rsidP="00A80CF5">
            <w:pPr>
              <w:spacing w:before="0"/>
              <w:rPr>
                <w:rFonts w:cs="Arial"/>
                <w:b/>
                <w:bCs/>
                <w:szCs w:val="24"/>
              </w:rPr>
            </w:pPr>
            <w:bookmarkStart w:id="1" w:name="dspace"/>
          </w:p>
        </w:tc>
        <w:tc>
          <w:tcPr>
            <w:tcW w:w="3402" w:type="dxa"/>
            <w:tcBorders>
              <w:top w:val="single" w:sz="12" w:space="0" w:color="auto"/>
            </w:tcBorders>
          </w:tcPr>
          <w:p w:rsidR="00805F71" w:rsidRPr="00A80CF5" w:rsidRDefault="00805F71" w:rsidP="00A80CF5">
            <w:pPr>
              <w:spacing w:before="0"/>
              <w:rPr>
                <w:b/>
                <w:bCs/>
                <w:szCs w:val="24"/>
              </w:rPr>
            </w:pPr>
          </w:p>
        </w:tc>
      </w:tr>
      <w:tr w:rsidR="00805F71" w:rsidRPr="00A80CF5" w:rsidTr="00AD20EE">
        <w:trPr>
          <w:cantSplit/>
        </w:trPr>
        <w:tc>
          <w:tcPr>
            <w:tcW w:w="6804" w:type="dxa"/>
            <w:gridSpan w:val="2"/>
          </w:tcPr>
          <w:p w:rsidR="00805F71" w:rsidRPr="00A80CF5" w:rsidRDefault="006A70F7" w:rsidP="00A80CF5">
            <w:pPr>
              <w:spacing w:before="0"/>
              <w:rPr>
                <w:rFonts w:cs="Arial"/>
                <w:b/>
                <w:bCs/>
                <w:szCs w:val="24"/>
              </w:rPr>
            </w:pPr>
            <w:bookmarkStart w:id="2" w:name="dnum" w:colFirst="1" w:colLast="1"/>
            <w:bookmarkEnd w:id="1"/>
            <w:r w:rsidRPr="00A80CF5">
              <w:rPr>
                <w:rFonts w:ascii="Verdana" w:hAnsi="Verdana"/>
                <w:b/>
                <w:bCs/>
                <w:sz w:val="20"/>
              </w:rPr>
              <w:t>SESIÓN PLENARIA</w:t>
            </w:r>
          </w:p>
        </w:tc>
        <w:tc>
          <w:tcPr>
            <w:tcW w:w="3402" w:type="dxa"/>
          </w:tcPr>
          <w:p w:rsidR="00805F71" w:rsidRPr="00A80CF5" w:rsidRDefault="006A70F7" w:rsidP="00A80CF5">
            <w:pPr>
              <w:spacing w:before="0"/>
              <w:rPr>
                <w:bCs/>
                <w:szCs w:val="24"/>
              </w:rPr>
            </w:pPr>
            <w:r w:rsidRPr="00A80CF5">
              <w:rPr>
                <w:rFonts w:ascii="Verdana" w:hAnsi="Verdana"/>
                <w:b/>
                <w:sz w:val="20"/>
              </w:rPr>
              <w:t>Addéndum 8 al</w:t>
            </w:r>
            <w:r w:rsidRPr="00A80CF5">
              <w:rPr>
                <w:rFonts w:ascii="Verdana" w:hAnsi="Verdana"/>
                <w:b/>
                <w:sz w:val="20"/>
              </w:rPr>
              <w:br/>
              <w:t>Documento WTDC-17/22</w:t>
            </w:r>
            <w:r w:rsidR="00E232F8" w:rsidRPr="00A80CF5">
              <w:rPr>
                <w:rFonts w:ascii="Verdana" w:hAnsi="Verdana"/>
                <w:b/>
                <w:sz w:val="20"/>
              </w:rPr>
              <w:t>-</w:t>
            </w:r>
            <w:r w:rsidRPr="00A80CF5">
              <w:rPr>
                <w:rFonts w:ascii="Verdana" w:hAnsi="Verdana"/>
                <w:b/>
                <w:sz w:val="20"/>
              </w:rPr>
              <w:t>S</w:t>
            </w:r>
          </w:p>
        </w:tc>
      </w:tr>
      <w:tr w:rsidR="00805F71" w:rsidRPr="00A80CF5" w:rsidTr="00AD20EE">
        <w:trPr>
          <w:cantSplit/>
        </w:trPr>
        <w:tc>
          <w:tcPr>
            <w:tcW w:w="6804" w:type="dxa"/>
            <w:gridSpan w:val="2"/>
          </w:tcPr>
          <w:p w:rsidR="00805F71" w:rsidRPr="00A80CF5" w:rsidRDefault="00805F71" w:rsidP="00A80CF5">
            <w:pPr>
              <w:spacing w:before="0"/>
              <w:rPr>
                <w:b/>
                <w:bCs/>
                <w:smallCaps/>
                <w:szCs w:val="24"/>
              </w:rPr>
            </w:pPr>
            <w:bookmarkStart w:id="3" w:name="ddate" w:colFirst="1" w:colLast="1"/>
            <w:bookmarkEnd w:id="2"/>
          </w:p>
        </w:tc>
        <w:tc>
          <w:tcPr>
            <w:tcW w:w="3402" w:type="dxa"/>
          </w:tcPr>
          <w:p w:rsidR="00805F71" w:rsidRPr="00A80CF5" w:rsidRDefault="006A70F7" w:rsidP="00A80CF5">
            <w:pPr>
              <w:spacing w:before="0"/>
              <w:rPr>
                <w:bCs/>
                <w:szCs w:val="24"/>
              </w:rPr>
            </w:pPr>
            <w:r w:rsidRPr="00A80CF5">
              <w:rPr>
                <w:rFonts w:ascii="Verdana" w:hAnsi="Verdana"/>
                <w:b/>
                <w:sz w:val="20"/>
              </w:rPr>
              <w:t>29 de agosto de 2017</w:t>
            </w:r>
          </w:p>
        </w:tc>
      </w:tr>
      <w:tr w:rsidR="00805F71" w:rsidRPr="00A80CF5" w:rsidTr="00AD20EE">
        <w:trPr>
          <w:cantSplit/>
        </w:trPr>
        <w:tc>
          <w:tcPr>
            <w:tcW w:w="6804" w:type="dxa"/>
            <w:gridSpan w:val="2"/>
          </w:tcPr>
          <w:p w:rsidR="00805F71" w:rsidRPr="00A80CF5" w:rsidRDefault="00805F71" w:rsidP="00A80CF5">
            <w:pPr>
              <w:spacing w:before="0"/>
              <w:rPr>
                <w:b/>
                <w:bCs/>
                <w:smallCaps/>
                <w:szCs w:val="24"/>
              </w:rPr>
            </w:pPr>
            <w:bookmarkStart w:id="4" w:name="dorlang" w:colFirst="1" w:colLast="1"/>
            <w:bookmarkEnd w:id="3"/>
          </w:p>
        </w:tc>
        <w:tc>
          <w:tcPr>
            <w:tcW w:w="3402" w:type="dxa"/>
          </w:tcPr>
          <w:p w:rsidR="00805F71" w:rsidRPr="00A80CF5" w:rsidRDefault="006A70F7" w:rsidP="00A80CF5">
            <w:pPr>
              <w:spacing w:before="0"/>
              <w:rPr>
                <w:bCs/>
                <w:szCs w:val="24"/>
              </w:rPr>
            </w:pPr>
            <w:r w:rsidRPr="00A80CF5">
              <w:rPr>
                <w:rFonts w:ascii="Verdana" w:hAnsi="Verdana"/>
                <w:b/>
                <w:sz w:val="20"/>
              </w:rPr>
              <w:t>Original: inglés</w:t>
            </w:r>
          </w:p>
        </w:tc>
      </w:tr>
      <w:tr w:rsidR="00805F71" w:rsidRPr="00A80CF5" w:rsidTr="00AD20EE">
        <w:trPr>
          <w:cantSplit/>
        </w:trPr>
        <w:tc>
          <w:tcPr>
            <w:tcW w:w="10206" w:type="dxa"/>
            <w:gridSpan w:val="3"/>
          </w:tcPr>
          <w:p w:rsidR="00805F71" w:rsidRPr="00A80CF5" w:rsidRDefault="00CA326E" w:rsidP="00A80CF5">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A80CF5">
              <w:t>Administraciones de la Telecomunidad Asia-Pacífico</w:t>
            </w:r>
          </w:p>
        </w:tc>
      </w:tr>
      <w:tr w:rsidR="00805F71" w:rsidRPr="00A80CF5" w:rsidTr="00AD20EE">
        <w:trPr>
          <w:cantSplit/>
        </w:trPr>
        <w:tc>
          <w:tcPr>
            <w:tcW w:w="10206" w:type="dxa"/>
            <w:gridSpan w:val="3"/>
          </w:tcPr>
          <w:p w:rsidR="00805F71" w:rsidRPr="00A80CF5" w:rsidRDefault="00D41A67" w:rsidP="00A80CF5">
            <w:pPr>
              <w:pStyle w:val="Title1"/>
              <w:tabs>
                <w:tab w:val="clear" w:pos="567"/>
                <w:tab w:val="clear" w:pos="1701"/>
                <w:tab w:val="clear" w:pos="2835"/>
                <w:tab w:val="left" w:pos="1871"/>
              </w:tabs>
              <w:spacing w:before="120" w:after="120"/>
              <w:rPr>
                <w:b/>
                <w:bCs/>
              </w:rPr>
            </w:pPr>
            <w:bookmarkStart w:id="6" w:name="dtitle1" w:colFirst="1" w:colLast="1"/>
            <w:bookmarkEnd w:id="5"/>
            <w:r w:rsidRPr="00A80CF5">
              <w:t>PROPUESTAS DE INICIATIVAS REGIONALES PARA Asia-PacÍ</w:t>
            </w:r>
            <w:r w:rsidR="00CA326E" w:rsidRPr="00A80CF5">
              <w:t>fic</w:t>
            </w:r>
            <w:r w:rsidRPr="00A80CF5">
              <w:t>O</w:t>
            </w:r>
          </w:p>
        </w:tc>
      </w:tr>
      <w:tr w:rsidR="00805F71" w:rsidRPr="00A80CF5" w:rsidTr="00AD20EE">
        <w:trPr>
          <w:cantSplit/>
        </w:trPr>
        <w:tc>
          <w:tcPr>
            <w:tcW w:w="10206" w:type="dxa"/>
            <w:gridSpan w:val="3"/>
          </w:tcPr>
          <w:p w:rsidR="00805F71" w:rsidRPr="00A80CF5" w:rsidRDefault="00805F71" w:rsidP="00A80CF5">
            <w:pPr>
              <w:pStyle w:val="Title2"/>
            </w:pPr>
          </w:p>
        </w:tc>
      </w:tr>
      <w:tr w:rsidR="00EB6CD3" w:rsidRPr="00A80CF5" w:rsidTr="00AD20EE">
        <w:trPr>
          <w:cantSplit/>
        </w:trPr>
        <w:tc>
          <w:tcPr>
            <w:tcW w:w="10206" w:type="dxa"/>
            <w:gridSpan w:val="3"/>
          </w:tcPr>
          <w:p w:rsidR="00EB6CD3" w:rsidRPr="00A80CF5" w:rsidRDefault="00EB6CD3" w:rsidP="00A80CF5">
            <w:pPr>
              <w:jc w:val="center"/>
            </w:pPr>
          </w:p>
        </w:tc>
      </w:tr>
      <w:tr w:rsidR="00961FF6" w:rsidRPr="00A80CF5" w:rsidTr="00AD20EE">
        <w:tc>
          <w:tcPr>
            <w:tcW w:w="10206" w:type="dxa"/>
            <w:gridSpan w:val="3"/>
            <w:tcBorders>
              <w:top w:val="single" w:sz="4" w:space="0" w:color="auto"/>
              <w:left w:val="single" w:sz="4" w:space="0" w:color="auto"/>
              <w:bottom w:val="single" w:sz="4" w:space="0" w:color="auto"/>
              <w:right w:val="single" w:sz="4" w:space="0" w:color="auto"/>
            </w:tcBorders>
          </w:tcPr>
          <w:p w:rsidR="00961FF6" w:rsidRPr="00A80CF5" w:rsidRDefault="00D45A5A" w:rsidP="00C26BFF">
            <w:r w:rsidRPr="00A80CF5">
              <w:rPr>
                <w:rFonts w:ascii="Calibri" w:eastAsia="SimSun" w:hAnsi="Calibri" w:cs="Traditional Arabic"/>
                <w:b/>
                <w:bCs/>
                <w:szCs w:val="24"/>
              </w:rPr>
              <w:t>Área prioritaria:</w:t>
            </w:r>
            <w:r w:rsidR="00BF0E7D" w:rsidRPr="00A80CF5">
              <w:rPr>
                <w:rFonts w:ascii="Calibri" w:eastAsia="SimSun" w:hAnsi="Calibri" w:cs="Traditional Arabic"/>
                <w:szCs w:val="24"/>
              </w:rPr>
              <w:tab/>
            </w:r>
            <w:r w:rsidR="00D41A67" w:rsidRPr="00A80CF5">
              <w:rPr>
                <w:rFonts w:ascii="Calibri" w:eastAsia="SimSun" w:hAnsi="Calibri" w:cs="Traditional Arabic"/>
                <w:szCs w:val="24"/>
              </w:rPr>
              <w:t xml:space="preserve">Iniciativas </w:t>
            </w:r>
            <w:r w:rsidR="00C26BFF">
              <w:rPr>
                <w:rFonts w:ascii="Calibri" w:eastAsia="SimSun" w:hAnsi="Calibri" w:cs="Traditional Arabic"/>
                <w:szCs w:val="24"/>
              </w:rPr>
              <w:t>R</w:t>
            </w:r>
            <w:r w:rsidR="00D41A67" w:rsidRPr="00A80CF5">
              <w:rPr>
                <w:rFonts w:ascii="Calibri" w:eastAsia="SimSun" w:hAnsi="Calibri" w:cs="Traditional Arabic"/>
                <w:szCs w:val="24"/>
              </w:rPr>
              <w:t>egionales, proyectos conexos y mecanismos de financiación</w:t>
            </w:r>
          </w:p>
          <w:p w:rsidR="00961FF6" w:rsidRPr="00A80CF5" w:rsidRDefault="00D45A5A" w:rsidP="00A80CF5">
            <w:r w:rsidRPr="00A80CF5">
              <w:rPr>
                <w:rFonts w:ascii="Calibri" w:eastAsia="SimSun" w:hAnsi="Calibri" w:cs="Traditional Arabic"/>
                <w:b/>
                <w:bCs/>
                <w:szCs w:val="24"/>
              </w:rPr>
              <w:t>Resumen:</w:t>
            </w:r>
          </w:p>
          <w:p w:rsidR="00961FF6" w:rsidRPr="00A80CF5" w:rsidRDefault="00D41A67" w:rsidP="00A80CF5">
            <w:pPr>
              <w:spacing w:before="0"/>
              <w:rPr>
                <w:szCs w:val="24"/>
              </w:rPr>
            </w:pPr>
            <w:r w:rsidRPr="00A80CF5">
              <w:t>Las Administraciones Miembros de la Telecomunidad Asia-Pací</w:t>
            </w:r>
            <w:r w:rsidR="00BF0E7D" w:rsidRPr="00A80CF5">
              <w:t>fic</w:t>
            </w:r>
            <w:r w:rsidRPr="00A80CF5">
              <w:t>o</w:t>
            </w:r>
            <w:r w:rsidR="00BF0E7D" w:rsidRPr="00A80CF5">
              <w:t xml:space="preserve"> (APT) </w:t>
            </w:r>
            <w:r w:rsidRPr="00A80CF5">
              <w:t>han preparado y refrendado Iniciativas Regionales de Asia</w:t>
            </w:r>
            <w:r w:rsidR="00BF0E7D" w:rsidRPr="00A80CF5">
              <w:t>-Pac</w:t>
            </w:r>
            <w:r w:rsidRPr="00A80CF5">
              <w:t>í</w:t>
            </w:r>
            <w:r w:rsidR="00BF0E7D" w:rsidRPr="00A80CF5">
              <w:t>fic</w:t>
            </w:r>
            <w:r w:rsidRPr="00A80CF5">
              <w:t>o</w:t>
            </w:r>
            <w:r w:rsidR="00BF0E7D" w:rsidRPr="00A80CF5">
              <w:t>.</w:t>
            </w:r>
          </w:p>
          <w:p w:rsidR="00961FF6" w:rsidRPr="00A80CF5" w:rsidRDefault="00D45A5A" w:rsidP="00A80CF5">
            <w:r w:rsidRPr="00A80CF5">
              <w:rPr>
                <w:rFonts w:ascii="Calibri" w:eastAsia="SimSun" w:hAnsi="Calibri" w:cs="Traditional Arabic"/>
                <w:b/>
                <w:bCs/>
                <w:szCs w:val="24"/>
              </w:rPr>
              <w:t>Resultados previstos:</w:t>
            </w:r>
          </w:p>
          <w:p w:rsidR="00961FF6" w:rsidRPr="00A80CF5" w:rsidRDefault="00D41A67" w:rsidP="00A80CF5">
            <w:pPr>
              <w:spacing w:before="0"/>
              <w:rPr>
                <w:szCs w:val="24"/>
              </w:rPr>
            </w:pPr>
            <w:r w:rsidRPr="00A80CF5">
              <w:t xml:space="preserve">Que las Iniciativas Regionales Asia-Pacífico refrendadas por las Administraciones Miembros de la APT se incluyan en la sección pertinente del Plan de Acción de </w:t>
            </w:r>
            <w:r w:rsidR="00BF0E7D" w:rsidRPr="00A80CF5">
              <w:t xml:space="preserve">Buenos Aires </w:t>
            </w:r>
            <w:r w:rsidRPr="00A80CF5">
              <w:t xml:space="preserve">para su ejecución con arreglo a la Resolución </w:t>
            </w:r>
            <w:r w:rsidR="00BF0E7D" w:rsidRPr="00A80CF5">
              <w:t>17 (Rev. Dub</w:t>
            </w:r>
            <w:r w:rsidRPr="00A80CF5">
              <w:t>á</w:t>
            </w:r>
            <w:r w:rsidR="00BF0E7D" w:rsidRPr="00A80CF5">
              <w:t>i, 2014).</w:t>
            </w:r>
          </w:p>
          <w:p w:rsidR="00961FF6" w:rsidRPr="00A80CF5" w:rsidRDefault="00D45A5A" w:rsidP="00A80CF5">
            <w:r w:rsidRPr="00A80CF5">
              <w:rPr>
                <w:rFonts w:ascii="Calibri" w:eastAsia="SimSun" w:hAnsi="Calibri" w:cs="Traditional Arabic"/>
                <w:b/>
                <w:bCs/>
                <w:szCs w:val="24"/>
              </w:rPr>
              <w:t>Referencias:</w:t>
            </w:r>
          </w:p>
          <w:p w:rsidR="00961FF6" w:rsidRPr="00A80CF5" w:rsidRDefault="00BF0E7D" w:rsidP="00A80CF5">
            <w:pPr>
              <w:spacing w:before="0" w:after="120"/>
              <w:rPr>
                <w:szCs w:val="24"/>
              </w:rPr>
            </w:pPr>
            <w:r w:rsidRPr="00A80CF5">
              <w:rPr>
                <w:rFonts w:eastAsia="SimSun"/>
                <w:bCs/>
              </w:rPr>
              <w:t>Plan</w:t>
            </w:r>
            <w:r w:rsidR="00D41A67" w:rsidRPr="00A80CF5">
              <w:rPr>
                <w:rFonts w:eastAsia="SimSun"/>
                <w:bCs/>
              </w:rPr>
              <w:t xml:space="preserve"> de Acción de Dubái</w:t>
            </w:r>
            <w:r w:rsidRPr="00A80CF5">
              <w:rPr>
                <w:rFonts w:eastAsia="SimSun"/>
                <w:bCs/>
              </w:rPr>
              <w:t xml:space="preserve">, </w:t>
            </w:r>
            <w:r w:rsidR="00D41A67" w:rsidRPr="00A80CF5">
              <w:rPr>
                <w:rFonts w:eastAsia="SimSun"/>
                <w:bCs/>
              </w:rPr>
              <w:t xml:space="preserve">Sección </w:t>
            </w:r>
            <w:r w:rsidRPr="00A80CF5">
              <w:rPr>
                <w:rFonts w:eastAsia="SimSun"/>
                <w:bCs/>
              </w:rPr>
              <w:t xml:space="preserve">3 – </w:t>
            </w:r>
            <w:r w:rsidR="00D41A67" w:rsidRPr="00A80CF5">
              <w:rPr>
                <w:rFonts w:eastAsia="SimSun"/>
                <w:bCs/>
              </w:rPr>
              <w:t xml:space="preserve">Iniciativas </w:t>
            </w:r>
            <w:r w:rsidRPr="00A80CF5">
              <w:rPr>
                <w:rFonts w:eastAsia="SimSun"/>
                <w:bCs/>
              </w:rPr>
              <w:t>Regional</w:t>
            </w:r>
            <w:r w:rsidR="00D41A67" w:rsidRPr="00A80CF5">
              <w:rPr>
                <w:rFonts w:eastAsia="SimSun"/>
                <w:bCs/>
              </w:rPr>
              <w:t>es</w:t>
            </w:r>
            <w:r w:rsidRPr="00A80CF5">
              <w:rPr>
                <w:rFonts w:eastAsia="SimSun"/>
                <w:bCs/>
              </w:rPr>
              <w:t>,</w:t>
            </w:r>
            <w:r w:rsidR="00E36A19">
              <w:rPr>
                <w:rFonts w:eastAsia="SimSun"/>
                <w:bCs/>
              </w:rPr>
              <w:t xml:space="preserve"> </w:t>
            </w:r>
            <w:r w:rsidR="00D41A67" w:rsidRPr="00A80CF5">
              <w:rPr>
                <w:rFonts w:eastAsia="SimSun"/>
                <w:bCs/>
              </w:rPr>
              <w:t xml:space="preserve">Iniciativas Regionales de </w:t>
            </w:r>
            <w:r w:rsidRPr="00A80CF5">
              <w:rPr>
                <w:rFonts w:eastAsia="SimSun"/>
                <w:bCs/>
              </w:rPr>
              <w:t>Asia-Pac</w:t>
            </w:r>
            <w:r w:rsidR="00D41A67" w:rsidRPr="00A80CF5">
              <w:rPr>
                <w:rFonts w:eastAsia="SimSun"/>
                <w:bCs/>
              </w:rPr>
              <w:t>í</w:t>
            </w:r>
            <w:r w:rsidRPr="00A80CF5">
              <w:rPr>
                <w:rFonts w:eastAsia="SimSun"/>
                <w:bCs/>
              </w:rPr>
              <w:t>fic</w:t>
            </w:r>
            <w:r w:rsidR="00D41A67" w:rsidRPr="00A80CF5">
              <w:rPr>
                <w:rFonts w:eastAsia="SimSun"/>
                <w:bCs/>
              </w:rPr>
              <w:t>o</w:t>
            </w:r>
            <w:r w:rsidRPr="00A80CF5">
              <w:rPr>
                <w:rFonts w:eastAsia="SimSun"/>
                <w:bCs/>
              </w:rPr>
              <w:t xml:space="preserve"> (p</w:t>
            </w:r>
            <w:r w:rsidR="00D41A67" w:rsidRPr="00A80CF5">
              <w:rPr>
                <w:rFonts w:eastAsia="SimSun"/>
                <w:bCs/>
              </w:rPr>
              <w:t>ágs</w:t>
            </w:r>
            <w:r w:rsidRPr="00A80CF5">
              <w:rPr>
                <w:rFonts w:eastAsia="SimSun"/>
                <w:bCs/>
              </w:rPr>
              <w:t>.</w:t>
            </w:r>
            <w:r w:rsidR="00D41A67" w:rsidRPr="00A80CF5">
              <w:rPr>
                <w:rFonts w:eastAsia="SimSun"/>
                <w:bCs/>
              </w:rPr>
              <w:t xml:space="preserve"> </w:t>
            </w:r>
            <w:r w:rsidRPr="00A80CF5">
              <w:rPr>
                <w:rFonts w:eastAsia="SimSun"/>
                <w:bCs/>
              </w:rPr>
              <w:t xml:space="preserve">133-137); </w:t>
            </w:r>
            <w:r w:rsidR="00D41A67" w:rsidRPr="00A80CF5">
              <w:rPr>
                <w:rFonts w:eastAsia="SimSun"/>
                <w:bCs/>
              </w:rPr>
              <w:t xml:space="preserve">Resolución </w:t>
            </w:r>
            <w:r w:rsidRPr="00A80CF5">
              <w:rPr>
                <w:rFonts w:eastAsia="SimSun"/>
                <w:bCs/>
              </w:rPr>
              <w:t>17 (Rev. Dub</w:t>
            </w:r>
            <w:r w:rsidR="00D41A67" w:rsidRPr="00A80CF5">
              <w:rPr>
                <w:rFonts w:eastAsia="SimSun"/>
                <w:bCs/>
              </w:rPr>
              <w:t>á</w:t>
            </w:r>
            <w:r w:rsidRPr="00A80CF5">
              <w:rPr>
                <w:rFonts w:eastAsia="SimSun"/>
                <w:bCs/>
              </w:rPr>
              <w:t>i, 2014)</w:t>
            </w:r>
            <w:r w:rsidR="00D41A67" w:rsidRPr="00A80CF5">
              <w:rPr>
                <w:rFonts w:eastAsia="SimSun"/>
                <w:bCs/>
              </w:rPr>
              <w:t xml:space="preserve"> de la CMDT</w:t>
            </w:r>
            <w:r w:rsidRPr="00A80CF5">
              <w:rPr>
                <w:rFonts w:eastAsia="SimSun"/>
                <w:bCs/>
              </w:rPr>
              <w:t>.</w:t>
            </w:r>
          </w:p>
        </w:tc>
      </w:tr>
    </w:tbl>
    <w:p w:rsidR="00BF0E7D" w:rsidRPr="00A80CF5" w:rsidRDefault="00D41A67" w:rsidP="00A80CF5">
      <w:pPr>
        <w:pStyle w:val="Headingb"/>
        <w:rPr>
          <w:rFonts w:ascii="Times New Roman" w:hAnsi="Times New Roman"/>
        </w:rPr>
      </w:pPr>
      <w:bookmarkStart w:id="7" w:name="dbreak"/>
      <w:bookmarkEnd w:id="6"/>
      <w:bookmarkEnd w:id="7"/>
      <w:r w:rsidRPr="00A80CF5">
        <w:t>PROPUESTA</w:t>
      </w:r>
    </w:p>
    <w:p w:rsidR="00BF0E7D" w:rsidRPr="00A80CF5" w:rsidRDefault="00D41A67" w:rsidP="00C26BFF">
      <w:pPr>
        <w:tabs>
          <w:tab w:val="left" w:pos="720"/>
          <w:tab w:val="left" w:pos="1440"/>
        </w:tabs>
        <w:rPr>
          <w:b/>
          <w:bCs/>
          <w:color w:val="000000"/>
        </w:rPr>
      </w:pPr>
      <w:r w:rsidRPr="00A80CF5">
        <w:rPr>
          <w:color w:val="000000"/>
        </w:rPr>
        <w:t xml:space="preserve">Las Administraciones Miembros de la </w:t>
      </w:r>
      <w:r w:rsidR="00BF0E7D" w:rsidRPr="00A80CF5">
        <w:rPr>
          <w:color w:val="000000"/>
        </w:rPr>
        <w:t xml:space="preserve">APT </w:t>
      </w:r>
      <w:r w:rsidRPr="00A80CF5">
        <w:rPr>
          <w:color w:val="000000"/>
        </w:rPr>
        <w:t xml:space="preserve">proponen incluir las siguientes Iniciativas Regionales de Asia-Pacífico en el Plan de Acción de </w:t>
      </w:r>
      <w:r w:rsidR="00BF0E7D" w:rsidRPr="00A80CF5">
        <w:rPr>
          <w:color w:val="000000"/>
        </w:rPr>
        <w:t xml:space="preserve">Buenos Aires </w:t>
      </w:r>
      <w:r w:rsidRPr="00A80CF5">
        <w:rPr>
          <w:color w:val="000000"/>
        </w:rPr>
        <w:t xml:space="preserve">y suprimir las Iniciativas Regionales para la </w:t>
      </w:r>
      <w:r w:rsidR="00C26BFF">
        <w:rPr>
          <w:color w:val="000000"/>
        </w:rPr>
        <w:t>R</w:t>
      </w:r>
      <w:r w:rsidRPr="00A80CF5">
        <w:rPr>
          <w:color w:val="000000"/>
        </w:rPr>
        <w:t xml:space="preserve">egión </w:t>
      </w:r>
      <w:r w:rsidR="00BF0E7D" w:rsidRPr="00A80CF5">
        <w:rPr>
          <w:color w:val="000000"/>
        </w:rPr>
        <w:t>Asia-Pacific</w:t>
      </w:r>
      <w:r w:rsidRPr="00A80CF5">
        <w:rPr>
          <w:color w:val="000000"/>
        </w:rPr>
        <w:t xml:space="preserve">o que figuran en la Sección </w:t>
      </w:r>
      <w:r w:rsidR="00BF0E7D" w:rsidRPr="00A80CF5">
        <w:rPr>
          <w:color w:val="000000"/>
        </w:rPr>
        <w:t xml:space="preserve">3 </w:t>
      </w:r>
      <w:r w:rsidRPr="00A80CF5">
        <w:rPr>
          <w:color w:val="000000"/>
        </w:rPr>
        <w:t xml:space="preserve">del </w:t>
      </w:r>
      <w:r w:rsidR="00BF0E7D" w:rsidRPr="00A80CF5">
        <w:rPr>
          <w:color w:val="000000"/>
        </w:rPr>
        <w:t>Plan</w:t>
      </w:r>
      <w:r w:rsidRPr="00A80CF5">
        <w:rPr>
          <w:color w:val="000000"/>
        </w:rPr>
        <w:t xml:space="preserve"> de Acción de Dubái</w:t>
      </w:r>
      <w:r w:rsidR="00BF0E7D" w:rsidRPr="00A80CF5">
        <w:rPr>
          <w:color w:val="000000"/>
        </w:rPr>
        <w:t>.</w:t>
      </w:r>
    </w:p>
    <w:p w:rsidR="00D84739" w:rsidRPr="00A80CF5" w:rsidRDefault="00D84739" w:rsidP="00A80CF5">
      <w:pPr>
        <w:tabs>
          <w:tab w:val="clear" w:pos="794"/>
          <w:tab w:val="clear" w:pos="1191"/>
          <w:tab w:val="clear" w:pos="1588"/>
          <w:tab w:val="clear" w:pos="1985"/>
        </w:tabs>
        <w:overflowPunct/>
        <w:autoSpaceDE/>
        <w:autoSpaceDN/>
        <w:adjustRightInd/>
        <w:spacing w:before="0"/>
        <w:textAlignment w:val="auto"/>
      </w:pPr>
      <w:r w:rsidRPr="00A80CF5">
        <w:br w:type="page"/>
      </w:r>
      <w:bookmarkStart w:id="8" w:name="_GoBack"/>
      <w:bookmarkEnd w:id="8"/>
    </w:p>
    <w:p w:rsidR="00E25BE1" w:rsidRPr="00B969FD" w:rsidRDefault="00D45A5A" w:rsidP="00A80CF5">
      <w:pPr>
        <w:pStyle w:val="Volumetitle"/>
        <w:rPr>
          <w:rFonts w:asciiTheme="minorHAnsi" w:hAnsiTheme="minorHAnsi"/>
          <w:lang w:val="es-ES_tradnl"/>
        </w:rPr>
      </w:pPr>
      <w:r w:rsidRPr="00B969FD">
        <w:rPr>
          <w:rFonts w:asciiTheme="minorHAnsi" w:hAnsiTheme="minorHAnsi"/>
          <w:lang w:val="es-ES_tradnl"/>
        </w:rPr>
        <w:lastRenderedPageBreak/>
        <w:t>INICIATIVAS REGIONALES</w:t>
      </w:r>
    </w:p>
    <w:p w:rsidR="001870F9" w:rsidRPr="00174FCC" w:rsidRDefault="00D45A5A" w:rsidP="00A80CF5">
      <w:pPr>
        <w:pStyle w:val="Section1"/>
        <w:rPr>
          <w:sz w:val="24"/>
          <w:szCs w:val="24"/>
        </w:rPr>
      </w:pPr>
      <w:bookmarkStart w:id="9" w:name="_Toc394052179"/>
      <w:bookmarkStart w:id="10" w:name="_Toc394060678"/>
      <w:bookmarkStart w:id="11" w:name="_Toc401734386"/>
      <w:r w:rsidRPr="00174FCC">
        <w:rPr>
          <w:sz w:val="24"/>
          <w:szCs w:val="24"/>
        </w:rPr>
        <w:t>INICIATIVAS REGIONALES PARA ASIA Y EL PACÍFICO</w:t>
      </w:r>
      <w:bookmarkEnd w:id="9"/>
      <w:bookmarkEnd w:id="10"/>
      <w:bookmarkEnd w:id="11"/>
    </w:p>
    <w:p w:rsidR="00961FF6" w:rsidRPr="00A80CF5" w:rsidRDefault="00D45A5A" w:rsidP="00A80CF5">
      <w:pPr>
        <w:pStyle w:val="Proposal"/>
        <w:rPr>
          <w:lang w:val="es-ES_tradnl"/>
        </w:rPr>
      </w:pPr>
      <w:r w:rsidRPr="00A80CF5">
        <w:rPr>
          <w:b/>
          <w:lang w:val="es-ES_tradnl"/>
        </w:rPr>
        <w:t>SUP</w:t>
      </w:r>
      <w:r w:rsidRPr="00A80CF5">
        <w:rPr>
          <w:lang w:val="es-ES_tradnl"/>
        </w:rPr>
        <w:tab/>
        <w:t>ACP/22A8/1</w:t>
      </w:r>
    </w:p>
    <w:p w:rsidR="001870F9" w:rsidRPr="00A80CF5" w:rsidRDefault="00174FCC" w:rsidP="00174FCC">
      <w:pPr>
        <w:pStyle w:val="Heading1"/>
        <w:tabs>
          <w:tab w:val="clear" w:pos="794"/>
        </w:tabs>
      </w:pPr>
      <w:bookmarkStart w:id="12" w:name="_Toc394050792"/>
      <w:bookmarkStart w:id="13" w:name="_Toc394051202"/>
      <w:bookmarkStart w:id="14" w:name="_Toc394052180"/>
      <w:r>
        <w:t>ASP1:</w:t>
      </w:r>
      <w:r>
        <w:tab/>
      </w:r>
      <w:r w:rsidR="00D45A5A" w:rsidRPr="00A80CF5">
        <w:t>Necesidades de TIC específicas de los países menos adelantados, los pequeños Estados insulares en desarrollo, incluidos los países insulares del Pacífico, y los países en desarrollo sin litoral</w:t>
      </w:r>
      <w:bookmarkEnd w:id="12"/>
      <w:bookmarkEnd w:id="13"/>
      <w:bookmarkEnd w:id="14"/>
    </w:p>
    <w:p w:rsidR="00961FF6" w:rsidRPr="00A80CF5" w:rsidRDefault="00961FF6" w:rsidP="00A80CF5">
      <w:pPr>
        <w:pStyle w:val="Reasons"/>
        <w:rPr>
          <w:lang w:val="es-ES_tradnl"/>
        </w:rPr>
      </w:pPr>
    </w:p>
    <w:p w:rsidR="00961FF6" w:rsidRPr="00A80CF5" w:rsidRDefault="00D45A5A" w:rsidP="00A80CF5">
      <w:pPr>
        <w:pStyle w:val="Proposal"/>
        <w:rPr>
          <w:lang w:val="es-ES_tradnl"/>
        </w:rPr>
      </w:pPr>
      <w:r w:rsidRPr="00A80CF5">
        <w:rPr>
          <w:b/>
          <w:lang w:val="es-ES_tradnl"/>
        </w:rPr>
        <w:t>ADD</w:t>
      </w:r>
      <w:r w:rsidRPr="00A80CF5">
        <w:rPr>
          <w:lang w:val="es-ES_tradnl"/>
        </w:rPr>
        <w:tab/>
        <w:t>ACP/22A8/2</w:t>
      </w:r>
    </w:p>
    <w:p w:rsidR="00961FF6" w:rsidRPr="00A80CF5" w:rsidRDefault="00174FCC" w:rsidP="00A80CF5">
      <w:pPr>
        <w:pStyle w:val="Heading1"/>
      </w:pPr>
      <w:r>
        <w:t>ASP1:</w:t>
      </w:r>
      <w:r>
        <w:tab/>
      </w:r>
      <w:r w:rsidR="00BF0E7D" w:rsidRPr="00A80CF5">
        <w:t>Abordar las necesidades específicas de los países menos adelantados, los pequeños Estados insulares en desarrollo, incluidos los países insulares del Pacífico, y los países en desarrollo sin litoral</w:t>
      </w:r>
    </w:p>
    <w:p w:rsidR="00BF0E7D" w:rsidRPr="00A80CF5" w:rsidRDefault="00BF0E7D" w:rsidP="00C26BFF">
      <w:bookmarkStart w:id="15" w:name="lt_pId378"/>
      <w:r w:rsidRPr="00A80CF5">
        <w:t>Objetivo:</w:t>
      </w:r>
      <w:bookmarkEnd w:id="15"/>
      <w:r w:rsidR="002745CF" w:rsidRPr="00A80CF5">
        <w:t xml:space="preserve"> </w:t>
      </w:r>
      <w:r w:rsidRPr="00A80CF5">
        <w:t xml:space="preserve">Prestar asistencia especial a los países menos adelantados (PMA), los pequeños </w:t>
      </w:r>
      <w:r w:rsidR="00C26BFF">
        <w:t>E</w:t>
      </w:r>
      <w:r w:rsidRPr="00A80CF5">
        <w:t>stados insulares en desarrollo (PEID), incluidos los países insulares del Pacífico, y los países en desarrollo sin litoral (PDSL) a fin de satisfacer sus necesidades prioritarias en materia de telecomunicaciones/TIC.</w:t>
      </w:r>
    </w:p>
    <w:p w:rsidR="00961FF6" w:rsidRPr="00A80CF5" w:rsidRDefault="00BF0E7D" w:rsidP="00A80CF5">
      <w:pPr>
        <w:pStyle w:val="Headingb"/>
      </w:pPr>
      <w:bookmarkStart w:id="16" w:name="lt_pId380"/>
      <w:r w:rsidRPr="00A80CF5">
        <w:t>Resultados previstos:</w:t>
      </w:r>
      <w:bookmarkEnd w:id="16"/>
    </w:p>
    <w:p w:rsidR="00BF0E7D" w:rsidRPr="00A80CF5" w:rsidRDefault="000C406D" w:rsidP="00A80CF5">
      <w:pPr>
        <w:pStyle w:val="enumlev1"/>
      </w:pPr>
      <w:bookmarkStart w:id="17" w:name="lt_pId382"/>
      <w:r w:rsidRPr="00A80CF5">
        <w:t>1)</w:t>
      </w:r>
      <w:r w:rsidRPr="00A80CF5">
        <w:tab/>
      </w:r>
      <w:r w:rsidR="002745CF" w:rsidRPr="00A80CF5">
        <w:t xml:space="preserve">Desarrollo de marcos de política y reglamentación para la </w:t>
      </w:r>
      <w:r w:rsidR="00BF0E7D" w:rsidRPr="00A80CF5">
        <w:t xml:space="preserve">infraestructura de banda ancha, aplicaciones TIC y </w:t>
      </w:r>
      <w:r w:rsidR="002745CF" w:rsidRPr="00A80CF5">
        <w:t>ciberseguridad</w:t>
      </w:r>
      <w:r w:rsidR="00BF0E7D" w:rsidRPr="00A80CF5">
        <w:t>, teniendo en cuenta las necesidades especiales de los PMA, PEID y PDSL</w:t>
      </w:r>
      <w:r w:rsidR="002745CF" w:rsidRPr="00A80CF5">
        <w:t>, y refuerzo de la capacidad humana para abordar las futuras dificultades en materia de política y reglamentación</w:t>
      </w:r>
      <w:bookmarkEnd w:id="17"/>
      <w:r w:rsidR="008630E8">
        <w:t>;</w:t>
      </w:r>
    </w:p>
    <w:p w:rsidR="00BF0E7D" w:rsidRPr="00A80CF5" w:rsidRDefault="000C406D" w:rsidP="00A80CF5">
      <w:pPr>
        <w:pStyle w:val="enumlev1"/>
      </w:pPr>
      <w:bookmarkStart w:id="18" w:name="lt_pId384"/>
      <w:r w:rsidRPr="00A80CF5">
        <w:t>2)</w:t>
      </w:r>
      <w:r w:rsidRPr="00A80CF5">
        <w:tab/>
      </w:r>
      <w:r w:rsidR="008630E8">
        <w:t>f</w:t>
      </w:r>
      <w:r w:rsidR="00BF0E7D" w:rsidRPr="00A80CF5">
        <w:t>omento del acceso universal a las telecomunicaciones/TIC por los PMA, PEID y PDSL</w:t>
      </w:r>
      <w:bookmarkEnd w:id="18"/>
      <w:r w:rsidR="008630E8">
        <w:t>;</w:t>
      </w:r>
    </w:p>
    <w:p w:rsidR="00BF0E7D" w:rsidRPr="00A80CF5" w:rsidRDefault="000C406D" w:rsidP="00A80CF5">
      <w:pPr>
        <w:pStyle w:val="enumlev1"/>
      </w:pPr>
      <w:bookmarkStart w:id="19" w:name="lt_pId386"/>
      <w:r w:rsidRPr="00A80CF5">
        <w:t>3)</w:t>
      </w:r>
      <w:r w:rsidRPr="00A80CF5">
        <w:tab/>
      </w:r>
      <w:r w:rsidR="008630E8">
        <w:t>a</w:t>
      </w:r>
      <w:r w:rsidR="002745CF" w:rsidRPr="00A80CF5">
        <w:t>sistencia a PMA, PEID y PDSL</w:t>
      </w:r>
      <w:r w:rsidR="002745CF" w:rsidRPr="00A80CF5">
        <w:rPr>
          <w:rFonts w:cs="Arial"/>
          <w:lang w:eastAsia="ja-JP"/>
        </w:rPr>
        <w:t xml:space="preserve"> con la adopción de aplicaciones de telecomunicaciones/TIC para la gestión de catástrofes</w:t>
      </w:r>
      <w:r w:rsidRPr="00A80CF5">
        <w:rPr>
          <w:rFonts w:cs="Arial"/>
          <w:lang w:eastAsia="ja-JP"/>
        </w:rPr>
        <w:t xml:space="preserve">, </w:t>
      </w:r>
      <w:r w:rsidR="002745CF" w:rsidRPr="00A80CF5">
        <w:rPr>
          <w:rFonts w:cs="Arial"/>
          <w:lang w:eastAsia="ja-JP"/>
        </w:rPr>
        <w:t>su predicción, preparación, adaptación, supervisión, mitigación, respuesta, rehabilitación y recuperación de las redes de telecomunicaciones/TIC basadas en sus necesidades prioritarias</w:t>
      </w:r>
      <w:bookmarkEnd w:id="19"/>
      <w:r w:rsidR="008630E8">
        <w:t>;</w:t>
      </w:r>
    </w:p>
    <w:p w:rsidR="00BF0E7D" w:rsidRPr="00A80CF5" w:rsidRDefault="000C406D" w:rsidP="00A80CF5">
      <w:pPr>
        <w:pStyle w:val="enumlev1"/>
      </w:pPr>
      <w:bookmarkStart w:id="20" w:name="lt_pId388"/>
      <w:r w:rsidRPr="00A80CF5">
        <w:t>4)</w:t>
      </w:r>
      <w:r w:rsidRPr="00A80CF5">
        <w:tab/>
      </w:r>
      <w:r w:rsidR="008630E8">
        <w:t>p</w:t>
      </w:r>
      <w:r w:rsidR="002745CF" w:rsidRPr="00A80CF5">
        <w:t>restación de</w:t>
      </w:r>
      <w:r w:rsidR="00BF0E7D" w:rsidRPr="00A80CF5">
        <w:t xml:space="preserve"> asistencia a </w:t>
      </w:r>
      <w:r w:rsidR="002745CF" w:rsidRPr="00A80CF5">
        <w:t xml:space="preserve">PMA, PEID y PDSL </w:t>
      </w:r>
      <w:r w:rsidR="00BF0E7D" w:rsidRPr="00A80CF5">
        <w:t>para alcanzar objetivos acordados a nivel internacional, como la Agenda 2030 de Objetivos de Desarrollo Sostenible, el Marco de Sendai para la Reducción del Riesgo de Desastres, el Plan de Acción de Estambul para los PMA, la Trayectoria de Samoa para los PEID y el Programa de Acción de Viena para los PDSL.</w:t>
      </w:r>
      <w:bookmarkEnd w:id="20"/>
    </w:p>
    <w:p w:rsidR="00BF0E7D" w:rsidRPr="00A80CF5" w:rsidRDefault="00BF0E7D" w:rsidP="00A80CF5">
      <w:pPr>
        <w:pStyle w:val="Reasons"/>
        <w:rPr>
          <w:lang w:val="es-ES_tradnl"/>
        </w:rPr>
      </w:pPr>
    </w:p>
    <w:p w:rsidR="00961FF6" w:rsidRPr="00A80CF5" w:rsidRDefault="00D45A5A" w:rsidP="00A80CF5">
      <w:pPr>
        <w:pStyle w:val="Proposal"/>
        <w:rPr>
          <w:lang w:val="es-ES_tradnl"/>
        </w:rPr>
      </w:pPr>
      <w:r w:rsidRPr="00A80CF5">
        <w:rPr>
          <w:b/>
          <w:lang w:val="es-ES_tradnl"/>
        </w:rPr>
        <w:t>SUP</w:t>
      </w:r>
      <w:r w:rsidRPr="00A80CF5">
        <w:rPr>
          <w:lang w:val="es-ES_tradnl"/>
        </w:rPr>
        <w:tab/>
        <w:t>ACP/22A8/3</w:t>
      </w:r>
    </w:p>
    <w:p w:rsidR="001870F9" w:rsidRPr="00A80CF5" w:rsidRDefault="00D45A5A" w:rsidP="00A80CF5">
      <w:pPr>
        <w:pStyle w:val="Heading1"/>
      </w:pPr>
      <w:bookmarkStart w:id="21" w:name="_Toc394050794"/>
      <w:bookmarkStart w:id="22" w:name="_Toc394051203"/>
      <w:bookmarkStart w:id="23" w:name="_Toc394052181"/>
      <w:r w:rsidRPr="00A80CF5">
        <w:t>A</w:t>
      </w:r>
      <w:r w:rsidR="00174FCC">
        <w:t>SP2:</w:t>
      </w:r>
      <w:r w:rsidR="00174FCC">
        <w:tab/>
      </w:r>
      <w:r w:rsidRPr="00A80CF5">
        <w:t>Telecomunicaciones de emergencia</w:t>
      </w:r>
      <w:bookmarkEnd w:id="21"/>
      <w:bookmarkEnd w:id="22"/>
      <w:bookmarkEnd w:id="23"/>
    </w:p>
    <w:p w:rsidR="00961FF6" w:rsidRPr="00A80CF5" w:rsidRDefault="00961FF6" w:rsidP="00A80CF5">
      <w:pPr>
        <w:pStyle w:val="Reasons"/>
        <w:rPr>
          <w:lang w:val="es-ES_tradnl"/>
        </w:rPr>
      </w:pPr>
    </w:p>
    <w:p w:rsidR="00961FF6" w:rsidRPr="00A80CF5" w:rsidRDefault="00D45A5A" w:rsidP="00A80CF5">
      <w:pPr>
        <w:pStyle w:val="Proposal"/>
        <w:rPr>
          <w:lang w:val="es-ES_tradnl"/>
        </w:rPr>
      </w:pPr>
      <w:r w:rsidRPr="00A80CF5">
        <w:rPr>
          <w:b/>
          <w:lang w:val="es-ES_tradnl"/>
        </w:rPr>
        <w:lastRenderedPageBreak/>
        <w:t>ADD</w:t>
      </w:r>
      <w:r w:rsidRPr="00A80CF5">
        <w:rPr>
          <w:lang w:val="es-ES_tradnl"/>
        </w:rPr>
        <w:tab/>
        <w:t>ACP/22A8/4</w:t>
      </w:r>
    </w:p>
    <w:p w:rsidR="00961FF6" w:rsidRPr="00A80CF5" w:rsidRDefault="00174FCC" w:rsidP="00A80CF5">
      <w:pPr>
        <w:pStyle w:val="Heading1"/>
      </w:pPr>
      <w:r>
        <w:t>ASP2:</w:t>
      </w:r>
      <w:r>
        <w:tab/>
      </w:r>
      <w:r w:rsidR="000B6175" w:rsidRPr="00A80CF5">
        <w:t>Aprovechar las telecomunicaciones/TIC en pro de la economía digital y una sociedad digital integradora</w:t>
      </w:r>
    </w:p>
    <w:p w:rsidR="006343BC" w:rsidRPr="00A80CF5" w:rsidRDefault="00F2207F" w:rsidP="00A80CF5">
      <w:r w:rsidRPr="00A80CF5">
        <w:t>Objetivo: Prestar asistencia a los Estados Miembros en la utilización de las TIC para aprovechar las ventajas de la economía digital y resolver los problemas de capacitación técnica y humana para reducir la brecha digital.</w:t>
      </w:r>
    </w:p>
    <w:p w:rsidR="00C807C0" w:rsidRPr="00A80CF5" w:rsidRDefault="00C807C0" w:rsidP="00A80CF5">
      <w:pPr>
        <w:pStyle w:val="Headingb"/>
      </w:pPr>
      <w:r w:rsidRPr="00A80CF5">
        <w:t>Resultados previstos:</w:t>
      </w:r>
    </w:p>
    <w:p w:rsidR="00D85FC9" w:rsidRPr="00A80CF5" w:rsidRDefault="00D85FC9" w:rsidP="0085053B">
      <w:pPr>
        <w:pStyle w:val="enumlev1"/>
        <w:rPr>
          <w:lang w:eastAsia="ja-JP"/>
        </w:rPr>
      </w:pPr>
      <w:r w:rsidRPr="00A80CF5">
        <w:rPr>
          <w:lang w:eastAsia="ja-JP"/>
        </w:rPr>
        <w:t>1)</w:t>
      </w:r>
      <w:r w:rsidRPr="00A80CF5">
        <w:rPr>
          <w:lang w:eastAsia="ja-JP"/>
        </w:rPr>
        <w:tab/>
      </w:r>
      <w:r w:rsidR="0085053B">
        <w:rPr>
          <w:lang w:eastAsia="ja-JP"/>
        </w:rPr>
        <w:t>P</w:t>
      </w:r>
      <w:r w:rsidR="007E6997" w:rsidRPr="00A80CF5">
        <w:rPr>
          <w:lang w:eastAsia="ja-JP"/>
        </w:rPr>
        <w:t>lanificación y preparación de marcos nacionales estratégicos sobre la economía digital, así como herramientas asociadas para aplicaciones y servicios de TIC seleccionados</w:t>
      </w:r>
      <w:r w:rsidRPr="00A80CF5">
        <w:rPr>
          <w:lang w:eastAsia="ja-JP"/>
        </w:rPr>
        <w:t xml:space="preserve">; </w:t>
      </w:r>
    </w:p>
    <w:p w:rsidR="00D85FC9" w:rsidRPr="00A80CF5" w:rsidRDefault="00D85FC9" w:rsidP="00A80CF5">
      <w:pPr>
        <w:pStyle w:val="enumlev1"/>
        <w:rPr>
          <w:lang w:eastAsia="ja-JP"/>
        </w:rPr>
      </w:pPr>
      <w:r w:rsidRPr="00A80CF5">
        <w:rPr>
          <w:lang w:eastAsia="ja-JP"/>
        </w:rPr>
        <w:t>2)</w:t>
      </w:r>
      <w:r w:rsidRPr="00A80CF5">
        <w:rPr>
          <w:lang w:eastAsia="ja-JP"/>
        </w:rPr>
        <w:tab/>
      </w:r>
      <w:r w:rsidR="008630E8">
        <w:rPr>
          <w:lang w:eastAsia="ja-JP"/>
        </w:rPr>
        <w:t>c</w:t>
      </w:r>
      <w:r w:rsidR="007E6997" w:rsidRPr="00A80CF5">
        <w:rPr>
          <w:lang w:eastAsia="ja-JP"/>
        </w:rPr>
        <w:t>reación de un repositorio de todos los trabajos realizados dentro de la UIT en relación con la economía digital desde la CMDT-14, que se actualizará anualmente</w:t>
      </w:r>
      <w:r w:rsidRPr="00A80CF5">
        <w:rPr>
          <w:lang w:eastAsia="ja-JP"/>
        </w:rPr>
        <w:t>;</w:t>
      </w:r>
    </w:p>
    <w:p w:rsidR="00D85FC9" w:rsidRPr="00A80CF5" w:rsidRDefault="00D85FC9" w:rsidP="00A80CF5">
      <w:pPr>
        <w:pStyle w:val="enumlev1"/>
        <w:rPr>
          <w:lang w:eastAsia="ja-JP"/>
        </w:rPr>
      </w:pPr>
      <w:r w:rsidRPr="00A80CF5">
        <w:rPr>
          <w:lang w:eastAsia="ja-JP"/>
        </w:rPr>
        <w:t>3)</w:t>
      </w:r>
      <w:r w:rsidRPr="00A80CF5">
        <w:rPr>
          <w:lang w:eastAsia="ja-JP"/>
        </w:rPr>
        <w:tab/>
      </w:r>
      <w:r w:rsidR="008630E8">
        <w:rPr>
          <w:lang w:eastAsia="ja-JP"/>
        </w:rPr>
        <w:t>e</w:t>
      </w:r>
      <w:r w:rsidR="007E6997" w:rsidRPr="00A80CF5">
        <w:rPr>
          <w:lang w:eastAsia="ja-JP"/>
        </w:rPr>
        <w:t>laboración de políticas, estrategias y directrices para implantación práctica, comprendidas</w:t>
      </w:r>
      <w:r w:rsidR="008630E8">
        <w:rPr>
          <w:lang w:eastAsia="ja-JP"/>
        </w:rPr>
        <w:t xml:space="preserve"> la</w:t>
      </w:r>
      <w:r w:rsidR="007E6997" w:rsidRPr="00A80CF5">
        <w:rPr>
          <w:lang w:eastAsia="ja-JP"/>
        </w:rPr>
        <w:t xml:space="preserve"> </w:t>
      </w:r>
      <w:r w:rsidRPr="00A80CF5">
        <w:rPr>
          <w:lang w:eastAsia="ja-JP"/>
        </w:rPr>
        <w:t xml:space="preserve">Internet </w:t>
      </w:r>
      <w:r w:rsidR="007E6997" w:rsidRPr="00A80CF5">
        <w:rPr>
          <w:lang w:eastAsia="ja-JP"/>
        </w:rPr>
        <w:t xml:space="preserve">de las cosas </w:t>
      </w:r>
      <w:r w:rsidRPr="00A80CF5">
        <w:rPr>
          <w:lang w:eastAsia="ja-JP"/>
        </w:rPr>
        <w:t xml:space="preserve">(IoT) </w:t>
      </w:r>
      <w:r w:rsidR="007E6997" w:rsidRPr="00A80CF5">
        <w:rPr>
          <w:lang w:eastAsia="ja-JP"/>
        </w:rPr>
        <w:t>y las ciudades inteligentes</w:t>
      </w:r>
      <w:r w:rsidRPr="00A80CF5">
        <w:rPr>
          <w:lang w:eastAsia="ja-JP"/>
        </w:rPr>
        <w:t>;</w:t>
      </w:r>
    </w:p>
    <w:p w:rsidR="00D85FC9" w:rsidRPr="00A80CF5" w:rsidRDefault="00D85FC9" w:rsidP="00A80CF5">
      <w:pPr>
        <w:pStyle w:val="enumlev1"/>
        <w:rPr>
          <w:lang w:eastAsia="ja-JP"/>
        </w:rPr>
      </w:pPr>
      <w:r w:rsidRPr="00A80CF5">
        <w:rPr>
          <w:lang w:eastAsia="ja-JP"/>
        </w:rPr>
        <w:t>4)</w:t>
      </w:r>
      <w:r w:rsidRPr="00A80CF5">
        <w:rPr>
          <w:lang w:eastAsia="ja-JP"/>
        </w:rPr>
        <w:tab/>
      </w:r>
      <w:r w:rsidR="008630E8">
        <w:rPr>
          <w:lang w:eastAsia="ja-JP"/>
        </w:rPr>
        <w:t>d</w:t>
      </w:r>
      <w:r w:rsidR="007E6997" w:rsidRPr="00A80CF5">
        <w:rPr>
          <w:lang w:eastAsia="ja-JP"/>
        </w:rPr>
        <w:t>espliegue de aplicaciones de T</w:t>
      </w:r>
      <w:r w:rsidRPr="00A80CF5">
        <w:rPr>
          <w:lang w:eastAsia="ja-JP"/>
        </w:rPr>
        <w:t>IC/</w:t>
      </w:r>
      <w:r w:rsidR="007E6997" w:rsidRPr="00A80CF5">
        <w:rPr>
          <w:lang w:eastAsia="ja-JP"/>
        </w:rPr>
        <w:t>móviles para mejorar la prestación de servicios de valor añadido en sectores tales como la sanidad, la educación, la agricultura, la gobernanza, la energía, los servicios financieros y el comercio electrónico</w:t>
      </w:r>
      <w:r w:rsidRPr="00A80CF5">
        <w:rPr>
          <w:lang w:eastAsia="ja-JP"/>
        </w:rPr>
        <w:t>;</w:t>
      </w:r>
    </w:p>
    <w:p w:rsidR="00D85FC9" w:rsidRPr="00A80CF5" w:rsidRDefault="00D85FC9" w:rsidP="00A80CF5">
      <w:pPr>
        <w:pStyle w:val="enumlev1"/>
        <w:rPr>
          <w:lang w:eastAsia="ja-JP"/>
        </w:rPr>
      </w:pPr>
      <w:r w:rsidRPr="00A80CF5">
        <w:rPr>
          <w:lang w:eastAsia="ja-JP"/>
        </w:rPr>
        <w:t>5)</w:t>
      </w:r>
      <w:r w:rsidRPr="00A80CF5">
        <w:rPr>
          <w:lang w:eastAsia="ja-JP"/>
        </w:rPr>
        <w:tab/>
      </w:r>
      <w:r w:rsidR="008630E8">
        <w:rPr>
          <w:lang w:eastAsia="ja-JP"/>
        </w:rPr>
        <w:t>i</w:t>
      </w:r>
      <w:r w:rsidR="007E6997" w:rsidRPr="00A80CF5">
        <w:rPr>
          <w:lang w:eastAsia="ja-JP"/>
        </w:rPr>
        <w:t>dentificación, recopilación y compartición de prácticas idóneas y casos de estudios sobre diversas aplicaciones de telecomunicaciones</w:t>
      </w:r>
      <w:r w:rsidRPr="00A80CF5">
        <w:rPr>
          <w:lang w:eastAsia="ja-JP"/>
        </w:rPr>
        <w:t>/</w:t>
      </w:r>
      <w:r w:rsidR="007E6997" w:rsidRPr="00A80CF5">
        <w:rPr>
          <w:lang w:eastAsia="ja-JP"/>
        </w:rPr>
        <w:t>T</w:t>
      </w:r>
      <w:r w:rsidRPr="00A80CF5">
        <w:rPr>
          <w:lang w:eastAsia="ja-JP"/>
        </w:rPr>
        <w:t xml:space="preserve">IC; </w:t>
      </w:r>
    </w:p>
    <w:p w:rsidR="00D85FC9" w:rsidRPr="00A80CF5" w:rsidRDefault="00D85FC9" w:rsidP="00A80CF5">
      <w:pPr>
        <w:pStyle w:val="enumlev1"/>
        <w:rPr>
          <w:lang w:eastAsia="ja-JP"/>
        </w:rPr>
      </w:pPr>
      <w:r w:rsidRPr="00A80CF5">
        <w:rPr>
          <w:lang w:eastAsia="ja-JP"/>
        </w:rPr>
        <w:t>6)</w:t>
      </w:r>
      <w:r w:rsidRPr="00A80CF5">
        <w:rPr>
          <w:lang w:eastAsia="ja-JP"/>
        </w:rPr>
        <w:tab/>
      </w:r>
      <w:r w:rsidR="008630E8">
        <w:rPr>
          <w:lang w:eastAsia="ja-JP"/>
        </w:rPr>
        <w:t>p</w:t>
      </w:r>
      <w:r w:rsidR="007E6997" w:rsidRPr="00A80CF5">
        <w:rPr>
          <w:lang w:eastAsia="ja-JP"/>
        </w:rPr>
        <w:t>reparación de programas nacionales e intersectoriales sobre aptitudes digitales con miras a la integración, destinados especialmente a mujeres</w:t>
      </w:r>
      <w:r w:rsidRPr="00A80CF5">
        <w:rPr>
          <w:lang w:eastAsia="ja-JP"/>
        </w:rPr>
        <w:t xml:space="preserve">, </w:t>
      </w:r>
      <w:r w:rsidR="007E6997" w:rsidRPr="00A80CF5">
        <w:rPr>
          <w:lang w:eastAsia="ja-JP"/>
        </w:rPr>
        <w:t>jóvenes, ancianos y personas con necesidades especiales</w:t>
      </w:r>
      <w:r w:rsidRPr="00A80CF5">
        <w:rPr>
          <w:lang w:eastAsia="ja-JP"/>
        </w:rPr>
        <w:t>.</w:t>
      </w:r>
    </w:p>
    <w:p w:rsidR="00961FF6" w:rsidRPr="00A80CF5" w:rsidRDefault="00961FF6" w:rsidP="00A80CF5">
      <w:pPr>
        <w:pStyle w:val="Reasons"/>
        <w:rPr>
          <w:lang w:val="es-ES_tradnl"/>
        </w:rPr>
      </w:pPr>
    </w:p>
    <w:p w:rsidR="00961FF6" w:rsidRPr="00A80CF5" w:rsidRDefault="00D45A5A" w:rsidP="00A80CF5">
      <w:pPr>
        <w:pStyle w:val="Proposal"/>
        <w:rPr>
          <w:lang w:val="es-ES_tradnl"/>
        </w:rPr>
      </w:pPr>
      <w:r w:rsidRPr="00A80CF5">
        <w:rPr>
          <w:b/>
          <w:lang w:val="es-ES_tradnl"/>
        </w:rPr>
        <w:t>SUP</w:t>
      </w:r>
      <w:r w:rsidRPr="00A80CF5">
        <w:rPr>
          <w:lang w:val="es-ES_tradnl"/>
        </w:rPr>
        <w:tab/>
        <w:t>ACP/22A8/5</w:t>
      </w:r>
    </w:p>
    <w:p w:rsidR="001870F9" w:rsidRPr="00A80CF5" w:rsidRDefault="00174FCC" w:rsidP="00A80CF5">
      <w:pPr>
        <w:pStyle w:val="Heading1"/>
      </w:pPr>
      <w:bookmarkStart w:id="24" w:name="_Toc394050796"/>
      <w:bookmarkStart w:id="25" w:name="_Toc394051204"/>
      <w:bookmarkStart w:id="26" w:name="_Toc394052182"/>
      <w:r>
        <w:t>ASP3:</w:t>
      </w:r>
      <w:r>
        <w:tab/>
      </w:r>
      <w:r w:rsidR="00D45A5A" w:rsidRPr="00A80CF5">
        <w:t>Aprovechamiento de los beneficios de las nuevas tecnologías</w:t>
      </w:r>
      <w:bookmarkEnd w:id="24"/>
      <w:bookmarkEnd w:id="25"/>
      <w:bookmarkEnd w:id="26"/>
      <w:r w:rsidR="00D45A5A" w:rsidRPr="00A80CF5">
        <w:t xml:space="preserve"> </w:t>
      </w:r>
    </w:p>
    <w:p w:rsidR="00961FF6" w:rsidRPr="00A80CF5" w:rsidRDefault="00961FF6" w:rsidP="00A80CF5">
      <w:pPr>
        <w:pStyle w:val="Reasons"/>
        <w:rPr>
          <w:lang w:val="es-ES_tradnl"/>
        </w:rPr>
      </w:pPr>
    </w:p>
    <w:p w:rsidR="00961FF6" w:rsidRPr="00A80CF5" w:rsidRDefault="00D45A5A" w:rsidP="00A80CF5">
      <w:pPr>
        <w:pStyle w:val="Proposal"/>
        <w:rPr>
          <w:lang w:val="es-ES_tradnl"/>
        </w:rPr>
      </w:pPr>
      <w:r w:rsidRPr="00A80CF5">
        <w:rPr>
          <w:b/>
          <w:lang w:val="es-ES_tradnl"/>
        </w:rPr>
        <w:t>ADD</w:t>
      </w:r>
      <w:r w:rsidRPr="00A80CF5">
        <w:rPr>
          <w:lang w:val="es-ES_tradnl"/>
        </w:rPr>
        <w:tab/>
        <w:t>ACP/22A8/6</w:t>
      </w:r>
    </w:p>
    <w:p w:rsidR="00961FF6" w:rsidRPr="00A80CF5" w:rsidRDefault="00174FCC" w:rsidP="00A80CF5">
      <w:pPr>
        <w:pStyle w:val="Heading1"/>
      </w:pPr>
      <w:r>
        <w:t>ASP3:</w:t>
      </w:r>
      <w:r>
        <w:tab/>
      </w:r>
      <w:r w:rsidR="007131ED" w:rsidRPr="00A80CF5">
        <w:t>Fomentar el desarrollo de infraestructuras para mejorar la conectividad digital</w:t>
      </w:r>
    </w:p>
    <w:p w:rsidR="007131ED" w:rsidRPr="00A80CF5" w:rsidRDefault="00D72D2A" w:rsidP="00A80CF5">
      <w:r w:rsidRPr="00A80CF5">
        <w:t xml:space="preserve">Objetivo: Prestar asistencia a los Estados Miembros en el desarrollo de infraestructura </w:t>
      </w:r>
      <w:r w:rsidR="00075062" w:rsidRPr="00A80CF5">
        <w:t xml:space="preserve">de telecomunicaciones/TIC </w:t>
      </w:r>
      <w:r w:rsidRPr="00A80CF5">
        <w:t>para facilitar el suministro de servicios</w:t>
      </w:r>
      <w:r w:rsidR="00075062" w:rsidRPr="00A80CF5">
        <w:t xml:space="preserve"> y </w:t>
      </w:r>
      <w:r w:rsidRPr="00A80CF5">
        <w:t>aplicaciones por dicha infraestructura.</w:t>
      </w:r>
    </w:p>
    <w:p w:rsidR="00D72D2A" w:rsidRPr="00A80CF5" w:rsidRDefault="00D72D2A" w:rsidP="00A80CF5">
      <w:pPr>
        <w:pStyle w:val="Headingb"/>
      </w:pPr>
      <w:r w:rsidRPr="00A80CF5">
        <w:t>Resultados previstos:</w:t>
      </w:r>
    </w:p>
    <w:p w:rsidR="00887511" w:rsidRPr="00A80CF5" w:rsidRDefault="00887511" w:rsidP="00A80CF5">
      <w:pPr>
        <w:pStyle w:val="enumlev1"/>
        <w:rPr>
          <w:lang w:eastAsia="ja-JP"/>
        </w:rPr>
      </w:pPr>
      <w:r w:rsidRPr="00A80CF5">
        <w:rPr>
          <w:lang w:eastAsia="ja-JP"/>
        </w:rPr>
        <w:t>1)</w:t>
      </w:r>
      <w:r w:rsidRPr="00A80CF5">
        <w:rPr>
          <w:lang w:eastAsia="ja-JP"/>
        </w:rPr>
        <w:tab/>
      </w:r>
      <w:r w:rsidR="00075062" w:rsidRPr="00A80CF5">
        <w:rPr>
          <w:lang w:eastAsia="ja-JP"/>
        </w:rPr>
        <w:t xml:space="preserve">Migración/transición de las redes analógicas a las redes digitales, adopción de tecnologías alámbricas e inalámbricas asequibles (incluida la interoperatividad de la infraestructura de TIC) y optimización de la utilización del dividendo </w:t>
      </w:r>
      <w:r w:rsidRPr="00A80CF5">
        <w:rPr>
          <w:lang w:eastAsia="ja-JP"/>
        </w:rPr>
        <w:t>digital;</w:t>
      </w:r>
    </w:p>
    <w:p w:rsidR="00887511" w:rsidRPr="00A80CF5" w:rsidRDefault="00887511" w:rsidP="00A80CF5">
      <w:pPr>
        <w:pStyle w:val="enumlev1"/>
        <w:rPr>
          <w:lang w:eastAsia="ja-JP"/>
        </w:rPr>
      </w:pPr>
      <w:r w:rsidRPr="00A80CF5">
        <w:rPr>
          <w:lang w:eastAsia="ja-JP"/>
        </w:rPr>
        <w:t>2)</w:t>
      </w:r>
      <w:r w:rsidRPr="00A80CF5">
        <w:rPr>
          <w:lang w:eastAsia="ja-JP"/>
        </w:rPr>
        <w:tab/>
      </w:r>
      <w:r w:rsidR="008630E8">
        <w:rPr>
          <w:lang w:eastAsia="ja-JP"/>
        </w:rPr>
        <w:t>m</w:t>
      </w:r>
      <w:r w:rsidR="00075062" w:rsidRPr="00A80CF5">
        <w:rPr>
          <w:lang w:eastAsia="ja-JP"/>
        </w:rPr>
        <w:t xml:space="preserve">aximización de la utilización de las tecnologías nuevas e incipientes para el desarrollo de redes de telecomunicaciones/TIC, comprendidos los servicios </w:t>
      </w:r>
      <w:r w:rsidR="00C4408D" w:rsidRPr="00A80CF5">
        <w:rPr>
          <w:lang w:eastAsia="ja-JP"/>
        </w:rPr>
        <w:t>y la</w:t>
      </w:r>
      <w:r w:rsidR="00075062" w:rsidRPr="00A80CF5">
        <w:rPr>
          <w:lang w:eastAsia="ja-JP"/>
        </w:rPr>
        <w:t xml:space="preserve"> infraestructura para 5G y redes eléctricas inteligentes</w:t>
      </w:r>
      <w:r w:rsidRPr="00A80CF5">
        <w:rPr>
          <w:lang w:eastAsia="ja-JP"/>
        </w:rPr>
        <w:t xml:space="preserve">; </w:t>
      </w:r>
    </w:p>
    <w:p w:rsidR="00887511" w:rsidRPr="00A80CF5" w:rsidRDefault="00887511" w:rsidP="00A80CF5">
      <w:pPr>
        <w:pStyle w:val="enumlev1"/>
        <w:rPr>
          <w:lang w:eastAsia="ja-JP"/>
        </w:rPr>
      </w:pPr>
      <w:r w:rsidRPr="00A80CF5">
        <w:rPr>
          <w:lang w:eastAsia="ja-JP"/>
        </w:rPr>
        <w:lastRenderedPageBreak/>
        <w:t>3)</w:t>
      </w:r>
      <w:r w:rsidRPr="00A80CF5">
        <w:rPr>
          <w:lang w:eastAsia="ja-JP"/>
        </w:rPr>
        <w:tab/>
      </w:r>
      <w:r w:rsidR="008630E8">
        <w:rPr>
          <w:lang w:eastAsia="ja-JP"/>
        </w:rPr>
        <w:t>r</w:t>
      </w:r>
      <w:r w:rsidR="00075062" w:rsidRPr="00A80CF5">
        <w:rPr>
          <w:lang w:eastAsia="ja-JP"/>
        </w:rPr>
        <w:t xml:space="preserve">efuerzo de la capacidad para desarrollar y ejecutar planes nacionales de banda ancha a fin de proporcionar acceso a zonas sin servicio o mal abastecidas </w:t>
      </w:r>
      <w:r w:rsidRPr="00A80CF5">
        <w:rPr>
          <w:lang w:eastAsia="ja-JP"/>
        </w:rPr>
        <w:t>(</w:t>
      </w:r>
      <w:r w:rsidR="00075062" w:rsidRPr="00A80CF5">
        <w:rPr>
          <w:lang w:eastAsia="ja-JP"/>
        </w:rPr>
        <w:t>incluido el estudio de la situación de las redes nacionales de banda ancha y de la conectividad internacional</w:t>
      </w:r>
      <w:r w:rsidRPr="00A80CF5">
        <w:rPr>
          <w:lang w:eastAsia="ja-JP"/>
        </w:rPr>
        <w:t xml:space="preserve">), </w:t>
      </w:r>
      <w:r w:rsidR="00075062" w:rsidRPr="00A80CF5">
        <w:rPr>
          <w:lang w:eastAsia="ja-JP"/>
        </w:rPr>
        <w:t>con el fin de promover el acceso asequible, especialmente para jóvenes, mujeres, pueblos indígenas y niños, seleccionar las tecnologías adecuadas, desarrollar y emplear eficazmente el fondo del servicio universal, y desarrollar modelos empresariales financiera y operativamente sostenibles</w:t>
      </w:r>
      <w:r w:rsidRPr="00A80CF5">
        <w:rPr>
          <w:lang w:eastAsia="ja-JP"/>
        </w:rPr>
        <w:t xml:space="preserve">; </w:t>
      </w:r>
    </w:p>
    <w:p w:rsidR="00887511" w:rsidRPr="00A80CF5" w:rsidRDefault="00887511" w:rsidP="00A80CF5">
      <w:pPr>
        <w:pStyle w:val="enumlev1"/>
        <w:rPr>
          <w:lang w:eastAsia="ja-JP"/>
        </w:rPr>
      </w:pPr>
      <w:r w:rsidRPr="00A80CF5">
        <w:rPr>
          <w:lang w:eastAsia="ja-JP"/>
        </w:rPr>
        <w:t>4)</w:t>
      </w:r>
      <w:r w:rsidRPr="00A80CF5">
        <w:rPr>
          <w:lang w:eastAsia="ja-JP"/>
        </w:rPr>
        <w:tab/>
      </w:r>
      <w:r w:rsidR="00075062" w:rsidRPr="00A80CF5">
        <w:rPr>
          <w:lang w:eastAsia="ja-JP"/>
        </w:rPr>
        <w:t>fomento de puntos de intercambio de tráfico de Internet (IXP) como solución a largo plazo para aumentar la conectividad</w:t>
      </w:r>
      <w:r w:rsidR="00731354" w:rsidRPr="00A80CF5">
        <w:rPr>
          <w:lang w:eastAsia="ja-JP"/>
        </w:rPr>
        <w:t>,</w:t>
      </w:r>
      <w:r w:rsidR="00075062" w:rsidRPr="00A80CF5">
        <w:rPr>
          <w:lang w:eastAsia="ja-JP"/>
        </w:rPr>
        <w:t xml:space="preserve"> </w:t>
      </w:r>
      <w:r w:rsidR="00731354" w:rsidRPr="00A80CF5">
        <w:rPr>
          <w:lang w:eastAsia="ja-JP"/>
        </w:rPr>
        <w:t xml:space="preserve">desplegar </w:t>
      </w:r>
      <w:r w:rsidR="00075062" w:rsidRPr="00A80CF5">
        <w:rPr>
          <w:lang w:eastAsia="ja-JP"/>
        </w:rPr>
        <w:t>redes y aplicaciones basadas en IPv6</w:t>
      </w:r>
      <w:r w:rsidR="00731354" w:rsidRPr="00A80CF5">
        <w:rPr>
          <w:lang w:eastAsia="ja-JP"/>
        </w:rPr>
        <w:t xml:space="preserve"> y avanzar la transición de </w:t>
      </w:r>
      <w:r w:rsidRPr="00A80CF5">
        <w:rPr>
          <w:lang w:eastAsia="ja-JP"/>
        </w:rPr>
        <w:t xml:space="preserve">IPv4 </w:t>
      </w:r>
      <w:r w:rsidR="00731354" w:rsidRPr="00A80CF5">
        <w:rPr>
          <w:lang w:eastAsia="ja-JP"/>
        </w:rPr>
        <w:t>a</w:t>
      </w:r>
      <w:r w:rsidRPr="00A80CF5">
        <w:rPr>
          <w:lang w:eastAsia="ja-JP"/>
        </w:rPr>
        <w:t xml:space="preserve"> IPv6; </w:t>
      </w:r>
    </w:p>
    <w:p w:rsidR="00887511" w:rsidRPr="00A80CF5" w:rsidRDefault="00887511" w:rsidP="00A80CF5">
      <w:pPr>
        <w:pStyle w:val="enumlev1"/>
        <w:rPr>
          <w:lang w:eastAsia="ja-JP"/>
        </w:rPr>
      </w:pPr>
      <w:r w:rsidRPr="00A80CF5">
        <w:rPr>
          <w:lang w:eastAsia="ja-JP"/>
        </w:rPr>
        <w:t>5)</w:t>
      </w:r>
      <w:r w:rsidRPr="00A80CF5">
        <w:rPr>
          <w:lang w:eastAsia="ja-JP"/>
        </w:rPr>
        <w:tab/>
      </w:r>
      <w:r w:rsidR="008630E8">
        <w:rPr>
          <w:lang w:eastAsia="ja-JP"/>
        </w:rPr>
        <w:t>r</w:t>
      </w:r>
      <w:r w:rsidR="00731354" w:rsidRPr="00A80CF5">
        <w:rPr>
          <w:lang w:eastAsia="ja-JP"/>
        </w:rPr>
        <w:t xml:space="preserve">efuerzo de la capacidad para poner en marcha procedimientos y pruebas de C+I y planificar recursos para programas de </w:t>
      </w:r>
      <w:r w:rsidRPr="00A80CF5">
        <w:rPr>
          <w:lang w:eastAsia="ja-JP"/>
        </w:rPr>
        <w:t>C</w:t>
      </w:r>
      <w:r w:rsidR="00731354" w:rsidRPr="00A80CF5">
        <w:rPr>
          <w:lang w:eastAsia="ja-JP"/>
        </w:rPr>
        <w:t>+</w:t>
      </w:r>
      <w:r w:rsidRPr="00A80CF5">
        <w:rPr>
          <w:lang w:eastAsia="ja-JP"/>
        </w:rPr>
        <w:t xml:space="preserve">I, </w:t>
      </w:r>
      <w:r w:rsidR="00731354" w:rsidRPr="00A80CF5">
        <w:rPr>
          <w:lang w:eastAsia="ja-JP"/>
        </w:rPr>
        <w:t xml:space="preserve">y facilitación del establecimiento de regímenes regionales y subregionales comunes de C+I </w:t>
      </w:r>
      <w:r w:rsidRPr="00A80CF5">
        <w:rPr>
          <w:lang w:eastAsia="ja-JP"/>
        </w:rPr>
        <w:t>(</w:t>
      </w:r>
      <w:r w:rsidR="00731354" w:rsidRPr="00A80CF5">
        <w:rPr>
          <w:lang w:eastAsia="ja-JP"/>
        </w:rPr>
        <w:t>incluida la adopción y aplicación de acuerdos de reconocimiento mutuo</w:t>
      </w:r>
      <w:r w:rsidRPr="00A80CF5">
        <w:rPr>
          <w:lang w:eastAsia="ja-JP"/>
        </w:rPr>
        <w:t>);</w:t>
      </w:r>
    </w:p>
    <w:p w:rsidR="00887511" w:rsidRPr="00A80CF5" w:rsidRDefault="00887511" w:rsidP="00A80CF5">
      <w:pPr>
        <w:pStyle w:val="enumlev1"/>
        <w:rPr>
          <w:lang w:eastAsia="ja-JP"/>
        </w:rPr>
      </w:pPr>
      <w:r w:rsidRPr="00A80CF5">
        <w:rPr>
          <w:lang w:eastAsia="ja-JP"/>
        </w:rPr>
        <w:t>6)</w:t>
      </w:r>
      <w:r w:rsidRPr="00A80CF5">
        <w:rPr>
          <w:lang w:eastAsia="ja-JP"/>
        </w:rPr>
        <w:tab/>
      </w:r>
      <w:r w:rsidR="008630E8">
        <w:rPr>
          <w:lang w:eastAsia="ja-JP"/>
        </w:rPr>
        <w:t>r</w:t>
      </w:r>
      <w:r w:rsidR="00731354" w:rsidRPr="00A80CF5">
        <w:rPr>
          <w:lang w:eastAsia="ja-JP"/>
        </w:rPr>
        <w:t>esolución de problemas de gestión del espectro, incluida la planificación de frecuencias</w:t>
      </w:r>
      <w:r w:rsidRPr="00A80CF5">
        <w:rPr>
          <w:lang w:eastAsia="ja-JP"/>
        </w:rPr>
        <w:t xml:space="preserve">, </w:t>
      </w:r>
      <w:r w:rsidR="00731354" w:rsidRPr="00A80CF5">
        <w:rPr>
          <w:lang w:eastAsia="ja-JP"/>
        </w:rPr>
        <w:t>la armonización de las atribuciones de espectro y de los sistemas de comprobación técnica del espectro, y apoyo a la preparación para las CMR y la aplicación de los resultados de las CMR</w:t>
      </w:r>
      <w:r w:rsidRPr="00A80CF5">
        <w:rPr>
          <w:lang w:eastAsia="ja-JP"/>
        </w:rPr>
        <w:t xml:space="preserve">; </w:t>
      </w:r>
    </w:p>
    <w:p w:rsidR="00887511" w:rsidRPr="00A80CF5" w:rsidRDefault="00887511" w:rsidP="00A80CF5">
      <w:pPr>
        <w:pStyle w:val="enumlev1"/>
        <w:rPr>
          <w:lang w:eastAsia="ja-JP"/>
        </w:rPr>
      </w:pPr>
      <w:r w:rsidRPr="00A80CF5">
        <w:rPr>
          <w:lang w:eastAsia="ja-JP"/>
        </w:rPr>
        <w:t>7)</w:t>
      </w:r>
      <w:r w:rsidRPr="00A80CF5">
        <w:rPr>
          <w:lang w:eastAsia="ja-JP"/>
        </w:rPr>
        <w:tab/>
      </w:r>
      <w:r w:rsidR="008630E8">
        <w:rPr>
          <w:lang w:eastAsia="ja-JP"/>
        </w:rPr>
        <w:t>c</w:t>
      </w:r>
      <w:r w:rsidR="00731354" w:rsidRPr="00A80CF5">
        <w:rPr>
          <w:lang w:eastAsia="ja-JP"/>
        </w:rPr>
        <w:t>reación de aptitudes para el desarrollo y utilización de telecomunicaciones por satélite</w:t>
      </w:r>
      <w:r w:rsidRPr="00A80CF5">
        <w:rPr>
          <w:lang w:eastAsia="ja-JP"/>
        </w:rPr>
        <w:t xml:space="preserve">; </w:t>
      </w:r>
    </w:p>
    <w:p w:rsidR="00887511" w:rsidRPr="00A80CF5" w:rsidRDefault="00887511" w:rsidP="00A80CF5">
      <w:pPr>
        <w:pStyle w:val="enumlev1"/>
        <w:rPr>
          <w:lang w:eastAsia="ja-JP"/>
        </w:rPr>
      </w:pPr>
      <w:r w:rsidRPr="00A80CF5">
        <w:rPr>
          <w:lang w:eastAsia="ja-JP"/>
        </w:rPr>
        <w:t>8)</w:t>
      </w:r>
      <w:r w:rsidRPr="00A80CF5">
        <w:rPr>
          <w:lang w:eastAsia="ja-JP"/>
        </w:rPr>
        <w:tab/>
      </w:r>
      <w:r w:rsidR="008630E8">
        <w:rPr>
          <w:lang w:eastAsia="ja-JP"/>
        </w:rPr>
        <w:t>r</w:t>
      </w:r>
      <w:r w:rsidR="00644C75" w:rsidRPr="00A80CF5">
        <w:rPr>
          <w:lang w:eastAsia="ja-JP"/>
        </w:rPr>
        <w:t xml:space="preserve">efuerzo de la cooperación con organizaciones </w:t>
      </w:r>
      <w:r w:rsidRPr="00A80CF5">
        <w:rPr>
          <w:lang w:eastAsia="ja-JP"/>
        </w:rPr>
        <w:t>interna</w:t>
      </w:r>
      <w:r w:rsidR="00644C75" w:rsidRPr="00A80CF5">
        <w:rPr>
          <w:lang w:eastAsia="ja-JP"/>
        </w:rPr>
        <w:t>c</w:t>
      </w:r>
      <w:r w:rsidRPr="00A80CF5">
        <w:rPr>
          <w:lang w:eastAsia="ja-JP"/>
        </w:rPr>
        <w:t>ional</w:t>
      </w:r>
      <w:r w:rsidR="00644C75" w:rsidRPr="00A80CF5">
        <w:rPr>
          <w:lang w:eastAsia="ja-JP"/>
        </w:rPr>
        <w:t>es</w:t>
      </w:r>
      <w:r w:rsidRPr="00A80CF5">
        <w:rPr>
          <w:lang w:eastAsia="ja-JP"/>
        </w:rPr>
        <w:t>/regional</w:t>
      </w:r>
      <w:r w:rsidR="00644C75" w:rsidRPr="00A80CF5">
        <w:rPr>
          <w:lang w:eastAsia="ja-JP"/>
        </w:rPr>
        <w:t>es</w:t>
      </w:r>
      <w:r w:rsidRPr="00A80CF5">
        <w:rPr>
          <w:lang w:eastAsia="ja-JP"/>
        </w:rPr>
        <w:t xml:space="preserve"> </w:t>
      </w:r>
      <w:r w:rsidR="00C4408D" w:rsidRPr="00A80CF5">
        <w:rPr>
          <w:lang w:eastAsia="ja-JP"/>
        </w:rPr>
        <w:t>para mejorar la conectividad regional de las TIC, como la Superautopista de la información Asia-Pacífico</w:t>
      </w:r>
      <w:r w:rsidRPr="00A80CF5">
        <w:rPr>
          <w:lang w:eastAsia="ja-JP"/>
        </w:rPr>
        <w:t xml:space="preserve"> (AP-IS).</w:t>
      </w:r>
    </w:p>
    <w:p w:rsidR="00961FF6" w:rsidRPr="00A80CF5" w:rsidRDefault="00961FF6" w:rsidP="00A80CF5">
      <w:pPr>
        <w:pStyle w:val="Reasons"/>
        <w:rPr>
          <w:lang w:val="es-ES_tradnl"/>
        </w:rPr>
      </w:pPr>
    </w:p>
    <w:p w:rsidR="00961FF6" w:rsidRPr="00A80CF5" w:rsidRDefault="00D45A5A" w:rsidP="00A80CF5">
      <w:pPr>
        <w:pStyle w:val="Proposal"/>
        <w:rPr>
          <w:lang w:val="es-ES_tradnl"/>
        </w:rPr>
      </w:pPr>
      <w:r w:rsidRPr="00A80CF5">
        <w:rPr>
          <w:b/>
          <w:lang w:val="es-ES_tradnl"/>
        </w:rPr>
        <w:t>SUP</w:t>
      </w:r>
      <w:r w:rsidRPr="00A80CF5">
        <w:rPr>
          <w:lang w:val="es-ES_tradnl"/>
        </w:rPr>
        <w:tab/>
        <w:t>ACP/22A8/7</w:t>
      </w:r>
    </w:p>
    <w:p w:rsidR="001870F9" w:rsidRPr="00A80CF5" w:rsidRDefault="00174FCC" w:rsidP="00A80CF5">
      <w:pPr>
        <w:pStyle w:val="Heading1"/>
      </w:pPr>
      <w:r>
        <w:t>ASP4:</w:t>
      </w:r>
      <w:r>
        <w:tab/>
      </w:r>
      <w:r w:rsidR="00D45A5A" w:rsidRPr="00A80CF5">
        <w:t>Desarrollo del acceso en banda ancha y su adopción</w:t>
      </w:r>
    </w:p>
    <w:p w:rsidR="00961FF6" w:rsidRPr="00A80CF5" w:rsidRDefault="00961FF6" w:rsidP="00A80CF5">
      <w:pPr>
        <w:pStyle w:val="Reasons"/>
        <w:rPr>
          <w:lang w:val="es-ES_tradnl"/>
        </w:rPr>
      </w:pPr>
    </w:p>
    <w:p w:rsidR="00961FF6" w:rsidRPr="00A80CF5" w:rsidRDefault="00D45A5A" w:rsidP="00A80CF5">
      <w:pPr>
        <w:pStyle w:val="Proposal"/>
        <w:rPr>
          <w:lang w:val="es-ES_tradnl"/>
        </w:rPr>
      </w:pPr>
      <w:r w:rsidRPr="00A80CF5">
        <w:rPr>
          <w:b/>
          <w:lang w:val="es-ES_tradnl"/>
        </w:rPr>
        <w:t>ADD</w:t>
      </w:r>
      <w:r w:rsidRPr="00A80CF5">
        <w:rPr>
          <w:lang w:val="es-ES_tradnl"/>
        </w:rPr>
        <w:tab/>
        <w:t>ACP/22A8/8</w:t>
      </w:r>
    </w:p>
    <w:p w:rsidR="00961FF6" w:rsidRPr="00A80CF5" w:rsidRDefault="00174FCC" w:rsidP="00A80CF5">
      <w:pPr>
        <w:pStyle w:val="Heading1"/>
      </w:pPr>
      <w:r>
        <w:t>ASP4:</w:t>
      </w:r>
      <w:r>
        <w:tab/>
      </w:r>
      <w:r w:rsidR="00870DB0" w:rsidRPr="00A80CF5">
        <w:t>Entornos políticos y reglamentarios habilitadores</w:t>
      </w:r>
    </w:p>
    <w:p w:rsidR="00870DB0" w:rsidRPr="00A80CF5" w:rsidRDefault="0040592D" w:rsidP="00A80CF5">
      <w:bookmarkStart w:id="27" w:name="lt_pId444"/>
      <w:r w:rsidRPr="00A80CF5">
        <w:t xml:space="preserve">Objetivo: Prestar asistencia a los Estados Miembros en el desarrollo de marcos de política y reglamentación, el fomento de la innovación, la capacitación, la compartición de información y el refuerzo de la cooperación en materia de reglamentación, que contribuye a dar soporte al marco normativo para </w:t>
      </w:r>
      <w:r w:rsidR="000636E2" w:rsidRPr="00A80CF5">
        <w:t>todas las partes interesadas</w:t>
      </w:r>
      <w:r w:rsidRPr="00A80CF5">
        <w:t>.</w:t>
      </w:r>
      <w:bookmarkEnd w:id="27"/>
    </w:p>
    <w:p w:rsidR="006859C1" w:rsidRPr="00A80CF5" w:rsidRDefault="006859C1" w:rsidP="00A80CF5">
      <w:pPr>
        <w:pStyle w:val="Headingb"/>
      </w:pPr>
      <w:r w:rsidRPr="00A80CF5">
        <w:t>Resultados previstos:</w:t>
      </w:r>
    </w:p>
    <w:p w:rsidR="006859C1" w:rsidRPr="00A80CF5" w:rsidRDefault="006859C1" w:rsidP="00A80CF5">
      <w:pPr>
        <w:pStyle w:val="enumlev1"/>
        <w:rPr>
          <w:lang w:eastAsia="ja-JP"/>
        </w:rPr>
      </w:pPr>
      <w:r w:rsidRPr="00A80CF5">
        <w:rPr>
          <w:lang w:eastAsia="ja-JP"/>
        </w:rPr>
        <w:t>1)</w:t>
      </w:r>
      <w:r w:rsidRPr="00A80CF5">
        <w:rPr>
          <w:lang w:eastAsia="ja-JP"/>
        </w:rPr>
        <w:tab/>
      </w:r>
      <w:r w:rsidR="00C55988" w:rsidRPr="00A80CF5">
        <w:rPr>
          <w:lang w:eastAsia="ja-JP"/>
        </w:rPr>
        <w:t xml:space="preserve">Compartición de información sobre los últimos adelantos en lo que respecta a los marcos políticos, jurídicos y normativos, así como </w:t>
      </w:r>
      <w:r w:rsidR="000636E2" w:rsidRPr="00A80CF5">
        <w:rPr>
          <w:lang w:eastAsia="ja-JP"/>
        </w:rPr>
        <w:t>la evolución del mercado</w:t>
      </w:r>
      <w:r w:rsidR="00C55988" w:rsidRPr="00A80CF5">
        <w:rPr>
          <w:lang w:eastAsia="ja-JP"/>
        </w:rPr>
        <w:t xml:space="preserve"> en el sector de las TIC y las economías digitales que éste permite;</w:t>
      </w:r>
    </w:p>
    <w:p w:rsidR="006859C1" w:rsidRPr="00A80CF5" w:rsidRDefault="006859C1" w:rsidP="00A80CF5">
      <w:pPr>
        <w:pStyle w:val="enumlev1"/>
        <w:rPr>
          <w:lang w:eastAsia="ja-JP"/>
        </w:rPr>
      </w:pPr>
      <w:r w:rsidRPr="00A80CF5">
        <w:rPr>
          <w:lang w:eastAsia="ja-JP"/>
        </w:rPr>
        <w:t>2)</w:t>
      </w:r>
      <w:r w:rsidRPr="00A80CF5">
        <w:rPr>
          <w:lang w:eastAsia="ja-JP"/>
        </w:rPr>
        <w:tab/>
      </w:r>
      <w:r w:rsidR="000636E2" w:rsidRPr="00A80CF5">
        <w:rPr>
          <w:lang w:eastAsia="ja-JP"/>
        </w:rPr>
        <w:t xml:space="preserve">elaboración, aplicación y revisión de las estrategias, las políticas y los marcos jurídico y reglamentario, incluida la obligación del servicio universal </w:t>
      </w:r>
      <w:r w:rsidRPr="00A80CF5">
        <w:rPr>
          <w:lang w:eastAsia="ja-JP"/>
        </w:rPr>
        <w:t>(USO)</w:t>
      </w:r>
      <w:r w:rsidR="000636E2" w:rsidRPr="00A80CF5">
        <w:rPr>
          <w:lang w:eastAsia="ja-JP"/>
        </w:rPr>
        <w:t xml:space="preserve"> de la próxima generación</w:t>
      </w:r>
      <w:r w:rsidRPr="00A80CF5">
        <w:rPr>
          <w:lang w:eastAsia="ja-JP"/>
        </w:rPr>
        <w:t xml:space="preserve">, </w:t>
      </w:r>
      <w:r w:rsidR="000636E2" w:rsidRPr="00A80CF5">
        <w:rPr>
          <w:lang w:eastAsia="ja-JP"/>
        </w:rPr>
        <w:t>la protección del consumidor</w:t>
      </w:r>
      <w:r w:rsidRPr="00A80CF5">
        <w:rPr>
          <w:lang w:eastAsia="ja-JP"/>
        </w:rPr>
        <w:t xml:space="preserve">, </w:t>
      </w:r>
      <w:r w:rsidR="000636E2" w:rsidRPr="00A80CF5">
        <w:rPr>
          <w:lang w:eastAsia="ja-JP"/>
        </w:rPr>
        <w:t>la transformación</w:t>
      </w:r>
      <w:r w:rsidRPr="00A80CF5">
        <w:rPr>
          <w:lang w:eastAsia="ja-JP"/>
        </w:rPr>
        <w:t xml:space="preserve"> </w:t>
      </w:r>
      <w:r w:rsidR="000636E2" w:rsidRPr="00A80CF5">
        <w:rPr>
          <w:lang w:eastAsia="ja-JP"/>
        </w:rPr>
        <w:t>de la PYME en empresas digitales</w:t>
      </w:r>
      <w:r w:rsidRPr="00A80CF5">
        <w:rPr>
          <w:lang w:eastAsia="ja-JP"/>
        </w:rPr>
        <w:t xml:space="preserve">, </w:t>
      </w:r>
      <w:r w:rsidR="000636E2" w:rsidRPr="00A80CF5">
        <w:rPr>
          <w:lang w:eastAsia="ja-JP"/>
        </w:rPr>
        <w:t>y la innovación y espíritu emprendedor</w:t>
      </w:r>
      <w:r w:rsidRPr="00A80CF5">
        <w:rPr>
          <w:lang w:eastAsia="ja-JP"/>
        </w:rPr>
        <w:t>;</w:t>
      </w:r>
    </w:p>
    <w:p w:rsidR="006859C1" w:rsidRPr="00A80CF5" w:rsidRDefault="006859C1" w:rsidP="00A80CF5">
      <w:pPr>
        <w:pStyle w:val="enumlev1"/>
        <w:rPr>
          <w:lang w:eastAsia="ja-JP"/>
        </w:rPr>
      </w:pPr>
      <w:r w:rsidRPr="00A80CF5">
        <w:rPr>
          <w:lang w:eastAsia="ja-JP"/>
        </w:rPr>
        <w:lastRenderedPageBreak/>
        <w:t>3)</w:t>
      </w:r>
      <w:r w:rsidRPr="00A80CF5">
        <w:rPr>
          <w:lang w:eastAsia="ja-JP"/>
        </w:rPr>
        <w:tab/>
      </w:r>
      <w:bookmarkStart w:id="28" w:name="lt_pId451"/>
      <w:r w:rsidR="008630E8">
        <w:rPr>
          <w:lang w:eastAsia="ja-JP"/>
        </w:rPr>
        <w:t>f</w:t>
      </w:r>
      <w:r w:rsidR="000636E2" w:rsidRPr="00A80CF5">
        <w:rPr>
          <w:lang w:eastAsia="ja-JP"/>
        </w:rPr>
        <w:t>omento d</w:t>
      </w:r>
      <w:r w:rsidR="00833758">
        <w:rPr>
          <w:lang w:eastAsia="ja-JP"/>
        </w:rPr>
        <w:t>el diálogo integrado</w:t>
      </w:r>
      <w:r w:rsidR="00C55988" w:rsidRPr="00A80CF5">
        <w:rPr>
          <w:lang w:eastAsia="ja-JP"/>
        </w:rPr>
        <w:t xml:space="preserve"> y </w:t>
      </w:r>
      <w:r w:rsidR="000636E2" w:rsidRPr="00A80CF5">
        <w:rPr>
          <w:lang w:eastAsia="ja-JP"/>
        </w:rPr>
        <w:t>aumento de la</w:t>
      </w:r>
      <w:r w:rsidR="00C55988" w:rsidRPr="00A80CF5">
        <w:rPr>
          <w:lang w:eastAsia="ja-JP"/>
        </w:rPr>
        <w:t xml:space="preserve"> cooperación a escala nacional y regional entre reguladores, legisladores y otras partes interesadas en las telecomunicaciones/TIC, así como con otros sectores económicos sobre asuntos de actualidad en las esferas política, jurídicos, normativos y de mercado</w:t>
      </w:r>
      <w:bookmarkEnd w:id="28"/>
      <w:r w:rsidRPr="00A80CF5">
        <w:rPr>
          <w:lang w:eastAsia="ja-JP"/>
        </w:rPr>
        <w:t>;</w:t>
      </w:r>
    </w:p>
    <w:p w:rsidR="006859C1" w:rsidRPr="00A80CF5" w:rsidRDefault="006859C1" w:rsidP="00A80CF5">
      <w:pPr>
        <w:pStyle w:val="enumlev1"/>
        <w:rPr>
          <w:lang w:eastAsia="ja-JP"/>
        </w:rPr>
      </w:pPr>
      <w:r w:rsidRPr="00A80CF5">
        <w:rPr>
          <w:lang w:eastAsia="ja-JP"/>
        </w:rPr>
        <w:t>4)</w:t>
      </w:r>
      <w:r w:rsidRPr="00A80CF5">
        <w:rPr>
          <w:lang w:eastAsia="ja-JP"/>
        </w:rPr>
        <w:tab/>
      </w:r>
      <w:r w:rsidR="008630E8">
        <w:rPr>
          <w:lang w:eastAsia="ja-JP"/>
        </w:rPr>
        <w:t>r</w:t>
      </w:r>
      <w:r w:rsidR="000636E2" w:rsidRPr="00A80CF5">
        <w:rPr>
          <w:lang w:eastAsia="ja-JP"/>
        </w:rPr>
        <w:t xml:space="preserve">efuerzo de la capacidad </w:t>
      </w:r>
      <w:r w:rsidR="00C55988" w:rsidRPr="00A80CF5">
        <w:rPr>
          <w:lang w:eastAsia="ja-JP"/>
        </w:rPr>
        <w:t>humana e institucional y técnica sobre asuntos de actualidad en las esferas política, jurídica y reglamentaria</w:t>
      </w:r>
      <w:r w:rsidR="000636E2" w:rsidRPr="00A80CF5">
        <w:rPr>
          <w:lang w:eastAsia="ja-JP"/>
        </w:rPr>
        <w:t>,</w:t>
      </w:r>
      <w:r w:rsidR="00C55988" w:rsidRPr="00A80CF5">
        <w:rPr>
          <w:lang w:eastAsia="ja-JP"/>
        </w:rPr>
        <w:t xml:space="preserve"> así como en asuntos económicos y económicos y de desarrollo de los mercados</w:t>
      </w:r>
      <w:r w:rsidRPr="00A80CF5">
        <w:rPr>
          <w:lang w:eastAsia="ja-JP"/>
        </w:rPr>
        <w:t>;</w:t>
      </w:r>
    </w:p>
    <w:p w:rsidR="006859C1" w:rsidRPr="00A80CF5" w:rsidRDefault="006859C1" w:rsidP="00A80CF5">
      <w:pPr>
        <w:pStyle w:val="enumlev1"/>
        <w:rPr>
          <w:lang w:eastAsia="ja-JP"/>
        </w:rPr>
      </w:pPr>
      <w:r w:rsidRPr="00A80CF5">
        <w:rPr>
          <w:lang w:eastAsia="ja-JP"/>
        </w:rPr>
        <w:t>5)</w:t>
      </w:r>
      <w:r w:rsidRPr="00A80CF5">
        <w:rPr>
          <w:lang w:eastAsia="ja-JP"/>
        </w:rPr>
        <w:tab/>
      </w:r>
      <w:r w:rsidR="008630E8">
        <w:rPr>
          <w:lang w:eastAsia="ja-JP"/>
        </w:rPr>
        <w:t>a</w:t>
      </w:r>
      <w:r w:rsidR="000636E2" w:rsidRPr="00A80CF5">
        <w:rPr>
          <w:lang w:eastAsia="ja-JP"/>
        </w:rPr>
        <w:t>umento de la sensibilización sobre los marcos político y reglamentario relativos a la privacidad de los datos y datos transfronterizos</w:t>
      </w:r>
      <w:r w:rsidRPr="00A80CF5">
        <w:rPr>
          <w:lang w:eastAsia="ja-JP"/>
        </w:rPr>
        <w:t xml:space="preserve">; </w:t>
      </w:r>
    </w:p>
    <w:p w:rsidR="006859C1" w:rsidRPr="00A80CF5" w:rsidRDefault="006859C1" w:rsidP="00A80CF5">
      <w:pPr>
        <w:pStyle w:val="enumlev1"/>
        <w:rPr>
          <w:lang w:eastAsia="ja-JP"/>
        </w:rPr>
      </w:pPr>
      <w:r w:rsidRPr="00A80CF5">
        <w:rPr>
          <w:lang w:eastAsia="ja-JP"/>
        </w:rPr>
        <w:t>6)</w:t>
      </w:r>
      <w:r w:rsidRPr="00A80CF5">
        <w:rPr>
          <w:lang w:eastAsia="ja-JP"/>
        </w:rPr>
        <w:tab/>
      </w:r>
      <w:r w:rsidR="008630E8">
        <w:rPr>
          <w:lang w:eastAsia="ja-JP"/>
        </w:rPr>
        <w:t>d</w:t>
      </w:r>
      <w:r w:rsidR="000636E2" w:rsidRPr="00A80CF5">
        <w:rPr>
          <w:lang w:eastAsia="ja-JP"/>
        </w:rPr>
        <w:t>esarrollo de marcos estratégicos para dar soporte a las actividades de investigación y desarrollo de las T</w:t>
      </w:r>
      <w:r w:rsidRPr="00A80CF5">
        <w:rPr>
          <w:lang w:eastAsia="ja-JP"/>
        </w:rPr>
        <w:t xml:space="preserve">IC </w:t>
      </w:r>
      <w:r w:rsidR="000636E2" w:rsidRPr="00A80CF5">
        <w:rPr>
          <w:lang w:eastAsia="ja-JP"/>
        </w:rPr>
        <w:t>en los países en desarrollo</w:t>
      </w:r>
      <w:r w:rsidRPr="00A80CF5">
        <w:rPr>
          <w:lang w:eastAsia="ja-JP"/>
        </w:rPr>
        <w:t>.</w:t>
      </w:r>
    </w:p>
    <w:p w:rsidR="00961FF6" w:rsidRPr="00A80CF5" w:rsidRDefault="00961FF6" w:rsidP="00A80CF5">
      <w:pPr>
        <w:pStyle w:val="Reasons"/>
        <w:rPr>
          <w:lang w:val="es-ES_tradnl"/>
        </w:rPr>
      </w:pPr>
    </w:p>
    <w:p w:rsidR="00961FF6" w:rsidRPr="00A80CF5" w:rsidRDefault="00D45A5A" w:rsidP="00A80CF5">
      <w:pPr>
        <w:pStyle w:val="Proposal"/>
        <w:rPr>
          <w:lang w:val="es-ES_tradnl"/>
        </w:rPr>
      </w:pPr>
      <w:r w:rsidRPr="00A80CF5">
        <w:rPr>
          <w:b/>
          <w:lang w:val="es-ES_tradnl"/>
        </w:rPr>
        <w:t>SUP</w:t>
      </w:r>
      <w:r w:rsidRPr="00A80CF5">
        <w:rPr>
          <w:lang w:val="es-ES_tradnl"/>
        </w:rPr>
        <w:tab/>
        <w:t>ACP/22A8/9</w:t>
      </w:r>
    </w:p>
    <w:p w:rsidR="001870F9" w:rsidRPr="00A80CF5" w:rsidRDefault="00D45A5A" w:rsidP="00A80CF5">
      <w:pPr>
        <w:pStyle w:val="Heading1"/>
      </w:pPr>
      <w:bookmarkStart w:id="29" w:name="_Toc394050800"/>
      <w:bookmarkStart w:id="30" w:name="_Toc394051206"/>
      <w:bookmarkStart w:id="31" w:name="_Toc394052184"/>
      <w:r w:rsidRPr="00A80CF5">
        <w:t>ASP5: Política y reglamentación</w:t>
      </w:r>
      <w:bookmarkEnd w:id="29"/>
      <w:bookmarkEnd w:id="30"/>
      <w:bookmarkEnd w:id="31"/>
    </w:p>
    <w:p w:rsidR="00961FF6" w:rsidRPr="00A80CF5" w:rsidRDefault="00961FF6" w:rsidP="00A80CF5">
      <w:pPr>
        <w:pStyle w:val="Reasons"/>
        <w:rPr>
          <w:lang w:val="es-ES_tradnl"/>
        </w:rPr>
      </w:pPr>
    </w:p>
    <w:p w:rsidR="00961FF6" w:rsidRPr="00A80CF5" w:rsidRDefault="00D45A5A" w:rsidP="00A80CF5">
      <w:pPr>
        <w:pStyle w:val="Proposal"/>
        <w:rPr>
          <w:lang w:val="es-ES_tradnl"/>
        </w:rPr>
      </w:pPr>
      <w:r w:rsidRPr="00A80CF5">
        <w:rPr>
          <w:b/>
          <w:lang w:val="es-ES_tradnl"/>
        </w:rPr>
        <w:t>ADD</w:t>
      </w:r>
      <w:r w:rsidRPr="00A80CF5">
        <w:rPr>
          <w:lang w:val="es-ES_tradnl"/>
        </w:rPr>
        <w:tab/>
        <w:t>ACP/22A8/10</w:t>
      </w:r>
    </w:p>
    <w:p w:rsidR="00961FF6" w:rsidRPr="00A80CF5" w:rsidRDefault="00D45A5A" w:rsidP="00A80CF5">
      <w:pPr>
        <w:pStyle w:val="Heading1"/>
      </w:pPr>
      <w:r w:rsidRPr="00A80CF5">
        <w:t xml:space="preserve">ASP5: </w:t>
      </w:r>
      <w:r w:rsidR="002126A3" w:rsidRPr="00A80CF5">
        <w:t>Contribuir a un ecosistema de TIC seguro y resiliente</w:t>
      </w:r>
    </w:p>
    <w:p w:rsidR="002126A3" w:rsidRPr="00A80CF5" w:rsidRDefault="002126A3" w:rsidP="00A80CF5">
      <w:r w:rsidRPr="00A80CF5">
        <w:t xml:space="preserve">Objetivo: Prestar asistencia a los Estados Miembros en el desarrollo y mantenimiento de redes/servicios seguras, fiables y resilientes, </w:t>
      </w:r>
      <w:r w:rsidR="000636E2" w:rsidRPr="00A80CF5">
        <w:t>y</w:t>
      </w:r>
      <w:r w:rsidR="00E36A19">
        <w:t xml:space="preserve"> </w:t>
      </w:r>
      <w:r w:rsidRPr="00A80CF5">
        <w:t xml:space="preserve">resolver los problemas relacionados con el cambio climático </w:t>
      </w:r>
      <w:r w:rsidR="000636E2" w:rsidRPr="00A80CF5">
        <w:t xml:space="preserve">y la gestión </w:t>
      </w:r>
      <w:r w:rsidRPr="00A80CF5">
        <w:t>de catástrofes.</w:t>
      </w:r>
    </w:p>
    <w:p w:rsidR="002126A3" w:rsidRPr="00A80CF5" w:rsidRDefault="002126A3" w:rsidP="00A80CF5">
      <w:pPr>
        <w:pStyle w:val="Headingb"/>
      </w:pPr>
      <w:r w:rsidRPr="00A80CF5">
        <w:t>Resultados previstos:</w:t>
      </w:r>
    </w:p>
    <w:p w:rsidR="002126A3" w:rsidRPr="00A80CF5" w:rsidRDefault="002126A3" w:rsidP="00A80CF5">
      <w:pPr>
        <w:pStyle w:val="enumlev1"/>
        <w:keepNext/>
        <w:rPr>
          <w:lang w:eastAsia="ja-JP"/>
        </w:rPr>
      </w:pPr>
      <w:r w:rsidRPr="00A80CF5">
        <w:rPr>
          <w:lang w:eastAsia="ja-JP"/>
        </w:rPr>
        <w:t>1)</w:t>
      </w:r>
      <w:r w:rsidRPr="00A80CF5">
        <w:rPr>
          <w:lang w:eastAsia="ja-JP"/>
        </w:rPr>
        <w:tab/>
      </w:r>
      <w:r w:rsidR="002F4B46" w:rsidRPr="00A80CF5">
        <w:rPr>
          <w:lang w:eastAsia="ja-JP"/>
        </w:rPr>
        <w:t>Establecimiento de estrategias nacionales y</w:t>
      </w:r>
      <w:r w:rsidRPr="00A80CF5">
        <w:rPr>
          <w:lang w:eastAsia="ja-JP"/>
        </w:rPr>
        <w:t>/o regional</w:t>
      </w:r>
      <w:r w:rsidR="002F4B46" w:rsidRPr="00A80CF5">
        <w:rPr>
          <w:lang w:eastAsia="ja-JP"/>
        </w:rPr>
        <w:t>es de ciberseguridad, capacidades nacionales de ciberseguridad, como los equipos de intervención en caso de incidente informático</w:t>
      </w:r>
      <w:r w:rsidRPr="00A80CF5">
        <w:rPr>
          <w:lang w:eastAsia="ja-JP"/>
        </w:rPr>
        <w:t xml:space="preserve">, </w:t>
      </w:r>
      <w:r w:rsidR="002F4B46" w:rsidRPr="00A80CF5">
        <w:rPr>
          <w:lang w:eastAsia="ja-JP"/>
        </w:rPr>
        <w:t xml:space="preserve">recopilación de buenas prácticas a través del índice de ciberseguridad mundial con el fin de crear una </w:t>
      </w:r>
      <w:r w:rsidRPr="00A80CF5">
        <w:rPr>
          <w:lang w:eastAsia="ja-JP"/>
        </w:rPr>
        <w:t>cultur</w:t>
      </w:r>
      <w:r w:rsidR="002F4B46" w:rsidRPr="00A80CF5">
        <w:rPr>
          <w:lang w:eastAsia="ja-JP"/>
        </w:rPr>
        <w:t>a</w:t>
      </w:r>
      <w:r w:rsidRPr="00A80CF5">
        <w:rPr>
          <w:lang w:eastAsia="ja-JP"/>
        </w:rPr>
        <w:t xml:space="preserve"> </w:t>
      </w:r>
      <w:r w:rsidR="002F4B46" w:rsidRPr="00A80CF5">
        <w:rPr>
          <w:lang w:eastAsia="ja-JP"/>
        </w:rPr>
        <w:t>de ciberseguridad</w:t>
      </w:r>
      <w:r w:rsidR="008630E8">
        <w:rPr>
          <w:lang w:eastAsia="ja-JP"/>
        </w:rPr>
        <w:t>;</w:t>
      </w:r>
    </w:p>
    <w:p w:rsidR="002126A3" w:rsidRPr="00A80CF5" w:rsidRDefault="002126A3" w:rsidP="00A80CF5">
      <w:pPr>
        <w:pStyle w:val="enumlev1"/>
        <w:keepNext/>
        <w:rPr>
          <w:lang w:eastAsia="ja-JP"/>
        </w:rPr>
      </w:pPr>
      <w:r w:rsidRPr="00A80CF5">
        <w:rPr>
          <w:lang w:eastAsia="ja-JP"/>
        </w:rPr>
        <w:t>2)</w:t>
      </w:r>
      <w:r w:rsidRPr="00A80CF5">
        <w:rPr>
          <w:lang w:eastAsia="ja-JP"/>
        </w:rPr>
        <w:tab/>
      </w:r>
      <w:r w:rsidR="008630E8">
        <w:rPr>
          <w:lang w:eastAsia="ja-JP"/>
        </w:rPr>
        <w:t>r</w:t>
      </w:r>
      <w:r w:rsidR="002F4B46" w:rsidRPr="00A80CF5">
        <w:rPr>
          <w:lang w:eastAsia="ja-JP"/>
        </w:rPr>
        <w:t xml:space="preserve">efuerzo de la cooperación y coordinación institucional entre los principales actores a nivel nacional, regional y mundial </w:t>
      </w:r>
      <w:r w:rsidRPr="00A80CF5">
        <w:rPr>
          <w:lang w:eastAsia="ja-JP"/>
        </w:rPr>
        <w:t>(</w:t>
      </w:r>
      <w:r w:rsidR="002F4B46" w:rsidRPr="00A80CF5">
        <w:rPr>
          <w:lang w:eastAsia="ja-JP"/>
        </w:rPr>
        <w:t>comprendida la realización de cibersimulacros</w:t>
      </w:r>
      <w:r w:rsidRPr="00A80CF5">
        <w:rPr>
          <w:lang w:eastAsia="ja-JP"/>
        </w:rPr>
        <w:t xml:space="preserve">) </w:t>
      </w:r>
      <w:r w:rsidR="002F4B46" w:rsidRPr="00A80CF5">
        <w:rPr>
          <w:lang w:eastAsia="ja-JP"/>
        </w:rPr>
        <w:t>y refuerzo de la capacidad para resolver problemas de ciberseguridad</w:t>
      </w:r>
      <w:r w:rsidRPr="00A80CF5">
        <w:rPr>
          <w:lang w:eastAsia="ja-JP"/>
        </w:rPr>
        <w:t>;</w:t>
      </w:r>
    </w:p>
    <w:p w:rsidR="002126A3" w:rsidRPr="00A80CF5" w:rsidRDefault="002126A3" w:rsidP="00A80CF5">
      <w:pPr>
        <w:pStyle w:val="enumlev1"/>
        <w:rPr>
          <w:lang w:eastAsia="ja-JP"/>
        </w:rPr>
      </w:pPr>
      <w:r w:rsidRPr="00A80CF5">
        <w:rPr>
          <w:lang w:eastAsia="ja-JP"/>
        </w:rPr>
        <w:t>3)</w:t>
      </w:r>
      <w:r w:rsidRPr="00A80CF5">
        <w:rPr>
          <w:lang w:eastAsia="ja-JP"/>
        </w:rPr>
        <w:tab/>
      </w:r>
      <w:r w:rsidR="008630E8">
        <w:rPr>
          <w:lang w:eastAsia="ja-JP"/>
        </w:rPr>
        <w:t>e</w:t>
      </w:r>
      <w:r w:rsidR="00F13D22" w:rsidRPr="00A80CF5">
        <w:rPr>
          <w:lang w:eastAsia="ja-JP"/>
        </w:rPr>
        <w:t xml:space="preserve">laboración de planes nacionales </w:t>
      </w:r>
      <w:r w:rsidR="00E45EFE" w:rsidRPr="00A80CF5">
        <w:rPr>
          <w:lang w:eastAsia="ja-JP"/>
        </w:rPr>
        <w:t>de telecomunicaciones</w:t>
      </w:r>
      <w:r w:rsidR="00F13D22" w:rsidRPr="00A80CF5">
        <w:rPr>
          <w:lang w:eastAsia="ja-JP"/>
        </w:rPr>
        <w:t xml:space="preserve"> de emergencia e iniciativas </w:t>
      </w:r>
      <w:r w:rsidR="00E45EFE" w:rsidRPr="00A80CF5">
        <w:rPr>
          <w:lang w:eastAsia="ja-JP"/>
        </w:rPr>
        <w:t>TIC para la prestación de asistencia médica (cibersalud) y humanitaria en caso de catástrofe y emergencias</w:t>
      </w:r>
      <w:r w:rsidRPr="00A80CF5">
        <w:rPr>
          <w:lang w:eastAsia="ja-JP"/>
        </w:rPr>
        <w:t>;</w:t>
      </w:r>
    </w:p>
    <w:p w:rsidR="002126A3" w:rsidRPr="00A80CF5" w:rsidRDefault="002126A3" w:rsidP="00A80CF5">
      <w:pPr>
        <w:pStyle w:val="enumlev1"/>
        <w:rPr>
          <w:lang w:eastAsia="ja-JP"/>
        </w:rPr>
      </w:pPr>
      <w:r w:rsidRPr="00A80CF5">
        <w:rPr>
          <w:lang w:eastAsia="ja-JP"/>
        </w:rPr>
        <w:t>4)</w:t>
      </w:r>
      <w:r w:rsidRPr="00A80CF5">
        <w:rPr>
          <w:lang w:eastAsia="ja-JP"/>
        </w:rPr>
        <w:tab/>
      </w:r>
      <w:r w:rsidR="008630E8">
        <w:rPr>
          <w:lang w:eastAsia="ja-JP"/>
        </w:rPr>
        <w:t>i</w:t>
      </w:r>
      <w:r w:rsidR="00F13D22" w:rsidRPr="00A80CF5">
        <w:rPr>
          <w:lang w:eastAsia="ja-JP"/>
        </w:rPr>
        <w:t xml:space="preserve">ncorporación de funciones resistentes a las catástrofes en las redes y la infraestructura de telecomunicaciones, y elaboración de soluciones TIC </w:t>
      </w:r>
      <w:r w:rsidRPr="00A80CF5">
        <w:rPr>
          <w:lang w:eastAsia="ja-JP"/>
        </w:rPr>
        <w:t>(</w:t>
      </w:r>
      <w:r w:rsidR="00F13D22" w:rsidRPr="00A80CF5">
        <w:rPr>
          <w:lang w:eastAsia="ja-JP"/>
        </w:rPr>
        <w:t>incluidas las tecnologías inalámbricas y por satélite</w:t>
      </w:r>
      <w:r w:rsidRPr="00A80CF5">
        <w:rPr>
          <w:lang w:eastAsia="ja-JP"/>
        </w:rPr>
        <w:t xml:space="preserve">) </w:t>
      </w:r>
      <w:r w:rsidR="00F13D22" w:rsidRPr="00A80CF5">
        <w:rPr>
          <w:lang w:eastAsia="ja-JP"/>
        </w:rPr>
        <w:t>para mejorar la resiliencia de las redes</w:t>
      </w:r>
      <w:r w:rsidRPr="00A80CF5">
        <w:rPr>
          <w:lang w:eastAsia="ja-JP"/>
        </w:rPr>
        <w:t>;</w:t>
      </w:r>
    </w:p>
    <w:p w:rsidR="002126A3" w:rsidRPr="00A80CF5" w:rsidRDefault="002126A3" w:rsidP="00A80CF5">
      <w:pPr>
        <w:pStyle w:val="enumlev1"/>
        <w:rPr>
          <w:lang w:eastAsia="ja-JP"/>
        </w:rPr>
      </w:pPr>
      <w:r w:rsidRPr="00A80CF5">
        <w:rPr>
          <w:lang w:eastAsia="ja-JP"/>
        </w:rPr>
        <w:t>5)</w:t>
      </w:r>
      <w:r w:rsidRPr="00A80CF5">
        <w:rPr>
          <w:lang w:eastAsia="ja-JP"/>
        </w:rPr>
        <w:tab/>
      </w:r>
      <w:r w:rsidR="00F13D22" w:rsidRPr="00A80CF5">
        <w:rPr>
          <w:lang w:eastAsia="ja-JP"/>
        </w:rPr>
        <w:t>vinculación de los sistemas de alerta inmediata y de supervisión normalizados a las redes nacionales y regionales y mejora de los sistemas de sensores espaciales activos y pasivos para la predicción, detección y mitigación de las catástrofes</w:t>
      </w:r>
      <w:r w:rsidRPr="00A80CF5">
        <w:rPr>
          <w:lang w:eastAsia="ja-JP"/>
        </w:rPr>
        <w:t>;</w:t>
      </w:r>
    </w:p>
    <w:p w:rsidR="002126A3" w:rsidRPr="00A80CF5" w:rsidRDefault="002126A3" w:rsidP="00A80CF5">
      <w:pPr>
        <w:pStyle w:val="enumlev1"/>
        <w:rPr>
          <w:lang w:eastAsia="ja-JP"/>
        </w:rPr>
      </w:pPr>
      <w:r w:rsidRPr="00A80CF5">
        <w:rPr>
          <w:lang w:eastAsia="ja-JP"/>
        </w:rPr>
        <w:t>6)</w:t>
      </w:r>
      <w:r w:rsidRPr="00A80CF5">
        <w:rPr>
          <w:lang w:eastAsia="ja-JP"/>
        </w:rPr>
        <w:tab/>
      </w:r>
      <w:r w:rsidR="00D45A5A" w:rsidRPr="00A80CF5">
        <w:rPr>
          <w:lang w:eastAsia="ja-JP"/>
        </w:rPr>
        <w:t xml:space="preserve">formulación </w:t>
      </w:r>
      <w:r w:rsidR="00F13D22" w:rsidRPr="00A80CF5">
        <w:rPr>
          <w:lang w:eastAsia="ja-JP"/>
        </w:rPr>
        <w:t xml:space="preserve">de </w:t>
      </w:r>
      <w:r w:rsidR="00D45A5A" w:rsidRPr="00A80CF5">
        <w:rPr>
          <w:lang w:eastAsia="ja-JP"/>
        </w:rPr>
        <w:t xml:space="preserve">estrategias y medidas </w:t>
      </w:r>
      <w:r w:rsidR="00F13D22" w:rsidRPr="00A80CF5">
        <w:rPr>
          <w:lang w:eastAsia="ja-JP"/>
        </w:rPr>
        <w:t xml:space="preserve">exhaustivas </w:t>
      </w:r>
      <w:r w:rsidR="00D45A5A" w:rsidRPr="00A80CF5">
        <w:rPr>
          <w:lang w:eastAsia="ja-JP"/>
        </w:rPr>
        <w:t>que contribuyan a mitigar y responder a los efectos devastadores del cambio climático</w:t>
      </w:r>
      <w:r w:rsidR="00F13D22" w:rsidRPr="00A80CF5">
        <w:rPr>
          <w:lang w:eastAsia="ja-JP"/>
        </w:rPr>
        <w:t>, incluida una política de residuos electrónicos</w:t>
      </w:r>
      <w:r w:rsidR="00D45A5A" w:rsidRPr="00A80CF5">
        <w:rPr>
          <w:lang w:eastAsia="ja-JP"/>
        </w:rPr>
        <w:t>.</w:t>
      </w:r>
    </w:p>
    <w:p w:rsidR="00961FF6" w:rsidRPr="00E36A19" w:rsidRDefault="00D45A5A" w:rsidP="00A80CF5">
      <w:pPr>
        <w:pStyle w:val="Reasons"/>
        <w:rPr>
          <w:b/>
          <w:bCs/>
          <w:lang w:val="es-ES_tradnl"/>
        </w:rPr>
      </w:pPr>
      <w:r w:rsidRPr="00E36A19">
        <w:rPr>
          <w:b/>
          <w:bCs/>
          <w:lang w:val="es-ES_tradnl"/>
        </w:rPr>
        <w:lastRenderedPageBreak/>
        <w:t>Motivos:</w:t>
      </w:r>
    </w:p>
    <w:p w:rsidR="002126A3" w:rsidRPr="00E36A19" w:rsidRDefault="00F13D22" w:rsidP="0085053B">
      <w:pPr>
        <w:pStyle w:val="Reasons"/>
        <w:rPr>
          <w:lang w:val="es-ES_tradnl"/>
        </w:rPr>
      </w:pPr>
      <w:r w:rsidRPr="00E36A19">
        <w:rPr>
          <w:lang w:val="es-ES_tradnl"/>
        </w:rPr>
        <w:t xml:space="preserve">Las Administraciones Miembros de la </w:t>
      </w:r>
      <w:r w:rsidR="002126A3" w:rsidRPr="00E36A19">
        <w:rPr>
          <w:lang w:val="es-ES_tradnl"/>
        </w:rPr>
        <w:t xml:space="preserve">APT </w:t>
      </w:r>
      <w:r w:rsidRPr="00E36A19">
        <w:rPr>
          <w:lang w:val="es-ES_tradnl"/>
        </w:rPr>
        <w:t xml:space="preserve">proponen que las anteriores </w:t>
      </w:r>
      <w:r w:rsidR="0085053B">
        <w:rPr>
          <w:lang w:val="es-ES_tradnl"/>
        </w:rPr>
        <w:t>I</w:t>
      </w:r>
      <w:r w:rsidRPr="00E36A19">
        <w:rPr>
          <w:lang w:val="es-ES_tradnl"/>
        </w:rPr>
        <w:t xml:space="preserve">niciativas </w:t>
      </w:r>
      <w:r w:rsidR="0085053B">
        <w:rPr>
          <w:lang w:val="es-ES_tradnl"/>
        </w:rPr>
        <w:t>R</w:t>
      </w:r>
      <w:r w:rsidRPr="00E36A19">
        <w:rPr>
          <w:lang w:val="es-ES_tradnl"/>
        </w:rPr>
        <w:t xml:space="preserve">egionales de Asia-Pacífico se incluyan en el Plan de Acción de </w:t>
      </w:r>
      <w:r w:rsidR="002126A3" w:rsidRPr="00E36A19">
        <w:rPr>
          <w:lang w:val="es-ES_tradnl"/>
        </w:rPr>
        <w:t>Buenos Aires.</w:t>
      </w:r>
      <w:r w:rsidR="00E36A19">
        <w:rPr>
          <w:lang w:val="es-ES_tradnl"/>
        </w:rPr>
        <w:t xml:space="preserve"> </w:t>
      </w:r>
    </w:p>
    <w:p w:rsidR="002126A3" w:rsidRPr="00E36A19" w:rsidRDefault="00F13D22" w:rsidP="0085053B">
      <w:pPr>
        <w:pStyle w:val="Reasons"/>
        <w:rPr>
          <w:lang w:val="es-ES_tradnl"/>
        </w:rPr>
      </w:pPr>
      <w:r w:rsidRPr="00E36A19">
        <w:rPr>
          <w:lang w:val="es-ES_tradnl"/>
        </w:rPr>
        <w:t xml:space="preserve">Las Administraciones Miembros de la APT proponen que se supriman las </w:t>
      </w:r>
      <w:r w:rsidR="0085053B" w:rsidRPr="00E36A19">
        <w:rPr>
          <w:lang w:val="es-ES_tradnl"/>
        </w:rPr>
        <w:t>Iniciativas R</w:t>
      </w:r>
      <w:r w:rsidRPr="00E36A19">
        <w:rPr>
          <w:lang w:val="es-ES_tradnl"/>
        </w:rPr>
        <w:t xml:space="preserve">egionales para la </w:t>
      </w:r>
      <w:r w:rsidR="0085053B">
        <w:rPr>
          <w:lang w:val="es-ES_tradnl"/>
        </w:rPr>
        <w:t>R</w:t>
      </w:r>
      <w:r w:rsidRPr="00E36A19">
        <w:rPr>
          <w:lang w:val="es-ES_tradnl"/>
        </w:rPr>
        <w:t>egión de Asia-Pacífico que figuran en la Sección 3 del Plan de Acción de Dubái</w:t>
      </w:r>
      <w:r w:rsidR="002126A3" w:rsidRPr="00E36A19">
        <w:rPr>
          <w:lang w:val="es-ES_tradnl"/>
        </w:rPr>
        <w:t>.</w:t>
      </w:r>
    </w:p>
    <w:p w:rsidR="002126A3" w:rsidRPr="00E36A19" w:rsidRDefault="002126A3" w:rsidP="00A80CF5">
      <w:pPr>
        <w:pStyle w:val="Reasons"/>
        <w:rPr>
          <w:lang w:val="es-ES_tradnl"/>
        </w:rPr>
      </w:pPr>
    </w:p>
    <w:p w:rsidR="002126A3" w:rsidRPr="00A80CF5" w:rsidRDefault="002126A3" w:rsidP="00A80CF5">
      <w:pPr>
        <w:jc w:val="center"/>
      </w:pPr>
      <w:r w:rsidRPr="00A80CF5">
        <w:t>______________</w:t>
      </w:r>
    </w:p>
    <w:sectPr w:rsidR="002126A3" w:rsidRPr="00A80CF5">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35B" w:rsidRPr="00DE7A75" w:rsidRDefault="0063235B" w:rsidP="0063235B">
    <w:pPr>
      <w:pStyle w:val="Footer"/>
      <w:rPr>
        <w:lang w:val="en-US"/>
      </w:rPr>
    </w:pPr>
    <w:r>
      <w:fldChar w:fldCharType="begin"/>
    </w:r>
    <w:r w:rsidRPr="005967E8">
      <w:rPr>
        <w:lang w:val="en-US"/>
      </w:rPr>
      <w:instrText xml:space="preserve"> FILENAME \p \* MERGEFORMAT </w:instrText>
    </w:r>
    <w:r>
      <w:fldChar w:fldCharType="separate"/>
    </w:r>
    <w:r w:rsidR="00174FCC">
      <w:rPr>
        <w:lang w:val="en-US"/>
      </w:rPr>
      <w:t>P:\ESP\ITU-D\CONF-D\WTDC17\000\022ADD08S.docx</w:t>
    </w:r>
    <w:r>
      <w:rPr>
        <w:lang w:val="en-US"/>
      </w:rPr>
      <w:fldChar w:fldCharType="end"/>
    </w:r>
    <w:r>
      <w:rPr>
        <w:lang w:val="en-US"/>
      </w:rPr>
      <w:t xml:space="preserve"> (423551)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5D7FC5" w:rsidTr="009D2C69">
      <w:tc>
        <w:tcPr>
          <w:tcW w:w="1134" w:type="dxa"/>
          <w:tcBorders>
            <w:top w:val="single" w:sz="4" w:space="0" w:color="000000"/>
          </w:tcBorders>
          <w:shd w:val="clear" w:color="auto" w:fill="auto"/>
        </w:tcPr>
        <w:p w:rsidR="004C4DF7" w:rsidRPr="005D7FC5" w:rsidRDefault="004C4DF7" w:rsidP="004C4DF7">
          <w:pPr>
            <w:pStyle w:val="FirstFooter"/>
            <w:tabs>
              <w:tab w:val="left" w:pos="1559"/>
              <w:tab w:val="left" w:pos="3828"/>
            </w:tabs>
            <w:rPr>
              <w:sz w:val="18"/>
              <w:szCs w:val="18"/>
              <w:lang w:val="es-ES_tradnl"/>
            </w:rPr>
          </w:pPr>
          <w:r w:rsidRPr="005D7FC5">
            <w:rPr>
              <w:sz w:val="18"/>
              <w:szCs w:val="18"/>
              <w:lang w:val="es-ES_tradnl"/>
            </w:rPr>
            <w:t>Contacto:</w:t>
          </w:r>
        </w:p>
      </w:tc>
      <w:tc>
        <w:tcPr>
          <w:tcW w:w="2552" w:type="dxa"/>
          <w:tcBorders>
            <w:top w:val="single" w:sz="4" w:space="0" w:color="000000"/>
          </w:tcBorders>
          <w:shd w:val="clear" w:color="auto" w:fill="auto"/>
        </w:tcPr>
        <w:p w:rsidR="004C4DF7" w:rsidRPr="005D7FC5" w:rsidRDefault="004C4DF7" w:rsidP="004C4DF7">
          <w:pPr>
            <w:pStyle w:val="FirstFooter"/>
            <w:tabs>
              <w:tab w:val="left" w:pos="2302"/>
            </w:tabs>
            <w:ind w:left="2302" w:hanging="2302"/>
            <w:rPr>
              <w:sz w:val="18"/>
              <w:szCs w:val="18"/>
              <w:lang w:val="es-ES_tradnl"/>
            </w:rPr>
          </w:pPr>
          <w:r w:rsidRPr="005D7FC5">
            <w:rPr>
              <w:sz w:val="18"/>
              <w:szCs w:val="18"/>
              <w:lang w:val="es-ES_tradnl"/>
            </w:rPr>
            <w:t>Nombre/Organización/Entidad:</w:t>
          </w:r>
        </w:p>
      </w:tc>
      <w:tc>
        <w:tcPr>
          <w:tcW w:w="6237" w:type="dxa"/>
          <w:tcBorders>
            <w:top w:val="single" w:sz="4" w:space="0" w:color="000000"/>
          </w:tcBorders>
          <w:shd w:val="clear" w:color="auto" w:fill="auto"/>
        </w:tcPr>
        <w:p w:rsidR="004C4DF7" w:rsidRPr="005D7FC5" w:rsidRDefault="005D7FC5" w:rsidP="005D7FC5">
          <w:pPr>
            <w:pStyle w:val="FirstFooter"/>
            <w:tabs>
              <w:tab w:val="left" w:pos="2302"/>
            </w:tabs>
            <w:ind w:left="2302" w:hanging="2302"/>
            <w:rPr>
              <w:sz w:val="18"/>
              <w:szCs w:val="18"/>
              <w:lang w:val="es-ES_tradnl"/>
            </w:rPr>
          </w:pPr>
          <w:bookmarkStart w:id="35" w:name="OrgName"/>
          <w:bookmarkEnd w:id="35"/>
          <w:r w:rsidRPr="005D7FC5">
            <w:rPr>
              <w:sz w:val="18"/>
              <w:szCs w:val="18"/>
              <w:lang w:val="es-ES_tradnl"/>
            </w:rPr>
            <w:t>Sr. Joseph McCarroll, Presidente del GT 2, Australia</w:t>
          </w:r>
        </w:p>
      </w:tc>
    </w:tr>
    <w:tr w:rsidR="004C4DF7" w:rsidRPr="005D7FC5" w:rsidTr="009D2C69">
      <w:tc>
        <w:tcPr>
          <w:tcW w:w="1134" w:type="dxa"/>
          <w:shd w:val="clear" w:color="auto" w:fill="auto"/>
        </w:tcPr>
        <w:p w:rsidR="004C4DF7" w:rsidRPr="005D7FC5"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5D7FC5" w:rsidRDefault="004C4DF7" w:rsidP="004C4DF7">
          <w:pPr>
            <w:pStyle w:val="FirstFooter"/>
            <w:tabs>
              <w:tab w:val="left" w:pos="2302"/>
            </w:tabs>
            <w:rPr>
              <w:sz w:val="18"/>
              <w:szCs w:val="18"/>
              <w:lang w:val="es-ES_tradnl"/>
            </w:rPr>
          </w:pPr>
          <w:r w:rsidRPr="005D7FC5">
            <w:rPr>
              <w:sz w:val="18"/>
              <w:szCs w:val="18"/>
              <w:lang w:val="es-ES_tradnl"/>
            </w:rPr>
            <w:t>Correo-e:</w:t>
          </w:r>
        </w:p>
      </w:tc>
      <w:bookmarkStart w:id="36" w:name="Email"/>
      <w:bookmarkEnd w:id="36"/>
      <w:tc>
        <w:tcPr>
          <w:tcW w:w="6237" w:type="dxa"/>
          <w:shd w:val="clear" w:color="auto" w:fill="auto"/>
        </w:tcPr>
        <w:p w:rsidR="004C4DF7" w:rsidRPr="005D7FC5" w:rsidRDefault="005D7FC5" w:rsidP="005D7FC5">
          <w:pPr>
            <w:pStyle w:val="FirstFooter"/>
            <w:tabs>
              <w:tab w:val="left" w:pos="2302"/>
            </w:tabs>
            <w:rPr>
              <w:sz w:val="18"/>
              <w:szCs w:val="18"/>
              <w:lang w:val="es-ES_tradnl"/>
            </w:rPr>
          </w:pPr>
          <w:r w:rsidRPr="005D7FC5">
            <w:rPr>
              <w:sz w:val="18"/>
              <w:szCs w:val="18"/>
              <w:lang w:val="en-GB"/>
            </w:rPr>
            <w:fldChar w:fldCharType="begin"/>
          </w:r>
          <w:r w:rsidRPr="005D7FC5">
            <w:rPr>
              <w:sz w:val="18"/>
              <w:szCs w:val="18"/>
              <w:lang w:val="es-ES_tradnl"/>
            </w:rPr>
            <w:instrText xml:space="preserve"> HYPERLINK "mailto:joseph.mccarroll@communications.gov.au" </w:instrText>
          </w:r>
          <w:r w:rsidRPr="005D7FC5">
            <w:rPr>
              <w:sz w:val="18"/>
              <w:szCs w:val="18"/>
              <w:lang w:val="en-GB"/>
            </w:rPr>
            <w:fldChar w:fldCharType="separate"/>
          </w:r>
          <w:r w:rsidRPr="005D7FC5">
            <w:rPr>
              <w:rStyle w:val="Hyperlink"/>
              <w:sz w:val="18"/>
              <w:szCs w:val="18"/>
              <w:lang w:val="es-ES_tradnl"/>
            </w:rPr>
            <w:t>joseph.mccarroll@communications.gov.au</w:t>
          </w:r>
          <w:r w:rsidRPr="005D7FC5">
            <w:rPr>
              <w:sz w:val="18"/>
              <w:szCs w:val="18"/>
              <w:lang w:val="es-ES_tradnl"/>
            </w:rPr>
            <w:fldChar w:fldCharType="end"/>
          </w:r>
        </w:p>
      </w:tc>
    </w:tr>
  </w:tbl>
  <w:p w:rsidR="004C4DF7" w:rsidRPr="00A80CF5" w:rsidRDefault="005D7FC5" w:rsidP="004C4DF7">
    <w:pPr>
      <w:jc w:val="center"/>
      <w:rPr>
        <w:sz w:val="20"/>
      </w:rPr>
    </w:pPr>
    <w:hyperlink r:id="rId1" w:history="1">
      <w:r w:rsidR="00CA326E" w:rsidRPr="00A80CF5">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A80CF5" w:rsidRDefault="00805F71" w:rsidP="00C477B1">
    <w:pPr>
      <w:pStyle w:val="Header"/>
      <w:tabs>
        <w:tab w:val="center" w:pos="4819"/>
        <w:tab w:val="right" w:pos="9639"/>
      </w:tabs>
      <w:jc w:val="left"/>
      <w:rPr>
        <w:rStyle w:val="PageNumber"/>
        <w:sz w:val="22"/>
        <w:szCs w:val="22"/>
        <w:lang w:val="es-ES_tradnl"/>
      </w:rPr>
    </w:pPr>
    <w:r w:rsidRPr="00A80CF5">
      <w:rPr>
        <w:rStyle w:val="PageNumber"/>
        <w:sz w:val="22"/>
        <w:szCs w:val="22"/>
        <w:lang w:val="es-ES_tradnl"/>
      </w:rPr>
      <w:tab/>
    </w:r>
    <w:r w:rsidR="00C477B1" w:rsidRPr="00A80CF5">
      <w:rPr>
        <w:sz w:val="22"/>
        <w:szCs w:val="22"/>
        <w:lang w:val="es-ES_tradnl"/>
      </w:rPr>
      <w:t>CMDT</w:t>
    </w:r>
    <w:r w:rsidR="00CA326E" w:rsidRPr="00A80CF5">
      <w:rPr>
        <w:sz w:val="22"/>
        <w:szCs w:val="22"/>
        <w:lang w:val="es-ES_tradnl"/>
      </w:rPr>
      <w:t>-17/</w:t>
    </w:r>
    <w:bookmarkStart w:id="32" w:name="OLE_LINK3"/>
    <w:bookmarkStart w:id="33" w:name="OLE_LINK2"/>
    <w:bookmarkStart w:id="34" w:name="OLE_LINK1"/>
    <w:r w:rsidR="00CA326E" w:rsidRPr="00A80CF5">
      <w:rPr>
        <w:sz w:val="22"/>
        <w:szCs w:val="22"/>
        <w:lang w:val="es-ES_tradnl"/>
      </w:rPr>
      <w:t>22(Add.8)</w:t>
    </w:r>
    <w:bookmarkEnd w:id="32"/>
    <w:bookmarkEnd w:id="33"/>
    <w:bookmarkEnd w:id="34"/>
    <w:r w:rsidR="00CA326E" w:rsidRPr="00A80CF5">
      <w:rPr>
        <w:sz w:val="22"/>
        <w:szCs w:val="22"/>
        <w:lang w:val="es-ES_tradnl"/>
      </w:rPr>
      <w:t>-S</w:t>
    </w:r>
    <w:r w:rsidR="00841196" w:rsidRPr="00A80CF5">
      <w:rPr>
        <w:rStyle w:val="PageNumber"/>
        <w:sz w:val="22"/>
        <w:szCs w:val="22"/>
        <w:lang w:val="es-ES_tradnl"/>
      </w:rPr>
      <w:tab/>
      <w:t>P</w:t>
    </w:r>
    <w:r w:rsidR="002F4B23" w:rsidRPr="00A80CF5">
      <w:rPr>
        <w:rStyle w:val="PageNumber"/>
        <w:sz w:val="22"/>
        <w:szCs w:val="22"/>
        <w:lang w:val="es-ES_tradnl"/>
      </w:rPr>
      <w:t>ágina</w:t>
    </w:r>
    <w:r w:rsidR="00841196" w:rsidRPr="00A80CF5">
      <w:rPr>
        <w:rStyle w:val="PageNumber"/>
        <w:sz w:val="22"/>
        <w:szCs w:val="22"/>
        <w:lang w:val="es-ES_tradnl"/>
      </w:rPr>
      <w:t xml:space="preserve"> </w:t>
    </w:r>
    <w:r w:rsidR="00996D9C" w:rsidRPr="00A80CF5">
      <w:rPr>
        <w:rStyle w:val="PageNumber"/>
        <w:sz w:val="22"/>
        <w:szCs w:val="22"/>
        <w:lang w:val="es-ES_tradnl"/>
      </w:rPr>
      <w:fldChar w:fldCharType="begin"/>
    </w:r>
    <w:r w:rsidR="00841196" w:rsidRPr="00A80CF5">
      <w:rPr>
        <w:rStyle w:val="PageNumber"/>
        <w:sz w:val="22"/>
        <w:szCs w:val="22"/>
        <w:lang w:val="es-ES_tradnl"/>
      </w:rPr>
      <w:instrText xml:space="preserve"> PAGE </w:instrText>
    </w:r>
    <w:r w:rsidR="00996D9C" w:rsidRPr="00A80CF5">
      <w:rPr>
        <w:rStyle w:val="PageNumber"/>
        <w:sz w:val="22"/>
        <w:szCs w:val="22"/>
        <w:lang w:val="es-ES_tradnl"/>
      </w:rPr>
      <w:fldChar w:fldCharType="separate"/>
    </w:r>
    <w:r w:rsidR="005D7FC5">
      <w:rPr>
        <w:rStyle w:val="PageNumber"/>
        <w:noProof/>
        <w:sz w:val="22"/>
        <w:szCs w:val="22"/>
        <w:lang w:val="es-ES_tradnl"/>
      </w:rPr>
      <w:t>2</w:t>
    </w:r>
    <w:r w:rsidR="00996D9C" w:rsidRPr="00A80CF5">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6506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8E0D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900C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BE5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9E6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ACE8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B2F5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9E21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1A03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6EB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636E2"/>
    <w:rsid w:val="00075062"/>
    <w:rsid w:val="000B6175"/>
    <w:rsid w:val="000C406D"/>
    <w:rsid w:val="000F69BA"/>
    <w:rsid w:val="00101770"/>
    <w:rsid w:val="00104292"/>
    <w:rsid w:val="00111F38"/>
    <w:rsid w:val="001232E9"/>
    <w:rsid w:val="00130051"/>
    <w:rsid w:val="001359A5"/>
    <w:rsid w:val="001432BC"/>
    <w:rsid w:val="00146B88"/>
    <w:rsid w:val="001663C8"/>
    <w:rsid w:val="00174FCC"/>
    <w:rsid w:val="00177103"/>
    <w:rsid w:val="00187FB4"/>
    <w:rsid w:val="001B4374"/>
    <w:rsid w:val="002126A3"/>
    <w:rsid w:val="00216AF0"/>
    <w:rsid w:val="00222133"/>
    <w:rsid w:val="00242C09"/>
    <w:rsid w:val="00250817"/>
    <w:rsid w:val="00250CC1"/>
    <w:rsid w:val="002514A4"/>
    <w:rsid w:val="002745CF"/>
    <w:rsid w:val="002A60D8"/>
    <w:rsid w:val="002C1636"/>
    <w:rsid w:val="002C6D7A"/>
    <w:rsid w:val="002E1030"/>
    <w:rsid w:val="002E20C5"/>
    <w:rsid w:val="002E57D3"/>
    <w:rsid w:val="002F4B23"/>
    <w:rsid w:val="002F4B46"/>
    <w:rsid w:val="00303948"/>
    <w:rsid w:val="0034172E"/>
    <w:rsid w:val="00393C10"/>
    <w:rsid w:val="003B74AD"/>
    <w:rsid w:val="003F78AF"/>
    <w:rsid w:val="00400CD0"/>
    <w:rsid w:val="0040592D"/>
    <w:rsid w:val="00417E93"/>
    <w:rsid w:val="00420B93"/>
    <w:rsid w:val="004B47C7"/>
    <w:rsid w:val="004C4186"/>
    <w:rsid w:val="004C4DF7"/>
    <w:rsid w:val="004C55A9"/>
    <w:rsid w:val="00546A49"/>
    <w:rsid w:val="005546BB"/>
    <w:rsid w:val="00556004"/>
    <w:rsid w:val="005707D4"/>
    <w:rsid w:val="005967E8"/>
    <w:rsid w:val="005A3734"/>
    <w:rsid w:val="005B277C"/>
    <w:rsid w:val="005D7FC5"/>
    <w:rsid w:val="005F6655"/>
    <w:rsid w:val="00621383"/>
    <w:rsid w:val="0063235B"/>
    <w:rsid w:val="006343BC"/>
    <w:rsid w:val="006448EC"/>
    <w:rsid w:val="00644C75"/>
    <w:rsid w:val="0064676F"/>
    <w:rsid w:val="0067437A"/>
    <w:rsid w:val="006859C1"/>
    <w:rsid w:val="006A70F7"/>
    <w:rsid w:val="006B19EA"/>
    <w:rsid w:val="006B2077"/>
    <w:rsid w:val="006B44F7"/>
    <w:rsid w:val="006C1AF0"/>
    <w:rsid w:val="006C2077"/>
    <w:rsid w:val="00706DB9"/>
    <w:rsid w:val="0071137C"/>
    <w:rsid w:val="007131ED"/>
    <w:rsid w:val="00731354"/>
    <w:rsid w:val="00746B65"/>
    <w:rsid w:val="00751F6A"/>
    <w:rsid w:val="00763579"/>
    <w:rsid w:val="00766112"/>
    <w:rsid w:val="00772084"/>
    <w:rsid w:val="007725F2"/>
    <w:rsid w:val="007A1159"/>
    <w:rsid w:val="007B3151"/>
    <w:rsid w:val="007D682E"/>
    <w:rsid w:val="007E6997"/>
    <w:rsid w:val="007F39DA"/>
    <w:rsid w:val="00805F71"/>
    <w:rsid w:val="00833758"/>
    <w:rsid w:val="00841196"/>
    <w:rsid w:val="0085053B"/>
    <w:rsid w:val="00857625"/>
    <w:rsid w:val="008630E8"/>
    <w:rsid w:val="00870DB0"/>
    <w:rsid w:val="00887511"/>
    <w:rsid w:val="008D6FFB"/>
    <w:rsid w:val="009100BA"/>
    <w:rsid w:val="00911A4D"/>
    <w:rsid w:val="00927BD8"/>
    <w:rsid w:val="00956203"/>
    <w:rsid w:val="00957B66"/>
    <w:rsid w:val="00961FF6"/>
    <w:rsid w:val="00964DA9"/>
    <w:rsid w:val="00973150"/>
    <w:rsid w:val="00985BBD"/>
    <w:rsid w:val="00996D9C"/>
    <w:rsid w:val="009D0FF0"/>
    <w:rsid w:val="00A12D19"/>
    <w:rsid w:val="00A32892"/>
    <w:rsid w:val="00A80CF5"/>
    <w:rsid w:val="00AA0D3F"/>
    <w:rsid w:val="00AC32D2"/>
    <w:rsid w:val="00AD20EE"/>
    <w:rsid w:val="00AE610D"/>
    <w:rsid w:val="00B164F1"/>
    <w:rsid w:val="00B63694"/>
    <w:rsid w:val="00B7661E"/>
    <w:rsid w:val="00B80D14"/>
    <w:rsid w:val="00B8548D"/>
    <w:rsid w:val="00B969FD"/>
    <w:rsid w:val="00BB17D3"/>
    <w:rsid w:val="00BB68DE"/>
    <w:rsid w:val="00BD13E7"/>
    <w:rsid w:val="00BF0E7D"/>
    <w:rsid w:val="00C014A0"/>
    <w:rsid w:val="00C26BFF"/>
    <w:rsid w:val="00C4408D"/>
    <w:rsid w:val="00C46AC6"/>
    <w:rsid w:val="00C477B1"/>
    <w:rsid w:val="00C52949"/>
    <w:rsid w:val="00C55988"/>
    <w:rsid w:val="00C807C0"/>
    <w:rsid w:val="00CA326E"/>
    <w:rsid w:val="00CB677C"/>
    <w:rsid w:val="00D17BFD"/>
    <w:rsid w:val="00D317D4"/>
    <w:rsid w:val="00D41A67"/>
    <w:rsid w:val="00D45A5A"/>
    <w:rsid w:val="00D50E44"/>
    <w:rsid w:val="00D72D2A"/>
    <w:rsid w:val="00D84739"/>
    <w:rsid w:val="00D85FC9"/>
    <w:rsid w:val="00DE7A75"/>
    <w:rsid w:val="00E10F96"/>
    <w:rsid w:val="00E176E5"/>
    <w:rsid w:val="00E232F8"/>
    <w:rsid w:val="00E36A19"/>
    <w:rsid w:val="00E408A7"/>
    <w:rsid w:val="00E45EFE"/>
    <w:rsid w:val="00E47369"/>
    <w:rsid w:val="00E74ED5"/>
    <w:rsid w:val="00EA6E15"/>
    <w:rsid w:val="00EB4114"/>
    <w:rsid w:val="00EB6CD3"/>
    <w:rsid w:val="00EC274E"/>
    <w:rsid w:val="00ED2AE9"/>
    <w:rsid w:val="00F05232"/>
    <w:rsid w:val="00F07445"/>
    <w:rsid w:val="00F13D22"/>
    <w:rsid w:val="00F2207F"/>
    <w:rsid w:val="00F324A1"/>
    <w:rsid w:val="00F65879"/>
    <w:rsid w:val="00F83C74"/>
    <w:rsid w:val="00FA3D6E"/>
    <w:rsid w:val="00FD2FA3"/>
    <w:rsid w:val="00FE5E35"/>
    <w:rsid w:val="00FE7A79"/>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customStyle="1" w:styleId="Section1">
    <w:name w:val="Section 1"/>
    <w:basedOn w:val="ChapNo"/>
    <w:next w:val="Normal"/>
    <w:rsid w:val="00AD566F"/>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bc5ca09-73a5-4e3f-9e8d-ffe44853e24b">DPM</DPM_x0020_Author>
    <DPM_x0020_File_x0020_name xmlns="3bc5ca09-73a5-4e3f-9e8d-ffe44853e24b">D14-WTDC17-C-0022!A8!MSW-S</DPM_x0020_File_x0020_name>
    <DPM_x0020_Version xmlns="3bc5ca09-73a5-4e3f-9e8d-ffe44853e24b">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bc5ca09-73a5-4e3f-9e8d-ffe44853e24b" targetNamespace="http://schemas.microsoft.com/office/2006/metadata/properties" ma:root="true" ma:fieldsID="d41af5c836d734370eb92e7ee5f83852" ns2:_="" ns3:_="">
    <xsd:import namespace="996b2e75-67fd-4955-a3b0-5ab9934cb50b"/>
    <xsd:import namespace="3bc5ca09-73a5-4e3f-9e8d-ffe44853e2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bc5ca09-73a5-4e3f-9e8d-ffe44853e2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3bc5ca09-73a5-4e3f-9e8d-ffe44853e24b"/>
    <ds:schemaRef ds:uri="http://schemas.microsoft.com/office/2006/documentManagement/types"/>
    <ds:schemaRef ds:uri="http://purl.org/dc/terms/"/>
    <ds:schemaRef ds:uri="996b2e75-67fd-4955-a3b0-5ab9934cb50b"/>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bc5ca09-73a5-4e3f-9e8d-ffe44853e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4D800-6D8F-4CB1-9DC9-0BA97E54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1607</Words>
  <Characters>9637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D14-WTDC17-C-0022!A8!MSW-S</vt:lpstr>
    </vt:vector>
  </TitlesOfParts>
  <Manager>General Secretariat - Pool</Manager>
  <Company>International Telecommunication Union (ITU)</Company>
  <LinksUpToDate>false</LinksUpToDate>
  <CharactersWithSpaces>11222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D14-WTDC17-C-0022!A8!MSW-S</dc:title>
  <dc:creator>Documents Proposals Manager (DPM)</dc:creator>
  <cp:keywords>DPM_v2017.8.29.1_prod</cp:keywords>
  <dc:description/>
  <cp:lastModifiedBy>Jones, Jacqueline</cp:lastModifiedBy>
  <cp:revision>2</cp:revision>
  <cp:lastPrinted>2017-09-12T13:01:00Z</cp:lastPrinted>
  <dcterms:created xsi:type="dcterms:W3CDTF">2017-10-02T12:38:00Z</dcterms:created>
  <dcterms:modified xsi:type="dcterms:W3CDTF">2017-10-02T12:38:00Z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