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313976" w:rsidTr="00CB7286">
        <w:trPr>
          <w:cantSplit/>
        </w:trPr>
        <w:tc>
          <w:tcPr>
            <w:tcW w:w="1087" w:type="dxa"/>
            <w:tcBorders>
              <w:bottom w:val="single" w:sz="12" w:space="0" w:color="auto"/>
            </w:tcBorders>
          </w:tcPr>
          <w:p w:rsidR="00D42EE8" w:rsidRPr="00313976" w:rsidRDefault="00D42EE8" w:rsidP="00D154B1">
            <w:pPr>
              <w:spacing w:before="240"/>
            </w:pPr>
            <w:r w:rsidRPr="00313976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47" w:type="dxa"/>
            <w:tcBorders>
              <w:bottom w:val="single" w:sz="12" w:space="0" w:color="auto"/>
            </w:tcBorders>
          </w:tcPr>
          <w:p w:rsidR="00D42EE8" w:rsidRPr="00313976" w:rsidRDefault="00D42EE8" w:rsidP="00D154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/>
              <w:ind w:left="34"/>
              <w:rPr>
                <w:b/>
                <w:sz w:val="28"/>
                <w:szCs w:val="28"/>
              </w:rPr>
            </w:pPr>
            <w:r w:rsidRPr="00313976">
              <w:rPr>
                <w:b/>
                <w:bCs/>
                <w:sz w:val="28"/>
                <w:szCs w:val="28"/>
              </w:rPr>
              <w:t>Conférence</w:t>
            </w:r>
            <w:r w:rsidRPr="00313976">
              <w:rPr>
                <w:b/>
                <w:sz w:val="28"/>
                <w:szCs w:val="28"/>
              </w:rPr>
              <w:t xml:space="preserve"> mondiale de développement des télécommunications (CMDT-17)</w:t>
            </w:r>
          </w:p>
          <w:p w:rsidR="00D42EE8" w:rsidRPr="00313976" w:rsidRDefault="00D42EE8" w:rsidP="00D154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/>
              <w:ind w:left="34"/>
            </w:pPr>
            <w:r w:rsidRPr="00313976">
              <w:rPr>
                <w:b/>
                <w:bCs/>
                <w:sz w:val="26"/>
                <w:szCs w:val="26"/>
              </w:rPr>
              <w:t>Buenos Aires, Argentine, 9</w:t>
            </w:r>
            <w:r w:rsidR="0056763F" w:rsidRPr="00313976">
              <w:rPr>
                <w:b/>
                <w:bCs/>
                <w:sz w:val="26"/>
                <w:szCs w:val="26"/>
              </w:rPr>
              <w:t>-</w:t>
            </w:r>
            <w:r w:rsidRPr="00313976">
              <w:rPr>
                <w:b/>
                <w:bCs/>
                <w:sz w:val="26"/>
                <w:szCs w:val="26"/>
              </w:rPr>
              <w:t>20 octobre 2017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:rsidR="00D42EE8" w:rsidRPr="00313976" w:rsidRDefault="00515188" w:rsidP="00D154B1">
            <w:pPr>
              <w:spacing w:before="0" w:after="80"/>
            </w:pPr>
            <w:bookmarkStart w:id="0" w:name="dlogo"/>
            <w:bookmarkEnd w:id="0"/>
            <w:r w:rsidRPr="00313976">
              <w:rPr>
                <w:noProof/>
                <w:lang w:val="en-GB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155786</wp:posOffset>
                  </wp:positionH>
                  <wp:positionV relativeFrom="paragraph">
                    <wp:posOffset>-19899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2EE8" w:rsidRPr="00313976" w:rsidTr="00CB7286">
        <w:trPr>
          <w:cantSplit/>
        </w:trPr>
        <w:tc>
          <w:tcPr>
            <w:tcW w:w="6534" w:type="dxa"/>
            <w:gridSpan w:val="2"/>
            <w:tcBorders>
              <w:top w:val="single" w:sz="12" w:space="0" w:color="auto"/>
            </w:tcBorders>
          </w:tcPr>
          <w:p w:rsidR="00D42EE8" w:rsidRPr="00313976" w:rsidRDefault="00D42EE8" w:rsidP="00D154B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 w:colFirst="0" w:colLast="1"/>
          </w:p>
        </w:tc>
        <w:tc>
          <w:tcPr>
            <w:tcW w:w="3354" w:type="dxa"/>
            <w:tcBorders>
              <w:top w:val="single" w:sz="12" w:space="0" w:color="auto"/>
            </w:tcBorders>
          </w:tcPr>
          <w:p w:rsidR="00D42EE8" w:rsidRPr="00313976" w:rsidRDefault="00D42EE8" w:rsidP="00D154B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42EE8" w:rsidRPr="00313976" w:rsidTr="00CB7286">
        <w:trPr>
          <w:cantSplit/>
        </w:trPr>
        <w:tc>
          <w:tcPr>
            <w:tcW w:w="6534" w:type="dxa"/>
            <w:gridSpan w:val="2"/>
          </w:tcPr>
          <w:p w:rsidR="00D42EE8" w:rsidRPr="00313976" w:rsidRDefault="00000B37" w:rsidP="00D154B1">
            <w:pPr>
              <w:pStyle w:val="Committee"/>
              <w:spacing w:before="0"/>
            </w:pPr>
            <w:bookmarkStart w:id="2" w:name="dnum" w:colFirst="1" w:colLast="1"/>
            <w:bookmarkEnd w:id="1"/>
            <w:r w:rsidRPr="00313976">
              <w:rPr>
                <w:rFonts w:ascii="Verdana" w:hAnsi="Verdana"/>
                <w:sz w:val="20"/>
              </w:rPr>
              <w:t>SÉANCE PLÉNIÈRE</w:t>
            </w:r>
          </w:p>
        </w:tc>
        <w:tc>
          <w:tcPr>
            <w:tcW w:w="3354" w:type="dxa"/>
          </w:tcPr>
          <w:p w:rsidR="00D42EE8" w:rsidRPr="00313976" w:rsidRDefault="00000B37" w:rsidP="00F55756">
            <w:pPr>
              <w:spacing w:before="0"/>
              <w:rPr>
                <w:bCs/>
                <w:szCs w:val="24"/>
              </w:rPr>
            </w:pPr>
            <w:r w:rsidRPr="00313976">
              <w:rPr>
                <w:rFonts w:ascii="Verdana" w:hAnsi="Verdana"/>
                <w:b/>
                <w:sz w:val="20"/>
              </w:rPr>
              <w:t>Addendum 8 au</w:t>
            </w:r>
            <w:r w:rsidRPr="00313976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F55756">
              <w:rPr>
                <w:rFonts w:ascii="Verdana" w:hAnsi="Verdana"/>
                <w:b/>
                <w:sz w:val="20"/>
              </w:rPr>
              <w:t>WTDC</w:t>
            </w:r>
            <w:r w:rsidRPr="00313976">
              <w:rPr>
                <w:rFonts w:ascii="Verdana" w:hAnsi="Verdana"/>
                <w:b/>
                <w:sz w:val="20"/>
              </w:rPr>
              <w:t>-17/22</w:t>
            </w:r>
            <w:r w:rsidR="00700D0A" w:rsidRPr="00313976">
              <w:rPr>
                <w:rFonts w:ascii="Verdana" w:hAnsi="Verdana"/>
                <w:b/>
                <w:sz w:val="20"/>
              </w:rPr>
              <w:t>-</w:t>
            </w:r>
            <w:r w:rsidRPr="00313976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D42EE8" w:rsidRPr="00313976" w:rsidTr="00CB7286">
        <w:trPr>
          <w:cantSplit/>
        </w:trPr>
        <w:tc>
          <w:tcPr>
            <w:tcW w:w="6534" w:type="dxa"/>
            <w:gridSpan w:val="2"/>
          </w:tcPr>
          <w:p w:rsidR="00D42EE8" w:rsidRPr="00313976" w:rsidRDefault="00D42EE8" w:rsidP="00D154B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354" w:type="dxa"/>
          </w:tcPr>
          <w:p w:rsidR="00D42EE8" w:rsidRPr="00313976" w:rsidRDefault="00000B37" w:rsidP="00D154B1">
            <w:pPr>
              <w:spacing w:before="0"/>
              <w:rPr>
                <w:bCs/>
                <w:szCs w:val="24"/>
              </w:rPr>
            </w:pPr>
            <w:r w:rsidRPr="00313976">
              <w:rPr>
                <w:rFonts w:ascii="Verdana" w:hAnsi="Verdana"/>
                <w:b/>
                <w:sz w:val="20"/>
              </w:rPr>
              <w:t>29 août 2017</w:t>
            </w:r>
          </w:p>
        </w:tc>
      </w:tr>
      <w:tr w:rsidR="00D42EE8" w:rsidRPr="00313976" w:rsidTr="00CB7286">
        <w:trPr>
          <w:cantSplit/>
        </w:trPr>
        <w:tc>
          <w:tcPr>
            <w:tcW w:w="6534" w:type="dxa"/>
            <w:gridSpan w:val="2"/>
          </w:tcPr>
          <w:p w:rsidR="00D42EE8" w:rsidRPr="00313976" w:rsidRDefault="00D42EE8" w:rsidP="00D154B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354" w:type="dxa"/>
          </w:tcPr>
          <w:p w:rsidR="00D42EE8" w:rsidRPr="00313976" w:rsidRDefault="00000B37" w:rsidP="00D154B1">
            <w:pPr>
              <w:spacing w:before="0"/>
              <w:rPr>
                <w:b/>
                <w:bCs/>
                <w:szCs w:val="24"/>
              </w:rPr>
            </w:pPr>
            <w:r w:rsidRPr="00313976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D42EE8" w:rsidRPr="00313976" w:rsidTr="00CD6715">
        <w:trPr>
          <w:cantSplit/>
        </w:trPr>
        <w:tc>
          <w:tcPr>
            <w:tcW w:w="9888" w:type="dxa"/>
            <w:gridSpan w:val="3"/>
          </w:tcPr>
          <w:p w:rsidR="00D42EE8" w:rsidRPr="00313976" w:rsidRDefault="005B6CE3" w:rsidP="00D154B1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5" w:name="dsource" w:colFirst="1" w:colLast="1"/>
            <w:bookmarkEnd w:id="4"/>
            <w:r w:rsidRPr="00313976">
              <w:t>Administrations des pays membres de la Télécommunauté Asie-Pacifique</w:t>
            </w:r>
          </w:p>
        </w:tc>
      </w:tr>
      <w:tr w:rsidR="00D42EE8" w:rsidRPr="00313976" w:rsidTr="007934DB">
        <w:trPr>
          <w:cantSplit/>
        </w:trPr>
        <w:tc>
          <w:tcPr>
            <w:tcW w:w="9888" w:type="dxa"/>
            <w:gridSpan w:val="3"/>
          </w:tcPr>
          <w:p w:rsidR="00D42EE8" w:rsidRPr="00313976" w:rsidRDefault="00F31DF9" w:rsidP="00D154B1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</w:pPr>
            <w:bookmarkStart w:id="6" w:name="dtitle1" w:colFirst="1" w:colLast="1"/>
            <w:bookmarkEnd w:id="5"/>
            <w:r w:rsidRPr="00313976">
              <w:t>proposition d'initiatives régionales pour</w:t>
            </w:r>
            <w:r w:rsidR="00CF2FF0">
              <w:t xml:space="preserve"> la région </w:t>
            </w:r>
            <w:r w:rsidRPr="00313976">
              <w:t>asie</w:t>
            </w:r>
            <w:r w:rsidR="00184F7B" w:rsidRPr="00313976">
              <w:t>-Pacifi</w:t>
            </w:r>
            <w:r w:rsidRPr="00313976">
              <w:t>que</w:t>
            </w:r>
          </w:p>
        </w:tc>
      </w:tr>
      <w:tr w:rsidR="00D42EE8" w:rsidRPr="00313976" w:rsidTr="007934DB">
        <w:trPr>
          <w:cantSplit/>
        </w:trPr>
        <w:tc>
          <w:tcPr>
            <w:tcW w:w="9888" w:type="dxa"/>
            <w:gridSpan w:val="3"/>
          </w:tcPr>
          <w:p w:rsidR="00D42EE8" w:rsidRPr="00313976" w:rsidRDefault="00D42EE8" w:rsidP="00D154B1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tr w:rsidR="00863463" w:rsidRPr="00313976" w:rsidTr="007934DB">
        <w:trPr>
          <w:cantSplit/>
        </w:trPr>
        <w:tc>
          <w:tcPr>
            <w:tcW w:w="9888" w:type="dxa"/>
            <w:gridSpan w:val="3"/>
          </w:tcPr>
          <w:p w:rsidR="00863463" w:rsidRPr="00313976" w:rsidRDefault="00863463" w:rsidP="00D154B1">
            <w:pPr>
              <w:jc w:val="center"/>
            </w:pPr>
          </w:p>
        </w:tc>
      </w:tr>
      <w:tr w:rsidR="00850859" w:rsidRPr="00313976" w:rsidTr="00CB7286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59" w:rsidRPr="00313976" w:rsidRDefault="00BF3055" w:rsidP="00D154B1">
            <w:r w:rsidRPr="00313976">
              <w:rPr>
                <w:rFonts w:ascii="Calibri" w:eastAsia="SimSun" w:hAnsi="Calibri" w:cs="Traditional Arabic"/>
                <w:b/>
                <w:bCs/>
                <w:szCs w:val="24"/>
              </w:rPr>
              <w:t>Domaine prioritaire:</w:t>
            </w:r>
          </w:p>
          <w:p w:rsidR="00850859" w:rsidRPr="00313976" w:rsidRDefault="00F31DF9" w:rsidP="00D154B1">
            <w:pPr>
              <w:rPr>
                <w:szCs w:val="24"/>
              </w:rPr>
            </w:pPr>
            <w:r w:rsidRPr="00313976">
              <w:rPr>
                <w:rFonts w:ascii="Calibri" w:eastAsia="SimSun" w:hAnsi="Calibri" w:cs="Traditional Arabic"/>
                <w:szCs w:val="24"/>
              </w:rPr>
              <w:t xml:space="preserve">Initiatives </w:t>
            </w:r>
            <w:r w:rsidR="00313976" w:rsidRPr="00313976">
              <w:rPr>
                <w:rFonts w:ascii="Calibri" w:eastAsia="SimSun" w:hAnsi="Calibri" w:cs="Traditional Arabic"/>
                <w:szCs w:val="24"/>
              </w:rPr>
              <w:t>régionales</w:t>
            </w:r>
            <w:r w:rsidR="00CB7286" w:rsidRPr="00313976">
              <w:rPr>
                <w:rFonts w:ascii="Calibri" w:eastAsia="SimSun" w:hAnsi="Calibri" w:cs="Traditional Arabic"/>
                <w:szCs w:val="24"/>
              </w:rPr>
              <w:t xml:space="preserve">, </w:t>
            </w:r>
            <w:r w:rsidRPr="00313976">
              <w:rPr>
                <w:rFonts w:ascii="Calibri" w:eastAsia="SimSun" w:hAnsi="Calibri" w:cs="Traditional Arabic"/>
                <w:szCs w:val="24"/>
              </w:rPr>
              <w:t>projets associés et mécanismes de financement</w:t>
            </w:r>
          </w:p>
          <w:p w:rsidR="00850859" w:rsidRPr="00313976" w:rsidRDefault="00BF3055" w:rsidP="00D154B1">
            <w:r w:rsidRPr="00313976">
              <w:rPr>
                <w:rFonts w:ascii="Calibri" w:eastAsia="SimSun" w:hAnsi="Calibri" w:cs="Traditional Arabic"/>
                <w:b/>
                <w:bCs/>
                <w:szCs w:val="24"/>
              </w:rPr>
              <w:t>Résumé:</w:t>
            </w:r>
          </w:p>
          <w:p w:rsidR="00850859" w:rsidRPr="00313976" w:rsidRDefault="00F31DF9" w:rsidP="005C6AB1">
            <w:pPr>
              <w:rPr>
                <w:szCs w:val="24"/>
              </w:rPr>
            </w:pPr>
            <w:r w:rsidRPr="00313976">
              <w:t>Les Administrations des pays membres de l</w:t>
            </w:r>
            <w:r w:rsidR="005C6AB1">
              <w:t>a</w:t>
            </w:r>
            <w:r w:rsidRPr="00313976">
              <w:t xml:space="preserve"> Télécommunauté Asie-Pacifique</w:t>
            </w:r>
            <w:r w:rsidR="006136AC" w:rsidRPr="00313976">
              <w:t xml:space="preserve"> (APT)</w:t>
            </w:r>
            <w:r w:rsidRPr="00313976">
              <w:t xml:space="preserve"> ont élaboré et approuvé des </w:t>
            </w:r>
            <w:r w:rsidR="00313976" w:rsidRPr="00313976">
              <w:t>initiatives</w:t>
            </w:r>
            <w:r w:rsidR="00CF2FF0">
              <w:t xml:space="preserve"> régionales pour la région </w:t>
            </w:r>
            <w:r w:rsidRPr="00313976">
              <w:t>Asie-Pacifique.</w:t>
            </w:r>
            <w:r w:rsidR="00CB7286" w:rsidRPr="00313976">
              <w:t xml:space="preserve"> </w:t>
            </w:r>
          </w:p>
          <w:p w:rsidR="00850859" w:rsidRPr="00313976" w:rsidRDefault="00BF3055" w:rsidP="00D154B1">
            <w:r w:rsidRPr="00313976">
              <w:rPr>
                <w:rFonts w:ascii="Calibri" w:eastAsia="SimSun" w:hAnsi="Calibri" w:cs="Traditional Arabic"/>
                <w:b/>
                <w:bCs/>
                <w:szCs w:val="24"/>
              </w:rPr>
              <w:t>Résultats attendus:</w:t>
            </w:r>
          </w:p>
          <w:p w:rsidR="00850859" w:rsidRPr="00313976" w:rsidRDefault="006136AC" w:rsidP="005C6AB1">
            <w:pPr>
              <w:rPr>
                <w:szCs w:val="24"/>
              </w:rPr>
            </w:pPr>
            <w:r w:rsidRPr="00313976">
              <w:t>Les initiatives régionales</w:t>
            </w:r>
            <w:r w:rsidR="00CF2FF0">
              <w:t xml:space="preserve"> pour la région </w:t>
            </w:r>
            <w:r w:rsidRPr="00313976">
              <w:t>Asie-Pacifique approuvées par les</w:t>
            </w:r>
            <w:r w:rsidR="00CB7286" w:rsidRPr="00313976">
              <w:t xml:space="preserve"> </w:t>
            </w:r>
            <w:r w:rsidRPr="00313976">
              <w:t xml:space="preserve">Administrations des pays membres de l'APT devront </w:t>
            </w:r>
            <w:r w:rsidR="00CF2FF0">
              <w:t>figurer</w:t>
            </w:r>
            <w:r w:rsidRPr="00313976">
              <w:t xml:space="preserve"> dans la </w:t>
            </w:r>
            <w:r w:rsidR="00D154B1">
              <w:t>partie correspondante</w:t>
            </w:r>
            <w:r w:rsidRPr="00313976">
              <w:t xml:space="preserve"> du Plan d'action de Buenos Aires</w:t>
            </w:r>
            <w:r w:rsidR="00856C51" w:rsidRPr="00313976">
              <w:t xml:space="preserve"> </w:t>
            </w:r>
            <w:r w:rsidRPr="00313976">
              <w:t>en vue d</w:t>
            </w:r>
            <w:r w:rsidR="00D154B1">
              <w:t xml:space="preserve">'être </w:t>
            </w:r>
            <w:r w:rsidRPr="00313976">
              <w:t xml:space="preserve">mise en </w:t>
            </w:r>
            <w:r w:rsidR="005C6AB1">
              <w:t>oe</w:t>
            </w:r>
            <w:r w:rsidR="00313976" w:rsidRPr="00313976">
              <w:t>uvre</w:t>
            </w:r>
            <w:r w:rsidRPr="00313976">
              <w:t xml:space="preserve"> conformément à la</w:t>
            </w:r>
            <w:r w:rsidR="00CB7286" w:rsidRPr="00313976">
              <w:t xml:space="preserve"> Résolution 17 (Rév.Dubaï, 2014).</w:t>
            </w:r>
          </w:p>
          <w:p w:rsidR="00850859" w:rsidRPr="00313976" w:rsidRDefault="00BF3055" w:rsidP="00D154B1">
            <w:r w:rsidRPr="00313976">
              <w:rPr>
                <w:rFonts w:ascii="Calibri" w:eastAsia="SimSun" w:hAnsi="Calibri" w:cs="Traditional Arabic"/>
                <w:b/>
                <w:bCs/>
                <w:szCs w:val="24"/>
              </w:rPr>
              <w:t>Références:</w:t>
            </w:r>
          </w:p>
          <w:p w:rsidR="00850859" w:rsidRPr="00313976" w:rsidRDefault="00D154B1" w:rsidP="005C6AB1">
            <w:pPr>
              <w:spacing w:after="120"/>
              <w:rPr>
                <w:szCs w:val="24"/>
              </w:rPr>
            </w:pPr>
            <w:r>
              <w:rPr>
                <w:rFonts w:eastAsia="SimSun"/>
                <w:bCs/>
              </w:rPr>
              <w:t>Plan d'action de Dubaï, Section 3 –</w:t>
            </w:r>
            <w:r w:rsidR="006136AC" w:rsidRPr="00313976">
              <w:rPr>
                <w:rFonts w:eastAsia="SimSun"/>
                <w:bCs/>
              </w:rPr>
              <w:t xml:space="preserve"> Initiatives régionales, Ini</w:t>
            </w:r>
            <w:r w:rsidR="00856C51" w:rsidRPr="00313976">
              <w:rPr>
                <w:rFonts w:eastAsia="SimSun"/>
                <w:bCs/>
              </w:rPr>
              <w:t>tiatives régionales pour la région Asie</w:t>
            </w:r>
            <w:r>
              <w:rPr>
                <w:rFonts w:eastAsia="SimSun"/>
                <w:bCs/>
              </w:rPr>
              <w:noBreakHyphen/>
            </w:r>
            <w:r w:rsidR="00856C51" w:rsidRPr="00313976">
              <w:rPr>
                <w:rFonts w:eastAsia="SimSun"/>
                <w:bCs/>
              </w:rPr>
              <w:t>Pacifique</w:t>
            </w:r>
            <w:r w:rsidR="00CF2FF0">
              <w:rPr>
                <w:rFonts w:eastAsia="SimSun"/>
                <w:bCs/>
              </w:rPr>
              <w:t xml:space="preserve"> </w:t>
            </w:r>
            <w:r w:rsidR="00856C51" w:rsidRPr="00313976">
              <w:rPr>
                <w:rFonts w:eastAsia="SimSun"/>
                <w:bCs/>
              </w:rPr>
              <w:t>(</w:t>
            </w:r>
            <w:r w:rsidR="00CB7286" w:rsidRPr="00313976">
              <w:rPr>
                <w:rFonts w:eastAsia="SimSun"/>
                <w:bCs/>
              </w:rPr>
              <w:t>p.</w:t>
            </w:r>
            <w:r w:rsidR="005C6AB1">
              <w:rPr>
                <w:rFonts w:eastAsia="SimSun"/>
                <w:bCs/>
              </w:rPr>
              <w:t xml:space="preserve"> </w:t>
            </w:r>
            <w:r w:rsidR="00CB7286" w:rsidRPr="00313976">
              <w:rPr>
                <w:rFonts w:eastAsia="SimSun"/>
                <w:bCs/>
              </w:rPr>
              <w:t>133-137); R</w:t>
            </w:r>
            <w:r w:rsidR="00856C51" w:rsidRPr="00313976">
              <w:rPr>
                <w:rFonts w:eastAsia="SimSun"/>
                <w:bCs/>
              </w:rPr>
              <w:t>é</w:t>
            </w:r>
            <w:r w:rsidR="00CB7286" w:rsidRPr="00313976">
              <w:rPr>
                <w:rFonts w:eastAsia="SimSun"/>
                <w:bCs/>
              </w:rPr>
              <w:t>solution 17</w:t>
            </w:r>
            <w:r w:rsidR="005C6AB1">
              <w:rPr>
                <w:rFonts w:eastAsia="SimSun"/>
                <w:bCs/>
              </w:rPr>
              <w:t xml:space="preserve"> de la CMDT (Rév.</w:t>
            </w:r>
            <w:r w:rsidR="00856C51" w:rsidRPr="00313976">
              <w:rPr>
                <w:rFonts w:eastAsia="SimSun"/>
                <w:bCs/>
              </w:rPr>
              <w:t>Dubaï</w:t>
            </w:r>
            <w:r w:rsidR="00CB7286" w:rsidRPr="00313976">
              <w:rPr>
                <w:rFonts w:eastAsia="SimSun"/>
                <w:bCs/>
              </w:rPr>
              <w:t>, 2014)</w:t>
            </w:r>
          </w:p>
        </w:tc>
      </w:tr>
    </w:tbl>
    <w:p w:rsidR="00CB7286" w:rsidRPr="00313976" w:rsidRDefault="00CB7286" w:rsidP="005C6AB1">
      <w:pPr>
        <w:pStyle w:val="Headingb"/>
        <w:rPr>
          <w:rFonts w:ascii="Times New Roman" w:hAnsi="Times New Roman"/>
        </w:rPr>
      </w:pPr>
      <w:bookmarkStart w:id="7" w:name="dbreak"/>
      <w:bookmarkEnd w:id="6"/>
      <w:bookmarkEnd w:id="7"/>
      <w:r w:rsidRPr="00313976">
        <w:t>P</w:t>
      </w:r>
      <w:r w:rsidR="005C6AB1" w:rsidRPr="00313976">
        <w:t>roposition</w:t>
      </w:r>
    </w:p>
    <w:p w:rsidR="00E71FC7" w:rsidRPr="00313976" w:rsidRDefault="00856C51" w:rsidP="00D154B1">
      <w:r w:rsidRPr="00313976">
        <w:rPr>
          <w:color w:val="000000"/>
        </w:rPr>
        <w:t>Les Administrations des pay</w:t>
      </w:r>
      <w:bookmarkStart w:id="8" w:name="_GoBack"/>
      <w:bookmarkEnd w:id="8"/>
      <w:r w:rsidRPr="00313976">
        <w:rPr>
          <w:color w:val="000000"/>
        </w:rPr>
        <w:t>s membres de l'APT</w:t>
      </w:r>
      <w:r w:rsidR="00CB7286" w:rsidRPr="00313976">
        <w:rPr>
          <w:color w:val="000000"/>
        </w:rPr>
        <w:t xml:space="preserve"> propose</w:t>
      </w:r>
      <w:r w:rsidRPr="00313976">
        <w:rPr>
          <w:color w:val="000000"/>
        </w:rPr>
        <w:t xml:space="preserve">nt de faire figurer les initiatives régionales ci-après </w:t>
      </w:r>
      <w:r w:rsidR="00D154B1" w:rsidRPr="00313976">
        <w:rPr>
          <w:color w:val="000000"/>
        </w:rPr>
        <w:t xml:space="preserve">pour la région Asie-Pacifique </w:t>
      </w:r>
      <w:r w:rsidRPr="00313976">
        <w:rPr>
          <w:color w:val="000000"/>
        </w:rPr>
        <w:t xml:space="preserve">dans le Plan d'action de Buenos Aires et de </w:t>
      </w:r>
      <w:r w:rsidR="00D154B1">
        <w:rPr>
          <w:color w:val="000000"/>
        </w:rPr>
        <w:t>supprimer l</w:t>
      </w:r>
      <w:r w:rsidRPr="00313976">
        <w:rPr>
          <w:color w:val="000000"/>
        </w:rPr>
        <w:t xml:space="preserve">es initiatives régionales </w:t>
      </w:r>
      <w:r w:rsidR="00D154B1" w:rsidRPr="00313976">
        <w:rPr>
          <w:color w:val="000000"/>
        </w:rPr>
        <w:t xml:space="preserve">pour la région Asie-Pacifique </w:t>
      </w:r>
      <w:r w:rsidRPr="00313976">
        <w:rPr>
          <w:color w:val="000000"/>
        </w:rPr>
        <w:t>de la Section 3 du Plan d'action de Dubaï.</w:t>
      </w:r>
      <w:r w:rsidR="00CB7286" w:rsidRPr="00313976">
        <w:rPr>
          <w:color w:val="000000"/>
        </w:rPr>
        <w:t xml:space="preserve"> </w:t>
      </w:r>
    </w:p>
    <w:p w:rsidR="00E71FC7" w:rsidRPr="00313976" w:rsidRDefault="00E71FC7" w:rsidP="00D154B1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</w:pPr>
      <w:r w:rsidRPr="00313976">
        <w:br w:type="page"/>
      </w:r>
    </w:p>
    <w:p w:rsidR="00AD4E1C" w:rsidRPr="00313976" w:rsidRDefault="00BF3055" w:rsidP="00CB7286">
      <w:pPr>
        <w:pStyle w:val="Sectiontitle"/>
      </w:pPr>
      <w:r w:rsidRPr="00313976">
        <w:lastRenderedPageBreak/>
        <w:t>INITIATIVES RÉGIONALES</w:t>
      </w:r>
    </w:p>
    <w:p w:rsidR="004C3123" w:rsidRPr="00313976" w:rsidRDefault="00BF3055" w:rsidP="008B4CC9">
      <w:pPr>
        <w:pStyle w:val="Section1"/>
      </w:pPr>
      <w:bookmarkStart w:id="9" w:name="_Toc394060808"/>
      <w:bookmarkStart w:id="10" w:name="_Toc401906693"/>
      <w:r w:rsidRPr="00313976">
        <w:t>INITIATIVES RÉGIONALES POUR L'ASIE-PACIFIQUE</w:t>
      </w:r>
      <w:bookmarkEnd w:id="9"/>
      <w:bookmarkEnd w:id="10"/>
    </w:p>
    <w:p w:rsidR="00850859" w:rsidRPr="00313976" w:rsidRDefault="00BF3055">
      <w:pPr>
        <w:pStyle w:val="Proposal"/>
        <w:rPr>
          <w:lang w:val="fr-FR"/>
        </w:rPr>
      </w:pPr>
      <w:r w:rsidRPr="00313976">
        <w:rPr>
          <w:b/>
          <w:lang w:val="fr-FR"/>
        </w:rPr>
        <w:t>SUP</w:t>
      </w:r>
      <w:r w:rsidRPr="00313976">
        <w:rPr>
          <w:lang w:val="fr-FR"/>
        </w:rPr>
        <w:tab/>
        <w:t>ACP/22A8/1</w:t>
      </w:r>
    </w:p>
    <w:p w:rsidR="004C3123" w:rsidRPr="00313976" w:rsidRDefault="000845BF" w:rsidP="000845BF">
      <w:pPr>
        <w:pStyle w:val="Heading1"/>
        <w:rPr>
          <w:lang w:eastAsia="ja-JP"/>
        </w:rPr>
      </w:pPr>
      <w:r>
        <w:rPr>
          <w:lang w:eastAsia="ja-JP"/>
        </w:rPr>
        <w:t>ASP1:</w:t>
      </w:r>
      <w:r>
        <w:rPr>
          <w:lang w:eastAsia="ja-JP"/>
        </w:rPr>
        <w:tab/>
      </w:r>
      <w:r w:rsidR="00BF3055" w:rsidRPr="00313976">
        <w:rPr>
          <w:lang w:eastAsia="ja-JP"/>
        </w:rPr>
        <w:t>Accorder une attention particulière aux pays les moins avancés, aux petits Etats insulaires en développement, y compris aux pays insulaires du Pacifique, et aux pays en développement sans littoral</w:t>
      </w:r>
    </w:p>
    <w:p w:rsidR="00850859" w:rsidRPr="00313976" w:rsidRDefault="00850859">
      <w:pPr>
        <w:pStyle w:val="Reasons"/>
        <w:rPr>
          <w:lang w:val="fr-FR"/>
        </w:rPr>
      </w:pPr>
    </w:p>
    <w:p w:rsidR="00850859" w:rsidRPr="00313976" w:rsidRDefault="00BF3055">
      <w:pPr>
        <w:pStyle w:val="Proposal"/>
        <w:rPr>
          <w:lang w:val="fr-FR"/>
        </w:rPr>
      </w:pPr>
      <w:r w:rsidRPr="00313976">
        <w:rPr>
          <w:b/>
          <w:lang w:val="fr-FR"/>
        </w:rPr>
        <w:t>ADD</w:t>
      </w:r>
      <w:r w:rsidRPr="00313976">
        <w:rPr>
          <w:lang w:val="fr-FR"/>
        </w:rPr>
        <w:tab/>
        <w:t>ACP/22A8/2</w:t>
      </w:r>
    </w:p>
    <w:p w:rsidR="00CB7286" w:rsidRPr="00313976" w:rsidRDefault="00CB7286" w:rsidP="00AA7322">
      <w:pPr>
        <w:pStyle w:val="Heading1"/>
      </w:pPr>
      <w:r w:rsidRPr="00313976">
        <w:t>ASP1:</w:t>
      </w:r>
      <w:r w:rsidRPr="00313976">
        <w:tab/>
        <w:t xml:space="preserve">Répondre aux besoins particuliers des pays les moins avancés, des petits </w:t>
      </w:r>
      <w:r w:rsidR="005C6AB1">
        <w:t>E</w:t>
      </w:r>
      <w:r w:rsidR="006171C2" w:rsidRPr="00313976">
        <w:t xml:space="preserve">tats </w:t>
      </w:r>
      <w:r w:rsidRPr="00313976">
        <w:t xml:space="preserve">insulaires en développement, y compris des pays insulaires du </w:t>
      </w:r>
      <w:r w:rsidR="00AA7322">
        <w:t>P</w:t>
      </w:r>
      <w:r w:rsidRPr="00313976">
        <w:t>acifique, et des pays en développement sans littoral</w:t>
      </w:r>
    </w:p>
    <w:p w:rsidR="00850859" w:rsidRPr="00313976" w:rsidRDefault="00CB7286" w:rsidP="00CB7286">
      <w:r w:rsidRPr="00313976">
        <w:t>Objectif: Fournir une assistance particulière aux pays les moins avancés (PMA), aux petits Etats insulaires en développement (PEID), y compris aux pays insulaires du Pacifique, et aux pays en développement sans littoral (PDSL) afin de satisfaire leurs besoins prioritaires dans le domaine des télécommunications/TIC.</w:t>
      </w:r>
    </w:p>
    <w:p w:rsidR="00CB7286" w:rsidRPr="00313976" w:rsidRDefault="00CB7286" w:rsidP="006171C2">
      <w:pPr>
        <w:pStyle w:val="Headingb"/>
      </w:pPr>
      <w:r w:rsidRPr="00313976">
        <w:t>Résultats attendus:</w:t>
      </w:r>
    </w:p>
    <w:p w:rsidR="00850859" w:rsidRPr="00313976" w:rsidRDefault="00CB7286" w:rsidP="005C6AB1">
      <w:pPr>
        <w:pStyle w:val="enumlev1"/>
      </w:pPr>
      <w:r w:rsidRPr="00313976">
        <w:t>1)</w:t>
      </w:r>
      <w:r w:rsidRPr="00313976">
        <w:tab/>
      </w:r>
      <w:r w:rsidR="000725B4" w:rsidRPr="00313976">
        <w:t>Elaboration de cadres politiques et réglementaires relatifs à l'infrastructure large bande, aux applications des TIC et à la cybersécurité</w:t>
      </w:r>
      <w:r w:rsidRPr="00313976">
        <w:t>,</w:t>
      </w:r>
      <w:r w:rsidR="000725B4" w:rsidRPr="00313976">
        <w:t xml:space="preserve"> compte te</w:t>
      </w:r>
      <w:r w:rsidR="00F23B08">
        <w:t>nu des besoins particuliers des </w:t>
      </w:r>
      <w:r w:rsidR="000725B4" w:rsidRPr="00313976">
        <w:t xml:space="preserve">PMA, des PEID et des PDSL, et renforcement des </w:t>
      </w:r>
      <w:r w:rsidR="006171C2">
        <w:t>capacités</w:t>
      </w:r>
      <w:r w:rsidR="000725B4" w:rsidRPr="00313976">
        <w:t xml:space="preserve"> humain</w:t>
      </w:r>
      <w:r w:rsidR="006171C2">
        <w:t>e</w:t>
      </w:r>
      <w:r w:rsidR="000725B4" w:rsidRPr="00313976">
        <w:t>s nécessaires pour</w:t>
      </w:r>
      <w:r w:rsidR="006171C2">
        <w:t xml:space="preserve"> faire face aux problèmes</w:t>
      </w:r>
      <w:r w:rsidR="000725B4" w:rsidRPr="00313976">
        <w:t xml:space="preserve"> </w:t>
      </w:r>
      <w:r w:rsidR="008915D8" w:rsidRPr="00313976">
        <w:t xml:space="preserve">politiques et </w:t>
      </w:r>
      <w:r w:rsidR="006171C2">
        <w:t xml:space="preserve">de </w:t>
      </w:r>
      <w:r w:rsidR="008915D8" w:rsidRPr="00313976">
        <w:t>réglement</w:t>
      </w:r>
      <w:r w:rsidR="006171C2">
        <w:t>ation futurs</w:t>
      </w:r>
      <w:r w:rsidR="005C6AB1">
        <w:rPr>
          <w:lang w:eastAsia="ja-JP"/>
        </w:rPr>
        <w:t>.</w:t>
      </w:r>
    </w:p>
    <w:p w:rsidR="00CB7286" w:rsidRPr="00313976" w:rsidRDefault="00CB7286" w:rsidP="005C6AB1">
      <w:pPr>
        <w:pStyle w:val="enumlev1"/>
      </w:pPr>
      <w:r w:rsidRPr="00313976">
        <w:t>2)</w:t>
      </w:r>
      <w:r w:rsidRPr="00313976">
        <w:tab/>
      </w:r>
      <w:r w:rsidR="008915D8" w:rsidRPr="00313976">
        <w:t>Promotion de l'</w:t>
      </w:r>
      <w:r w:rsidRPr="00313976">
        <w:t xml:space="preserve">accès universel aux télécommunications/TIC </w:t>
      </w:r>
      <w:r w:rsidR="005C6AB1">
        <w:t>dans les PMA, les PEID et les </w:t>
      </w:r>
      <w:r w:rsidR="008915D8" w:rsidRPr="00313976">
        <w:t>PDSL</w:t>
      </w:r>
      <w:r w:rsidR="005C6AB1">
        <w:t>.</w:t>
      </w:r>
    </w:p>
    <w:p w:rsidR="00CB7286" w:rsidRPr="00313976" w:rsidRDefault="00CB7286" w:rsidP="005C6AB1">
      <w:pPr>
        <w:pStyle w:val="enumlev1"/>
      </w:pPr>
      <w:r w:rsidRPr="00313976">
        <w:t>3)</w:t>
      </w:r>
      <w:r w:rsidRPr="00313976">
        <w:tab/>
      </w:r>
      <w:r w:rsidR="006171C2">
        <w:t>Fourniture</w:t>
      </w:r>
      <w:r w:rsidR="008915D8" w:rsidRPr="00313976">
        <w:t xml:space="preserve"> d'une </w:t>
      </w:r>
      <w:r w:rsidR="006171C2">
        <w:t xml:space="preserve">assistance </w:t>
      </w:r>
      <w:r w:rsidR="008915D8" w:rsidRPr="00313976">
        <w:t xml:space="preserve">aux PMA, </w:t>
      </w:r>
      <w:r w:rsidR="005C6AB1">
        <w:t xml:space="preserve">aux </w:t>
      </w:r>
      <w:r w:rsidR="008915D8" w:rsidRPr="00313976">
        <w:t>PEID et</w:t>
      </w:r>
      <w:r w:rsidR="006171C2">
        <w:t xml:space="preserve"> aux</w:t>
      </w:r>
      <w:r w:rsidR="008915D8" w:rsidRPr="00313976">
        <w:t xml:space="preserve"> PDSL</w:t>
      </w:r>
      <w:r w:rsidR="00B32ACF" w:rsidRPr="00313976">
        <w:t>, en fonction de leurs besoins prioritaires,</w:t>
      </w:r>
      <w:r w:rsidR="008915D8" w:rsidRPr="00313976">
        <w:t xml:space="preserve"> en ce qui concerne l'adoption d'applications des télécommunications/TIC </w:t>
      </w:r>
      <w:r w:rsidR="006171C2">
        <w:t xml:space="preserve">pour la </w:t>
      </w:r>
      <w:r w:rsidR="008915D8" w:rsidRPr="00313976">
        <w:t xml:space="preserve">gestion des catastrophes </w:t>
      </w:r>
      <w:r w:rsidR="006171C2">
        <w:t xml:space="preserve">concernant la </w:t>
      </w:r>
      <w:r w:rsidR="008915D8" w:rsidRPr="00313976">
        <w:t>prévision</w:t>
      </w:r>
      <w:r w:rsidR="006171C2">
        <w:t xml:space="preserve"> des catastrophes</w:t>
      </w:r>
      <w:r w:rsidR="008915D8" w:rsidRPr="00313976">
        <w:t>,</w:t>
      </w:r>
      <w:r w:rsidR="006171C2">
        <w:t xml:space="preserve"> </w:t>
      </w:r>
      <w:r w:rsidR="008915D8" w:rsidRPr="00313976">
        <w:t>la planification préalable</w:t>
      </w:r>
      <w:r w:rsidR="006171C2">
        <w:t xml:space="preserve"> aux catastrophes</w:t>
      </w:r>
      <w:r w:rsidR="008915D8" w:rsidRPr="00313976">
        <w:t xml:space="preserve">, </w:t>
      </w:r>
      <w:r w:rsidR="006171C2">
        <w:t xml:space="preserve">le </w:t>
      </w:r>
      <w:r w:rsidR="008915D8" w:rsidRPr="00313976">
        <w:t>suivi</w:t>
      </w:r>
      <w:r w:rsidR="006171C2">
        <w:t xml:space="preserve"> des catastrophes</w:t>
      </w:r>
      <w:r w:rsidR="008915D8" w:rsidRPr="00313976">
        <w:t>, l'adaptation à leurs effets et</w:t>
      </w:r>
      <w:r w:rsidR="006171C2">
        <w:t xml:space="preserve"> </w:t>
      </w:r>
      <w:r w:rsidR="008915D8" w:rsidRPr="00313976">
        <w:t>l'atténuation de ces derniers,</w:t>
      </w:r>
      <w:r w:rsidR="006171C2">
        <w:t xml:space="preserve"> </w:t>
      </w:r>
      <w:r w:rsidR="00B32ACF" w:rsidRPr="00313976">
        <w:t xml:space="preserve">l'intervention </w:t>
      </w:r>
      <w:r w:rsidR="006171C2">
        <w:t>en cas de catastrophes ainsi que</w:t>
      </w:r>
      <w:r w:rsidR="00B32ACF" w:rsidRPr="00313976">
        <w:t xml:space="preserve"> la remise en état et </w:t>
      </w:r>
      <w:r w:rsidR="006171C2">
        <w:t>le</w:t>
      </w:r>
      <w:r w:rsidR="00B32ACF" w:rsidRPr="00313976">
        <w:t xml:space="preserve"> rétablissement des réseaux de télécommunication/TIC</w:t>
      </w:r>
      <w:r w:rsidR="005C6AB1">
        <w:t>.</w:t>
      </w:r>
      <w:r w:rsidR="00B32ACF" w:rsidRPr="00313976">
        <w:t xml:space="preserve"> </w:t>
      </w:r>
    </w:p>
    <w:p w:rsidR="00CB7286" w:rsidRPr="00313976" w:rsidRDefault="00CB7286" w:rsidP="001E6531">
      <w:pPr>
        <w:pStyle w:val="enumlev1"/>
      </w:pPr>
      <w:r w:rsidRPr="00313976">
        <w:t>4)</w:t>
      </w:r>
      <w:r w:rsidRPr="00313976">
        <w:tab/>
      </w:r>
      <w:r w:rsidR="006D09F4">
        <w:t>Fourniture</w:t>
      </w:r>
      <w:r w:rsidR="00B32ACF" w:rsidRPr="00313976">
        <w:t xml:space="preserve"> d'un</w:t>
      </w:r>
      <w:r w:rsidR="006D09F4">
        <w:t>e assistance aux PMA, aux</w:t>
      </w:r>
      <w:r w:rsidR="00B32ACF" w:rsidRPr="00313976">
        <w:t xml:space="preserve"> PEID et </w:t>
      </w:r>
      <w:r w:rsidR="006D09F4">
        <w:t xml:space="preserve">aux </w:t>
      </w:r>
      <w:r w:rsidR="00B32ACF" w:rsidRPr="00313976">
        <w:t>PDSL</w:t>
      </w:r>
      <w:r w:rsidR="006D09F4">
        <w:t xml:space="preserve"> dans le cadre des efforts qu'ils déploient</w:t>
      </w:r>
      <w:r w:rsidR="00B32ACF" w:rsidRPr="00313976">
        <w:t xml:space="preserve"> </w:t>
      </w:r>
      <w:r w:rsidRPr="00313976">
        <w:t xml:space="preserve">pour atteindre les objectifs </w:t>
      </w:r>
      <w:r w:rsidR="006D09F4">
        <w:t xml:space="preserve">arrêtés à l'échelle </w:t>
      </w:r>
      <w:r w:rsidRPr="00313976">
        <w:t>international</w:t>
      </w:r>
      <w:r w:rsidR="006D09F4">
        <w:t>e</w:t>
      </w:r>
      <w:r w:rsidRPr="00313976">
        <w:t xml:space="preserve">, tels que le Programme de développement durable à l'horizon 2030, le </w:t>
      </w:r>
      <w:r w:rsidR="006D09F4" w:rsidRPr="00313976">
        <w:t xml:space="preserve">Cadre </w:t>
      </w:r>
      <w:r w:rsidRPr="00313976">
        <w:t xml:space="preserve">de Sendai pour la réduction des risques de catastrophe, le Plan d'action d'Istanbul en faveur des PMA, le Plan d'action de Samoa pour les PEID et le </w:t>
      </w:r>
      <w:r w:rsidR="006D09F4" w:rsidRPr="00313976">
        <w:t xml:space="preserve">Programme </w:t>
      </w:r>
      <w:r w:rsidRPr="00313976">
        <w:t>d'action de Vienne pour les PDSL.</w:t>
      </w:r>
    </w:p>
    <w:p w:rsidR="00CB7286" w:rsidRPr="00313976" w:rsidRDefault="00CB7286">
      <w:pPr>
        <w:pStyle w:val="Reasons"/>
        <w:rPr>
          <w:lang w:val="fr-FR"/>
        </w:rPr>
      </w:pPr>
    </w:p>
    <w:p w:rsidR="00850859" w:rsidRPr="00313976" w:rsidRDefault="00BF3055" w:rsidP="001E6531">
      <w:pPr>
        <w:pStyle w:val="Proposal"/>
        <w:rPr>
          <w:lang w:val="fr-FR"/>
        </w:rPr>
      </w:pPr>
      <w:r w:rsidRPr="00313976">
        <w:rPr>
          <w:b/>
          <w:lang w:val="fr-FR"/>
        </w:rPr>
        <w:lastRenderedPageBreak/>
        <w:t>SUP</w:t>
      </w:r>
      <w:r w:rsidRPr="00313976">
        <w:rPr>
          <w:lang w:val="fr-FR"/>
        </w:rPr>
        <w:tab/>
        <w:t>ACP/22A8/3</w:t>
      </w:r>
    </w:p>
    <w:p w:rsidR="004C3123" w:rsidRPr="00313976" w:rsidRDefault="00F23B08" w:rsidP="001E6531">
      <w:pPr>
        <w:pStyle w:val="Heading1"/>
        <w:rPr>
          <w:lang w:eastAsia="ja-JP"/>
        </w:rPr>
      </w:pPr>
      <w:r>
        <w:rPr>
          <w:lang w:eastAsia="ja-JP"/>
        </w:rPr>
        <w:t>ASP2:</w:t>
      </w:r>
      <w:r>
        <w:rPr>
          <w:lang w:eastAsia="ja-JP"/>
        </w:rPr>
        <w:tab/>
      </w:r>
      <w:r w:rsidR="00BF3055" w:rsidRPr="00313976">
        <w:rPr>
          <w:lang w:eastAsia="ja-JP"/>
        </w:rPr>
        <w:t>Télécommunications d'urgence</w:t>
      </w:r>
    </w:p>
    <w:p w:rsidR="00850859" w:rsidRPr="00313976" w:rsidRDefault="00850859" w:rsidP="001E6531">
      <w:pPr>
        <w:pStyle w:val="Reasons"/>
        <w:rPr>
          <w:lang w:val="fr-FR"/>
        </w:rPr>
      </w:pPr>
    </w:p>
    <w:p w:rsidR="00850859" w:rsidRPr="00313976" w:rsidRDefault="00BF3055" w:rsidP="001E6531">
      <w:pPr>
        <w:pStyle w:val="Proposal"/>
        <w:rPr>
          <w:lang w:val="fr-FR"/>
        </w:rPr>
      </w:pPr>
      <w:r w:rsidRPr="00313976">
        <w:rPr>
          <w:b/>
          <w:lang w:val="fr-FR"/>
        </w:rPr>
        <w:t>ADD</w:t>
      </w:r>
      <w:r w:rsidRPr="00313976">
        <w:rPr>
          <w:lang w:val="fr-FR"/>
        </w:rPr>
        <w:tab/>
        <w:t>ACP/22A8/4</w:t>
      </w:r>
    </w:p>
    <w:p w:rsidR="00CB7286" w:rsidRPr="00313976" w:rsidRDefault="00F23B08" w:rsidP="001E6531">
      <w:pPr>
        <w:pStyle w:val="Heading1"/>
      </w:pPr>
      <w:r>
        <w:t>ASP2:</w:t>
      </w:r>
      <w:r>
        <w:tab/>
      </w:r>
      <w:r w:rsidR="00CB7286" w:rsidRPr="00313976">
        <w:t xml:space="preserve">Tirer parti des </w:t>
      </w:r>
      <w:r w:rsidR="00BF3055" w:rsidRPr="00313976">
        <w:t>TIC</w:t>
      </w:r>
      <w:r w:rsidR="00CB7286" w:rsidRPr="00313976">
        <w:t xml:space="preserve"> pour favoriser l'économie numérique et une société numérique inclusive</w:t>
      </w:r>
    </w:p>
    <w:p w:rsidR="00850859" w:rsidRPr="00313976" w:rsidRDefault="00CB7286" w:rsidP="00442779">
      <w:r w:rsidRPr="00313976">
        <w:t xml:space="preserve">Objectif: </w:t>
      </w:r>
      <w:r w:rsidR="001E6531">
        <w:t xml:space="preserve">Aider les </w:t>
      </w:r>
      <w:r w:rsidRPr="00313976">
        <w:t xml:space="preserve">Etats Membres </w:t>
      </w:r>
      <w:r w:rsidR="001E6531">
        <w:t xml:space="preserve">à </w:t>
      </w:r>
      <w:r w:rsidR="00FA6EE0" w:rsidRPr="00313976">
        <w:t>utilise</w:t>
      </w:r>
      <w:r w:rsidR="001E6531">
        <w:t xml:space="preserve">r </w:t>
      </w:r>
      <w:r w:rsidR="00FA6EE0" w:rsidRPr="00313976">
        <w:t>l</w:t>
      </w:r>
      <w:r w:rsidRPr="00313976">
        <w:t xml:space="preserve">es TIC </w:t>
      </w:r>
      <w:r w:rsidR="001E6531">
        <w:t xml:space="preserve">pour </w:t>
      </w:r>
      <w:r w:rsidR="00105418" w:rsidRPr="00313976">
        <w:t>tirer</w:t>
      </w:r>
      <w:r w:rsidRPr="00313976">
        <w:t xml:space="preserve"> parti des avantages de l'économie numérique et </w:t>
      </w:r>
      <w:r w:rsidR="001E6531">
        <w:t xml:space="preserve">à surmonter </w:t>
      </w:r>
      <w:r w:rsidRPr="00313976">
        <w:t xml:space="preserve">les </w:t>
      </w:r>
      <w:r w:rsidR="001E6531">
        <w:t xml:space="preserve">obstacles liés aux </w:t>
      </w:r>
      <w:r w:rsidRPr="00313976">
        <w:t>capacités</w:t>
      </w:r>
      <w:r w:rsidR="001E6531">
        <w:t xml:space="preserve"> humaines et</w:t>
      </w:r>
      <w:r w:rsidRPr="00313976">
        <w:t xml:space="preserve"> techniques </w:t>
      </w:r>
      <w:r w:rsidR="001E6531">
        <w:t xml:space="preserve">pour </w:t>
      </w:r>
      <w:r w:rsidRPr="00313976">
        <w:t>réduire la fracture numérique.</w:t>
      </w:r>
    </w:p>
    <w:p w:rsidR="00CB7286" w:rsidRPr="00313976" w:rsidRDefault="00CB7286" w:rsidP="00B62EF1">
      <w:pPr>
        <w:pStyle w:val="Headingb"/>
      </w:pPr>
      <w:r w:rsidRPr="00313976">
        <w:t>Résultats attendus:</w:t>
      </w:r>
    </w:p>
    <w:p w:rsidR="00CB7286" w:rsidRPr="00313976" w:rsidRDefault="00CB7286" w:rsidP="00B62EF1">
      <w:pPr>
        <w:pStyle w:val="enumlev1"/>
        <w:rPr>
          <w:lang w:eastAsia="ja-JP"/>
        </w:rPr>
      </w:pPr>
      <w:r w:rsidRPr="00313976">
        <w:rPr>
          <w:lang w:eastAsia="ja-JP"/>
        </w:rPr>
        <w:t>1)</w:t>
      </w:r>
      <w:r w:rsidRPr="00313976">
        <w:rPr>
          <w:lang w:eastAsia="ja-JP"/>
        </w:rPr>
        <w:tab/>
      </w:r>
      <w:r w:rsidR="00313976" w:rsidRPr="00313976">
        <w:rPr>
          <w:lang w:eastAsia="ja-JP"/>
        </w:rPr>
        <w:t>Planification</w:t>
      </w:r>
      <w:r w:rsidR="0097481E" w:rsidRPr="00313976">
        <w:rPr>
          <w:lang w:eastAsia="ja-JP"/>
        </w:rPr>
        <w:t xml:space="preserve"> et élaboration de cadres stratégiques nationaux relatifs à l'économie numérique et de kits pratiques associés </w:t>
      </w:r>
      <w:r w:rsidR="0097481E" w:rsidRPr="00313976">
        <w:rPr>
          <w:bCs/>
          <w:lang w:eastAsia="ja-JP"/>
        </w:rPr>
        <w:t>pour diverses applications et services de</w:t>
      </w:r>
      <w:r w:rsidR="004B1D00">
        <w:rPr>
          <w:bCs/>
          <w:lang w:eastAsia="ja-JP"/>
        </w:rPr>
        <w:t>s</w:t>
      </w:r>
      <w:r w:rsidR="0097481E" w:rsidRPr="00313976">
        <w:rPr>
          <w:bCs/>
          <w:lang w:eastAsia="ja-JP"/>
        </w:rPr>
        <w:t xml:space="preserve"> TIC</w:t>
      </w:r>
      <w:r w:rsidR="00F23B08">
        <w:t>.</w:t>
      </w:r>
      <w:r w:rsidRPr="00313976">
        <w:rPr>
          <w:lang w:eastAsia="ja-JP"/>
        </w:rPr>
        <w:t xml:space="preserve"> </w:t>
      </w:r>
    </w:p>
    <w:p w:rsidR="00CB7286" w:rsidRPr="00313976" w:rsidRDefault="00CB7286" w:rsidP="00B62EF1">
      <w:pPr>
        <w:pStyle w:val="enumlev1"/>
        <w:rPr>
          <w:lang w:eastAsia="ja-JP"/>
        </w:rPr>
      </w:pPr>
      <w:r w:rsidRPr="00313976">
        <w:rPr>
          <w:lang w:eastAsia="ja-JP"/>
        </w:rPr>
        <w:t>2)</w:t>
      </w:r>
      <w:r w:rsidRPr="00313976">
        <w:rPr>
          <w:lang w:eastAsia="ja-JP"/>
        </w:rPr>
        <w:tab/>
      </w:r>
      <w:r w:rsidR="0097481E" w:rsidRPr="00313976">
        <w:rPr>
          <w:lang w:eastAsia="ja-JP"/>
        </w:rPr>
        <w:t xml:space="preserve">Création d'un </w:t>
      </w:r>
      <w:r w:rsidR="00B62EF1">
        <w:rPr>
          <w:lang w:eastAsia="ja-JP"/>
        </w:rPr>
        <w:t xml:space="preserve">registre de tous les </w:t>
      </w:r>
      <w:r w:rsidR="0097481E" w:rsidRPr="00313976">
        <w:rPr>
          <w:lang w:eastAsia="ja-JP"/>
        </w:rPr>
        <w:t>travaux menés à l'UIT dans le domaine de l'économie numérique depuis</w:t>
      </w:r>
      <w:r w:rsidR="002D6484" w:rsidRPr="00313976">
        <w:rPr>
          <w:lang w:eastAsia="ja-JP"/>
        </w:rPr>
        <w:t xml:space="preserve"> la CMDT-14, </w:t>
      </w:r>
      <w:r w:rsidR="004B1D00">
        <w:rPr>
          <w:lang w:eastAsia="ja-JP"/>
        </w:rPr>
        <w:t>qui devra être mis</w:t>
      </w:r>
      <w:r w:rsidR="002D6484" w:rsidRPr="00313976">
        <w:rPr>
          <w:lang w:eastAsia="ja-JP"/>
        </w:rPr>
        <w:t xml:space="preserve"> à jour </w:t>
      </w:r>
      <w:r w:rsidR="00B62EF1">
        <w:rPr>
          <w:lang w:eastAsia="ja-JP"/>
        </w:rPr>
        <w:t>chaque année</w:t>
      </w:r>
      <w:r w:rsidR="00F23B08">
        <w:t>.</w:t>
      </w:r>
      <w:r w:rsidR="002D6484" w:rsidRPr="00313976">
        <w:rPr>
          <w:lang w:eastAsia="ja-JP"/>
        </w:rPr>
        <w:t xml:space="preserve"> </w:t>
      </w:r>
    </w:p>
    <w:p w:rsidR="00CB7286" w:rsidRPr="00313976" w:rsidRDefault="00CB7286" w:rsidP="00B62EF1">
      <w:pPr>
        <w:pStyle w:val="enumlev1"/>
        <w:rPr>
          <w:lang w:eastAsia="ja-JP"/>
        </w:rPr>
      </w:pPr>
      <w:r w:rsidRPr="00313976">
        <w:rPr>
          <w:lang w:eastAsia="ja-JP"/>
        </w:rPr>
        <w:t>3)</w:t>
      </w:r>
      <w:r w:rsidRPr="00313976">
        <w:rPr>
          <w:lang w:eastAsia="ja-JP"/>
        </w:rPr>
        <w:tab/>
      </w:r>
      <w:r w:rsidR="00AA2297" w:rsidRPr="00313976">
        <w:rPr>
          <w:bCs/>
          <w:lang w:eastAsia="ja-JP"/>
        </w:rPr>
        <w:t xml:space="preserve">Elaboration de politiques, de stratégies et de lignes directrices </w:t>
      </w:r>
      <w:r w:rsidR="00B62EF1">
        <w:rPr>
          <w:lang w:eastAsia="ja-JP"/>
        </w:rPr>
        <w:t xml:space="preserve">concernant la mise en oeuvre </w:t>
      </w:r>
      <w:r w:rsidR="005E3089">
        <w:rPr>
          <w:lang w:eastAsia="ja-JP"/>
        </w:rPr>
        <w:t>concrète</w:t>
      </w:r>
      <w:r w:rsidRPr="00313976">
        <w:rPr>
          <w:lang w:eastAsia="ja-JP"/>
        </w:rPr>
        <w:t xml:space="preserve">, </w:t>
      </w:r>
      <w:r w:rsidR="00AA2297" w:rsidRPr="00313976">
        <w:rPr>
          <w:lang w:eastAsia="ja-JP"/>
        </w:rPr>
        <w:t>y compris en ce qui concerne l'Internet des objets</w:t>
      </w:r>
      <w:r w:rsidRPr="00313976">
        <w:rPr>
          <w:lang w:eastAsia="ja-JP"/>
        </w:rPr>
        <w:t xml:space="preserve"> (IoT) </w:t>
      </w:r>
      <w:r w:rsidR="00AA2297" w:rsidRPr="00313976">
        <w:rPr>
          <w:lang w:eastAsia="ja-JP"/>
        </w:rPr>
        <w:t>et les villes intelligentes</w:t>
      </w:r>
      <w:r w:rsidR="00F23B08">
        <w:t>.</w:t>
      </w:r>
    </w:p>
    <w:p w:rsidR="00CB7286" w:rsidRPr="00313976" w:rsidRDefault="00CB7286" w:rsidP="00B62EF1">
      <w:pPr>
        <w:pStyle w:val="enumlev1"/>
        <w:rPr>
          <w:lang w:eastAsia="ja-JP"/>
        </w:rPr>
      </w:pPr>
      <w:r w:rsidRPr="00313976">
        <w:rPr>
          <w:lang w:eastAsia="ja-JP"/>
        </w:rPr>
        <w:t>4)</w:t>
      </w:r>
      <w:r w:rsidRPr="00313976">
        <w:rPr>
          <w:lang w:eastAsia="ja-JP"/>
        </w:rPr>
        <w:tab/>
      </w:r>
      <w:r w:rsidR="00594836" w:rsidRPr="00313976">
        <w:rPr>
          <w:bCs/>
          <w:lang w:eastAsia="ja-JP"/>
        </w:rPr>
        <w:t xml:space="preserve">Déploiement d'applications TIC/mobiles visant à améliorer la fourniture de services à valeur ajoutée dans des </w:t>
      </w:r>
      <w:r w:rsidR="00B62EF1">
        <w:rPr>
          <w:bCs/>
          <w:lang w:eastAsia="ja-JP"/>
        </w:rPr>
        <w:t>secteurs</w:t>
      </w:r>
      <w:r w:rsidRPr="00313976">
        <w:rPr>
          <w:lang w:eastAsia="ja-JP"/>
        </w:rPr>
        <w:t xml:space="preserve"> </w:t>
      </w:r>
      <w:r w:rsidR="00594836" w:rsidRPr="00313976">
        <w:rPr>
          <w:lang w:eastAsia="ja-JP"/>
        </w:rPr>
        <w:t>tels que la santé</w:t>
      </w:r>
      <w:r w:rsidRPr="00313976">
        <w:rPr>
          <w:lang w:eastAsia="ja-JP"/>
        </w:rPr>
        <w:t xml:space="preserve">, </w:t>
      </w:r>
      <w:r w:rsidR="00594836" w:rsidRPr="00313976">
        <w:rPr>
          <w:lang w:eastAsia="ja-JP"/>
        </w:rPr>
        <w:t>l'é</w:t>
      </w:r>
      <w:r w:rsidRPr="00313976">
        <w:rPr>
          <w:lang w:eastAsia="ja-JP"/>
        </w:rPr>
        <w:t xml:space="preserve">ducation, </w:t>
      </w:r>
      <w:r w:rsidR="00594836" w:rsidRPr="00313976">
        <w:rPr>
          <w:lang w:eastAsia="ja-JP"/>
        </w:rPr>
        <w:t>l'</w:t>
      </w:r>
      <w:r w:rsidRPr="00313976">
        <w:rPr>
          <w:lang w:eastAsia="ja-JP"/>
        </w:rPr>
        <w:t>agriculture,</w:t>
      </w:r>
      <w:r w:rsidR="00594836" w:rsidRPr="00313976">
        <w:rPr>
          <w:lang w:eastAsia="ja-JP"/>
        </w:rPr>
        <w:t xml:space="preserve"> la</w:t>
      </w:r>
      <w:r w:rsidRPr="00313976">
        <w:rPr>
          <w:lang w:eastAsia="ja-JP"/>
        </w:rPr>
        <w:t xml:space="preserve"> </w:t>
      </w:r>
      <w:r w:rsidR="00313976" w:rsidRPr="00313976">
        <w:rPr>
          <w:lang w:eastAsia="ja-JP"/>
        </w:rPr>
        <w:t>gouvernance</w:t>
      </w:r>
      <w:r w:rsidRPr="00313976">
        <w:rPr>
          <w:lang w:eastAsia="ja-JP"/>
        </w:rPr>
        <w:t xml:space="preserve">, </w:t>
      </w:r>
      <w:r w:rsidR="00594836" w:rsidRPr="00313976">
        <w:rPr>
          <w:lang w:eastAsia="ja-JP"/>
        </w:rPr>
        <w:t>l'énergie</w:t>
      </w:r>
      <w:r w:rsidRPr="00313976">
        <w:rPr>
          <w:lang w:eastAsia="ja-JP"/>
        </w:rPr>
        <w:t xml:space="preserve">, </w:t>
      </w:r>
      <w:r w:rsidR="00594836" w:rsidRPr="00313976">
        <w:rPr>
          <w:lang w:eastAsia="ja-JP"/>
        </w:rPr>
        <w:t>les services financiers et le commerce électronique</w:t>
      </w:r>
      <w:r w:rsidR="00F23B08">
        <w:t>.</w:t>
      </w:r>
    </w:p>
    <w:p w:rsidR="00CB7286" w:rsidRPr="00313976" w:rsidRDefault="00CB7286" w:rsidP="00B62EF1">
      <w:pPr>
        <w:pStyle w:val="enumlev1"/>
        <w:rPr>
          <w:lang w:eastAsia="ja-JP"/>
        </w:rPr>
      </w:pPr>
      <w:r w:rsidRPr="00313976">
        <w:rPr>
          <w:lang w:eastAsia="ja-JP"/>
        </w:rPr>
        <w:t>5)</w:t>
      </w:r>
      <w:r w:rsidRPr="00313976">
        <w:rPr>
          <w:lang w:eastAsia="ja-JP"/>
        </w:rPr>
        <w:tab/>
      </w:r>
      <w:r w:rsidR="00B62EF1">
        <w:rPr>
          <w:lang w:eastAsia="ja-JP"/>
        </w:rPr>
        <w:t>Définition, compilation et échange de</w:t>
      </w:r>
      <w:r w:rsidR="00764E49" w:rsidRPr="00313976">
        <w:rPr>
          <w:lang w:eastAsia="ja-JP"/>
        </w:rPr>
        <w:t xml:space="preserve"> connaissances, de bonnes pratiques et d</w:t>
      </w:r>
      <w:r w:rsidR="00B62EF1">
        <w:rPr>
          <w:lang w:eastAsia="ja-JP"/>
        </w:rPr>
        <w:t>'</w:t>
      </w:r>
      <w:r w:rsidR="00764E49" w:rsidRPr="00313976">
        <w:rPr>
          <w:lang w:eastAsia="ja-JP"/>
        </w:rPr>
        <w:t>études de cas relatives à diverses applications de</w:t>
      </w:r>
      <w:r w:rsidR="00B62EF1">
        <w:rPr>
          <w:lang w:eastAsia="ja-JP"/>
        </w:rPr>
        <w:t>s</w:t>
      </w:r>
      <w:r w:rsidR="00764E49" w:rsidRPr="00313976">
        <w:rPr>
          <w:lang w:eastAsia="ja-JP"/>
        </w:rPr>
        <w:t xml:space="preserve"> télécommunication</w:t>
      </w:r>
      <w:r w:rsidR="00B62EF1">
        <w:rPr>
          <w:lang w:eastAsia="ja-JP"/>
        </w:rPr>
        <w:t>s</w:t>
      </w:r>
      <w:r w:rsidR="00764E49" w:rsidRPr="00313976">
        <w:rPr>
          <w:lang w:eastAsia="ja-JP"/>
        </w:rPr>
        <w:t>/TIC</w:t>
      </w:r>
      <w:r w:rsidR="00F23B08">
        <w:t>.</w:t>
      </w:r>
      <w:r w:rsidRPr="00313976">
        <w:rPr>
          <w:lang w:eastAsia="ja-JP"/>
        </w:rPr>
        <w:t xml:space="preserve"> </w:t>
      </w:r>
    </w:p>
    <w:p w:rsidR="00CB7286" w:rsidRPr="00313976" w:rsidRDefault="00CB7286" w:rsidP="00B62EF1">
      <w:pPr>
        <w:pStyle w:val="enumlev1"/>
        <w:rPr>
          <w:lang w:eastAsia="ja-JP"/>
        </w:rPr>
      </w:pPr>
      <w:r w:rsidRPr="00313976">
        <w:rPr>
          <w:lang w:eastAsia="ja-JP"/>
        </w:rPr>
        <w:t>6)</w:t>
      </w:r>
      <w:r w:rsidRPr="00313976">
        <w:rPr>
          <w:lang w:eastAsia="ja-JP"/>
        </w:rPr>
        <w:tab/>
      </w:r>
      <w:r w:rsidR="00764E49" w:rsidRPr="00313976">
        <w:rPr>
          <w:lang w:eastAsia="ja-JP"/>
        </w:rPr>
        <w:t xml:space="preserve">Elaboration de programmes intersectoriels </w:t>
      </w:r>
      <w:r w:rsidR="00B62EF1" w:rsidRPr="00313976">
        <w:rPr>
          <w:lang w:eastAsia="ja-JP"/>
        </w:rPr>
        <w:t xml:space="preserve">nationaux </w:t>
      </w:r>
      <w:r w:rsidR="00B62EF1">
        <w:rPr>
          <w:lang w:eastAsia="ja-JP"/>
        </w:rPr>
        <w:t>d'acquisition de</w:t>
      </w:r>
      <w:r w:rsidR="00764E49" w:rsidRPr="00313976">
        <w:rPr>
          <w:lang w:eastAsia="ja-JP"/>
        </w:rPr>
        <w:t xml:space="preserve"> compétences numériques</w:t>
      </w:r>
      <w:r w:rsidRPr="00313976">
        <w:rPr>
          <w:lang w:eastAsia="ja-JP"/>
        </w:rPr>
        <w:t xml:space="preserve"> </w:t>
      </w:r>
      <w:r w:rsidR="00B62EF1">
        <w:rPr>
          <w:lang w:eastAsia="ja-JP"/>
        </w:rPr>
        <w:t>en faveur</w:t>
      </w:r>
      <w:r w:rsidR="00764E49" w:rsidRPr="00313976">
        <w:rPr>
          <w:lang w:eastAsia="ja-JP"/>
        </w:rPr>
        <w:t xml:space="preserve"> de l'inclusion</w:t>
      </w:r>
      <w:r w:rsidRPr="00313976">
        <w:rPr>
          <w:lang w:eastAsia="ja-JP"/>
        </w:rPr>
        <w:t xml:space="preserve">, </w:t>
      </w:r>
      <w:r w:rsidR="00B62EF1">
        <w:rPr>
          <w:lang w:eastAsia="ja-JP"/>
        </w:rPr>
        <w:t>notamment pour les femmes, l</w:t>
      </w:r>
      <w:r w:rsidR="005E3089">
        <w:rPr>
          <w:lang w:eastAsia="ja-JP"/>
        </w:rPr>
        <w:t>es jeunes, l</w:t>
      </w:r>
      <w:r w:rsidR="00764E49" w:rsidRPr="00313976">
        <w:rPr>
          <w:lang w:eastAsia="ja-JP"/>
        </w:rPr>
        <w:t xml:space="preserve">es personnes âgées et </w:t>
      </w:r>
      <w:r w:rsidR="00B62EF1">
        <w:rPr>
          <w:lang w:eastAsia="ja-JP"/>
        </w:rPr>
        <w:t>l</w:t>
      </w:r>
      <w:r w:rsidR="00764E49" w:rsidRPr="00313976">
        <w:rPr>
          <w:lang w:eastAsia="ja-JP"/>
        </w:rPr>
        <w:t>es personnes ayant des besoins particuliers</w:t>
      </w:r>
      <w:r w:rsidRPr="00313976">
        <w:rPr>
          <w:lang w:eastAsia="ja-JP"/>
        </w:rPr>
        <w:t>.</w:t>
      </w:r>
    </w:p>
    <w:p w:rsidR="00CB7286" w:rsidRPr="00313976" w:rsidRDefault="00CB7286" w:rsidP="00CB7286">
      <w:pPr>
        <w:pStyle w:val="Reasons"/>
        <w:rPr>
          <w:lang w:val="fr-FR"/>
        </w:rPr>
      </w:pPr>
    </w:p>
    <w:p w:rsidR="00850859" w:rsidRPr="00313976" w:rsidRDefault="00BF3055" w:rsidP="00B62EF1">
      <w:pPr>
        <w:pStyle w:val="Proposal"/>
        <w:rPr>
          <w:lang w:val="fr-FR"/>
        </w:rPr>
      </w:pPr>
      <w:r w:rsidRPr="00313976">
        <w:rPr>
          <w:b/>
          <w:lang w:val="fr-FR"/>
        </w:rPr>
        <w:t>SUP</w:t>
      </w:r>
      <w:r w:rsidRPr="00313976">
        <w:rPr>
          <w:lang w:val="fr-FR"/>
        </w:rPr>
        <w:tab/>
        <w:t>ACP/22A8/5</w:t>
      </w:r>
    </w:p>
    <w:p w:rsidR="004C3123" w:rsidRPr="00313976" w:rsidRDefault="00F23B08" w:rsidP="00B62EF1">
      <w:pPr>
        <w:pStyle w:val="Heading1"/>
        <w:rPr>
          <w:lang w:eastAsia="zh-CN"/>
        </w:rPr>
      </w:pPr>
      <w:r>
        <w:rPr>
          <w:lang w:eastAsia="zh-CN"/>
        </w:rPr>
        <w:t>ASP3:</w:t>
      </w:r>
      <w:r>
        <w:rPr>
          <w:lang w:eastAsia="zh-CN"/>
        </w:rPr>
        <w:tab/>
      </w:r>
      <w:r w:rsidR="00BF3055" w:rsidRPr="00313976">
        <w:rPr>
          <w:lang w:eastAsia="zh-CN"/>
        </w:rPr>
        <w:t>Tirer parti des avantages des nouvelles technologies</w:t>
      </w:r>
    </w:p>
    <w:p w:rsidR="00850859" w:rsidRPr="00313976" w:rsidRDefault="00850859" w:rsidP="00B62EF1">
      <w:pPr>
        <w:pStyle w:val="Reasons"/>
        <w:rPr>
          <w:lang w:val="fr-FR"/>
        </w:rPr>
      </w:pPr>
    </w:p>
    <w:p w:rsidR="00850859" w:rsidRPr="00313976" w:rsidRDefault="00BF3055" w:rsidP="00B62EF1">
      <w:pPr>
        <w:pStyle w:val="Proposal"/>
        <w:rPr>
          <w:lang w:val="fr-FR"/>
        </w:rPr>
      </w:pPr>
      <w:r w:rsidRPr="00313976">
        <w:rPr>
          <w:b/>
          <w:lang w:val="fr-FR"/>
        </w:rPr>
        <w:t>ADD</w:t>
      </w:r>
      <w:r w:rsidRPr="00313976">
        <w:rPr>
          <w:lang w:val="fr-FR"/>
        </w:rPr>
        <w:tab/>
        <w:t>ACP/22A8/6</w:t>
      </w:r>
    </w:p>
    <w:p w:rsidR="00CB7286" w:rsidRPr="00313976" w:rsidRDefault="00F23B08" w:rsidP="00B62EF1">
      <w:pPr>
        <w:pStyle w:val="Heading1"/>
      </w:pPr>
      <w:r>
        <w:t>ASP3:</w:t>
      </w:r>
      <w:r>
        <w:tab/>
      </w:r>
      <w:r w:rsidR="00CB7286" w:rsidRPr="00313976">
        <w:t>Promouvoir le développement des infrastructures pour améliorer la connectivité numérique</w:t>
      </w:r>
    </w:p>
    <w:p w:rsidR="00850859" w:rsidRPr="00313976" w:rsidRDefault="00CB7286" w:rsidP="00B62EF1">
      <w:r w:rsidRPr="00313976">
        <w:t>Objectif: Aider les Etats</w:t>
      </w:r>
      <w:r w:rsidR="00AE0F12" w:rsidRPr="00313976">
        <w:t xml:space="preserve"> Membres à développer l'infrastructure des télécommunications/TIC</w:t>
      </w:r>
      <w:r w:rsidRPr="00313976">
        <w:t xml:space="preserve"> pour facil</w:t>
      </w:r>
      <w:r w:rsidR="00AE0F12" w:rsidRPr="00313976">
        <w:t>iter la fourniture de services et d</w:t>
      </w:r>
      <w:r w:rsidR="00B62EF1">
        <w:t>'</w:t>
      </w:r>
      <w:r w:rsidRPr="00313976">
        <w:t>applications sur ce</w:t>
      </w:r>
      <w:r w:rsidR="00AE0F12" w:rsidRPr="00313976">
        <w:t xml:space="preserve">tte </w:t>
      </w:r>
      <w:r w:rsidRPr="00313976">
        <w:t>infrastructure.</w:t>
      </w:r>
    </w:p>
    <w:p w:rsidR="00CB7286" w:rsidRPr="00313976" w:rsidRDefault="00CB7286" w:rsidP="00B62EF1">
      <w:pPr>
        <w:pStyle w:val="Headingb"/>
      </w:pPr>
      <w:r w:rsidRPr="00313976">
        <w:lastRenderedPageBreak/>
        <w:t>Résultats attendus:</w:t>
      </w:r>
    </w:p>
    <w:p w:rsidR="00CB7286" w:rsidRPr="00313976" w:rsidRDefault="00CB7286" w:rsidP="00F23B08">
      <w:pPr>
        <w:pStyle w:val="enumlev1"/>
      </w:pPr>
      <w:r w:rsidRPr="00313976">
        <w:t>1)</w:t>
      </w:r>
      <w:r w:rsidRPr="00313976">
        <w:tab/>
      </w:r>
      <w:r w:rsidR="00AE0F12" w:rsidRPr="00313976">
        <w:t>Passage/transition des réseaux analogues aux réseaux numériques</w:t>
      </w:r>
      <w:r w:rsidRPr="00313976">
        <w:t>,</w:t>
      </w:r>
      <w:r w:rsidR="00AE0F12" w:rsidRPr="00313976">
        <w:t xml:space="preserve"> </w:t>
      </w:r>
      <w:r w:rsidR="00B62EF1">
        <w:t>utilisation</w:t>
      </w:r>
      <w:r w:rsidR="00AE0F12" w:rsidRPr="00313976">
        <w:t xml:space="preserve"> de technologies filaires et hertziennes financièrement </w:t>
      </w:r>
      <w:r w:rsidR="00313976" w:rsidRPr="00313976">
        <w:t>abordables</w:t>
      </w:r>
      <w:r w:rsidR="00AE0F12" w:rsidRPr="00313976">
        <w:t xml:space="preserve"> (y compris l'</w:t>
      </w:r>
      <w:r w:rsidR="00313976" w:rsidRPr="00313976">
        <w:t>interopérabilité</w:t>
      </w:r>
      <w:r w:rsidR="00AE0F12" w:rsidRPr="00313976">
        <w:t xml:space="preserve"> de l'infrastructure des TIC) et </w:t>
      </w:r>
      <w:r w:rsidR="00B62EF1">
        <w:t>optimisation de l'</w:t>
      </w:r>
      <w:r w:rsidR="00AE0F12" w:rsidRPr="00313976">
        <w:t>utilisation du dividende numérique</w:t>
      </w:r>
      <w:r w:rsidR="00F23B08">
        <w:t>.</w:t>
      </w:r>
    </w:p>
    <w:p w:rsidR="00CB7286" w:rsidRPr="00313976" w:rsidRDefault="00CB7286" w:rsidP="00F23B08">
      <w:pPr>
        <w:pStyle w:val="enumlev1"/>
      </w:pPr>
      <w:r w:rsidRPr="00313976">
        <w:t>2)</w:t>
      </w:r>
      <w:r w:rsidRPr="00313976">
        <w:tab/>
      </w:r>
      <w:r w:rsidR="00B8285E" w:rsidRPr="00313976">
        <w:t xml:space="preserve">Utilisation </w:t>
      </w:r>
      <w:r w:rsidR="002C0132">
        <w:t>optimale</w:t>
      </w:r>
      <w:r w:rsidR="00B8285E" w:rsidRPr="00313976">
        <w:t xml:space="preserve"> des technologies nouvelles</w:t>
      </w:r>
      <w:r w:rsidRPr="00313976">
        <w:t xml:space="preserve"> </w:t>
      </w:r>
      <w:r w:rsidR="00B8285E" w:rsidRPr="00313976">
        <w:t>et émergentes en vue du développement de</w:t>
      </w:r>
      <w:r w:rsidR="002C0132">
        <w:t>s</w:t>
      </w:r>
      <w:r w:rsidR="00B8285E" w:rsidRPr="00313976">
        <w:t xml:space="preserve"> réseau</w:t>
      </w:r>
      <w:r w:rsidR="003505CC">
        <w:t>x de télécommunication</w:t>
      </w:r>
      <w:r w:rsidR="00B8285E" w:rsidRPr="00313976">
        <w:t xml:space="preserve">/TIC, y compris l'infrastructure et les services </w:t>
      </w:r>
      <w:r w:rsidR="002C0132">
        <w:t xml:space="preserve">liés aux technologies </w:t>
      </w:r>
      <w:r w:rsidR="00B8285E" w:rsidRPr="00313976">
        <w:t>la 5G</w:t>
      </w:r>
      <w:r w:rsidRPr="00313976">
        <w:t xml:space="preserve"> </w:t>
      </w:r>
      <w:r w:rsidR="00B8285E" w:rsidRPr="00313976">
        <w:t>et aux réseaux</w:t>
      </w:r>
      <w:r w:rsidR="002C0132">
        <w:t xml:space="preserve"> électriques</w:t>
      </w:r>
      <w:r w:rsidR="00B8285E" w:rsidRPr="00313976">
        <w:t xml:space="preserve"> intelligents</w:t>
      </w:r>
      <w:r w:rsidR="00F23B08">
        <w:t>.</w:t>
      </w:r>
      <w:r w:rsidRPr="00313976">
        <w:t xml:space="preserve"> </w:t>
      </w:r>
    </w:p>
    <w:p w:rsidR="00CB7286" w:rsidRPr="00313976" w:rsidRDefault="00CB7286" w:rsidP="00F23B08">
      <w:pPr>
        <w:pStyle w:val="enumlev1"/>
      </w:pPr>
      <w:r w:rsidRPr="00313976">
        <w:t>3)</w:t>
      </w:r>
      <w:r w:rsidRPr="00313976">
        <w:tab/>
      </w:r>
      <w:r w:rsidR="00B8285E" w:rsidRPr="00313976">
        <w:t>Renforcement des capacités</w:t>
      </w:r>
      <w:r w:rsidR="00BB3B7A">
        <w:t xml:space="preserve"> en vue de l</w:t>
      </w:r>
      <w:r w:rsidR="00B8285E" w:rsidRPr="00313976">
        <w:t xml:space="preserve">'élaboration et de </w:t>
      </w:r>
      <w:r w:rsidR="00BB3B7A">
        <w:t xml:space="preserve">la </w:t>
      </w:r>
      <w:r w:rsidR="00B8285E" w:rsidRPr="00313976">
        <w:t xml:space="preserve">mise en </w:t>
      </w:r>
      <w:r w:rsidR="000845BF">
        <w:t>oe</w:t>
      </w:r>
      <w:r w:rsidR="00313976" w:rsidRPr="00313976">
        <w:t>uvre</w:t>
      </w:r>
      <w:r w:rsidR="00BB3B7A">
        <w:t xml:space="preserve"> de</w:t>
      </w:r>
      <w:r w:rsidR="00B8285E" w:rsidRPr="00313976">
        <w:t xml:space="preserve"> plans nationaux relatifs aux large bande</w:t>
      </w:r>
      <w:r w:rsidR="00BB3B7A">
        <w:t>,</w:t>
      </w:r>
      <w:r w:rsidR="00B8285E" w:rsidRPr="00313976">
        <w:t xml:space="preserve"> afin de</w:t>
      </w:r>
      <w:r w:rsidRPr="00313976">
        <w:t xml:space="preserve"> </w:t>
      </w:r>
      <w:r w:rsidR="00B8285E" w:rsidRPr="00313976">
        <w:t>fournir un accès large bande dans les zones non desservies ou mal desservies</w:t>
      </w:r>
      <w:r w:rsidRPr="00313976">
        <w:t xml:space="preserve"> (</w:t>
      </w:r>
      <w:r w:rsidR="00B8285E" w:rsidRPr="00313976">
        <w:t xml:space="preserve">notamment </w:t>
      </w:r>
      <w:r w:rsidR="00BB3B7A">
        <w:t>en apportant un soutien pour l'étude de</w:t>
      </w:r>
      <w:r w:rsidR="00B8285E" w:rsidRPr="00313976">
        <w:t xml:space="preserve"> l'état des réseaux nationaux large bande et de la connectivité </w:t>
      </w:r>
      <w:r w:rsidRPr="00313976">
        <w:t>international</w:t>
      </w:r>
      <w:r w:rsidR="00B8285E" w:rsidRPr="00313976">
        <w:t>e</w:t>
      </w:r>
      <w:r w:rsidRPr="00313976">
        <w:t xml:space="preserve">), </w:t>
      </w:r>
      <w:r w:rsidR="00B06AD3" w:rsidRPr="00313976">
        <w:t>de promouvoir un accès financièrement abordable</w:t>
      </w:r>
      <w:r w:rsidRPr="00313976">
        <w:t xml:space="preserve">, </w:t>
      </w:r>
      <w:r w:rsidR="00B06AD3" w:rsidRPr="00313976">
        <w:t>en particulier pour les jeunes, les femmes, les populations autochtones et les enfants</w:t>
      </w:r>
      <w:r w:rsidRPr="00313976">
        <w:t xml:space="preserve">, </w:t>
      </w:r>
      <w:r w:rsidR="00B06AD3" w:rsidRPr="00313976">
        <w:t>de choisir les technologies adaptées</w:t>
      </w:r>
      <w:r w:rsidRPr="00313976">
        <w:t xml:space="preserve">, </w:t>
      </w:r>
      <w:r w:rsidR="00B06AD3" w:rsidRPr="00313976">
        <w:t>de développer et d'utiliser efficacement le Fonds pour le service universel</w:t>
      </w:r>
      <w:r w:rsidRPr="00313976">
        <w:t xml:space="preserve"> </w:t>
      </w:r>
      <w:r w:rsidR="00B06AD3" w:rsidRPr="00313976">
        <w:t xml:space="preserve">et d'élaborer des modèles </w:t>
      </w:r>
      <w:r w:rsidR="00D47567" w:rsidRPr="00313976">
        <w:t>économiques</w:t>
      </w:r>
      <w:r w:rsidR="00B06AD3" w:rsidRPr="00313976">
        <w:t xml:space="preserve"> </w:t>
      </w:r>
      <w:r w:rsidR="00B9343F" w:rsidRPr="00313976">
        <w:t>viables</w:t>
      </w:r>
      <w:r w:rsidR="00B06AD3" w:rsidRPr="00313976">
        <w:t xml:space="preserve"> sur le </w:t>
      </w:r>
      <w:r w:rsidR="00BB3B7A">
        <w:t xml:space="preserve">double </w:t>
      </w:r>
      <w:r w:rsidR="00B06AD3" w:rsidRPr="00313976">
        <w:t>plan financier et opérationnel</w:t>
      </w:r>
      <w:r w:rsidR="00F23B08">
        <w:t>.</w:t>
      </w:r>
      <w:r w:rsidRPr="00313976">
        <w:t xml:space="preserve"> </w:t>
      </w:r>
    </w:p>
    <w:p w:rsidR="00CB7286" w:rsidRPr="00313976" w:rsidRDefault="00CB7286" w:rsidP="00F23B08">
      <w:pPr>
        <w:pStyle w:val="enumlev1"/>
      </w:pPr>
      <w:r w:rsidRPr="00313976">
        <w:t>4)</w:t>
      </w:r>
      <w:r w:rsidRPr="00313976">
        <w:tab/>
      </w:r>
      <w:r w:rsidR="00B06AD3" w:rsidRPr="00313976">
        <w:t>Promotion des points d'échange Internet</w:t>
      </w:r>
      <w:r w:rsidRPr="00313976">
        <w:t xml:space="preserve"> (IXPs)</w:t>
      </w:r>
      <w:r w:rsidR="00B06AD3" w:rsidRPr="00313976">
        <w:t xml:space="preserve"> pour améliorer la connectivité</w:t>
      </w:r>
      <w:r w:rsidR="00D47567" w:rsidRPr="00313976">
        <w:t xml:space="preserve"> à long terme</w:t>
      </w:r>
      <w:r w:rsidR="00BB3B7A">
        <w:t xml:space="preserve"> et le</w:t>
      </w:r>
      <w:r w:rsidR="00B06AD3" w:rsidRPr="00313976">
        <w:t xml:space="preserve"> déploiement de réseaux et d</w:t>
      </w:r>
      <w:r w:rsidR="00BB3B7A">
        <w:t>'</w:t>
      </w:r>
      <w:r w:rsidR="00B06AD3" w:rsidRPr="00313976">
        <w:t xml:space="preserve">applications IPv6 et </w:t>
      </w:r>
      <w:r w:rsidR="00BB3B7A">
        <w:t>pour accélérer le</w:t>
      </w:r>
      <w:r w:rsidR="00530992">
        <w:t xml:space="preserve"> passage de l'IPv4 à l'IPv6</w:t>
      </w:r>
      <w:r w:rsidR="00F23B08">
        <w:t>.</w:t>
      </w:r>
    </w:p>
    <w:p w:rsidR="00CB7286" w:rsidRPr="00313976" w:rsidRDefault="00CB7286" w:rsidP="00F23B08">
      <w:pPr>
        <w:pStyle w:val="enumlev1"/>
      </w:pPr>
      <w:r w:rsidRPr="00313976">
        <w:t>5)</w:t>
      </w:r>
      <w:r w:rsidRPr="00313976">
        <w:tab/>
      </w:r>
      <w:r w:rsidR="00B06AD3" w:rsidRPr="00313976">
        <w:t>Renforcement des capacités</w:t>
      </w:r>
      <w:r w:rsidR="00D47567" w:rsidRPr="00313976">
        <w:t xml:space="preserve"> d'exécution des procédures et des tests </w:t>
      </w:r>
      <w:r w:rsidR="003505CC">
        <w:t>de</w:t>
      </w:r>
      <w:r w:rsidR="00D47567" w:rsidRPr="00313976">
        <w:t xml:space="preserve"> conformité et </w:t>
      </w:r>
      <w:r w:rsidR="003505CC">
        <w:t>d</w:t>
      </w:r>
      <w:r w:rsidR="00D47567" w:rsidRPr="00313976">
        <w:t>'interopérabilité (C&amp;I)</w:t>
      </w:r>
      <w:r w:rsidR="003505CC">
        <w:t xml:space="preserve"> ainsi que</w:t>
      </w:r>
      <w:r w:rsidR="00D47567" w:rsidRPr="00313976">
        <w:t xml:space="preserve"> des ressources </w:t>
      </w:r>
      <w:r w:rsidR="003505CC">
        <w:t xml:space="preserve">de planification </w:t>
      </w:r>
      <w:r w:rsidR="00D47567" w:rsidRPr="00313976">
        <w:t>nécessaires aux programmes</w:t>
      </w:r>
      <w:r w:rsidRPr="00313976">
        <w:t xml:space="preserve"> C&amp;I, </w:t>
      </w:r>
      <w:r w:rsidR="00D47567" w:rsidRPr="00313976">
        <w:t xml:space="preserve">et </w:t>
      </w:r>
      <w:r w:rsidR="00BB3B7A">
        <w:t xml:space="preserve">mesures propres à faciliter </w:t>
      </w:r>
      <w:r w:rsidR="00D47567" w:rsidRPr="00313976">
        <w:t xml:space="preserve">la </w:t>
      </w:r>
      <w:r w:rsidR="007110C8" w:rsidRPr="00313976">
        <w:t>mise en place</w:t>
      </w:r>
      <w:r w:rsidR="00D47567" w:rsidRPr="00313976">
        <w:t xml:space="preserve"> de </w:t>
      </w:r>
      <w:r w:rsidR="007110C8" w:rsidRPr="00313976">
        <w:t>systèmes</w:t>
      </w:r>
      <w:r w:rsidR="00D47567" w:rsidRPr="00313976">
        <w:t xml:space="preserve"> </w:t>
      </w:r>
      <w:r w:rsidR="00BB3B7A" w:rsidRPr="00313976">
        <w:t xml:space="preserve">C&amp;I </w:t>
      </w:r>
      <w:r w:rsidR="00D47567" w:rsidRPr="00313976">
        <w:t>régionaux et sous-régionaux communs</w:t>
      </w:r>
      <w:r w:rsidRPr="00313976">
        <w:t xml:space="preserve"> (</w:t>
      </w:r>
      <w:r w:rsidR="00D47567" w:rsidRPr="00313976">
        <w:t>y compris l'adoption et l'application d'accords de reconnaissance mutuelle</w:t>
      </w:r>
      <w:r w:rsidRPr="00313976">
        <w:t>)</w:t>
      </w:r>
      <w:r w:rsidR="00F23B08">
        <w:t>.</w:t>
      </w:r>
    </w:p>
    <w:p w:rsidR="00CB7286" w:rsidRPr="00313976" w:rsidRDefault="00CB7286" w:rsidP="00F23B08">
      <w:pPr>
        <w:pStyle w:val="enumlev1"/>
      </w:pPr>
      <w:r w:rsidRPr="00313976">
        <w:t>6)</w:t>
      </w:r>
      <w:r w:rsidRPr="00313976">
        <w:tab/>
      </w:r>
      <w:r w:rsidR="00BB3B7A">
        <w:t>Examen</w:t>
      </w:r>
      <w:r w:rsidR="00092E5B" w:rsidRPr="00313976">
        <w:t xml:space="preserve"> des questions </w:t>
      </w:r>
      <w:r w:rsidR="00BB3B7A">
        <w:t>relatives à la</w:t>
      </w:r>
      <w:r w:rsidR="00092E5B" w:rsidRPr="00313976">
        <w:t xml:space="preserve"> gestion du spectre, notamment en ce qui concerne la </w:t>
      </w:r>
      <w:r w:rsidR="00313976" w:rsidRPr="00313976">
        <w:t>planification</w:t>
      </w:r>
      <w:r w:rsidR="00092E5B" w:rsidRPr="00313976">
        <w:t xml:space="preserve"> des fréquences radioélectriques, les nouvelles méthodes de partage du spectre et l'harmonisation de</w:t>
      </w:r>
      <w:r w:rsidR="00BB3B7A">
        <w:t>s</w:t>
      </w:r>
      <w:r w:rsidR="00F17A0E">
        <w:t xml:space="preserve"> </w:t>
      </w:r>
      <w:r w:rsidR="00BB3B7A">
        <w:t xml:space="preserve">attributions </w:t>
      </w:r>
      <w:r w:rsidR="00092E5B" w:rsidRPr="00313976">
        <w:t xml:space="preserve">de fréquences et </w:t>
      </w:r>
      <w:r w:rsidR="00BB3B7A">
        <w:t>l</w:t>
      </w:r>
      <w:r w:rsidR="00092E5B" w:rsidRPr="00313976">
        <w:t>e</w:t>
      </w:r>
      <w:r w:rsidR="00F17A0E">
        <w:t>s systèmes de</w:t>
      </w:r>
      <w:r w:rsidR="00092E5B" w:rsidRPr="00313976">
        <w:t xml:space="preserve"> contrôle des émissions, et</w:t>
      </w:r>
      <w:r w:rsidR="00BB3B7A">
        <w:t xml:space="preserve"> fourniture d'une assistance pour les </w:t>
      </w:r>
      <w:r w:rsidR="00092E5B" w:rsidRPr="00313976">
        <w:t>travaux préparatoires</w:t>
      </w:r>
      <w:r w:rsidR="00BB3B7A">
        <w:t xml:space="preserve"> en vue des CMR et </w:t>
      </w:r>
      <w:r w:rsidR="00092E5B" w:rsidRPr="00313976">
        <w:t xml:space="preserve">la mise en </w:t>
      </w:r>
      <w:r w:rsidR="000845BF">
        <w:t>oe</w:t>
      </w:r>
      <w:r w:rsidR="00313976" w:rsidRPr="00313976">
        <w:t>uvre</w:t>
      </w:r>
      <w:r w:rsidR="00092E5B" w:rsidRPr="00313976">
        <w:t xml:space="preserve"> de</w:t>
      </w:r>
      <w:r w:rsidR="00BB3B7A">
        <w:t>s</w:t>
      </w:r>
      <w:r w:rsidR="00092E5B" w:rsidRPr="00313976">
        <w:t xml:space="preserve"> résultats</w:t>
      </w:r>
      <w:r w:rsidR="00BB3B7A">
        <w:t xml:space="preserve"> de ces conférences</w:t>
      </w:r>
      <w:r w:rsidR="00F23B08">
        <w:t>.</w:t>
      </w:r>
      <w:r w:rsidRPr="00313976">
        <w:t xml:space="preserve"> </w:t>
      </w:r>
    </w:p>
    <w:p w:rsidR="00CB7286" w:rsidRPr="00313976" w:rsidRDefault="00CB7286" w:rsidP="00F23B08">
      <w:pPr>
        <w:pStyle w:val="enumlev1"/>
      </w:pPr>
      <w:r w:rsidRPr="00313976">
        <w:t>7)</w:t>
      </w:r>
      <w:r w:rsidRPr="00313976">
        <w:tab/>
      </w:r>
      <w:r w:rsidR="00092E5B" w:rsidRPr="00313976">
        <w:t xml:space="preserve">Renforcement des </w:t>
      </w:r>
      <w:r w:rsidR="00BB3B7A">
        <w:t>compétences en matière</w:t>
      </w:r>
      <w:r w:rsidR="00092E5B" w:rsidRPr="00313976">
        <w:t xml:space="preserve"> de développement et d'utilisation des télécommunications par satellite</w:t>
      </w:r>
      <w:r w:rsidR="00F23B08">
        <w:t>.</w:t>
      </w:r>
      <w:r w:rsidRPr="00313976">
        <w:t xml:space="preserve"> </w:t>
      </w:r>
    </w:p>
    <w:p w:rsidR="00850859" w:rsidRPr="00313976" w:rsidRDefault="00CB7286" w:rsidP="00BB3B7A">
      <w:pPr>
        <w:pStyle w:val="enumlev1"/>
      </w:pPr>
      <w:r w:rsidRPr="00313976">
        <w:t>8)</w:t>
      </w:r>
      <w:r w:rsidRPr="00313976">
        <w:tab/>
      </w:r>
      <w:r w:rsidR="00BB3B7A">
        <w:t>Renforcement</w:t>
      </w:r>
      <w:r w:rsidR="00092E5B" w:rsidRPr="00313976">
        <w:t xml:space="preserve"> de la coopération a</w:t>
      </w:r>
      <w:r w:rsidR="007110C8" w:rsidRPr="00313976">
        <w:t>v</w:t>
      </w:r>
      <w:r w:rsidR="00092E5B" w:rsidRPr="00313976">
        <w:t xml:space="preserve">ec les </w:t>
      </w:r>
      <w:r w:rsidR="00313976" w:rsidRPr="00313976">
        <w:t>organisations</w:t>
      </w:r>
      <w:r w:rsidR="00092E5B" w:rsidRPr="00313976">
        <w:t xml:space="preserve"> i</w:t>
      </w:r>
      <w:r w:rsidRPr="00313976">
        <w:t>nternational</w:t>
      </w:r>
      <w:r w:rsidR="00092E5B" w:rsidRPr="00313976">
        <w:t xml:space="preserve">es </w:t>
      </w:r>
      <w:r w:rsidR="00BB3B7A">
        <w:t xml:space="preserve">ou </w:t>
      </w:r>
      <w:r w:rsidRPr="00313976">
        <w:t>r</w:t>
      </w:r>
      <w:r w:rsidR="00092E5B" w:rsidRPr="00313976">
        <w:t>é</w:t>
      </w:r>
      <w:r w:rsidRPr="00313976">
        <w:t>gional</w:t>
      </w:r>
      <w:r w:rsidR="00092E5B" w:rsidRPr="00313976">
        <w:t>es</w:t>
      </w:r>
      <w:r w:rsidR="00BB3B7A">
        <w:t>,</w:t>
      </w:r>
      <w:r w:rsidRPr="00313976">
        <w:t xml:space="preserve"> </w:t>
      </w:r>
      <w:r w:rsidR="007110C8" w:rsidRPr="00313976">
        <w:t>afin d'améliorer la connectivité à l'échelle régionale dans le domaine des TIC, par exemple</w:t>
      </w:r>
      <w:r w:rsidR="00BB3B7A">
        <w:t xml:space="preserve"> grâce à</w:t>
      </w:r>
      <w:r w:rsidR="007110C8" w:rsidRPr="00313976">
        <w:t xml:space="preserve"> l'autoroute de l'information dans la région Asie-</w:t>
      </w:r>
      <w:r w:rsidR="00313976" w:rsidRPr="00313976">
        <w:t>Pacifique</w:t>
      </w:r>
      <w:r w:rsidRPr="00313976">
        <w:t xml:space="preserve"> (AP-IS).</w:t>
      </w:r>
    </w:p>
    <w:p w:rsidR="00CB7286" w:rsidRPr="00313976" w:rsidRDefault="00CB7286" w:rsidP="009213F6">
      <w:pPr>
        <w:pStyle w:val="Reasons"/>
        <w:rPr>
          <w:lang w:val="fr-FR"/>
        </w:rPr>
      </w:pPr>
    </w:p>
    <w:p w:rsidR="00850859" w:rsidRPr="00313976" w:rsidRDefault="00BF3055" w:rsidP="009213F6">
      <w:pPr>
        <w:pStyle w:val="Proposal"/>
        <w:rPr>
          <w:lang w:val="fr-FR"/>
        </w:rPr>
      </w:pPr>
      <w:r w:rsidRPr="00313976">
        <w:rPr>
          <w:b/>
          <w:lang w:val="fr-FR"/>
        </w:rPr>
        <w:t>SUP</w:t>
      </w:r>
      <w:r w:rsidRPr="00313976">
        <w:rPr>
          <w:lang w:val="fr-FR"/>
        </w:rPr>
        <w:tab/>
        <w:t>ACP/22A8/7</w:t>
      </w:r>
    </w:p>
    <w:p w:rsidR="004C3123" w:rsidRPr="00313976" w:rsidRDefault="000845BF" w:rsidP="009213F6">
      <w:pPr>
        <w:pStyle w:val="Heading1"/>
        <w:rPr>
          <w:lang w:eastAsia="zh-CN"/>
        </w:rPr>
      </w:pPr>
      <w:r>
        <w:rPr>
          <w:lang w:eastAsia="zh-CN"/>
        </w:rPr>
        <w:t>ASP4:</w:t>
      </w:r>
      <w:r>
        <w:rPr>
          <w:lang w:eastAsia="zh-CN"/>
        </w:rPr>
        <w:tab/>
      </w:r>
      <w:r w:rsidR="00BF3055" w:rsidRPr="00313976">
        <w:rPr>
          <w:lang w:eastAsia="zh-CN"/>
        </w:rPr>
        <w:t xml:space="preserve">Développement de l'accès au large bande et adoption du large bande </w:t>
      </w:r>
    </w:p>
    <w:p w:rsidR="00850859" w:rsidRPr="00313976" w:rsidRDefault="00850859" w:rsidP="009213F6">
      <w:pPr>
        <w:pStyle w:val="Reasons"/>
        <w:rPr>
          <w:lang w:val="fr-FR"/>
        </w:rPr>
      </w:pPr>
    </w:p>
    <w:p w:rsidR="00850859" w:rsidRPr="00313976" w:rsidRDefault="00BF3055" w:rsidP="009213F6">
      <w:pPr>
        <w:pStyle w:val="Proposal"/>
        <w:rPr>
          <w:lang w:val="fr-FR"/>
        </w:rPr>
      </w:pPr>
      <w:r w:rsidRPr="00313976">
        <w:rPr>
          <w:b/>
          <w:lang w:val="fr-FR"/>
        </w:rPr>
        <w:lastRenderedPageBreak/>
        <w:t>ADD</w:t>
      </w:r>
      <w:r w:rsidRPr="00313976">
        <w:rPr>
          <w:lang w:val="fr-FR"/>
        </w:rPr>
        <w:tab/>
        <w:t>ACP/22A8/8</w:t>
      </w:r>
    </w:p>
    <w:p w:rsidR="00896FD8" w:rsidRPr="00313976" w:rsidRDefault="000845BF" w:rsidP="009213F6">
      <w:pPr>
        <w:pStyle w:val="Heading1"/>
      </w:pPr>
      <w:r>
        <w:t>ASP4:</w:t>
      </w:r>
      <w:r>
        <w:tab/>
      </w:r>
      <w:r w:rsidR="00896FD8" w:rsidRPr="00313976">
        <w:t>Créer un environnement politique et réglementaire propice</w:t>
      </w:r>
    </w:p>
    <w:p w:rsidR="00850859" w:rsidRPr="00313976" w:rsidRDefault="00896FD8" w:rsidP="009213F6">
      <w:r w:rsidRPr="00313976">
        <w:t>Objectif: Aider les Etats Membres à élaborer des cadres politiques et réglementaires ad</w:t>
      </w:r>
      <w:r w:rsidR="00E42286" w:rsidRPr="00313976">
        <w:t>aptés, à encourager l'innovation</w:t>
      </w:r>
      <w:r w:rsidRPr="00313976">
        <w:t>, à améliorer les compétences, à développer l'échange d'information</w:t>
      </w:r>
      <w:r w:rsidR="000845BF">
        <w:t>s</w:t>
      </w:r>
      <w:r w:rsidR="009213F6">
        <w:t xml:space="preserve"> et</w:t>
      </w:r>
      <w:r w:rsidRPr="00313976">
        <w:t xml:space="preserve"> à renforcer la coopération dans le domaine de la réglementation, ce qui contribue à la création d'un environnement réglementaire propice pour </w:t>
      </w:r>
      <w:r w:rsidR="00E42286" w:rsidRPr="00313976">
        <w:t>toutes les parties prenantes</w:t>
      </w:r>
      <w:r w:rsidRPr="00313976">
        <w:t>.</w:t>
      </w:r>
    </w:p>
    <w:p w:rsidR="00850859" w:rsidRPr="00313976" w:rsidRDefault="00896FD8" w:rsidP="00896FD8">
      <w:pPr>
        <w:pStyle w:val="Headingb"/>
      </w:pPr>
      <w:r w:rsidRPr="00313976">
        <w:t>Résultats attendus:</w:t>
      </w:r>
    </w:p>
    <w:p w:rsidR="00896FD8" w:rsidRPr="00313976" w:rsidRDefault="00896FD8" w:rsidP="000845BF">
      <w:pPr>
        <w:pStyle w:val="enumlev1"/>
      </w:pPr>
      <w:r w:rsidRPr="00313976">
        <w:t>1)</w:t>
      </w:r>
      <w:r w:rsidRPr="00313976">
        <w:tab/>
        <w:t>Partage</w:t>
      </w:r>
      <w:r w:rsidR="00E42286" w:rsidRPr="00313976">
        <w:t xml:space="preserve"> d'</w:t>
      </w:r>
      <w:r w:rsidRPr="00313976">
        <w:t xml:space="preserve">informations concernant l'évolution des cadres juridiques, politiques et réglementaires </w:t>
      </w:r>
      <w:r w:rsidR="00BD4118" w:rsidRPr="00313976">
        <w:t>ainsi que</w:t>
      </w:r>
      <w:r w:rsidRPr="00313976">
        <w:t xml:space="preserve"> du marché dans le secteur des TIC et dans les économies numériques q</w:t>
      </w:r>
      <w:r w:rsidR="00E42286" w:rsidRPr="00313976">
        <w:t>ui sont ainsi rendues possibles</w:t>
      </w:r>
      <w:r w:rsidR="000845BF">
        <w:t>.</w:t>
      </w:r>
    </w:p>
    <w:p w:rsidR="00896FD8" w:rsidRPr="00313976" w:rsidRDefault="00896FD8" w:rsidP="000845BF">
      <w:pPr>
        <w:pStyle w:val="enumlev1"/>
      </w:pPr>
      <w:r w:rsidRPr="00313976">
        <w:t>2)</w:t>
      </w:r>
      <w:r w:rsidRPr="00313976">
        <w:tab/>
      </w:r>
      <w:r w:rsidR="00222F55" w:rsidRPr="00313976">
        <w:t xml:space="preserve">Elaboration, mise en </w:t>
      </w:r>
      <w:r w:rsidR="000845BF">
        <w:t>oe</w:t>
      </w:r>
      <w:r w:rsidR="00313976" w:rsidRPr="00313976">
        <w:t>uvre</w:t>
      </w:r>
      <w:r w:rsidR="00222F55" w:rsidRPr="00313976">
        <w:t xml:space="preserve"> et examen de stratégies, de politiques et de cadres juridiques et réglementaires, notamment en ce qui concerne </w:t>
      </w:r>
      <w:r w:rsidR="00222F55" w:rsidRPr="00313976">
        <w:rPr>
          <w:lang w:eastAsia="ja-JP"/>
        </w:rPr>
        <w:t xml:space="preserve">l'obligation de service universel </w:t>
      </w:r>
      <w:r w:rsidRPr="00313976">
        <w:rPr>
          <w:lang w:eastAsia="ja-JP"/>
        </w:rPr>
        <w:t>(USO)</w:t>
      </w:r>
      <w:r w:rsidR="00222F55" w:rsidRPr="00313976">
        <w:rPr>
          <w:lang w:eastAsia="ja-JP"/>
        </w:rPr>
        <w:t xml:space="preserve"> de prochaine génération</w:t>
      </w:r>
      <w:r w:rsidRPr="00313976">
        <w:rPr>
          <w:lang w:eastAsia="ja-JP"/>
        </w:rPr>
        <w:t xml:space="preserve">, </w:t>
      </w:r>
      <w:r w:rsidR="00222F55" w:rsidRPr="00313976">
        <w:rPr>
          <w:lang w:eastAsia="ja-JP"/>
        </w:rPr>
        <w:t>la protection des consommateurs</w:t>
      </w:r>
      <w:r w:rsidRPr="00313976">
        <w:rPr>
          <w:lang w:eastAsia="ja-JP"/>
        </w:rPr>
        <w:t xml:space="preserve">, </w:t>
      </w:r>
      <w:r w:rsidR="00222F55" w:rsidRPr="00313976">
        <w:rPr>
          <w:lang w:eastAsia="ja-JP"/>
        </w:rPr>
        <w:t>la transformation des PME en entreprises numériques</w:t>
      </w:r>
      <w:r w:rsidRPr="00313976">
        <w:rPr>
          <w:lang w:eastAsia="ja-JP"/>
        </w:rPr>
        <w:t xml:space="preserve">, </w:t>
      </w:r>
      <w:r w:rsidR="00222F55" w:rsidRPr="00313976">
        <w:rPr>
          <w:lang w:eastAsia="ja-JP"/>
        </w:rPr>
        <w:t>l'innovation et l'esprit d'entreprise</w:t>
      </w:r>
      <w:r w:rsidR="000845BF">
        <w:rPr>
          <w:lang w:eastAsia="ja-JP"/>
        </w:rPr>
        <w:t>.</w:t>
      </w:r>
    </w:p>
    <w:p w:rsidR="00896FD8" w:rsidRPr="00313976" w:rsidRDefault="00896FD8" w:rsidP="000845BF">
      <w:pPr>
        <w:pStyle w:val="enumlev1"/>
      </w:pPr>
      <w:r w:rsidRPr="00313976">
        <w:t>3)</w:t>
      </w:r>
      <w:r w:rsidRPr="00313976">
        <w:tab/>
      </w:r>
      <w:r w:rsidR="00DB3B4E" w:rsidRPr="00313976">
        <w:t>Promotion de</w:t>
      </w:r>
      <w:r w:rsidRPr="00313976">
        <w:t xml:space="preserve"> dialogue</w:t>
      </w:r>
      <w:r w:rsidR="00DB3B4E" w:rsidRPr="00313976">
        <w:t>s</w:t>
      </w:r>
      <w:r w:rsidRPr="00313976">
        <w:t xml:space="preserve"> inclusif</w:t>
      </w:r>
      <w:r w:rsidR="00DB3B4E" w:rsidRPr="00313976">
        <w:t>s</w:t>
      </w:r>
      <w:r w:rsidRPr="00313976">
        <w:t xml:space="preserve"> et </w:t>
      </w:r>
      <w:r w:rsidR="009213F6">
        <w:t>renforcement</w:t>
      </w:r>
      <w:r w:rsidR="00DB3B4E" w:rsidRPr="00313976">
        <w:t xml:space="preserve"> de la</w:t>
      </w:r>
      <w:r w:rsidRPr="00313976">
        <w:t xml:space="preserve"> coopération entre les régulateurs nationaux </w:t>
      </w:r>
      <w:r w:rsidR="009213F6">
        <w:t xml:space="preserve">et régionaux, les décideurs et les </w:t>
      </w:r>
      <w:r w:rsidRPr="00313976">
        <w:t>autres parties prenantes du secteur des télécommunications/TIC ainsi qu'avec les autres secteurs de l'économie sur les questions politique</w:t>
      </w:r>
      <w:r w:rsidR="009213F6">
        <w:t>s</w:t>
      </w:r>
      <w:r w:rsidRPr="00313976">
        <w:t>, juridiq</w:t>
      </w:r>
      <w:r w:rsidR="00AC51CA" w:rsidRPr="00313976">
        <w:t>ue</w:t>
      </w:r>
      <w:r w:rsidR="009213F6">
        <w:t>s</w:t>
      </w:r>
      <w:r w:rsidR="00AC51CA" w:rsidRPr="00313976">
        <w:t>, réglementaire</w:t>
      </w:r>
      <w:r w:rsidR="009213F6">
        <w:t>s</w:t>
      </w:r>
      <w:r w:rsidR="00AC51CA" w:rsidRPr="00313976">
        <w:t xml:space="preserve"> et commercial</w:t>
      </w:r>
      <w:r w:rsidR="009213F6">
        <w:t>es</w:t>
      </w:r>
      <w:r w:rsidR="009213F6" w:rsidRPr="009213F6">
        <w:t xml:space="preserve"> </w:t>
      </w:r>
      <w:r w:rsidR="009213F6" w:rsidRPr="00313976">
        <w:t>d'actualité</w:t>
      </w:r>
      <w:r w:rsidR="000845BF">
        <w:t>.</w:t>
      </w:r>
    </w:p>
    <w:p w:rsidR="00896FD8" w:rsidRPr="00313976" w:rsidRDefault="00896FD8" w:rsidP="000845BF">
      <w:pPr>
        <w:pStyle w:val="enumlev1"/>
      </w:pPr>
      <w:r w:rsidRPr="00313976">
        <w:t>4)</w:t>
      </w:r>
      <w:r w:rsidRPr="00313976">
        <w:tab/>
        <w:t>Renforce</w:t>
      </w:r>
      <w:r w:rsidR="00AC51CA" w:rsidRPr="00313976">
        <w:t>ment</w:t>
      </w:r>
      <w:r w:rsidRPr="00313976">
        <w:t xml:space="preserve"> </w:t>
      </w:r>
      <w:r w:rsidR="00AC51CA" w:rsidRPr="00313976">
        <w:t>d</w:t>
      </w:r>
      <w:r w:rsidRPr="00313976">
        <w:t>es capacités institutionnelles</w:t>
      </w:r>
      <w:r w:rsidR="00AC51CA" w:rsidRPr="00313976">
        <w:t>,</w:t>
      </w:r>
      <w:r w:rsidRPr="00313976">
        <w:t xml:space="preserve"> humaines et technique</w:t>
      </w:r>
      <w:r w:rsidR="00AC51CA" w:rsidRPr="00313976">
        <w:t>s</w:t>
      </w:r>
      <w:r w:rsidRPr="00313976">
        <w:t xml:space="preserve"> concernant des questions politiques, juridiques, réglementaires, économiques et financières d'actualité </w:t>
      </w:r>
      <w:r w:rsidR="00AC51CA" w:rsidRPr="00313976">
        <w:t>ainsi que l'évolution du marché</w:t>
      </w:r>
      <w:r w:rsidR="000845BF">
        <w:t>.</w:t>
      </w:r>
    </w:p>
    <w:p w:rsidR="00896FD8" w:rsidRPr="00313976" w:rsidRDefault="00896FD8" w:rsidP="000845BF">
      <w:pPr>
        <w:pStyle w:val="enumlev1"/>
        <w:rPr>
          <w:lang w:eastAsia="ja-JP"/>
        </w:rPr>
      </w:pPr>
      <w:r w:rsidRPr="00313976">
        <w:t>5)</w:t>
      </w:r>
      <w:r w:rsidRPr="00313976">
        <w:tab/>
      </w:r>
      <w:r w:rsidR="00AC51CA" w:rsidRPr="00313976">
        <w:rPr>
          <w:lang w:eastAsia="ja-JP"/>
        </w:rPr>
        <w:t>Sensibilisation accrue aux cadres politiques et réglementaires liés à la confidentialité des données et aux données</w:t>
      </w:r>
      <w:r w:rsidR="009213F6">
        <w:rPr>
          <w:lang w:eastAsia="ja-JP"/>
        </w:rPr>
        <w:t xml:space="preserve"> transfront</w:t>
      </w:r>
      <w:r w:rsidR="00AC51CA" w:rsidRPr="00313976">
        <w:rPr>
          <w:lang w:eastAsia="ja-JP"/>
        </w:rPr>
        <w:t>ières</w:t>
      </w:r>
      <w:r w:rsidR="000845BF">
        <w:rPr>
          <w:lang w:eastAsia="ja-JP"/>
        </w:rPr>
        <w:t>.</w:t>
      </w:r>
    </w:p>
    <w:p w:rsidR="00896FD8" w:rsidRPr="00313976" w:rsidRDefault="00896FD8" w:rsidP="00E423DC">
      <w:pPr>
        <w:pStyle w:val="enumlev1"/>
      </w:pPr>
      <w:r w:rsidRPr="00313976">
        <w:rPr>
          <w:lang w:eastAsia="ja-JP"/>
        </w:rPr>
        <w:t>6)</w:t>
      </w:r>
      <w:r w:rsidRPr="00313976">
        <w:rPr>
          <w:lang w:eastAsia="ja-JP"/>
        </w:rPr>
        <w:tab/>
      </w:r>
      <w:r w:rsidR="00AC51CA" w:rsidRPr="00313976">
        <w:rPr>
          <w:lang w:eastAsia="ja-JP"/>
        </w:rPr>
        <w:t xml:space="preserve">Elaboration de cadres stratégiques </w:t>
      </w:r>
      <w:r w:rsidR="009213F6">
        <w:rPr>
          <w:lang w:eastAsia="ja-JP"/>
        </w:rPr>
        <w:t>pour</w:t>
      </w:r>
      <w:r w:rsidR="00AC51CA" w:rsidRPr="00313976">
        <w:rPr>
          <w:lang w:eastAsia="ja-JP"/>
        </w:rPr>
        <w:t xml:space="preserve"> favoriser les activités de recherche</w:t>
      </w:r>
      <w:r w:rsidR="00E423DC">
        <w:rPr>
          <w:lang w:eastAsia="ja-JP"/>
        </w:rPr>
        <w:noBreakHyphen/>
      </w:r>
      <w:r w:rsidR="00AC51CA" w:rsidRPr="00313976">
        <w:rPr>
          <w:lang w:eastAsia="ja-JP"/>
        </w:rPr>
        <w:t xml:space="preserve">développement dans le domaine des TIC dans les pays en développement. </w:t>
      </w:r>
    </w:p>
    <w:p w:rsidR="00896FD8" w:rsidRPr="00313976" w:rsidRDefault="00896FD8">
      <w:pPr>
        <w:pStyle w:val="Reasons"/>
        <w:rPr>
          <w:lang w:val="fr-FR"/>
        </w:rPr>
      </w:pPr>
    </w:p>
    <w:p w:rsidR="00850859" w:rsidRPr="00313976" w:rsidRDefault="00BF3055">
      <w:pPr>
        <w:pStyle w:val="Proposal"/>
        <w:rPr>
          <w:lang w:val="fr-FR"/>
        </w:rPr>
      </w:pPr>
      <w:r w:rsidRPr="00313976">
        <w:rPr>
          <w:b/>
          <w:lang w:val="fr-FR"/>
        </w:rPr>
        <w:t>SUP</w:t>
      </w:r>
      <w:r w:rsidRPr="00313976">
        <w:rPr>
          <w:lang w:val="fr-FR"/>
        </w:rPr>
        <w:tab/>
        <w:t>ACP/22A8/9</w:t>
      </w:r>
    </w:p>
    <w:p w:rsidR="004C3123" w:rsidRPr="00313976" w:rsidRDefault="000845BF" w:rsidP="00AE64E0">
      <w:pPr>
        <w:pStyle w:val="Heading1"/>
        <w:rPr>
          <w:lang w:eastAsia="zh-CN"/>
        </w:rPr>
      </w:pPr>
      <w:r>
        <w:rPr>
          <w:lang w:eastAsia="zh-CN"/>
        </w:rPr>
        <w:t>ASP5:</w:t>
      </w:r>
      <w:r>
        <w:rPr>
          <w:lang w:eastAsia="zh-CN"/>
        </w:rPr>
        <w:tab/>
      </w:r>
      <w:r w:rsidR="00BF3055" w:rsidRPr="00313976">
        <w:rPr>
          <w:lang w:eastAsia="zh-CN"/>
        </w:rPr>
        <w:t>Politiques et réglementation</w:t>
      </w:r>
    </w:p>
    <w:p w:rsidR="00850859" w:rsidRPr="00313976" w:rsidRDefault="00850859">
      <w:pPr>
        <w:pStyle w:val="Reasons"/>
        <w:rPr>
          <w:lang w:val="fr-FR"/>
        </w:rPr>
      </w:pPr>
    </w:p>
    <w:p w:rsidR="00850859" w:rsidRPr="00313976" w:rsidRDefault="00BF3055">
      <w:pPr>
        <w:pStyle w:val="Proposal"/>
        <w:rPr>
          <w:lang w:val="fr-FR"/>
        </w:rPr>
      </w:pPr>
      <w:r w:rsidRPr="00313976">
        <w:rPr>
          <w:b/>
          <w:lang w:val="fr-FR"/>
        </w:rPr>
        <w:t>ADD</w:t>
      </w:r>
      <w:r w:rsidRPr="00313976">
        <w:rPr>
          <w:lang w:val="fr-FR"/>
        </w:rPr>
        <w:tab/>
        <w:t>ACP/22A8/10</w:t>
      </w:r>
    </w:p>
    <w:p w:rsidR="00896FD8" w:rsidRPr="00313976" w:rsidRDefault="00BF3055" w:rsidP="00896FD8">
      <w:pPr>
        <w:pStyle w:val="Heading1"/>
      </w:pPr>
      <w:r w:rsidRPr="00313976">
        <w:t>ASP5</w:t>
      </w:r>
      <w:r w:rsidR="000845BF">
        <w:t>:</w:t>
      </w:r>
      <w:r w:rsidR="000845BF">
        <w:tab/>
      </w:r>
      <w:r w:rsidR="00896FD8" w:rsidRPr="00313976">
        <w:t>Contribuer à la mise en place d'un environnement fiable et solide</w:t>
      </w:r>
    </w:p>
    <w:p w:rsidR="00850859" w:rsidRPr="00313976" w:rsidRDefault="00896FD8" w:rsidP="0096431F">
      <w:r w:rsidRPr="00313976">
        <w:t>Objectif: Aider les Etats M</w:t>
      </w:r>
      <w:r w:rsidR="00AC51CA" w:rsidRPr="00313976">
        <w:t xml:space="preserve">embres à développer </w:t>
      </w:r>
      <w:r w:rsidR="0096431F">
        <w:t xml:space="preserve">et maintenir </w:t>
      </w:r>
      <w:r w:rsidR="00AC51CA" w:rsidRPr="00313976">
        <w:t xml:space="preserve">des réseaux et des </w:t>
      </w:r>
      <w:r w:rsidRPr="00313976">
        <w:t>services sûrs</w:t>
      </w:r>
      <w:r w:rsidR="0096431F">
        <w:t>,</w:t>
      </w:r>
      <w:r w:rsidRPr="00313976">
        <w:t xml:space="preserve"> </w:t>
      </w:r>
      <w:r w:rsidR="0096431F">
        <w:t xml:space="preserve">fiables </w:t>
      </w:r>
      <w:r w:rsidRPr="00313976">
        <w:t>et solides</w:t>
      </w:r>
      <w:r w:rsidR="0096431F">
        <w:t xml:space="preserve"> et à surmonter les </w:t>
      </w:r>
      <w:r w:rsidR="00664BD4">
        <w:t>obstacles</w:t>
      </w:r>
      <w:r w:rsidR="00F96F99">
        <w:t xml:space="preserve"> </w:t>
      </w:r>
      <w:r w:rsidRPr="00313976">
        <w:t xml:space="preserve">liés aux changements climatiques et </w:t>
      </w:r>
      <w:r w:rsidR="00A2746A" w:rsidRPr="00313976">
        <w:t>à la gestion</w:t>
      </w:r>
      <w:r w:rsidRPr="00313976">
        <w:t xml:space="preserve"> de</w:t>
      </w:r>
      <w:r w:rsidR="00A2746A" w:rsidRPr="00313976">
        <w:t>s</w:t>
      </w:r>
      <w:r w:rsidRPr="00313976">
        <w:t xml:space="preserve"> catastrophe</w:t>
      </w:r>
      <w:r w:rsidR="00A2746A" w:rsidRPr="00313976">
        <w:t>s</w:t>
      </w:r>
      <w:r w:rsidRPr="00313976">
        <w:t>.</w:t>
      </w:r>
    </w:p>
    <w:p w:rsidR="00896FD8" w:rsidRPr="00313976" w:rsidRDefault="00896FD8" w:rsidP="00E423DC">
      <w:pPr>
        <w:pStyle w:val="Headingb"/>
        <w:keepLines/>
      </w:pPr>
      <w:r w:rsidRPr="00313976">
        <w:lastRenderedPageBreak/>
        <w:t>Résultats attendus:</w:t>
      </w:r>
    </w:p>
    <w:p w:rsidR="00896FD8" w:rsidRPr="00313976" w:rsidRDefault="00896FD8" w:rsidP="00E423DC">
      <w:pPr>
        <w:pStyle w:val="enumlev1"/>
        <w:keepNext/>
        <w:keepLines/>
        <w:rPr>
          <w:lang w:eastAsia="ja-JP"/>
        </w:rPr>
      </w:pPr>
      <w:r w:rsidRPr="00313976">
        <w:rPr>
          <w:lang w:eastAsia="ja-JP"/>
        </w:rPr>
        <w:t>1)</w:t>
      </w:r>
      <w:r w:rsidRPr="00313976">
        <w:rPr>
          <w:lang w:eastAsia="ja-JP"/>
        </w:rPr>
        <w:tab/>
      </w:r>
      <w:r w:rsidR="00A2746A" w:rsidRPr="00313976">
        <w:rPr>
          <w:lang w:eastAsia="ja-JP"/>
        </w:rPr>
        <w:t xml:space="preserve">Mise en place de stratégies nationales ou régionales et de capacités nationales en matière de cybersécurité, telles que des équipes d'intervention en cas d'incident informatique, et </w:t>
      </w:r>
      <w:r w:rsidR="0096431F">
        <w:rPr>
          <w:lang w:eastAsia="ja-JP"/>
        </w:rPr>
        <w:t>partage de</w:t>
      </w:r>
      <w:r w:rsidR="00A2746A" w:rsidRPr="00313976">
        <w:rPr>
          <w:lang w:eastAsia="ja-JP"/>
        </w:rPr>
        <w:t xml:space="preserve"> bonnes pratiques</w:t>
      </w:r>
      <w:r w:rsidRPr="00313976">
        <w:rPr>
          <w:lang w:eastAsia="ja-JP"/>
        </w:rPr>
        <w:t xml:space="preserve"> </w:t>
      </w:r>
      <w:r w:rsidR="00A2746A" w:rsidRPr="00313976">
        <w:rPr>
          <w:lang w:eastAsia="ja-JP"/>
        </w:rPr>
        <w:t xml:space="preserve">recueillies </w:t>
      </w:r>
      <w:r w:rsidR="0096431F">
        <w:rPr>
          <w:lang w:eastAsia="ja-JP"/>
        </w:rPr>
        <w:t>à l'aide</w:t>
      </w:r>
      <w:r w:rsidR="00A2746A" w:rsidRPr="00313976">
        <w:rPr>
          <w:lang w:eastAsia="ja-JP"/>
        </w:rPr>
        <w:t xml:space="preserve"> de </w:t>
      </w:r>
      <w:r w:rsidR="0096431F">
        <w:rPr>
          <w:lang w:eastAsia="ja-JP"/>
        </w:rPr>
        <w:t>l'I</w:t>
      </w:r>
      <w:r w:rsidR="0096431F" w:rsidRPr="00313976">
        <w:rPr>
          <w:lang w:eastAsia="ja-JP"/>
        </w:rPr>
        <w:t xml:space="preserve">ndice </w:t>
      </w:r>
      <w:r w:rsidR="00A2746A" w:rsidRPr="00313976">
        <w:rPr>
          <w:lang w:eastAsia="ja-JP"/>
        </w:rPr>
        <w:t>mondial</w:t>
      </w:r>
      <w:r w:rsidR="0096431F">
        <w:rPr>
          <w:lang w:eastAsia="ja-JP"/>
        </w:rPr>
        <w:t xml:space="preserve"> de</w:t>
      </w:r>
      <w:r w:rsidR="00A2746A" w:rsidRPr="00313976">
        <w:rPr>
          <w:lang w:eastAsia="ja-JP"/>
        </w:rPr>
        <w:t xml:space="preserve"> cybersécurité</w:t>
      </w:r>
      <w:r w:rsidR="0096431F">
        <w:rPr>
          <w:lang w:eastAsia="ja-JP"/>
        </w:rPr>
        <w:t>,</w:t>
      </w:r>
      <w:r w:rsidR="00A2746A" w:rsidRPr="00313976">
        <w:rPr>
          <w:lang w:eastAsia="ja-JP"/>
        </w:rPr>
        <w:t xml:space="preserve"> afin de favoriser une culture</w:t>
      </w:r>
      <w:r w:rsidR="00857DD4" w:rsidRPr="00313976">
        <w:rPr>
          <w:lang w:eastAsia="ja-JP"/>
        </w:rPr>
        <w:t xml:space="preserve"> de</w:t>
      </w:r>
      <w:r w:rsidR="0096431F">
        <w:rPr>
          <w:lang w:eastAsia="ja-JP"/>
        </w:rPr>
        <w:t xml:space="preserve"> la</w:t>
      </w:r>
      <w:r w:rsidR="00857DD4" w:rsidRPr="00313976">
        <w:rPr>
          <w:lang w:eastAsia="ja-JP"/>
        </w:rPr>
        <w:t xml:space="preserve"> cybersécurité</w:t>
      </w:r>
      <w:r w:rsidR="000845BF">
        <w:rPr>
          <w:lang w:eastAsia="ja-JP"/>
        </w:rPr>
        <w:t>.</w:t>
      </w:r>
      <w:r w:rsidR="00857DD4" w:rsidRPr="00313976">
        <w:rPr>
          <w:lang w:eastAsia="ja-JP"/>
        </w:rPr>
        <w:t xml:space="preserve"> </w:t>
      </w:r>
    </w:p>
    <w:p w:rsidR="00896FD8" w:rsidRPr="00313976" w:rsidRDefault="00896FD8" w:rsidP="000845BF">
      <w:pPr>
        <w:pStyle w:val="enumlev1"/>
        <w:rPr>
          <w:lang w:eastAsia="ja-JP"/>
        </w:rPr>
      </w:pPr>
      <w:r w:rsidRPr="00313976">
        <w:rPr>
          <w:lang w:eastAsia="ja-JP"/>
        </w:rPr>
        <w:t>2)</w:t>
      </w:r>
      <w:r w:rsidRPr="00313976">
        <w:rPr>
          <w:lang w:eastAsia="ja-JP"/>
        </w:rPr>
        <w:tab/>
      </w:r>
      <w:r w:rsidR="00A8630B">
        <w:rPr>
          <w:lang w:eastAsia="ja-JP"/>
        </w:rPr>
        <w:t>Renforcement</w:t>
      </w:r>
      <w:r w:rsidR="00857DD4" w:rsidRPr="00313976">
        <w:rPr>
          <w:lang w:eastAsia="ja-JP"/>
        </w:rPr>
        <w:t xml:space="preserve"> de la coopération et de la coordination </w:t>
      </w:r>
      <w:r w:rsidR="00313976" w:rsidRPr="00313976">
        <w:rPr>
          <w:lang w:eastAsia="ja-JP"/>
        </w:rPr>
        <w:t>institutionnelles</w:t>
      </w:r>
      <w:r w:rsidR="00857DD4" w:rsidRPr="00313976">
        <w:rPr>
          <w:lang w:eastAsia="ja-JP"/>
        </w:rPr>
        <w:t xml:space="preserve"> entre les acteurs principaux et les </w:t>
      </w:r>
      <w:r w:rsidR="00A8630B">
        <w:rPr>
          <w:lang w:eastAsia="ja-JP"/>
        </w:rPr>
        <w:t xml:space="preserve">principales </w:t>
      </w:r>
      <w:r w:rsidR="00857DD4" w:rsidRPr="00313976">
        <w:rPr>
          <w:lang w:eastAsia="ja-JP"/>
        </w:rPr>
        <w:t xml:space="preserve">parties prenantes aux niveaux national, régional et mondial (notamment en organisant des cyberexercices) </w:t>
      </w:r>
      <w:r w:rsidR="00A8630B">
        <w:rPr>
          <w:lang w:eastAsia="ja-JP"/>
        </w:rPr>
        <w:t>ainsi que des capacités d'examiner</w:t>
      </w:r>
      <w:r w:rsidR="00857DD4" w:rsidRPr="00313976">
        <w:rPr>
          <w:lang w:eastAsia="ja-JP"/>
        </w:rPr>
        <w:t xml:space="preserve"> les questions liées à la cybersécurité</w:t>
      </w:r>
      <w:r w:rsidR="000845BF">
        <w:rPr>
          <w:lang w:eastAsia="ja-JP"/>
        </w:rPr>
        <w:t>.</w:t>
      </w:r>
    </w:p>
    <w:p w:rsidR="00896FD8" w:rsidRPr="00313976" w:rsidRDefault="00896FD8" w:rsidP="00A8630B">
      <w:pPr>
        <w:pStyle w:val="enumlev1"/>
      </w:pPr>
      <w:r w:rsidRPr="00313976">
        <w:t>3)</w:t>
      </w:r>
      <w:r w:rsidRPr="00313976">
        <w:tab/>
      </w:r>
      <w:r w:rsidR="00857DD4" w:rsidRPr="00313976">
        <w:t>Elaboration de plans nationaux portant sur les télécommunications d'urgence et d'initiatives</w:t>
      </w:r>
      <w:r w:rsidR="00535ED0" w:rsidRPr="00313976">
        <w:t xml:space="preserve"> </w:t>
      </w:r>
      <w:r w:rsidRPr="00313976">
        <w:t>fondées sur les TIC</w:t>
      </w:r>
      <w:r w:rsidR="00A8630B">
        <w:t>,</w:t>
      </w:r>
      <w:r w:rsidRPr="00313976">
        <w:t xml:space="preserve"> en vue de fournir une assistance médicale (cybersanté) et humanitaire en cas de catastrophe et dans les situations d'urgence.</w:t>
      </w:r>
    </w:p>
    <w:p w:rsidR="00896FD8" w:rsidRPr="00313976" w:rsidRDefault="00896FD8" w:rsidP="000845BF">
      <w:pPr>
        <w:pStyle w:val="enumlev1"/>
        <w:rPr>
          <w:lang w:eastAsia="ja-JP"/>
        </w:rPr>
      </w:pPr>
      <w:r w:rsidRPr="00313976">
        <w:rPr>
          <w:lang w:eastAsia="ja-JP"/>
        </w:rPr>
        <w:t>4)</w:t>
      </w:r>
      <w:r w:rsidRPr="00313976">
        <w:rPr>
          <w:lang w:eastAsia="ja-JP"/>
        </w:rPr>
        <w:tab/>
      </w:r>
      <w:r w:rsidR="00A8630B">
        <w:rPr>
          <w:lang w:eastAsia="ja-JP"/>
        </w:rPr>
        <w:t xml:space="preserve">Intégration de </w:t>
      </w:r>
      <w:r w:rsidR="00535ED0" w:rsidRPr="00313976">
        <w:rPr>
          <w:lang w:eastAsia="ja-JP"/>
        </w:rPr>
        <w:t xml:space="preserve">dispositifs de résilience </w:t>
      </w:r>
      <w:r w:rsidR="00A8630B">
        <w:rPr>
          <w:lang w:eastAsia="ja-JP"/>
        </w:rPr>
        <w:t>face aux catastrophes dans les</w:t>
      </w:r>
      <w:r w:rsidR="00535ED0" w:rsidRPr="00313976">
        <w:rPr>
          <w:lang w:eastAsia="ja-JP"/>
        </w:rPr>
        <w:t xml:space="preserve"> réseaux et infrastructures de télécommunication</w:t>
      </w:r>
      <w:r w:rsidRPr="00313976">
        <w:rPr>
          <w:lang w:eastAsia="ja-JP"/>
        </w:rPr>
        <w:t xml:space="preserve"> </w:t>
      </w:r>
      <w:r w:rsidR="00535ED0" w:rsidRPr="00313976">
        <w:rPr>
          <w:lang w:eastAsia="ja-JP"/>
        </w:rPr>
        <w:t>et élaboration de solutions faisant appel aux TIC</w:t>
      </w:r>
      <w:r w:rsidRPr="00313976">
        <w:rPr>
          <w:lang w:eastAsia="ja-JP"/>
        </w:rPr>
        <w:t xml:space="preserve"> (</w:t>
      </w:r>
      <w:r w:rsidR="00535ED0" w:rsidRPr="00313976">
        <w:rPr>
          <w:bCs/>
          <w:lang w:eastAsia="ja-JP"/>
        </w:rPr>
        <w:t>y compris les technologies hertziennes et satellitaires</w:t>
      </w:r>
      <w:r w:rsidRPr="00313976">
        <w:rPr>
          <w:lang w:eastAsia="ja-JP"/>
        </w:rPr>
        <w:t>)</w:t>
      </w:r>
      <w:r w:rsidR="00664BD4">
        <w:rPr>
          <w:lang w:eastAsia="ja-JP"/>
        </w:rPr>
        <w:t>,</w:t>
      </w:r>
      <w:r w:rsidRPr="00313976">
        <w:rPr>
          <w:lang w:eastAsia="ja-JP"/>
        </w:rPr>
        <w:t xml:space="preserve"> </w:t>
      </w:r>
      <w:r w:rsidR="00535ED0" w:rsidRPr="00313976">
        <w:rPr>
          <w:lang w:eastAsia="ja-JP"/>
        </w:rPr>
        <w:t xml:space="preserve">afin </w:t>
      </w:r>
      <w:r w:rsidR="00A8630B">
        <w:rPr>
          <w:lang w:eastAsia="ja-JP"/>
        </w:rPr>
        <w:t>d'améliorer</w:t>
      </w:r>
      <w:r w:rsidR="00535ED0" w:rsidRPr="00313976">
        <w:rPr>
          <w:lang w:eastAsia="ja-JP"/>
        </w:rPr>
        <w:t xml:space="preserve"> la résilience des réseaux</w:t>
      </w:r>
      <w:r w:rsidR="000845BF">
        <w:rPr>
          <w:lang w:eastAsia="ja-JP"/>
        </w:rPr>
        <w:t>.</w:t>
      </w:r>
    </w:p>
    <w:p w:rsidR="00896FD8" w:rsidRPr="00313976" w:rsidRDefault="00896FD8" w:rsidP="000845BF">
      <w:pPr>
        <w:pStyle w:val="enumlev1"/>
        <w:rPr>
          <w:lang w:eastAsia="ja-JP"/>
        </w:rPr>
      </w:pPr>
      <w:r w:rsidRPr="00313976">
        <w:rPr>
          <w:lang w:eastAsia="ja-JP"/>
        </w:rPr>
        <w:t>5)</w:t>
      </w:r>
      <w:r w:rsidRPr="00313976">
        <w:rPr>
          <w:lang w:eastAsia="ja-JP"/>
        </w:rPr>
        <w:tab/>
      </w:r>
      <w:r w:rsidR="00A8630B">
        <w:rPr>
          <w:lang w:eastAsia="ja-JP"/>
        </w:rPr>
        <w:t xml:space="preserve">Etablissement </w:t>
      </w:r>
      <w:r w:rsidR="00535ED0" w:rsidRPr="00313976">
        <w:rPr>
          <w:bCs/>
          <w:lang w:eastAsia="ja-JP"/>
        </w:rPr>
        <w:t xml:space="preserve">de systèmes de </w:t>
      </w:r>
      <w:r w:rsidR="00A8630B">
        <w:rPr>
          <w:bCs/>
          <w:lang w:eastAsia="ja-JP"/>
        </w:rPr>
        <w:t xml:space="preserve">contrôle </w:t>
      </w:r>
      <w:r w:rsidR="00535ED0" w:rsidRPr="00313976">
        <w:rPr>
          <w:bCs/>
          <w:lang w:eastAsia="ja-JP"/>
        </w:rPr>
        <w:t xml:space="preserve">et d'alerte </w:t>
      </w:r>
      <w:r w:rsidR="00A8630B">
        <w:rPr>
          <w:bCs/>
          <w:lang w:eastAsia="ja-JP"/>
        </w:rPr>
        <w:t xml:space="preserve">avancée reposant sur des normes et </w:t>
      </w:r>
      <w:r w:rsidR="00535ED0" w:rsidRPr="00313976">
        <w:rPr>
          <w:bCs/>
          <w:lang w:eastAsia="ja-JP"/>
        </w:rPr>
        <w:t>raccordés aux réseaux nationaux et régionaux</w:t>
      </w:r>
      <w:r w:rsidRPr="00313976">
        <w:rPr>
          <w:lang w:eastAsia="ja-JP"/>
        </w:rPr>
        <w:t xml:space="preserve"> </w:t>
      </w:r>
      <w:r w:rsidR="00535ED0" w:rsidRPr="00313976">
        <w:rPr>
          <w:lang w:eastAsia="ja-JP"/>
        </w:rPr>
        <w:t>et utilisation accrue</w:t>
      </w:r>
      <w:r w:rsidRPr="00313976">
        <w:rPr>
          <w:lang w:eastAsia="ja-JP"/>
        </w:rPr>
        <w:t xml:space="preserve"> </w:t>
      </w:r>
      <w:r w:rsidR="00A8630B">
        <w:rPr>
          <w:lang w:eastAsia="ja-JP"/>
        </w:rPr>
        <w:t>de</w:t>
      </w:r>
      <w:r w:rsidR="0057738E" w:rsidRPr="00313976">
        <w:rPr>
          <w:lang w:eastAsia="ja-JP"/>
        </w:rPr>
        <w:t xml:space="preserve"> </w:t>
      </w:r>
      <w:r w:rsidR="0057738E" w:rsidRPr="00313976">
        <w:rPr>
          <w:bCs/>
          <w:lang w:eastAsia="ja-JP"/>
        </w:rPr>
        <w:t>systèmes de capteurs spatiaux passifs ou actifs aux fins de la prévision et de la détection des catastrophes et de l'atténuation de leurs effets</w:t>
      </w:r>
      <w:r w:rsidR="000845BF">
        <w:rPr>
          <w:lang w:eastAsia="ja-JP"/>
        </w:rPr>
        <w:t>.</w:t>
      </w:r>
    </w:p>
    <w:p w:rsidR="00896FD8" w:rsidRPr="00313976" w:rsidRDefault="00896FD8" w:rsidP="00A8630B">
      <w:pPr>
        <w:pStyle w:val="enumlev1"/>
      </w:pPr>
      <w:r w:rsidRPr="00313976">
        <w:rPr>
          <w:lang w:eastAsia="ja-JP"/>
        </w:rPr>
        <w:t>6)</w:t>
      </w:r>
      <w:r w:rsidRPr="00313976">
        <w:rPr>
          <w:lang w:eastAsia="ja-JP"/>
        </w:rPr>
        <w:tab/>
      </w:r>
      <w:r w:rsidR="00A8630B">
        <w:rPr>
          <w:lang w:eastAsia="ja-JP"/>
        </w:rPr>
        <w:t>Formulation</w:t>
      </w:r>
      <w:r w:rsidR="0057738E" w:rsidRPr="00313976">
        <w:rPr>
          <w:lang w:eastAsia="ja-JP"/>
        </w:rPr>
        <w:t xml:space="preserve"> de</w:t>
      </w:r>
      <w:r w:rsidRPr="00313976">
        <w:rPr>
          <w:lang w:eastAsia="ja-JP"/>
        </w:rPr>
        <w:t xml:space="preserve"> stratégies et de mesures globales visant à</w:t>
      </w:r>
      <w:r w:rsidR="0057738E" w:rsidRPr="00313976">
        <w:rPr>
          <w:lang w:eastAsia="ja-JP"/>
        </w:rPr>
        <w:t xml:space="preserve"> </w:t>
      </w:r>
      <w:r w:rsidRPr="00313976">
        <w:rPr>
          <w:lang w:eastAsia="ja-JP"/>
        </w:rPr>
        <w:t>atténuer les effets dévastateurs des changements climatiques</w:t>
      </w:r>
      <w:r w:rsidR="0057738E" w:rsidRPr="00313976">
        <w:rPr>
          <w:lang w:eastAsia="ja-JP"/>
        </w:rPr>
        <w:t xml:space="preserve"> et à y faire face</w:t>
      </w:r>
      <w:r w:rsidR="00F62765">
        <w:rPr>
          <w:lang w:eastAsia="ja-JP"/>
        </w:rPr>
        <w:t>, y compris de</w:t>
      </w:r>
      <w:r w:rsidR="00A8630B">
        <w:rPr>
          <w:lang w:eastAsia="ja-JP"/>
        </w:rPr>
        <w:t xml:space="preserve"> politiques </w:t>
      </w:r>
      <w:r w:rsidR="00F62765">
        <w:rPr>
          <w:lang w:eastAsia="ja-JP"/>
        </w:rPr>
        <w:t>en matière de déchets d'équipements électriques et électroniques.</w:t>
      </w:r>
    </w:p>
    <w:p w:rsidR="00850859" w:rsidRPr="00313976" w:rsidRDefault="00BF3055" w:rsidP="00A8630B">
      <w:pPr>
        <w:pStyle w:val="Reasons"/>
        <w:rPr>
          <w:lang w:val="fr-FR"/>
        </w:rPr>
      </w:pPr>
      <w:r w:rsidRPr="00313976">
        <w:rPr>
          <w:b/>
          <w:lang w:val="fr-FR"/>
        </w:rPr>
        <w:t>Motifs:</w:t>
      </w:r>
    </w:p>
    <w:p w:rsidR="00896FD8" w:rsidRPr="00313976" w:rsidRDefault="0057738E" w:rsidP="00A8630B">
      <w:r w:rsidRPr="00313976">
        <w:t>Les Administrations des pays membres de l'APT</w:t>
      </w:r>
      <w:r w:rsidR="00896FD8" w:rsidRPr="00313976">
        <w:t xml:space="preserve"> propose</w:t>
      </w:r>
      <w:r w:rsidRPr="00313976">
        <w:t xml:space="preserve">nt de faire figurer les </w:t>
      </w:r>
      <w:r w:rsidR="00A8630B">
        <w:t>initiatives</w:t>
      </w:r>
      <w:r w:rsidRPr="00313976">
        <w:t xml:space="preserve"> régionales pour la région Asie-Pacifique </w:t>
      </w:r>
      <w:r w:rsidR="00F62765">
        <w:t xml:space="preserve">exposées ci-dessus </w:t>
      </w:r>
      <w:r w:rsidRPr="00313976">
        <w:t xml:space="preserve">dans le Plan d'action de </w:t>
      </w:r>
      <w:r w:rsidR="00530992">
        <w:t>Buenos Aires.</w:t>
      </w:r>
    </w:p>
    <w:p w:rsidR="00896FD8" w:rsidRDefault="00C147D1" w:rsidP="00A8630B">
      <w:pPr>
        <w:pStyle w:val="Reasons"/>
        <w:rPr>
          <w:lang w:val="fr-FR"/>
        </w:rPr>
      </w:pPr>
      <w:r w:rsidRPr="00313976">
        <w:rPr>
          <w:lang w:val="fr-FR"/>
        </w:rPr>
        <w:t xml:space="preserve">Elles proposent également de supprimer </w:t>
      </w:r>
      <w:r w:rsidR="00A8630B">
        <w:rPr>
          <w:lang w:val="fr-FR"/>
        </w:rPr>
        <w:t>les initiatives</w:t>
      </w:r>
      <w:r w:rsidRPr="00313976">
        <w:rPr>
          <w:lang w:val="fr-FR"/>
        </w:rPr>
        <w:t xml:space="preserve"> régionales </w:t>
      </w:r>
      <w:r w:rsidR="00A8630B">
        <w:rPr>
          <w:lang w:val="fr-FR"/>
        </w:rPr>
        <w:t xml:space="preserve">pour la région Asie-Pacifique </w:t>
      </w:r>
      <w:r w:rsidRPr="00313976">
        <w:rPr>
          <w:lang w:val="fr-FR"/>
        </w:rPr>
        <w:t xml:space="preserve">de la </w:t>
      </w:r>
      <w:r w:rsidR="00896FD8" w:rsidRPr="00313976">
        <w:rPr>
          <w:lang w:val="fr-FR"/>
        </w:rPr>
        <w:t xml:space="preserve">Section 3 </w:t>
      </w:r>
      <w:r w:rsidRPr="00313976">
        <w:rPr>
          <w:lang w:val="fr-FR"/>
        </w:rPr>
        <w:t>du Plan d'action de Dubaï</w:t>
      </w:r>
      <w:r w:rsidR="00896FD8" w:rsidRPr="00313976">
        <w:rPr>
          <w:lang w:val="fr-FR"/>
        </w:rPr>
        <w:t>.</w:t>
      </w:r>
    </w:p>
    <w:p w:rsidR="000845BF" w:rsidRPr="00313976" w:rsidRDefault="000845BF" w:rsidP="00A8630B">
      <w:pPr>
        <w:pStyle w:val="Reasons"/>
        <w:rPr>
          <w:lang w:val="fr-FR"/>
        </w:rPr>
      </w:pPr>
    </w:p>
    <w:p w:rsidR="00896FD8" w:rsidRPr="00313976" w:rsidRDefault="00896FD8" w:rsidP="00A8630B">
      <w:pPr>
        <w:jc w:val="center"/>
      </w:pPr>
      <w:r w:rsidRPr="00313976">
        <w:t>______________</w:t>
      </w:r>
    </w:p>
    <w:p w:rsidR="00896FD8" w:rsidRPr="00313976" w:rsidRDefault="00896FD8" w:rsidP="00896FD8">
      <w:pPr>
        <w:pStyle w:val="Reasons"/>
        <w:rPr>
          <w:lang w:val="fr-FR"/>
        </w:rPr>
      </w:pPr>
    </w:p>
    <w:sectPr w:rsidR="00896FD8" w:rsidRPr="00313976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B9" w:rsidRDefault="00983EB9">
      <w:r>
        <w:separator/>
      </w:r>
    </w:p>
  </w:endnote>
  <w:endnote w:type="continuationSeparator" w:id="0">
    <w:p w:rsidR="00983EB9" w:rsidRDefault="0098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5D3705" w:rsidRDefault="005D3705" w:rsidP="0056763F">
    <w:pPr>
      <w:pStyle w:val="Footer"/>
      <w:tabs>
        <w:tab w:val="clear" w:pos="9639"/>
        <w:tab w:val="left" w:pos="6935"/>
      </w:tabs>
      <w:rPr>
        <w:lang w:val="en-US"/>
      </w:rPr>
    </w:pPr>
    <w:r>
      <w:fldChar w:fldCharType="begin"/>
    </w:r>
    <w:r w:rsidRPr="005D3705">
      <w:rPr>
        <w:lang w:val="en-US"/>
      </w:rPr>
      <w:instrText xml:space="preserve"> FILENAME \p  \* MERGEFORMAT </w:instrText>
    </w:r>
    <w:r>
      <w:fldChar w:fldCharType="separate"/>
    </w:r>
    <w:r w:rsidR="00810EAE">
      <w:rPr>
        <w:lang w:val="en-US"/>
      </w:rPr>
      <w:t>P:\FRA\ITU-D\CONF-D\WTDC17\000\022ADD08F.docx</w:t>
    </w:r>
    <w:r>
      <w:fldChar w:fldCharType="end"/>
    </w:r>
    <w:r w:rsidRPr="005D3705">
      <w:rPr>
        <w:lang w:val="en-US"/>
      </w:rPr>
      <w:t xml:space="preserve"> (</w:t>
    </w:r>
    <w:r w:rsidR="00896FD8">
      <w:rPr>
        <w:lang w:val="en-US"/>
      </w:rPr>
      <w:t>423551</w:t>
    </w:r>
    <w:r w:rsidRPr="005D370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Coordonnées de la personne de contact pour le document"/>
      <w:tblDescription w:val="Coordonnées de la personne de contact pour le document"/>
    </w:tblPr>
    <w:tblGrid>
      <w:gridCol w:w="1526"/>
      <w:gridCol w:w="2268"/>
      <w:gridCol w:w="6237"/>
    </w:tblGrid>
    <w:tr w:rsidR="00D42EE8" w:rsidRPr="00C100BE" w:rsidTr="00D42EE8">
      <w:tc>
        <w:tcPr>
          <w:tcW w:w="1526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4" w:name="Email"/>
          <w:bookmarkEnd w:id="14"/>
          <w:r w:rsidRPr="00C100BE">
            <w:rPr>
              <w:sz w:val="18"/>
              <w:szCs w:val="18"/>
            </w:rPr>
            <w:t>Contact:</w:t>
          </w:r>
        </w:p>
      </w:tc>
      <w:tc>
        <w:tcPr>
          <w:tcW w:w="2268" w:type="dxa"/>
          <w:tcBorders>
            <w:top w:val="single" w:sz="4" w:space="0" w:color="000000" w:themeColor="text1"/>
          </w:tcBorders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6237" w:type="dxa"/>
          <w:tcBorders>
            <w:top w:val="single" w:sz="4" w:space="0" w:color="000000" w:themeColor="text1"/>
          </w:tcBorders>
        </w:tcPr>
        <w:p w:rsidR="00D42EE8" w:rsidRPr="00C100BE" w:rsidRDefault="00D63542" w:rsidP="00D63542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D63542">
            <w:rPr>
              <w:sz w:val="18"/>
              <w:szCs w:val="18"/>
              <w:lang w:val="fr-CH"/>
            </w:rPr>
            <w:t>M. Joseph McCarroll</w:t>
          </w:r>
          <w:r>
            <w:rPr>
              <w:sz w:val="18"/>
              <w:szCs w:val="18"/>
              <w:lang w:val="fr-CH"/>
            </w:rPr>
            <w:t>,</w:t>
          </w:r>
          <w:r w:rsidRPr="00D63542">
            <w:rPr>
              <w:rFonts w:eastAsia="BatangChe"/>
              <w:color w:val="000000" w:themeColor="text1"/>
              <w:sz w:val="20"/>
              <w:lang w:val="fr-CH" w:eastAsia="ko-KR"/>
            </w:rPr>
            <w:t xml:space="preserve"> </w:t>
          </w:r>
          <w:r w:rsidRPr="00D63542">
            <w:rPr>
              <w:sz w:val="18"/>
              <w:szCs w:val="18"/>
              <w:lang w:val="fr-CH"/>
            </w:rPr>
            <w:t>Président du GT 2</w:t>
          </w:r>
          <w:r>
            <w:rPr>
              <w:sz w:val="18"/>
              <w:szCs w:val="18"/>
              <w:lang w:val="fr-CH"/>
            </w:rPr>
            <w:t>, Australie</w:t>
          </w:r>
        </w:p>
      </w:tc>
    </w:tr>
    <w:tr w:rsidR="00D42EE8" w:rsidRPr="00D63542" w:rsidTr="00D42EE8">
      <w:tc>
        <w:tcPr>
          <w:tcW w:w="1526" w:type="dxa"/>
        </w:tcPr>
        <w:p w:rsidR="00D42EE8" w:rsidRPr="00C100BE" w:rsidRDefault="00D42EE8" w:rsidP="00D42EE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68" w:type="dxa"/>
        </w:tcPr>
        <w:p w:rsidR="00D42EE8" w:rsidRPr="00C100BE" w:rsidRDefault="00D42EE8" w:rsidP="00D42EE8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C100BE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</w:tcPr>
        <w:p w:rsidR="00D42EE8" w:rsidRPr="00C100BE" w:rsidRDefault="00D63542" w:rsidP="00D63542">
          <w:pPr>
            <w:pStyle w:val="FirstFooter"/>
            <w:ind w:left="2160" w:hanging="2160"/>
            <w:rPr>
              <w:sz w:val="18"/>
              <w:szCs w:val="18"/>
              <w:lang w:val="en-US"/>
            </w:rPr>
          </w:pPr>
          <w:hyperlink r:id="rId1" w:history="1">
            <w:r w:rsidRPr="00D63542">
              <w:rPr>
                <w:rStyle w:val="Hyperlink"/>
                <w:sz w:val="18"/>
                <w:szCs w:val="18"/>
                <w:lang w:val="en-US"/>
              </w:rPr>
              <w:t>joseph.mccarroll@communications.gov.au</w:t>
            </w:r>
          </w:hyperlink>
        </w:p>
      </w:tc>
    </w:tr>
  </w:tbl>
  <w:p w:rsidR="00000B37" w:rsidRPr="00784E03" w:rsidRDefault="00D63542" w:rsidP="00000B37">
    <w:pPr>
      <w:jc w:val="center"/>
      <w:rPr>
        <w:sz w:val="20"/>
      </w:rPr>
    </w:pPr>
    <w:hyperlink r:id="rId2" w:history="1">
      <w:r w:rsidR="007934DB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B9" w:rsidRDefault="00983EB9">
      <w:r>
        <w:t>____________________</w:t>
      </w:r>
    </w:p>
  </w:footnote>
  <w:footnote w:type="continuationSeparator" w:id="0">
    <w:p w:rsidR="00983EB9" w:rsidRDefault="0098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E8" w:rsidRPr="00FB312D" w:rsidRDefault="00D42EE8" w:rsidP="00F55756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 w:rsidR="00F55756">
      <w:rPr>
        <w:sz w:val="22"/>
        <w:szCs w:val="22"/>
        <w:lang w:val="de-CH"/>
      </w:rPr>
      <w:t>WTDC</w:t>
    </w:r>
    <w:r w:rsidR="007934DB" w:rsidRPr="00A74B99">
      <w:rPr>
        <w:sz w:val="22"/>
        <w:szCs w:val="22"/>
        <w:lang w:val="de-CH"/>
      </w:rPr>
      <w:t>-17/</w:t>
    </w:r>
    <w:bookmarkStart w:id="11" w:name="OLE_LINK3"/>
    <w:bookmarkStart w:id="12" w:name="OLE_LINK2"/>
    <w:bookmarkStart w:id="13" w:name="OLE_LINK1"/>
    <w:r w:rsidR="007934DB" w:rsidRPr="00A74B99">
      <w:rPr>
        <w:sz w:val="22"/>
        <w:szCs w:val="22"/>
      </w:rPr>
      <w:t>22(Add.8)</w:t>
    </w:r>
    <w:bookmarkEnd w:id="11"/>
    <w:bookmarkEnd w:id="12"/>
    <w:bookmarkEnd w:id="13"/>
    <w:r w:rsidR="007934DB" w:rsidRPr="00A74B99">
      <w:rPr>
        <w:sz w:val="22"/>
        <w:szCs w:val="22"/>
      </w:rPr>
      <w:t>-</w:t>
    </w:r>
    <w:r w:rsidR="007934DB"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D63542">
      <w:rPr>
        <w:noProof/>
        <w:sz w:val="22"/>
        <w:szCs w:val="22"/>
        <w:lang w:val="en-GB"/>
      </w:rPr>
      <w:t>2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E046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44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4027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10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02A0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BA86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031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7C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7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182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1215"/>
    <w:rsid w:val="000067EB"/>
    <w:rsid w:val="00010F71"/>
    <w:rsid w:val="00013358"/>
    <w:rsid w:val="00034E34"/>
    <w:rsid w:val="00051E92"/>
    <w:rsid w:val="00053EF2"/>
    <w:rsid w:val="000559CC"/>
    <w:rsid w:val="00067970"/>
    <w:rsid w:val="000725B4"/>
    <w:rsid w:val="000766DA"/>
    <w:rsid w:val="000845BF"/>
    <w:rsid w:val="000848F0"/>
    <w:rsid w:val="00092E5B"/>
    <w:rsid w:val="000D06F1"/>
    <w:rsid w:val="000E7659"/>
    <w:rsid w:val="000F02B8"/>
    <w:rsid w:val="0010289F"/>
    <w:rsid w:val="00105418"/>
    <w:rsid w:val="00133BF6"/>
    <w:rsid w:val="00135DDB"/>
    <w:rsid w:val="00176A8B"/>
    <w:rsid w:val="00180706"/>
    <w:rsid w:val="00184F7B"/>
    <w:rsid w:val="0019149F"/>
    <w:rsid w:val="00193BAB"/>
    <w:rsid w:val="00194FDD"/>
    <w:rsid w:val="001A5EE2"/>
    <w:rsid w:val="001D264E"/>
    <w:rsid w:val="001E5AA3"/>
    <w:rsid w:val="001E6531"/>
    <w:rsid w:val="001E6D58"/>
    <w:rsid w:val="001F637C"/>
    <w:rsid w:val="00200C7F"/>
    <w:rsid w:val="00201540"/>
    <w:rsid w:val="00212DA6"/>
    <w:rsid w:val="0021388F"/>
    <w:rsid w:val="00222F55"/>
    <w:rsid w:val="00231120"/>
    <w:rsid w:val="002451C0"/>
    <w:rsid w:val="0026716A"/>
    <w:rsid w:val="00294005"/>
    <w:rsid w:val="00297118"/>
    <w:rsid w:val="002A5F44"/>
    <w:rsid w:val="002C0132"/>
    <w:rsid w:val="002C14C1"/>
    <w:rsid w:val="002C496A"/>
    <w:rsid w:val="002C53DC"/>
    <w:rsid w:val="002D6484"/>
    <w:rsid w:val="002E1D00"/>
    <w:rsid w:val="00300AC8"/>
    <w:rsid w:val="00301454"/>
    <w:rsid w:val="00313976"/>
    <w:rsid w:val="00327758"/>
    <w:rsid w:val="0033558B"/>
    <w:rsid w:val="00335864"/>
    <w:rsid w:val="00342BE1"/>
    <w:rsid w:val="003505CC"/>
    <w:rsid w:val="003554A4"/>
    <w:rsid w:val="003707D1"/>
    <w:rsid w:val="00374E7A"/>
    <w:rsid w:val="00380220"/>
    <w:rsid w:val="003827F1"/>
    <w:rsid w:val="003A5EB6"/>
    <w:rsid w:val="003B7567"/>
    <w:rsid w:val="003E1A0D"/>
    <w:rsid w:val="00403E92"/>
    <w:rsid w:val="00410AE2"/>
    <w:rsid w:val="00442779"/>
    <w:rsid w:val="00442985"/>
    <w:rsid w:val="00452BAB"/>
    <w:rsid w:val="0048151B"/>
    <w:rsid w:val="004839BA"/>
    <w:rsid w:val="004915E8"/>
    <w:rsid w:val="004A0D10"/>
    <w:rsid w:val="004A2F80"/>
    <w:rsid w:val="004B1D00"/>
    <w:rsid w:val="004C4C20"/>
    <w:rsid w:val="004D1F51"/>
    <w:rsid w:val="004E31C8"/>
    <w:rsid w:val="004F44EC"/>
    <w:rsid w:val="005063A3"/>
    <w:rsid w:val="0051261A"/>
    <w:rsid w:val="00515188"/>
    <w:rsid w:val="005161E7"/>
    <w:rsid w:val="00523937"/>
    <w:rsid w:val="00530992"/>
    <w:rsid w:val="005340B1"/>
    <w:rsid w:val="00535ED0"/>
    <w:rsid w:val="0056621F"/>
    <w:rsid w:val="0056763F"/>
    <w:rsid w:val="00572685"/>
    <w:rsid w:val="0057738E"/>
    <w:rsid w:val="005860FF"/>
    <w:rsid w:val="00586DCD"/>
    <w:rsid w:val="00594836"/>
    <w:rsid w:val="005A0607"/>
    <w:rsid w:val="005B5E2D"/>
    <w:rsid w:val="005B6CE3"/>
    <w:rsid w:val="005C03FC"/>
    <w:rsid w:val="005C6AB1"/>
    <w:rsid w:val="005D30D5"/>
    <w:rsid w:val="005D3705"/>
    <w:rsid w:val="005D53D2"/>
    <w:rsid w:val="005E3089"/>
    <w:rsid w:val="005F0CD9"/>
    <w:rsid w:val="00602668"/>
    <w:rsid w:val="00605343"/>
    <w:rsid w:val="00605A83"/>
    <w:rsid w:val="006126E9"/>
    <w:rsid w:val="006136AC"/>
    <w:rsid w:val="006136D6"/>
    <w:rsid w:val="00614873"/>
    <w:rsid w:val="006153D3"/>
    <w:rsid w:val="00615927"/>
    <w:rsid w:val="006171C2"/>
    <w:rsid w:val="00663A56"/>
    <w:rsid w:val="00664BD4"/>
    <w:rsid w:val="00672033"/>
    <w:rsid w:val="00680B7C"/>
    <w:rsid w:val="00695438"/>
    <w:rsid w:val="006A1325"/>
    <w:rsid w:val="006A23C2"/>
    <w:rsid w:val="006A3AA9"/>
    <w:rsid w:val="006D09F4"/>
    <w:rsid w:val="006E5096"/>
    <w:rsid w:val="006F2CB3"/>
    <w:rsid w:val="00700D0A"/>
    <w:rsid w:val="00706AFE"/>
    <w:rsid w:val="007110C8"/>
    <w:rsid w:val="00726ADF"/>
    <w:rsid w:val="007547E3"/>
    <w:rsid w:val="00764E49"/>
    <w:rsid w:val="0076554A"/>
    <w:rsid w:val="00772137"/>
    <w:rsid w:val="00783838"/>
    <w:rsid w:val="00790A74"/>
    <w:rsid w:val="007934DB"/>
    <w:rsid w:val="00794165"/>
    <w:rsid w:val="007A553A"/>
    <w:rsid w:val="007C09B2"/>
    <w:rsid w:val="007F5ACF"/>
    <w:rsid w:val="00810EAE"/>
    <w:rsid w:val="008150E2"/>
    <w:rsid w:val="00821623"/>
    <w:rsid w:val="00821978"/>
    <w:rsid w:val="00824420"/>
    <w:rsid w:val="008471EF"/>
    <w:rsid w:val="00850859"/>
    <w:rsid w:val="008534D0"/>
    <w:rsid w:val="00856C51"/>
    <w:rsid w:val="00857DD4"/>
    <w:rsid w:val="00863463"/>
    <w:rsid w:val="008915D8"/>
    <w:rsid w:val="00896FD8"/>
    <w:rsid w:val="008B269A"/>
    <w:rsid w:val="008C7600"/>
    <w:rsid w:val="008E63F7"/>
    <w:rsid w:val="008E7B6B"/>
    <w:rsid w:val="008F56BA"/>
    <w:rsid w:val="00903C75"/>
    <w:rsid w:val="0090522B"/>
    <w:rsid w:val="009213F6"/>
    <w:rsid w:val="00950E3C"/>
    <w:rsid w:val="0096431F"/>
    <w:rsid w:val="00967BAA"/>
    <w:rsid w:val="00967D26"/>
    <w:rsid w:val="00973401"/>
    <w:rsid w:val="0097481E"/>
    <w:rsid w:val="00983EB9"/>
    <w:rsid w:val="009A1EEC"/>
    <w:rsid w:val="009A223D"/>
    <w:rsid w:val="009A4D09"/>
    <w:rsid w:val="009B2C12"/>
    <w:rsid w:val="009B4C86"/>
    <w:rsid w:val="009B75F6"/>
    <w:rsid w:val="009B7FDF"/>
    <w:rsid w:val="009E4FA5"/>
    <w:rsid w:val="009E50E9"/>
    <w:rsid w:val="009F65FE"/>
    <w:rsid w:val="00A14C77"/>
    <w:rsid w:val="00A2458F"/>
    <w:rsid w:val="00A2746A"/>
    <w:rsid w:val="00A5304F"/>
    <w:rsid w:val="00A547B7"/>
    <w:rsid w:val="00A737BC"/>
    <w:rsid w:val="00A8630B"/>
    <w:rsid w:val="00A90394"/>
    <w:rsid w:val="00A944FF"/>
    <w:rsid w:val="00A94B33"/>
    <w:rsid w:val="00A961F4"/>
    <w:rsid w:val="00A964CA"/>
    <w:rsid w:val="00AA2297"/>
    <w:rsid w:val="00AA7322"/>
    <w:rsid w:val="00AC51CA"/>
    <w:rsid w:val="00AD4E1C"/>
    <w:rsid w:val="00AD7EE5"/>
    <w:rsid w:val="00AE0F12"/>
    <w:rsid w:val="00B06AD3"/>
    <w:rsid w:val="00B32ACF"/>
    <w:rsid w:val="00B35807"/>
    <w:rsid w:val="00B518D0"/>
    <w:rsid w:val="00B535D0"/>
    <w:rsid w:val="00B62EF1"/>
    <w:rsid w:val="00B8285E"/>
    <w:rsid w:val="00B83148"/>
    <w:rsid w:val="00B91403"/>
    <w:rsid w:val="00B9343F"/>
    <w:rsid w:val="00BB1859"/>
    <w:rsid w:val="00BB3B7A"/>
    <w:rsid w:val="00BB5BA7"/>
    <w:rsid w:val="00BC3079"/>
    <w:rsid w:val="00BC3CB1"/>
    <w:rsid w:val="00BD4118"/>
    <w:rsid w:val="00BD45A5"/>
    <w:rsid w:val="00BD7089"/>
    <w:rsid w:val="00BE524D"/>
    <w:rsid w:val="00BF3055"/>
    <w:rsid w:val="00BF66CB"/>
    <w:rsid w:val="00C11F0F"/>
    <w:rsid w:val="00C147D1"/>
    <w:rsid w:val="00C27DE2"/>
    <w:rsid w:val="00C30AF4"/>
    <w:rsid w:val="00C7163B"/>
    <w:rsid w:val="00CA5220"/>
    <w:rsid w:val="00CB7286"/>
    <w:rsid w:val="00CD587D"/>
    <w:rsid w:val="00CE1CDA"/>
    <w:rsid w:val="00CF2FF0"/>
    <w:rsid w:val="00D01E14"/>
    <w:rsid w:val="00D154B1"/>
    <w:rsid w:val="00D223FA"/>
    <w:rsid w:val="00D27257"/>
    <w:rsid w:val="00D27E66"/>
    <w:rsid w:val="00D42EE8"/>
    <w:rsid w:val="00D47567"/>
    <w:rsid w:val="00D52838"/>
    <w:rsid w:val="00D57988"/>
    <w:rsid w:val="00D63542"/>
    <w:rsid w:val="00D63778"/>
    <w:rsid w:val="00D72C57"/>
    <w:rsid w:val="00DB3B4E"/>
    <w:rsid w:val="00DD16B5"/>
    <w:rsid w:val="00DF6743"/>
    <w:rsid w:val="00E15468"/>
    <w:rsid w:val="00E23F4B"/>
    <w:rsid w:val="00E256D7"/>
    <w:rsid w:val="00E42286"/>
    <w:rsid w:val="00E423DC"/>
    <w:rsid w:val="00E46146"/>
    <w:rsid w:val="00E50A67"/>
    <w:rsid w:val="00E54997"/>
    <w:rsid w:val="00E71FC7"/>
    <w:rsid w:val="00E930C4"/>
    <w:rsid w:val="00E94B57"/>
    <w:rsid w:val="00EB44F8"/>
    <w:rsid w:val="00EB68B5"/>
    <w:rsid w:val="00EC595E"/>
    <w:rsid w:val="00EC7377"/>
    <w:rsid w:val="00EF30AD"/>
    <w:rsid w:val="00F17A0E"/>
    <w:rsid w:val="00F23B08"/>
    <w:rsid w:val="00F31DF9"/>
    <w:rsid w:val="00F328B4"/>
    <w:rsid w:val="00F32C61"/>
    <w:rsid w:val="00F3588D"/>
    <w:rsid w:val="00F42ADD"/>
    <w:rsid w:val="00F522AB"/>
    <w:rsid w:val="00F55756"/>
    <w:rsid w:val="00F62765"/>
    <w:rsid w:val="00F77469"/>
    <w:rsid w:val="00F8243C"/>
    <w:rsid w:val="00F8726A"/>
    <w:rsid w:val="00F930D2"/>
    <w:rsid w:val="00F94D40"/>
    <w:rsid w:val="00F96F99"/>
    <w:rsid w:val="00FA02C3"/>
    <w:rsid w:val="00FA6EE0"/>
    <w:rsid w:val="00FB312D"/>
    <w:rsid w:val="00FB4F37"/>
    <w:rsid w:val="00FB5291"/>
    <w:rsid w:val="00FB7A73"/>
    <w:rsid w:val="00FC6870"/>
    <w:rsid w:val="00FD2CA6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paragraph" w:customStyle="1" w:styleId="Section1">
    <w:name w:val="Section 1"/>
    <w:basedOn w:val="Normal"/>
    <w:rsid w:val="008B4CC9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semiHidden/>
    <w:unhideWhenUsed/>
    <w:rsid w:val="003139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397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seph.mccarroll@communication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6f3a8f-4d17-414b-9d5b-aa371013b3f8" targetNamespace="http://schemas.microsoft.com/office/2006/metadata/properties" ma:root="true" ma:fieldsID="d41af5c836d734370eb92e7ee5f83852" ns2:_="" ns3:_="">
    <xsd:import namespace="996b2e75-67fd-4955-a3b0-5ab9934cb50b"/>
    <xsd:import namespace="0c6f3a8f-4d17-414b-9d5b-aa371013b3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f3a8f-4d17-414b-9d5b-aa371013b3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6f3a8f-4d17-414b-9d5b-aa371013b3f8">DPM</DPM_x0020_Author>
    <DPM_x0020_File_x0020_name xmlns="0c6f3a8f-4d17-414b-9d5b-aa371013b3f8">D14-WTDC17-C-0022!A8!MSW-F</DPM_x0020_File_x0020_name>
    <DPM_x0020_Version xmlns="0c6f3a8f-4d17-414b-9d5b-aa371013b3f8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6f3a8f-4d17-414b-9d5b-aa371013b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0c6f3a8f-4d17-414b-9d5b-aa371013b3f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962E4A-B02E-4027-8666-23C98316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1734</Words>
  <Characters>10683</Characters>
  <Application>Microsoft Office Word</Application>
  <DocSecurity>4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D14-WTDC17-C-0022!A8!MSW-F</vt:lpstr>
    </vt:vector>
  </TitlesOfParts>
  <Manager>General Secretariat - Pool</Manager>
  <Company>International Telecommunication Union (ITU)</Company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D14-WTDC17-C-0022!A8!MSW-F</dc:title>
  <dc:creator>Documents Proposals Manager (DPM)</dc:creator>
  <cp:keywords>DPM_v2017.8.29.1_prod</cp:keywords>
  <dc:description/>
  <cp:lastModifiedBy>Jones, Jacqueline</cp:lastModifiedBy>
  <cp:revision>2</cp:revision>
  <cp:lastPrinted>2017-09-11T12:26:00Z</cp:lastPrinted>
  <dcterms:created xsi:type="dcterms:W3CDTF">2017-10-03T15:05:00Z</dcterms:created>
  <dcterms:modified xsi:type="dcterms:W3CDTF">2017-10-03T15:05:00Z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