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195369" w:rsidRDefault="00130081" w:rsidP="008B5657">
            <w:pPr>
              <w:tabs>
                <w:tab w:val="left" w:pos="851"/>
              </w:tabs>
              <w:spacing w:before="0" w:line="240" w:lineRule="atLeast"/>
              <w:rPr>
                <w:rFonts w:cstheme="minorHAnsi"/>
                <w:szCs w:val="24"/>
              </w:rPr>
            </w:pPr>
            <w:r>
              <w:rPr>
                <w:rFonts w:ascii="Verdana" w:hAnsi="Verdana"/>
                <w:b/>
                <w:sz w:val="20"/>
              </w:rPr>
              <w:t>Addendum 8 to</w:t>
            </w:r>
            <w:r>
              <w:rPr>
                <w:rFonts w:ascii="Verdana" w:hAnsi="Verdana"/>
                <w:b/>
                <w:sz w:val="20"/>
              </w:rPr>
              <w:br/>
              <w:t>Document WTDC-17/22</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195369"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29 August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Asia-Pacific Telecommunity Member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CA2073" w:rsidP="0048040C">
            <w:pPr>
              <w:pStyle w:val="Title1"/>
              <w:spacing w:before="120" w:after="120"/>
            </w:pPr>
            <w:r w:rsidRPr="00A61139">
              <w:t>Proposal of Regional Initiatives for Asia-Pacific</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D959A7">
        <w:tc>
          <w:tcPr>
            <w:tcW w:w="10031" w:type="dxa"/>
            <w:gridSpan w:val="3"/>
            <w:tcBorders>
              <w:top w:val="single" w:sz="4" w:space="0" w:color="auto"/>
              <w:left w:val="single" w:sz="4" w:space="0" w:color="auto"/>
              <w:bottom w:val="single" w:sz="4" w:space="0" w:color="auto"/>
              <w:right w:val="single" w:sz="4" w:space="0" w:color="auto"/>
            </w:tcBorders>
          </w:tcPr>
          <w:p w:rsidR="00D959A7" w:rsidRDefault="00214B39" w:rsidP="00253B59">
            <w:r>
              <w:rPr>
                <w:rFonts w:ascii="Calibri" w:eastAsia="SimSun" w:hAnsi="Calibri" w:cs="Traditional Arabic"/>
                <w:b/>
                <w:bCs/>
                <w:szCs w:val="24"/>
              </w:rPr>
              <w:t>Priority area:</w:t>
            </w:r>
            <w:r>
              <w:rPr>
                <w:rFonts w:ascii="Calibri" w:eastAsia="SimSun" w:hAnsi="Calibri" w:cs="Traditional Arabic"/>
                <w:szCs w:val="24"/>
              </w:rPr>
              <w:tab/>
              <w:t>Regional Initiatives, related projects and financing mechanisms</w:t>
            </w:r>
          </w:p>
          <w:p w:rsidR="00D959A7" w:rsidRDefault="00214B39">
            <w:r>
              <w:rPr>
                <w:rFonts w:ascii="Calibri" w:eastAsia="SimSun" w:hAnsi="Calibri" w:cs="Traditional Arabic"/>
                <w:b/>
                <w:bCs/>
                <w:szCs w:val="24"/>
              </w:rPr>
              <w:t>Summary:</w:t>
            </w:r>
          </w:p>
          <w:p w:rsidR="00253B59" w:rsidRPr="0082242A" w:rsidRDefault="00253B59" w:rsidP="00253B59">
            <w:pPr>
              <w:rPr>
                <w:rFonts w:ascii="Times New Roman" w:hAnsi="Times New Roman"/>
                <w:i/>
                <w:lang w:val="en-US"/>
              </w:rPr>
            </w:pPr>
            <w:r>
              <w:t>Asia-Pacific Telecommunity (APT) Member Administrations have developed and endorsed Asia-Pacific Regional Initiatives.</w:t>
            </w:r>
          </w:p>
          <w:p w:rsidR="00D959A7" w:rsidRDefault="00214B39">
            <w:r>
              <w:rPr>
                <w:rFonts w:ascii="Calibri" w:eastAsia="SimSun" w:hAnsi="Calibri" w:cs="Traditional Arabic"/>
                <w:b/>
                <w:bCs/>
                <w:szCs w:val="24"/>
              </w:rPr>
              <w:t>Expected results:</w:t>
            </w:r>
          </w:p>
          <w:p w:rsidR="00D959A7" w:rsidRPr="00253B59" w:rsidRDefault="00253B59" w:rsidP="00253B59">
            <w:pPr>
              <w:rPr>
                <w:szCs w:val="24"/>
                <w:lang w:val="en-US"/>
              </w:rPr>
            </w:pPr>
            <w:r>
              <w:t>That the Asia-Pacific Regional Initiatives APT Member Administrations have endorsed be included in the relevant section of the Buenos Aires Action Plan for implementation in accordance with Resolution 17 (Rev. Dubai, 2014).</w:t>
            </w:r>
            <w:r w:rsidRPr="00253B59">
              <w:rPr>
                <w:szCs w:val="24"/>
                <w:lang w:val="en-US"/>
              </w:rPr>
              <w:t xml:space="preserve"> </w:t>
            </w:r>
          </w:p>
          <w:p w:rsidR="00D959A7" w:rsidRDefault="00214B39">
            <w:r>
              <w:rPr>
                <w:rFonts w:ascii="Calibri" w:eastAsia="SimSun" w:hAnsi="Calibri" w:cs="Traditional Arabic"/>
                <w:b/>
                <w:bCs/>
                <w:szCs w:val="24"/>
              </w:rPr>
              <w:t>References:</w:t>
            </w:r>
          </w:p>
          <w:p w:rsidR="00D959A7" w:rsidRDefault="00253B59" w:rsidP="00231AED">
            <w:pPr>
              <w:spacing w:after="200"/>
              <w:rPr>
                <w:szCs w:val="24"/>
              </w:rPr>
            </w:pPr>
            <w:r>
              <w:rPr>
                <w:rFonts w:eastAsia="SimSun"/>
                <w:bCs/>
              </w:rPr>
              <w:t>Dubai Action Plan, Section 3 – Regional Initiatives, Asia-Pacific Regional Initiatives (pp.133-137); WTDC Resolution 17 (Rev. Dubai, 2014).</w:t>
            </w:r>
          </w:p>
        </w:tc>
      </w:tr>
    </w:tbl>
    <w:p w:rsidR="00253B59" w:rsidRPr="0082242A" w:rsidRDefault="00253B59" w:rsidP="00231AED">
      <w:pPr>
        <w:spacing w:before="200" w:after="200"/>
        <w:rPr>
          <w:rFonts w:ascii="Times New Roman" w:hAnsi="Times New Roman"/>
          <w:b/>
          <w:bCs/>
          <w:lang w:val="en-US"/>
        </w:rPr>
      </w:pPr>
      <w:r>
        <w:rPr>
          <w:b/>
          <w:bCs/>
        </w:rPr>
        <w:t>PROPOSAL</w:t>
      </w:r>
    </w:p>
    <w:p w:rsidR="00253B59" w:rsidRDefault="00253B59" w:rsidP="00253B59">
      <w:pPr>
        <w:tabs>
          <w:tab w:val="left" w:pos="720"/>
          <w:tab w:val="left" w:pos="1440"/>
        </w:tabs>
        <w:rPr>
          <w:b/>
          <w:bCs/>
          <w:color w:val="000000"/>
        </w:rPr>
      </w:pPr>
      <w:r>
        <w:rPr>
          <w:color w:val="000000"/>
        </w:rPr>
        <w:t>APT Member Administrations propose to include the following Asia-Pacific Regional Initiatives in the Buenos A</w:t>
      </w:r>
      <w:bookmarkStart w:id="8" w:name="_GoBack"/>
      <w:bookmarkEnd w:id="8"/>
      <w:r>
        <w:rPr>
          <w:color w:val="000000"/>
        </w:rPr>
        <w:t xml:space="preserve">ires Action Plan and suppress the Regional Initiatives for Asia-Pacific region in Section 3 of the Dubai Action Plan. </w:t>
      </w:r>
    </w:p>
    <w:p w:rsidR="00253B59" w:rsidRDefault="00253B59" w:rsidP="00253B59">
      <w:pPr>
        <w:overflowPunct/>
        <w:autoSpaceDE/>
        <w:autoSpaceDN/>
        <w:adjustRightInd/>
        <w:spacing w:before="0"/>
        <w:textAlignment w:val="auto"/>
        <w:rPr>
          <w:szCs w:val="24"/>
        </w:rPr>
      </w:pPr>
      <w:r>
        <w:rPr>
          <w:szCs w:val="24"/>
        </w:rPr>
        <w:br w:type="page"/>
      </w:r>
    </w:p>
    <w:p w:rsidR="00713AAF" w:rsidRDefault="00214B39" w:rsidP="00A7428A">
      <w:pPr>
        <w:pStyle w:val="Volumetitle"/>
        <w:jc w:val="center"/>
      </w:pPr>
      <w:r>
        <w:t>REGIONAL INITIATIVES</w:t>
      </w:r>
    </w:p>
    <w:p w:rsidR="00C413F7" w:rsidRPr="002D492B" w:rsidRDefault="00214B39" w:rsidP="00DB657C">
      <w:pPr>
        <w:pStyle w:val="Section1"/>
      </w:pPr>
      <w:bookmarkStart w:id="9" w:name="_Toc393980046"/>
      <w:r w:rsidRPr="002D492B">
        <w:t>ASIA-PACIFIC REGIONAL INITIATIVES</w:t>
      </w:r>
      <w:bookmarkEnd w:id="9"/>
    </w:p>
    <w:p w:rsidR="00D959A7" w:rsidRDefault="00214B39">
      <w:pPr>
        <w:pStyle w:val="Proposal"/>
      </w:pPr>
      <w:r>
        <w:rPr>
          <w:b/>
        </w:rPr>
        <w:t>SUP</w:t>
      </w:r>
      <w:r>
        <w:tab/>
        <w:t>ACP/22A8/1</w:t>
      </w:r>
    </w:p>
    <w:p w:rsidR="00C413F7" w:rsidRDefault="00214B39" w:rsidP="003D22EC">
      <w:pPr>
        <w:pStyle w:val="Heading1"/>
      </w:pPr>
      <w:bookmarkStart w:id="10" w:name="_Toc393980047"/>
      <w:r w:rsidRPr="00195369">
        <w:t>ASP1: Special consideration for least developed countries, small island developing states, including Pacific island countries, and landlocked developing countries</w:t>
      </w:r>
      <w:bookmarkEnd w:id="10"/>
    </w:p>
    <w:p w:rsidR="00063D3A" w:rsidRPr="00063D3A" w:rsidRDefault="00063D3A" w:rsidP="00063D3A"/>
    <w:p w:rsidR="00D959A7" w:rsidRDefault="00214B39">
      <w:pPr>
        <w:pStyle w:val="Proposal"/>
      </w:pPr>
      <w:r>
        <w:rPr>
          <w:b/>
        </w:rPr>
        <w:t>ADD</w:t>
      </w:r>
      <w:r>
        <w:tab/>
        <w:t>ACP/22A8/2</w:t>
      </w:r>
    </w:p>
    <w:p w:rsidR="00253B59" w:rsidRDefault="00214B39" w:rsidP="00A91A94">
      <w:pPr>
        <w:pStyle w:val="Heading1"/>
      </w:pPr>
      <w:r>
        <w:t>ASP1: Addressing special needs of least developed countries, small island developing states, including Pacific island countries, and landlocked developing countries</w:t>
      </w:r>
    </w:p>
    <w:p w:rsidR="00253B59" w:rsidRPr="00A7428A" w:rsidRDefault="00253B59" w:rsidP="005B0DF0">
      <w:pPr>
        <w:pStyle w:val="Normal0"/>
        <w:rPr>
          <w:rFonts w:cs="Calibri"/>
          <w:lang w:val="en-US" w:eastAsia="ja-JP"/>
        </w:rPr>
      </w:pPr>
      <w:r w:rsidRPr="00A7428A">
        <w:t>Objective: To provide special assistance to least developed countries (LDCs), small island developing states (SIDS), including Pacific island countries, and landlocked developing countries (LLDCs) in order to meet their priority telecommunication/ICT requirements.</w:t>
      </w:r>
    </w:p>
    <w:p w:rsidR="00253B59" w:rsidRPr="000A0D53" w:rsidRDefault="00253B59" w:rsidP="00A7428A">
      <w:pPr>
        <w:rPr>
          <w:b/>
          <w:bCs/>
        </w:rPr>
      </w:pPr>
      <w:r w:rsidRPr="000A0D53">
        <w:rPr>
          <w:b/>
          <w:bCs/>
        </w:rPr>
        <w:t xml:space="preserve">Expected results: </w:t>
      </w:r>
    </w:p>
    <w:p w:rsidR="00253B59" w:rsidRPr="00624639" w:rsidRDefault="00253B59" w:rsidP="000A0D53">
      <w:pPr>
        <w:pStyle w:val="enumlev1"/>
        <w:rPr>
          <w:lang w:val="en-US" w:eastAsia="ja-JP"/>
        </w:rPr>
      </w:pPr>
      <w:r>
        <w:rPr>
          <w:lang w:val="en-US" w:eastAsia="ja-JP"/>
        </w:rPr>
        <w:t>1)</w:t>
      </w:r>
      <w:r>
        <w:rPr>
          <w:lang w:val="en-US" w:eastAsia="ja-JP"/>
        </w:rPr>
        <w:tab/>
      </w:r>
      <w:r w:rsidRPr="00624639">
        <w:rPr>
          <w:lang w:val="en-US" w:eastAsia="ja-JP"/>
        </w:rPr>
        <w:t>Policy and regulatory frameworks developed for broadband infrastructure, ICT applications and cybersecurity, taking into account the special needs of LDCs, SIDS and LLDCs, and human capacity strengthened to address future policy and regulatory challenges;</w:t>
      </w:r>
    </w:p>
    <w:p w:rsidR="00253B59" w:rsidRPr="00624639" w:rsidRDefault="00253B59" w:rsidP="000A0D53">
      <w:pPr>
        <w:pStyle w:val="enumlev1"/>
        <w:rPr>
          <w:lang w:val="en-US" w:eastAsia="ja-JP"/>
        </w:rPr>
      </w:pPr>
      <w:r>
        <w:rPr>
          <w:lang w:val="en-US" w:eastAsia="ja-JP"/>
        </w:rPr>
        <w:t>2)</w:t>
      </w:r>
      <w:r>
        <w:rPr>
          <w:lang w:val="en-US" w:eastAsia="ja-JP"/>
        </w:rPr>
        <w:tab/>
      </w:r>
      <w:r w:rsidRPr="00624639">
        <w:rPr>
          <w:lang w:val="en-US" w:eastAsia="ja-JP"/>
        </w:rPr>
        <w:t>Universal access to telecommunications/ICTs promoted in LDCs, SIDS, and LLDCs;</w:t>
      </w:r>
    </w:p>
    <w:p w:rsidR="00253B59" w:rsidRDefault="00253B59" w:rsidP="000A0D53">
      <w:pPr>
        <w:pStyle w:val="enumlev1"/>
        <w:rPr>
          <w:lang w:val="en-US" w:eastAsia="ja-JP"/>
        </w:rPr>
      </w:pPr>
      <w:r>
        <w:rPr>
          <w:rFonts w:cs="Arial"/>
          <w:lang w:val="en-US" w:eastAsia="ja-JP"/>
        </w:rPr>
        <w:t>3)</w:t>
      </w:r>
      <w:r>
        <w:rPr>
          <w:rFonts w:cs="Arial"/>
          <w:lang w:val="en-US" w:eastAsia="ja-JP"/>
        </w:rPr>
        <w:tab/>
      </w:r>
      <w:r w:rsidRPr="00624639">
        <w:rPr>
          <w:rFonts w:cs="Arial"/>
          <w:lang w:val="en-US" w:eastAsia="ja-JP"/>
        </w:rPr>
        <w:t>LDCs, SIDS, and LLDCs assisted with adopting telecommunication/ICT applications in disaster management, relating to disaster prediction, preparedness, adaptation, monitoring, mitigation, response, rehabilitation and recovery of telecommunication/ICT networks based on their priority needs</w:t>
      </w:r>
      <w:r w:rsidRPr="00624639">
        <w:rPr>
          <w:lang w:val="en-US" w:eastAsia="ja-JP"/>
        </w:rPr>
        <w:t>;</w:t>
      </w:r>
    </w:p>
    <w:p w:rsidR="00253B59" w:rsidRDefault="00253B59" w:rsidP="000A0D53">
      <w:pPr>
        <w:pStyle w:val="enumlev1"/>
        <w:rPr>
          <w:lang w:val="en-US" w:eastAsia="ja-JP"/>
        </w:rPr>
      </w:pPr>
      <w:r>
        <w:rPr>
          <w:lang w:val="en-US" w:eastAsia="ja-JP"/>
        </w:rPr>
        <w:t>4)</w:t>
      </w:r>
      <w:r>
        <w:rPr>
          <w:lang w:val="en-US" w:eastAsia="ja-JP"/>
        </w:rPr>
        <w:tab/>
      </w:r>
      <w:r w:rsidRPr="00624639">
        <w:rPr>
          <w:lang w:val="en-US" w:eastAsia="ja-JP"/>
        </w:rPr>
        <w:t xml:space="preserve">LDCs, SIDS and LLDCs assisted in their efforts to achieve internationally agreed goals, such as the 2030 Agenda for Sustainable Development, the Sendai Framework for Disaster Risk Reduction, the Istanbul Plan of Action for LDCs, the Samoa Pathway for SIDS and the Vienna Programme of Action for LLDCs. </w:t>
      </w:r>
    </w:p>
    <w:p w:rsidR="00063D3A" w:rsidRDefault="00063D3A" w:rsidP="00063D3A">
      <w:pPr>
        <w:pStyle w:val="Reasons"/>
        <w:rPr>
          <w:lang w:val="en-US" w:eastAsia="ja-JP"/>
        </w:rPr>
      </w:pPr>
    </w:p>
    <w:p w:rsidR="00D959A7" w:rsidRDefault="00214B39" w:rsidP="00253B59">
      <w:pPr>
        <w:pStyle w:val="Proposal"/>
      </w:pPr>
      <w:r>
        <w:rPr>
          <w:b/>
        </w:rPr>
        <w:t>SUP</w:t>
      </w:r>
      <w:r>
        <w:tab/>
        <w:t>ACP/22A8/3</w:t>
      </w:r>
    </w:p>
    <w:p w:rsidR="00C413F7" w:rsidRDefault="00214B39" w:rsidP="00A91A94">
      <w:pPr>
        <w:pStyle w:val="Heading1"/>
      </w:pPr>
      <w:bookmarkStart w:id="11" w:name="_Toc393980048"/>
      <w:r w:rsidRPr="00A91A94">
        <w:t>ASP2: Emergency telecommunications</w:t>
      </w:r>
      <w:bookmarkEnd w:id="11"/>
    </w:p>
    <w:p w:rsidR="00063D3A" w:rsidRPr="00063D3A" w:rsidRDefault="00063D3A" w:rsidP="00063D3A">
      <w:pPr>
        <w:pStyle w:val="Reasons"/>
      </w:pPr>
    </w:p>
    <w:p w:rsidR="00D959A7" w:rsidRDefault="00214B39">
      <w:pPr>
        <w:pStyle w:val="Proposal"/>
      </w:pPr>
      <w:r>
        <w:rPr>
          <w:b/>
        </w:rPr>
        <w:lastRenderedPageBreak/>
        <w:t>ADD</w:t>
      </w:r>
      <w:r>
        <w:tab/>
        <w:t>ACP/22A8/4</w:t>
      </w:r>
    </w:p>
    <w:p w:rsidR="00253B59" w:rsidRPr="00624639" w:rsidRDefault="00214B39" w:rsidP="00A91A94">
      <w:pPr>
        <w:pStyle w:val="Heading1"/>
        <w:rPr>
          <w:rFonts w:cs="Calibri"/>
          <w:b w:val="0"/>
          <w:bCs/>
          <w:lang w:val="en-US" w:eastAsia="ja-JP"/>
        </w:rPr>
      </w:pPr>
      <w:r w:rsidRPr="00A91A94">
        <w:t>ASP2: Harnessing ICTs to support the digital economy and an inclusive digital society</w:t>
      </w:r>
    </w:p>
    <w:p w:rsidR="00253B59" w:rsidRPr="00624639" w:rsidRDefault="00253B59" w:rsidP="005B0DF0">
      <w:pPr>
        <w:pStyle w:val="Normal0"/>
        <w:rPr>
          <w:rFonts w:cs="Calibri"/>
          <w:bCs/>
          <w:lang w:val="en-US" w:eastAsia="ja-JP"/>
        </w:rPr>
      </w:pPr>
      <w:r w:rsidRPr="005B0DF0">
        <w:t>Objective: To assist Member States in utilizing ICTs to reap the benefits of the digital economy and in addressing the human and technical capacity challenges to bridging the digital divide.</w:t>
      </w:r>
    </w:p>
    <w:p w:rsidR="00253B59" w:rsidRPr="00624639" w:rsidRDefault="00253B59" w:rsidP="00253B59">
      <w:pPr>
        <w:tabs>
          <w:tab w:val="clear" w:pos="794"/>
          <w:tab w:val="clear" w:pos="1191"/>
          <w:tab w:val="clear" w:pos="1588"/>
          <w:tab w:val="clear" w:pos="1985"/>
        </w:tabs>
        <w:overflowPunct/>
        <w:autoSpaceDE/>
        <w:autoSpaceDN/>
        <w:adjustRightInd/>
        <w:spacing w:before="0"/>
        <w:textAlignment w:val="auto"/>
        <w:rPr>
          <w:rFonts w:cs="Calibri"/>
          <w:bCs/>
          <w:lang w:val="en-US" w:eastAsia="ja-JP"/>
        </w:rPr>
      </w:pPr>
    </w:p>
    <w:p w:rsidR="00253B59" w:rsidRPr="00624639" w:rsidRDefault="00253B59" w:rsidP="000A0D53">
      <w:pPr>
        <w:pStyle w:val="NormalBold"/>
      </w:pPr>
      <w:r w:rsidRPr="00624639">
        <w:t xml:space="preserve">Expected results: </w:t>
      </w:r>
    </w:p>
    <w:p w:rsidR="00253B59" w:rsidRPr="00624639" w:rsidRDefault="00253B59" w:rsidP="00A7428A">
      <w:pPr>
        <w:pStyle w:val="enumlev1"/>
        <w:rPr>
          <w:lang w:val="en-US" w:eastAsia="ja-JP"/>
        </w:rPr>
      </w:pPr>
      <w:r>
        <w:rPr>
          <w:lang w:val="en-US" w:eastAsia="ja-JP"/>
        </w:rPr>
        <w:t>1)</w:t>
      </w:r>
      <w:r>
        <w:rPr>
          <w:lang w:val="en-US" w:eastAsia="ja-JP"/>
        </w:rPr>
        <w:tab/>
      </w:r>
      <w:r w:rsidRPr="00624639">
        <w:rPr>
          <w:lang w:val="en-US" w:eastAsia="ja-JP"/>
        </w:rPr>
        <w:t xml:space="preserve">Strategic national frameworks planned and elaborated on digital economy as well as associated toolkits for selected ICT applications and services; </w:t>
      </w:r>
    </w:p>
    <w:p w:rsidR="00253B59" w:rsidRPr="00624639" w:rsidRDefault="00253B59" w:rsidP="00A7428A">
      <w:pPr>
        <w:pStyle w:val="enumlev1"/>
        <w:rPr>
          <w:lang w:val="en-US" w:eastAsia="ja-JP"/>
        </w:rPr>
      </w:pPr>
      <w:r>
        <w:rPr>
          <w:lang w:val="en-US" w:eastAsia="ja-JP"/>
        </w:rPr>
        <w:t>2)</w:t>
      </w:r>
      <w:r>
        <w:rPr>
          <w:lang w:val="en-US" w:eastAsia="ja-JP"/>
        </w:rPr>
        <w:tab/>
      </w:r>
      <w:r w:rsidRPr="00624639">
        <w:rPr>
          <w:lang w:val="en-US" w:eastAsia="ja-JP"/>
        </w:rPr>
        <w:t>Repository established of all work done within the ITU relating to the digital economy since WTDC 2014 and updated annually;</w:t>
      </w:r>
    </w:p>
    <w:p w:rsidR="00253B59" w:rsidRPr="00624639" w:rsidRDefault="00253B59" w:rsidP="00A7428A">
      <w:pPr>
        <w:pStyle w:val="enumlev1"/>
        <w:rPr>
          <w:lang w:val="en-US" w:eastAsia="ja-JP"/>
        </w:rPr>
      </w:pPr>
      <w:r>
        <w:rPr>
          <w:lang w:val="en-US" w:eastAsia="ja-JP"/>
        </w:rPr>
        <w:t>3)</w:t>
      </w:r>
      <w:r>
        <w:rPr>
          <w:lang w:val="en-US" w:eastAsia="ja-JP"/>
        </w:rPr>
        <w:tab/>
      </w:r>
      <w:r w:rsidRPr="00624639">
        <w:rPr>
          <w:lang w:val="en-US" w:eastAsia="ja-JP"/>
        </w:rPr>
        <w:t>Policies, strategies and guidelines developed for practical implementation, including for Internet of Things (IoT) and Smart Cities;</w:t>
      </w:r>
    </w:p>
    <w:p w:rsidR="00253B59" w:rsidRPr="00624639" w:rsidRDefault="00253B59" w:rsidP="00A7428A">
      <w:pPr>
        <w:pStyle w:val="enumlev1"/>
        <w:rPr>
          <w:lang w:val="en-US" w:eastAsia="ja-JP"/>
        </w:rPr>
      </w:pPr>
      <w:r>
        <w:rPr>
          <w:lang w:val="en-US" w:eastAsia="ja-JP"/>
        </w:rPr>
        <w:t>4)</w:t>
      </w:r>
      <w:r>
        <w:rPr>
          <w:lang w:val="en-US" w:eastAsia="ja-JP"/>
        </w:rPr>
        <w:tab/>
      </w:r>
      <w:r w:rsidRPr="00624639">
        <w:rPr>
          <w:lang w:val="en-US" w:eastAsia="ja-JP"/>
        </w:rPr>
        <w:t>ICT/mobile applications deployed to improve the delivery of value added services in sectors such as health, education, agriculture, governance, energy, financial services and e-commerce;</w:t>
      </w:r>
    </w:p>
    <w:p w:rsidR="00253B59" w:rsidRPr="00624639" w:rsidRDefault="00253B59" w:rsidP="00A7428A">
      <w:pPr>
        <w:pStyle w:val="enumlev1"/>
        <w:rPr>
          <w:lang w:val="en-US" w:eastAsia="ja-JP"/>
        </w:rPr>
      </w:pPr>
      <w:r w:rsidRPr="000A0D53">
        <w:rPr>
          <w:lang w:val="en-US" w:eastAsia="ja-JP"/>
        </w:rPr>
        <w:t>5</w:t>
      </w:r>
      <w:r w:rsidRPr="00253B59">
        <w:rPr>
          <w:lang w:val="en-US" w:eastAsia="ja-JP"/>
        </w:rPr>
        <w:t>)</w:t>
      </w:r>
      <w:r>
        <w:rPr>
          <w:lang w:val="en-US" w:eastAsia="ja-JP"/>
        </w:rPr>
        <w:tab/>
      </w:r>
      <w:r w:rsidRPr="00253B59">
        <w:rPr>
          <w:lang w:val="en-US" w:eastAsia="ja-JP"/>
        </w:rPr>
        <w:t>Knowledge best practices and case studies on various telecommunication/ICT applications identified, collated and shared</w:t>
      </w:r>
      <w:r w:rsidRPr="000A0D53">
        <w:rPr>
          <w:lang w:val="en-US" w:eastAsia="ja-JP"/>
        </w:rPr>
        <w:t>;</w:t>
      </w:r>
      <w:r w:rsidRPr="00253B59">
        <w:rPr>
          <w:lang w:val="en-US" w:eastAsia="ja-JP"/>
        </w:rPr>
        <w:t xml:space="preserve"> </w:t>
      </w:r>
    </w:p>
    <w:p w:rsidR="00D959A7" w:rsidRDefault="00253B59" w:rsidP="00A7428A">
      <w:pPr>
        <w:pStyle w:val="enumlev1"/>
        <w:rPr>
          <w:lang w:val="en-US" w:eastAsia="ja-JP"/>
        </w:rPr>
      </w:pPr>
      <w:r w:rsidRPr="000A0D53">
        <w:rPr>
          <w:lang w:val="en-US" w:eastAsia="ja-JP"/>
        </w:rPr>
        <w:t>6)</w:t>
      </w:r>
      <w:r w:rsidRPr="000A0D53">
        <w:rPr>
          <w:lang w:val="en-US" w:eastAsia="ja-JP"/>
        </w:rPr>
        <w:tab/>
        <w:t>Cross sectoral national digital skills programmes developed for inclusiveness, especially for women, youth, elderly and people with specific needs.</w:t>
      </w:r>
    </w:p>
    <w:p w:rsidR="00063D3A" w:rsidRDefault="00063D3A" w:rsidP="00063D3A">
      <w:pPr>
        <w:pStyle w:val="Reasons"/>
      </w:pPr>
    </w:p>
    <w:p w:rsidR="00D959A7" w:rsidRDefault="00214B39">
      <w:pPr>
        <w:pStyle w:val="Proposal"/>
      </w:pPr>
      <w:r>
        <w:rPr>
          <w:b/>
        </w:rPr>
        <w:t>SUP</w:t>
      </w:r>
      <w:r>
        <w:tab/>
        <w:t>ACP/22A8/5</w:t>
      </w:r>
    </w:p>
    <w:p w:rsidR="00C413F7" w:rsidRDefault="00214B39" w:rsidP="00063D3A">
      <w:pPr>
        <w:pStyle w:val="Heading1"/>
      </w:pPr>
      <w:bookmarkStart w:id="12" w:name="_Toc393980049"/>
      <w:r w:rsidRPr="00A91A94">
        <w:t>ASP3: Harnessing the benefits of new technologies</w:t>
      </w:r>
      <w:bookmarkEnd w:id="12"/>
    </w:p>
    <w:p w:rsidR="00063D3A" w:rsidRPr="00195369" w:rsidRDefault="00063D3A" w:rsidP="00063D3A">
      <w:pPr>
        <w:pStyle w:val="Reasons"/>
      </w:pPr>
    </w:p>
    <w:p w:rsidR="00D959A7" w:rsidRDefault="00214B39">
      <w:pPr>
        <w:pStyle w:val="Proposal"/>
      </w:pPr>
      <w:r>
        <w:rPr>
          <w:b/>
        </w:rPr>
        <w:t>ADD</w:t>
      </w:r>
      <w:r>
        <w:tab/>
        <w:t>ACP/22A8/6</w:t>
      </w:r>
    </w:p>
    <w:p w:rsidR="00253B59" w:rsidRDefault="00214B39" w:rsidP="00063D3A">
      <w:pPr>
        <w:pStyle w:val="Heading1"/>
        <w:rPr>
          <w:rFonts w:cs="Calibri"/>
          <w:bCs/>
          <w:lang w:val="en-US" w:eastAsia="ja-JP"/>
        </w:rPr>
      </w:pPr>
      <w:r w:rsidRPr="00A91A94">
        <w:t>ASP3: Fostering development of infrastructure to enhance digital connectivity</w:t>
      </w:r>
    </w:p>
    <w:p w:rsidR="00253B59" w:rsidRPr="00D7338A" w:rsidRDefault="00253B59" w:rsidP="005B0DF0">
      <w:pPr>
        <w:pStyle w:val="Normal0"/>
      </w:pPr>
      <w:r w:rsidRPr="005B0DF0">
        <w:t>Objective: To assist Member States in the development of telecommunication/ICT infrastructure in order to facilitate provision of services and appl</w:t>
      </w:r>
      <w:r w:rsidR="00B627E4">
        <w:t>ications on that infrastructure</w:t>
      </w:r>
    </w:p>
    <w:p w:rsidR="00253B59" w:rsidRPr="00624639" w:rsidRDefault="00253B59" w:rsidP="000A0D53">
      <w:pPr>
        <w:rPr>
          <w:bCs/>
        </w:rPr>
      </w:pPr>
      <w:r w:rsidRPr="00624639">
        <w:rPr>
          <w:b/>
          <w:bCs/>
        </w:rPr>
        <w:t>Expected results</w:t>
      </w:r>
      <w:r w:rsidRPr="00624639">
        <w:rPr>
          <w:bCs/>
        </w:rPr>
        <w:t xml:space="preserve">: </w:t>
      </w:r>
    </w:p>
    <w:p w:rsidR="00253B59" w:rsidRPr="00624639" w:rsidRDefault="00253B59" w:rsidP="000A0D53">
      <w:pPr>
        <w:pStyle w:val="enumlev1"/>
        <w:rPr>
          <w:lang w:val="en-US" w:eastAsia="ja-JP"/>
        </w:rPr>
      </w:pPr>
      <w:r>
        <w:rPr>
          <w:lang w:val="en-US" w:eastAsia="ja-JP"/>
        </w:rPr>
        <w:t>1)</w:t>
      </w:r>
      <w:r>
        <w:rPr>
          <w:lang w:val="en-US" w:eastAsia="ja-JP"/>
        </w:rPr>
        <w:tab/>
      </w:r>
      <w:r w:rsidRPr="00624639">
        <w:rPr>
          <w:lang w:val="en-US" w:eastAsia="ja-JP"/>
        </w:rPr>
        <w:t>Analogue networks migrated/transitioned to digital networks, affordable wired and wireless technologies (including interoperability of ICT infrastructure) applied, and the use of digital dividend optimized;</w:t>
      </w:r>
    </w:p>
    <w:p w:rsidR="00253B59" w:rsidRPr="000A0D53" w:rsidRDefault="00253B59" w:rsidP="000A0D53">
      <w:pPr>
        <w:pStyle w:val="enumlev1"/>
        <w:rPr>
          <w:lang w:val="en-US" w:eastAsia="ja-JP"/>
        </w:rPr>
      </w:pPr>
      <w:r w:rsidRPr="000A0D53">
        <w:rPr>
          <w:lang w:val="en-US" w:eastAsia="ja-JP"/>
        </w:rPr>
        <w:t>2)</w:t>
      </w:r>
      <w:r w:rsidRPr="000A0D53">
        <w:rPr>
          <w:lang w:val="en-US" w:eastAsia="ja-JP"/>
        </w:rPr>
        <w:tab/>
        <w:t xml:space="preserve">Use of new and emerging technologies for the development of telecommunication/ICT networks maximized, including 5G and Smart Grids infrastructure and services; </w:t>
      </w:r>
    </w:p>
    <w:p w:rsidR="00253B59" w:rsidRPr="000A0D53" w:rsidRDefault="00253B59" w:rsidP="000A0D53">
      <w:pPr>
        <w:pStyle w:val="enumlev1"/>
        <w:rPr>
          <w:lang w:val="en-US" w:eastAsia="ja-JP"/>
        </w:rPr>
      </w:pPr>
      <w:r w:rsidRPr="000A0D53">
        <w:rPr>
          <w:lang w:val="en-US" w:eastAsia="ja-JP"/>
        </w:rPr>
        <w:t>3)</w:t>
      </w:r>
      <w:r w:rsidRPr="000A0D53">
        <w:rPr>
          <w:lang w:val="en-US" w:eastAsia="ja-JP"/>
        </w:rPr>
        <w:tab/>
        <w:t>Capacity to develop and implement national broadband plans strengthened in order to provide broadband access to unserved and underserved areas (including support for study of the status of national broadband networks and international connectivity), to promote affordable access, espe</w:t>
      </w:r>
      <w:r w:rsidRPr="000A0D53">
        <w:rPr>
          <w:lang w:val="en-US" w:eastAsia="ja-JP"/>
        </w:rPr>
        <w:lastRenderedPageBreak/>
        <w:t xml:space="preserve">cially for youth, women and indigenous peoples, children, to select appropriate technologies, to develop and use Universal Service Fund effectively, and to develop financially and operationally sustainable business models; </w:t>
      </w:r>
    </w:p>
    <w:p w:rsidR="00253B59" w:rsidRPr="00624639" w:rsidRDefault="00214B39" w:rsidP="000A0D53">
      <w:pPr>
        <w:pStyle w:val="enumlev1"/>
        <w:rPr>
          <w:lang w:val="en-US" w:eastAsia="ja-JP"/>
        </w:rPr>
      </w:pPr>
      <w:r>
        <w:rPr>
          <w:lang w:val="en-US" w:eastAsia="ja-JP"/>
        </w:rPr>
        <w:t>4)</w:t>
      </w:r>
      <w:r>
        <w:rPr>
          <w:lang w:val="en-US" w:eastAsia="ja-JP"/>
        </w:rPr>
        <w:tab/>
      </w:r>
      <w:r w:rsidR="00253B59" w:rsidRPr="00624639">
        <w:rPr>
          <w:lang w:val="en-US" w:eastAsia="ja-JP"/>
        </w:rPr>
        <w:t xml:space="preserve">Internet exchange points (IXPs) promoted as a long-term solution to advance connectivity, IPv6-based networks and applications deployed and transition from IPv4 to IPv6 progressed; </w:t>
      </w:r>
    </w:p>
    <w:p w:rsidR="00253B59" w:rsidRPr="00624639" w:rsidRDefault="00214B39" w:rsidP="000A0D53">
      <w:pPr>
        <w:pStyle w:val="enumlev1"/>
        <w:rPr>
          <w:lang w:val="en-US" w:eastAsia="ja-JP"/>
        </w:rPr>
      </w:pPr>
      <w:r>
        <w:rPr>
          <w:lang w:val="en-US" w:eastAsia="ja-JP"/>
        </w:rPr>
        <w:t>5)</w:t>
      </w:r>
      <w:r>
        <w:rPr>
          <w:lang w:val="en-US" w:eastAsia="ja-JP"/>
        </w:rPr>
        <w:tab/>
      </w:r>
      <w:r w:rsidR="00253B59" w:rsidRPr="00624639">
        <w:rPr>
          <w:lang w:val="en-US" w:eastAsia="ja-JP"/>
        </w:rPr>
        <w:t>Capacity to implement C&amp;I procedures and testing, and plan resources for C&amp;I programmes strengthened, and the establishment of common regional and sub-regional C&amp;I regimes facilitated (including the adoption and implementation of mutual recognition arrangements);</w:t>
      </w:r>
    </w:p>
    <w:p w:rsidR="00253B59" w:rsidRPr="00624639" w:rsidRDefault="00214B39" w:rsidP="000A0D53">
      <w:pPr>
        <w:pStyle w:val="enumlev1"/>
        <w:rPr>
          <w:lang w:val="en-US" w:eastAsia="ja-JP"/>
        </w:rPr>
      </w:pPr>
      <w:r>
        <w:rPr>
          <w:lang w:val="en-US" w:eastAsia="ja-JP"/>
        </w:rPr>
        <w:t>6)</w:t>
      </w:r>
      <w:r>
        <w:rPr>
          <w:lang w:val="en-US" w:eastAsia="ja-JP"/>
        </w:rPr>
        <w:tab/>
      </w:r>
      <w:r w:rsidR="00253B59" w:rsidRPr="00624639">
        <w:rPr>
          <w:lang w:val="en-US" w:eastAsia="ja-JP"/>
        </w:rPr>
        <w:t xml:space="preserve">Spectrum-management issues addressed including radio frequency planning, new spectrum sharing approaches, harmonization spectrum allocation and spectrum monitoring systems, and preparations towards WRCs and implementation of outcomes of WRCs supported; </w:t>
      </w:r>
    </w:p>
    <w:p w:rsidR="00214B39" w:rsidRPr="00624639" w:rsidRDefault="00214B39" w:rsidP="000A0D53">
      <w:pPr>
        <w:pStyle w:val="enumlev1"/>
        <w:rPr>
          <w:lang w:val="en-US" w:eastAsia="ja-JP"/>
        </w:rPr>
      </w:pPr>
      <w:r>
        <w:rPr>
          <w:lang w:val="en-US" w:eastAsia="ja-JP"/>
        </w:rPr>
        <w:t>7)</w:t>
      </w:r>
      <w:r>
        <w:rPr>
          <w:lang w:val="en-US" w:eastAsia="ja-JP"/>
        </w:rPr>
        <w:tab/>
      </w:r>
      <w:r w:rsidR="00253B59" w:rsidRPr="00624639">
        <w:rPr>
          <w:lang w:val="en-US" w:eastAsia="ja-JP"/>
        </w:rPr>
        <w:t xml:space="preserve">Skills built for the development and use of satellite telecommunications; </w:t>
      </w:r>
    </w:p>
    <w:p w:rsidR="00D959A7" w:rsidRDefault="00214B39" w:rsidP="000A0D53">
      <w:pPr>
        <w:pStyle w:val="enumlev1"/>
        <w:rPr>
          <w:lang w:val="en-US" w:eastAsia="ja-JP"/>
        </w:rPr>
      </w:pPr>
      <w:r>
        <w:rPr>
          <w:lang w:val="en-US" w:eastAsia="ja-JP"/>
        </w:rPr>
        <w:t>8)</w:t>
      </w:r>
      <w:r>
        <w:rPr>
          <w:lang w:val="en-US" w:eastAsia="ja-JP"/>
        </w:rPr>
        <w:tab/>
      </w:r>
      <w:r w:rsidR="00253B59" w:rsidRPr="00624639">
        <w:rPr>
          <w:lang w:val="en-US" w:eastAsia="ja-JP"/>
        </w:rPr>
        <w:t>Cooperation with international/regional organizations strengthened to enhance regional ICT connectivity such as Asia-Pacific Information Superhighway (AP-IS).</w:t>
      </w:r>
    </w:p>
    <w:p w:rsidR="00063D3A" w:rsidRDefault="00063D3A" w:rsidP="00063D3A">
      <w:pPr>
        <w:pStyle w:val="Reasons"/>
      </w:pPr>
    </w:p>
    <w:p w:rsidR="00D959A7" w:rsidRDefault="00214B39">
      <w:pPr>
        <w:pStyle w:val="Proposal"/>
      </w:pPr>
      <w:r>
        <w:rPr>
          <w:b/>
        </w:rPr>
        <w:t>SUP</w:t>
      </w:r>
      <w:r>
        <w:tab/>
        <w:t>ACP/22A8/7</w:t>
      </w:r>
    </w:p>
    <w:p w:rsidR="00C413F7" w:rsidRDefault="00214B39" w:rsidP="00063D3A">
      <w:pPr>
        <w:pStyle w:val="Heading1"/>
      </w:pPr>
      <w:bookmarkStart w:id="13" w:name="_Toc393980050"/>
      <w:r w:rsidRPr="00A91A94">
        <w:t>ASP4: Development of broadband access and adoption of broadband</w:t>
      </w:r>
      <w:bookmarkEnd w:id="13"/>
    </w:p>
    <w:p w:rsidR="00063D3A" w:rsidRPr="00195369" w:rsidRDefault="00063D3A" w:rsidP="00063D3A">
      <w:pPr>
        <w:pStyle w:val="Reasons"/>
      </w:pPr>
    </w:p>
    <w:p w:rsidR="00D959A7" w:rsidRDefault="00214B39">
      <w:pPr>
        <w:pStyle w:val="Proposal"/>
      </w:pPr>
      <w:r>
        <w:rPr>
          <w:b/>
        </w:rPr>
        <w:t>ADD</w:t>
      </w:r>
      <w:r>
        <w:tab/>
        <w:t>ACP/22A8/8</w:t>
      </w:r>
    </w:p>
    <w:p w:rsidR="00214B39" w:rsidRPr="00624639" w:rsidRDefault="00214B39" w:rsidP="00063D3A">
      <w:pPr>
        <w:pStyle w:val="Heading1"/>
        <w:rPr>
          <w:bCs/>
          <w:lang w:val="en-US" w:eastAsia="ja-JP"/>
        </w:rPr>
      </w:pPr>
      <w:r w:rsidRPr="00A91A94">
        <w:t>ASP4: Enabling policy and regulatory environments</w:t>
      </w:r>
    </w:p>
    <w:p w:rsidR="00214B39" w:rsidRPr="00624639" w:rsidRDefault="00214B39" w:rsidP="005B0DF0">
      <w:pPr>
        <w:pStyle w:val="Normal0"/>
        <w:rPr>
          <w:rFonts w:cs="Calibri"/>
          <w:bCs/>
          <w:lang w:val="en-US" w:eastAsia="ja-JP"/>
        </w:rPr>
      </w:pPr>
      <w:r w:rsidRPr="005B0DF0">
        <w:t xml:space="preserve">Objective: To assist Member States in developing appropriate policy and regulatory frameworks, fostering innovation, enhancing skills, increasing information sharing and strengthening regulatory cooperation which contribute to a supportive regulatory environment for all stakeholders </w:t>
      </w:r>
    </w:p>
    <w:p w:rsidR="00214B39" w:rsidRPr="00624639" w:rsidRDefault="00214B39" w:rsidP="000A0D53">
      <w:pPr>
        <w:rPr>
          <w:bCs/>
        </w:rPr>
      </w:pPr>
      <w:r w:rsidRPr="00624639">
        <w:rPr>
          <w:b/>
          <w:bCs/>
        </w:rPr>
        <w:t>Expected results</w:t>
      </w:r>
      <w:r w:rsidRPr="00624639">
        <w:rPr>
          <w:bCs/>
        </w:rPr>
        <w:t xml:space="preserve">: </w:t>
      </w:r>
    </w:p>
    <w:p w:rsidR="00214B39" w:rsidRPr="00624639" w:rsidRDefault="00214B39" w:rsidP="00B627E4">
      <w:pPr>
        <w:pStyle w:val="enumlev1"/>
        <w:rPr>
          <w:lang w:val="en-US" w:eastAsia="ja-JP"/>
        </w:rPr>
      </w:pPr>
      <w:r>
        <w:rPr>
          <w:lang w:val="en-US" w:eastAsia="ja-JP"/>
        </w:rPr>
        <w:t>1)</w:t>
      </w:r>
      <w:r>
        <w:rPr>
          <w:lang w:val="en-US" w:eastAsia="ja-JP"/>
        </w:rPr>
        <w:tab/>
      </w:r>
      <w:r w:rsidRPr="00624639">
        <w:rPr>
          <w:lang w:val="en-US" w:eastAsia="ja-JP"/>
        </w:rPr>
        <w:t xml:space="preserve">Information shared on developments in policy, legal, and regulatory frameworks as well as market developments in the ICT sector and the digital economies it enables; </w:t>
      </w:r>
    </w:p>
    <w:p w:rsidR="00214B39" w:rsidRPr="00624639" w:rsidRDefault="00214B39" w:rsidP="00B627E4">
      <w:pPr>
        <w:pStyle w:val="enumlev1"/>
        <w:rPr>
          <w:lang w:val="en-US" w:eastAsia="ja-JP"/>
        </w:rPr>
      </w:pPr>
      <w:r>
        <w:rPr>
          <w:lang w:val="en-US" w:eastAsia="ja-JP"/>
        </w:rPr>
        <w:t>2)</w:t>
      </w:r>
      <w:r>
        <w:rPr>
          <w:lang w:val="en-US" w:eastAsia="ja-JP"/>
        </w:rPr>
        <w:tab/>
      </w:r>
      <w:r w:rsidRPr="00624639">
        <w:rPr>
          <w:lang w:val="en-US" w:eastAsia="ja-JP"/>
        </w:rPr>
        <w:t>Strategies, policies, and legal and regulatory frameworks developed, implemented and reviewed, including for next generation universal service obligation (USO), consumer protection, transformation of SMEs to digital enterprises, and innovation and entrepreneurship;</w:t>
      </w:r>
    </w:p>
    <w:p w:rsidR="00214B39" w:rsidRPr="00624639" w:rsidRDefault="00214B39" w:rsidP="00B627E4">
      <w:pPr>
        <w:pStyle w:val="enumlev1"/>
        <w:rPr>
          <w:lang w:val="en-US" w:eastAsia="ja-JP"/>
        </w:rPr>
      </w:pPr>
      <w:r>
        <w:rPr>
          <w:lang w:val="en-US" w:eastAsia="ja-JP"/>
        </w:rPr>
        <w:t>3)</w:t>
      </w:r>
      <w:r>
        <w:rPr>
          <w:lang w:val="en-US" w:eastAsia="ja-JP"/>
        </w:rPr>
        <w:tab/>
      </w:r>
      <w:r w:rsidRPr="00624639">
        <w:rPr>
          <w:lang w:val="en-US" w:eastAsia="ja-JP"/>
        </w:rPr>
        <w:t>Inclusive dialogues encouraged and cooperation strengthened among national and regional regulators, policy-makers and other telecommunication/ICT stakeholders as well as with other sectors of the economy on topical policy, legal, regulatory and market issues;</w:t>
      </w:r>
    </w:p>
    <w:p w:rsidR="00214B39" w:rsidRPr="00624639" w:rsidRDefault="00214B39" w:rsidP="00B627E4">
      <w:pPr>
        <w:pStyle w:val="enumlev1"/>
        <w:rPr>
          <w:lang w:val="en-US" w:eastAsia="ja-JP"/>
        </w:rPr>
      </w:pPr>
      <w:r>
        <w:rPr>
          <w:lang w:val="en-US" w:eastAsia="ja-JP"/>
        </w:rPr>
        <w:t>4)</w:t>
      </w:r>
      <w:r>
        <w:rPr>
          <w:lang w:val="en-US" w:eastAsia="ja-JP"/>
        </w:rPr>
        <w:tab/>
      </w:r>
      <w:r w:rsidRPr="00624639">
        <w:rPr>
          <w:lang w:val="en-US" w:eastAsia="ja-JP"/>
        </w:rPr>
        <w:t>Institutional, human and technical capacity strengthened on topical policy, legal, regulatory issues, as well as on economic and financial issues and market developments;</w:t>
      </w:r>
    </w:p>
    <w:p w:rsidR="00214B39" w:rsidRPr="00624639" w:rsidRDefault="00214B39" w:rsidP="00B627E4">
      <w:pPr>
        <w:pStyle w:val="enumlev1"/>
        <w:rPr>
          <w:lang w:val="en-US" w:eastAsia="ja-JP"/>
        </w:rPr>
      </w:pPr>
      <w:r>
        <w:rPr>
          <w:lang w:val="en-US" w:eastAsia="ja-JP"/>
        </w:rPr>
        <w:t>5)</w:t>
      </w:r>
      <w:r>
        <w:rPr>
          <w:lang w:val="en-US" w:eastAsia="ja-JP"/>
        </w:rPr>
        <w:tab/>
      </w:r>
      <w:r w:rsidRPr="00624639">
        <w:rPr>
          <w:lang w:val="en-US" w:eastAsia="ja-JP"/>
        </w:rPr>
        <w:t>Improved awareness of policy and regulatory frameworks relating to data privacy and cross border data;</w:t>
      </w:r>
      <w:r w:rsidRPr="00214B39">
        <w:rPr>
          <w:lang w:val="en-US" w:eastAsia="ja-JP"/>
        </w:rPr>
        <w:t xml:space="preserve"> </w:t>
      </w:r>
    </w:p>
    <w:p w:rsidR="00D959A7" w:rsidRDefault="00214B39" w:rsidP="00B627E4">
      <w:pPr>
        <w:pStyle w:val="enumlev1"/>
        <w:rPr>
          <w:lang w:val="en-US" w:eastAsia="ja-JP"/>
        </w:rPr>
      </w:pPr>
      <w:r>
        <w:rPr>
          <w:lang w:val="en-US" w:eastAsia="ja-JP"/>
        </w:rPr>
        <w:lastRenderedPageBreak/>
        <w:t>6)</w:t>
      </w:r>
      <w:r>
        <w:rPr>
          <w:lang w:val="en-US" w:eastAsia="ja-JP"/>
        </w:rPr>
        <w:tab/>
      </w:r>
      <w:r w:rsidRPr="00624639">
        <w:rPr>
          <w:lang w:val="en-US" w:eastAsia="ja-JP"/>
        </w:rPr>
        <w:t>Strategic frameworks developed to support research and development activities in ICT in developing countries.</w:t>
      </w:r>
    </w:p>
    <w:p w:rsidR="00063D3A" w:rsidRDefault="00063D3A" w:rsidP="00063D3A">
      <w:pPr>
        <w:pStyle w:val="Reasons"/>
      </w:pPr>
    </w:p>
    <w:p w:rsidR="00D959A7" w:rsidRDefault="00214B39">
      <w:pPr>
        <w:pStyle w:val="Proposal"/>
      </w:pPr>
      <w:r>
        <w:rPr>
          <w:b/>
        </w:rPr>
        <w:t>SUP</w:t>
      </w:r>
      <w:r>
        <w:tab/>
        <w:t>ACP/22A8/9</w:t>
      </w:r>
    </w:p>
    <w:p w:rsidR="00C413F7" w:rsidRDefault="00214B39" w:rsidP="00063D3A">
      <w:pPr>
        <w:pStyle w:val="Heading1"/>
      </w:pPr>
      <w:bookmarkStart w:id="14" w:name="_Toc393980051"/>
      <w:r w:rsidRPr="00A91A94">
        <w:t>ASP5: Policy and regulation</w:t>
      </w:r>
      <w:bookmarkEnd w:id="14"/>
    </w:p>
    <w:p w:rsidR="00063D3A" w:rsidRPr="00195369" w:rsidRDefault="00063D3A" w:rsidP="00063D3A">
      <w:pPr>
        <w:pStyle w:val="Reasons"/>
      </w:pPr>
    </w:p>
    <w:p w:rsidR="00D959A7" w:rsidRDefault="00214B39">
      <w:pPr>
        <w:pStyle w:val="Proposal"/>
      </w:pPr>
      <w:r>
        <w:rPr>
          <w:b/>
        </w:rPr>
        <w:t>ADD</w:t>
      </w:r>
      <w:r>
        <w:tab/>
        <w:t>ACP/22A8/10</w:t>
      </w:r>
    </w:p>
    <w:p w:rsidR="00214B39" w:rsidRDefault="00214B39" w:rsidP="00063D3A">
      <w:pPr>
        <w:pStyle w:val="Heading1"/>
        <w:rPr>
          <w:rFonts w:cs="Calibri"/>
          <w:bCs/>
          <w:lang w:val="en-US" w:eastAsia="ja-JP"/>
        </w:rPr>
      </w:pPr>
      <w:r w:rsidRPr="00A91A94">
        <w:t>ASP5: Contributing to a secure and resilient environment</w:t>
      </w:r>
    </w:p>
    <w:p w:rsidR="00214B39" w:rsidRPr="00624639" w:rsidRDefault="00214B39" w:rsidP="005B0DF0">
      <w:pPr>
        <w:pStyle w:val="Normal0"/>
        <w:rPr>
          <w:rFonts w:cs="Arial"/>
          <w:bCs/>
          <w:lang w:val="en-US" w:eastAsia="ja-JP"/>
        </w:rPr>
      </w:pPr>
      <w:r w:rsidRPr="005B0DF0">
        <w:t>Objective: To assist Member States to develop and maintain secure, trusted and resilient networks and services, and to address challenges related to climate change and disaster management.</w:t>
      </w:r>
    </w:p>
    <w:p w:rsidR="00214B39" w:rsidRPr="00624639" w:rsidRDefault="00214B39" w:rsidP="00D7338A">
      <w:pPr>
        <w:keepNext/>
        <w:rPr>
          <w:bCs/>
        </w:rPr>
      </w:pPr>
      <w:r w:rsidRPr="00624639">
        <w:rPr>
          <w:b/>
          <w:bCs/>
        </w:rPr>
        <w:t>Expected results</w:t>
      </w:r>
      <w:r w:rsidRPr="00624639">
        <w:rPr>
          <w:bCs/>
        </w:rPr>
        <w:t xml:space="preserve">: </w:t>
      </w:r>
    </w:p>
    <w:p w:rsidR="00214B39" w:rsidRPr="00624639" w:rsidRDefault="00214B39" w:rsidP="00D7338A">
      <w:pPr>
        <w:pStyle w:val="enumlev1"/>
        <w:keepNext/>
        <w:rPr>
          <w:lang w:val="en-US" w:eastAsia="ja-JP"/>
        </w:rPr>
      </w:pPr>
      <w:r>
        <w:rPr>
          <w:lang w:val="en-US" w:eastAsia="ja-JP"/>
        </w:rPr>
        <w:t>1)</w:t>
      </w:r>
      <w:r>
        <w:rPr>
          <w:lang w:val="en-US" w:eastAsia="ja-JP"/>
        </w:rPr>
        <w:tab/>
      </w:r>
      <w:r w:rsidRPr="00624639">
        <w:rPr>
          <w:lang w:val="en-US" w:eastAsia="ja-JP"/>
        </w:rPr>
        <w:t xml:space="preserve">National and/or regional cybersecurity strategies, national cybersecurity capabilities such as Computer Incident Response Teams established, and good practices collected through the Global Cybersecurity Index shared to nurture a culture of cybersecurity </w:t>
      </w:r>
    </w:p>
    <w:p w:rsidR="00214B39" w:rsidRPr="00624639" w:rsidRDefault="00214B39" w:rsidP="00D7338A">
      <w:pPr>
        <w:pStyle w:val="enumlev1"/>
        <w:keepNext/>
        <w:rPr>
          <w:lang w:val="en-US" w:eastAsia="ja-JP"/>
        </w:rPr>
      </w:pPr>
      <w:r>
        <w:rPr>
          <w:lang w:val="en-US" w:eastAsia="ja-JP"/>
        </w:rPr>
        <w:t>2)</w:t>
      </w:r>
      <w:r>
        <w:rPr>
          <w:lang w:val="en-US" w:eastAsia="ja-JP"/>
        </w:rPr>
        <w:tab/>
      </w:r>
      <w:r w:rsidRPr="00624639">
        <w:rPr>
          <w:lang w:val="en-US" w:eastAsia="ja-JP"/>
        </w:rPr>
        <w:t>Institutional cooperation and coordination among the key actors and stakeholders strengthened at the national, regional and global level (including through organizing cyber drills) and capacity to address issues related to cybersecurity strengthened;</w:t>
      </w:r>
    </w:p>
    <w:p w:rsidR="00214B39" w:rsidRPr="00624639" w:rsidRDefault="00214B39" w:rsidP="00B627E4">
      <w:pPr>
        <w:pStyle w:val="enumlev1"/>
        <w:rPr>
          <w:lang w:val="en-US" w:eastAsia="ja-JP"/>
        </w:rPr>
      </w:pPr>
      <w:r>
        <w:rPr>
          <w:lang w:val="en-US" w:eastAsia="ja-JP"/>
        </w:rPr>
        <w:t>3)</w:t>
      </w:r>
      <w:r>
        <w:rPr>
          <w:lang w:val="en-US" w:eastAsia="ja-JP"/>
        </w:rPr>
        <w:tab/>
      </w:r>
      <w:r w:rsidRPr="00624639">
        <w:rPr>
          <w:lang w:val="en-US" w:eastAsia="ja-JP"/>
        </w:rPr>
        <w:t>National emergency telecommunication plans and ICT-based initiatives for providing medical (e-health) and humanitarian assistance in disasters and emergencies developed;</w:t>
      </w:r>
    </w:p>
    <w:p w:rsidR="00214B39" w:rsidRPr="00624639" w:rsidRDefault="00214B39" w:rsidP="00B627E4">
      <w:pPr>
        <w:pStyle w:val="enumlev1"/>
        <w:rPr>
          <w:lang w:val="en-US" w:eastAsia="ja-JP"/>
        </w:rPr>
      </w:pPr>
      <w:r>
        <w:rPr>
          <w:lang w:val="en-US" w:eastAsia="ja-JP"/>
        </w:rPr>
        <w:t>4)</w:t>
      </w:r>
      <w:r>
        <w:rPr>
          <w:lang w:val="en-US" w:eastAsia="ja-JP"/>
        </w:rPr>
        <w:tab/>
      </w:r>
      <w:r w:rsidRPr="00624639">
        <w:rPr>
          <w:lang w:val="en-US" w:eastAsia="ja-JP"/>
        </w:rPr>
        <w:t>Disaster-resilient features incorporated in telecommunication networks and infrastructure, and ICT-based solutions (including wireless and satellite-based technologies) developed to enhance network resilience;</w:t>
      </w:r>
    </w:p>
    <w:p w:rsidR="00214B39" w:rsidRPr="00624639" w:rsidRDefault="00214B39" w:rsidP="00B627E4">
      <w:pPr>
        <w:pStyle w:val="enumlev1"/>
        <w:rPr>
          <w:lang w:val="en-US" w:eastAsia="ja-JP"/>
        </w:rPr>
      </w:pPr>
      <w:r>
        <w:rPr>
          <w:lang w:val="en-US" w:eastAsia="ja-JP"/>
        </w:rPr>
        <w:t>5)</w:t>
      </w:r>
      <w:r>
        <w:rPr>
          <w:lang w:val="en-US" w:eastAsia="ja-JP"/>
        </w:rPr>
        <w:tab/>
      </w:r>
      <w:r w:rsidRPr="00624639">
        <w:rPr>
          <w:lang w:val="en-US" w:eastAsia="ja-JP"/>
        </w:rPr>
        <w:t>Standards-based monitoring and early-warning systems linked to national and regional networks developed and the use of active and passive space-based sensing systems for disaster prediction, detection and mitigation enhanced;</w:t>
      </w:r>
    </w:p>
    <w:p w:rsidR="00214B39" w:rsidRPr="00624639" w:rsidRDefault="00214B39" w:rsidP="00B627E4">
      <w:pPr>
        <w:pStyle w:val="enumlev1"/>
        <w:rPr>
          <w:lang w:val="en-US" w:eastAsia="ja-JP"/>
        </w:rPr>
      </w:pPr>
      <w:r>
        <w:rPr>
          <w:lang w:val="en-US" w:eastAsia="ja-JP"/>
        </w:rPr>
        <w:t>6)</w:t>
      </w:r>
      <w:r>
        <w:rPr>
          <w:lang w:val="en-US" w:eastAsia="ja-JP"/>
        </w:rPr>
        <w:tab/>
      </w:r>
      <w:r w:rsidRPr="00624639">
        <w:rPr>
          <w:lang w:val="en-US" w:eastAsia="ja-JP"/>
        </w:rPr>
        <w:t xml:space="preserve">Comprehensive strategies and measures formulated to help mitigate and respond to the devastating effects of climate change including e-waste policy. </w:t>
      </w:r>
    </w:p>
    <w:p w:rsidR="00D959A7" w:rsidRPr="00214B39" w:rsidRDefault="00D959A7" w:rsidP="00214B39">
      <w:pPr>
        <w:rPr>
          <w:lang w:val="en-US"/>
        </w:rPr>
      </w:pPr>
    </w:p>
    <w:p w:rsidR="00214B39" w:rsidRPr="004E1F30" w:rsidRDefault="00214B39" w:rsidP="004E1F30">
      <w:pPr>
        <w:pStyle w:val="Reasons"/>
        <w:rPr>
          <w:b/>
          <w:bCs/>
        </w:rPr>
      </w:pPr>
      <w:r w:rsidRPr="004E1F30">
        <w:rPr>
          <w:b/>
          <w:bCs/>
        </w:rPr>
        <w:t>Reasons:</w:t>
      </w:r>
    </w:p>
    <w:p w:rsidR="00214B39" w:rsidRDefault="00214B39" w:rsidP="00B627E4">
      <w:r>
        <w:t xml:space="preserve">APT Member Administrations propose to include the above Asia-Pacific Regional Initiatives in the Buenos Aires Action Plan.  </w:t>
      </w:r>
    </w:p>
    <w:p w:rsidR="00214B39" w:rsidRDefault="00214B39" w:rsidP="00B627E4">
      <w:r>
        <w:t>APT Member Administrations propose to suppress the Regional Initiatives for Asia-Pacific region in Section 3 of the Dubai Action Plan.</w:t>
      </w:r>
    </w:p>
    <w:p w:rsidR="00AA0E8F" w:rsidRDefault="00AA0E8F" w:rsidP="00AA0E8F">
      <w:pPr>
        <w:pStyle w:val="Reasons"/>
        <w:jc w:val="center"/>
      </w:pPr>
      <w:r>
        <w:t>_________________</w:t>
      </w:r>
    </w:p>
    <w:sectPr w:rsidR="00AA0E8F">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DCD" w:rsidRDefault="00853DCD">
      <w:r>
        <w:separator/>
      </w:r>
    </w:p>
  </w:endnote>
  <w:endnote w:type="continuationSeparator" w:id="0">
    <w:p w:rsidR="00853DCD" w:rsidRDefault="0085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EA27D1">
      <w:rPr>
        <w:noProof/>
      </w:rPr>
      <w:t>01.09.17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EA27D1" w:rsidRDefault="00EA27D1" w:rsidP="00EA27D1">
          <w:pPr>
            <w:pStyle w:val="FirstFooter"/>
            <w:tabs>
              <w:tab w:val="left" w:pos="2302"/>
            </w:tabs>
            <w:ind w:left="2302" w:hanging="2302"/>
            <w:rPr>
              <w:sz w:val="18"/>
              <w:szCs w:val="18"/>
              <w:lang w:val="en-US"/>
            </w:rPr>
          </w:pPr>
          <w:bookmarkStart w:id="18" w:name="OrgName"/>
          <w:bookmarkEnd w:id="18"/>
          <w:r w:rsidRPr="00EA27D1">
            <w:rPr>
              <w:sz w:val="18"/>
              <w:szCs w:val="18"/>
              <w:lang w:val="en-US"/>
            </w:rPr>
            <w:t>Mr. Joseph McCarroll, WG2 Chair, Australia</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9" w:name="Email"/>
      <w:bookmarkEnd w:id="19"/>
      <w:tc>
        <w:tcPr>
          <w:tcW w:w="5987" w:type="dxa"/>
          <w:shd w:val="clear" w:color="auto" w:fill="auto"/>
        </w:tcPr>
        <w:p w:rsidR="00D83BF5" w:rsidRPr="00EA27D1" w:rsidRDefault="00EA27D1" w:rsidP="00EA27D1">
          <w:pPr>
            <w:pStyle w:val="FirstFooter"/>
            <w:tabs>
              <w:tab w:val="left" w:pos="2302"/>
            </w:tabs>
            <w:rPr>
              <w:sz w:val="18"/>
              <w:szCs w:val="18"/>
              <w:lang w:val="en-US"/>
            </w:rPr>
          </w:pPr>
          <w:r w:rsidRPr="00EA27D1">
            <w:rPr>
              <w:sz w:val="18"/>
              <w:szCs w:val="18"/>
              <w:lang w:val="en-US"/>
            </w:rPr>
            <w:fldChar w:fldCharType="begin"/>
          </w:r>
          <w:r w:rsidRPr="00EA27D1">
            <w:rPr>
              <w:sz w:val="18"/>
              <w:szCs w:val="18"/>
              <w:lang w:val="en-US"/>
            </w:rPr>
            <w:instrText xml:space="preserve"> HYPERLINK "mailto:joseph.mccarroll@communications.gov.au" </w:instrText>
          </w:r>
          <w:r w:rsidRPr="00EA27D1">
            <w:rPr>
              <w:sz w:val="18"/>
              <w:szCs w:val="18"/>
              <w:lang w:val="en-US"/>
            </w:rPr>
            <w:fldChar w:fldCharType="separate"/>
          </w:r>
          <w:r w:rsidRPr="00EA27D1">
            <w:rPr>
              <w:rStyle w:val="Hyperlink"/>
              <w:sz w:val="18"/>
              <w:szCs w:val="18"/>
              <w:lang w:val="en-US"/>
            </w:rPr>
            <w:t>joseph.mccarroll@communications.gov.au</w:t>
          </w:r>
          <w:r w:rsidRPr="00EA27D1">
            <w:rPr>
              <w:sz w:val="18"/>
              <w:szCs w:val="18"/>
              <w:lang w:val="en-US"/>
            </w:rPr>
            <w:fldChar w:fldCharType="end"/>
          </w:r>
        </w:p>
      </w:tc>
    </w:tr>
  </w:tbl>
  <w:p w:rsidR="00E45D05" w:rsidRPr="00D83BF5" w:rsidRDefault="00EA27D1" w:rsidP="003F005F">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DCD" w:rsidRDefault="00853DCD">
      <w:r>
        <w:rPr>
          <w:b/>
        </w:rPr>
        <w:t>_______________</w:t>
      </w:r>
    </w:p>
  </w:footnote>
  <w:footnote w:type="continuationSeparator" w:id="0">
    <w:p w:rsidR="00853DCD" w:rsidRDefault="00853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5" w:name="OLE_LINK3"/>
    <w:bookmarkStart w:id="16" w:name="OLE_LINK2"/>
    <w:bookmarkStart w:id="17" w:name="OLE_LINK1"/>
    <w:r w:rsidRPr="00A74B99">
      <w:rPr>
        <w:sz w:val="22"/>
        <w:szCs w:val="22"/>
      </w:rPr>
      <w:t>22(Add.8)</w:t>
    </w:r>
    <w:bookmarkEnd w:id="15"/>
    <w:bookmarkEnd w:id="16"/>
    <w:bookmarkEnd w:id="17"/>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EA27D1">
      <w:rPr>
        <w:noProof/>
        <w:sz w:val="22"/>
        <w:szCs w:val="22"/>
      </w:rPr>
      <w:t>2</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32FE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8693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AE2F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E814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8CF7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1824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7CB2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5E28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B81D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5C92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326FA0"/>
    <w:multiLevelType w:val="hybridMultilevel"/>
    <w:tmpl w:val="1A3CF57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D335BDC"/>
    <w:multiLevelType w:val="hybridMultilevel"/>
    <w:tmpl w:val="1A3CF57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5DF545FF"/>
    <w:multiLevelType w:val="hybridMultilevel"/>
    <w:tmpl w:val="1A3CF57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602B17D1"/>
    <w:multiLevelType w:val="hybridMultilevel"/>
    <w:tmpl w:val="1A3CF57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62CF6BBF"/>
    <w:multiLevelType w:val="hybridMultilevel"/>
    <w:tmpl w:val="1A3CF57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8"/>
  </w:num>
  <w:num w:numId="4">
    <w:abstractNumId w:val="12"/>
  </w:num>
  <w:num w:numId="5">
    <w:abstractNumId w:val="14"/>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3"/>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3D3A"/>
    <w:rsid w:val="00064F74"/>
    <w:rsid w:val="00075C63"/>
    <w:rsid w:val="00077239"/>
    <w:rsid w:val="00077EBD"/>
    <w:rsid w:val="00080905"/>
    <w:rsid w:val="000822BE"/>
    <w:rsid w:val="000824FA"/>
    <w:rsid w:val="00086491"/>
    <w:rsid w:val="00091346"/>
    <w:rsid w:val="000A0D53"/>
    <w:rsid w:val="000D0139"/>
    <w:rsid w:val="000F73FF"/>
    <w:rsid w:val="00114CF7"/>
    <w:rsid w:val="00123B68"/>
    <w:rsid w:val="00126F2E"/>
    <w:rsid w:val="00130081"/>
    <w:rsid w:val="00135383"/>
    <w:rsid w:val="00146F6F"/>
    <w:rsid w:val="00147DA1"/>
    <w:rsid w:val="00152957"/>
    <w:rsid w:val="00187BD9"/>
    <w:rsid w:val="00190B55"/>
    <w:rsid w:val="00194CFB"/>
    <w:rsid w:val="00195369"/>
    <w:rsid w:val="001B2ED3"/>
    <w:rsid w:val="001C3B5F"/>
    <w:rsid w:val="001D058F"/>
    <w:rsid w:val="001D7CE4"/>
    <w:rsid w:val="002009EA"/>
    <w:rsid w:val="00201921"/>
    <w:rsid w:val="00202CA0"/>
    <w:rsid w:val="00214B39"/>
    <w:rsid w:val="002154A6"/>
    <w:rsid w:val="002162CD"/>
    <w:rsid w:val="002255B3"/>
    <w:rsid w:val="00231AED"/>
    <w:rsid w:val="00236E8A"/>
    <w:rsid w:val="00253B59"/>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3D22EC"/>
    <w:rsid w:val="003F005F"/>
    <w:rsid w:val="004131D4"/>
    <w:rsid w:val="0041348E"/>
    <w:rsid w:val="00447308"/>
    <w:rsid w:val="0046657C"/>
    <w:rsid w:val="004765FF"/>
    <w:rsid w:val="0048040C"/>
    <w:rsid w:val="0048292A"/>
    <w:rsid w:val="00492075"/>
    <w:rsid w:val="004969AD"/>
    <w:rsid w:val="004B13CB"/>
    <w:rsid w:val="004B4FDF"/>
    <w:rsid w:val="004C0E17"/>
    <w:rsid w:val="004D5D5C"/>
    <w:rsid w:val="004E1F30"/>
    <w:rsid w:val="0050139F"/>
    <w:rsid w:val="00521223"/>
    <w:rsid w:val="00524DF1"/>
    <w:rsid w:val="0055140B"/>
    <w:rsid w:val="00554C4F"/>
    <w:rsid w:val="00561D72"/>
    <w:rsid w:val="005964AB"/>
    <w:rsid w:val="005B0DF0"/>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28A"/>
    <w:rsid w:val="00A74B99"/>
    <w:rsid w:val="00A91A94"/>
    <w:rsid w:val="00A93B85"/>
    <w:rsid w:val="00AA0B18"/>
    <w:rsid w:val="00AA0E8F"/>
    <w:rsid w:val="00AA3F20"/>
    <w:rsid w:val="00AA666F"/>
    <w:rsid w:val="00AB4927"/>
    <w:rsid w:val="00AF36F2"/>
    <w:rsid w:val="00B004E5"/>
    <w:rsid w:val="00B15F9D"/>
    <w:rsid w:val="00B627E4"/>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A2073"/>
    <w:rsid w:val="00CC247A"/>
    <w:rsid w:val="00CE5E47"/>
    <w:rsid w:val="00CF020F"/>
    <w:rsid w:val="00CF2B5B"/>
    <w:rsid w:val="00D0080C"/>
    <w:rsid w:val="00D14CE0"/>
    <w:rsid w:val="00D36333"/>
    <w:rsid w:val="00D5651D"/>
    <w:rsid w:val="00D7338A"/>
    <w:rsid w:val="00D74898"/>
    <w:rsid w:val="00D801ED"/>
    <w:rsid w:val="00D83BF5"/>
    <w:rsid w:val="00D91CF6"/>
    <w:rsid w:val="00D925C2"/>
    <w:rsid w:val="00D936BC"/>
    <w:rsid w:val="00D959A7"/>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976C1"/>
    <w:rsid w:val="00EA12E5"/>
    <w:rsid w:val="00EA27D1"/>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customStyle="1" w:styleId="ProposalCalibri">
    <w:name w:val="Proposal + Calibri"/>
    <w:aliases w:val="(Latin) Bold"/>
    <w:basedOn w:val="Proposal"/>
    <w:rsid w:val="00A7428A"/>
    <w:rPr>
      <w:rFonts w:ascii="Calibri"/>
      <w:b/>
    </w:rPr>
  </w:style>
  <w:style w:type="paragraph" w:customStyle="1" w:styleId="NormalAsianSimSun">
    <w:name w:val="Normal + (Asian) SimSun"/>
    <w:basedOn w:val="Normal"/>
    <w:rsid w:val="00A7428A"/>
    <w:pPr>
      <w:tabs>
        <w:tab w:val="clear" w:pos="794"/>
        <w:tab w:val="clear" w:pos="1191"/>
        <w:tab w:val="clear" w:pos="1588"/>
        <w:tab w:val="clear" w:pos="1985"/>
        <w:tab w:val="left" w:pos="459"/>
      </w:tabs>
      <w:overflowPunct/>
      <w:autoSpaceDE/>
      <w:autoSpaceDN/>
      <w:adjustRightInd/>
      <w:spacing w:before="0"/>
      <w:textAlignment w:val="auto"/>
    </w:pPr>
    <w:rPr>
      <w:rFonts w:cs="Calibri"/>
      <w:b/>
      <w:bCs/>
      <w:lang w:val="en-US" w:eastAsia="ja-JP"/>
    </w:rPr>
  </w:style>
  <w:style w:type="paragraph" w:customStyle="1" w:styleId="Heading1AsianSimHei">
    <w:name w:val="Heading 1 + (Asian) SimHei"/>
    <w:basedOn w:val="Normal"/>
    <w:rsid w:val="003D22EC"/>
    <w:rPr>
      <w:rFonts w:ascii="Calibri"/>
      <w:b/>
    </w:rPr>
  </w:style>
  <w:style w:type="paragraph" w:customStyle="1" w:styleId="Normal0">
    <w:name w:val="Normal +"/>
    <w:basedOn w:val="Normal"/>
    <w:rsid w:val="005B0DF0"/>
  </w:style>
  <w:style w:type="paragraph" w:customStyle="1" w:styleId="NormalBold">
    <w:name w:val="Normal + Bold"/>
    <w:basedOn w:val="Normal"/>
    <w:rsid w:val="000A0D53"/>
    <w:pPr>
      <w:tabs>
        <w:tab w:val="clear" w:pos="794"/>
        <w:tab w:val="clear" w:pos="1191"/>
        <w:tab w:val="clear" w:pos="1588"/>
        <w:tab w:val="clear" w:pos="1985"/>
        <w:tab w:val="left" w:pos="459"/>
      </w:tabs>
      <w:overflowPunct/>
      <w:autoSpaceDE/>
      <w:autoSpaceDN/>
      <w:adjustRightInd/>
      <w:spacing w:before="0"/>
      <w:contextualSpacing/>
      <w:textAlignment w:val="auto"/>
    </w:pPr>
    <w:rPr>
      <w:rFonts w:cs="Calibri"/>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13224">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83313667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D14-WTDC17-C-0022!A8!MSW-E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9FBE0-FB56-4879-AB1A-7262C6D85DA7}">
  <ds:schemaRefs>
    <ds:schemaRef ds:uri="http://schemas.microsoft.com/sharepoint/events"/>
  </ds:schemaRefs>
</ds:datastoreItem>
</file>

<file path=customXml/itemProps2.xml><?xml version="1.0" encoding="utf-8"?>
<ds:datastoreItem xmlns:ds="http://schemas.openxmlformats.org/officeDocument/2006/customXml" ds:itemID="{530FB289-D75D-453A-B2AC-DE3BE3E3243F}">
  <ds:schemaRefs>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996b2e75-67fd-4955-a3b0-5ab9934cb50b"/>
    <ds:schemaRef ds:uri="http://purl.org/dc/terms/"/>
    <ds:schemaRef ds:uri="32a1a8c5-2265-4ebc-b7a0-2071e2c5c9bb"/>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C5F30112-8D14-4AF0-AEED-89BBF0679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188B9-8315-4B9A-8BF4-4A362B2DC7EC}">
  <ds:schemaRefs>
    <ds:schemaRef ds:uri="http://schemas.microsoft.com/sharepoint/v3/contenttype/forms"/>
  </ds:schemaRefs>
</ds:datastoreItem>
</file>

<file path=customXml/itemProps5.xml><?xml version="1.0" encoding="utf-8"?>
<ds:datastoreItem xmlns:ds="http://schemas.openxmlformats.org/officeDocument/2006/customXml" ds:itemID="{B638BB59-D329-4419-90F9-1535E597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1245</Words>
  <Characters>8422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D14-WTDC17-C-0022!A8!MSW-E</vt:lpstr>
    </vt:vector>
  </TitlesOfParts>
  <Manager>General Secretariat - Pool</Manager>
  <Company>International Telecommunication Union (ITU)</Company>
  <LinksUpToDate>false</LinksUpToDate>
  <CharactersWithSpaces>9648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D14-WTDC17-C-0022!A8!MSW-E</dc:title>
  <dc:subject/>
  <dc:creator>Documents Proposals Manager (DPM)</dc:creator>
  <cp:keywords>DPM_v2017.7.28.1_prod</cp:keywords>
  <dc:description/>
  <cp:lastModifiedBy>Jones, Jacqueline</cp:lastModifiedBy>
  <cp:revision>2</cp:revision>
  <cp:lastPrinted>2011-08-24T07:41:00Z</cp:lastPrinted>
  <dcterms:created xsi:type="dcterms:W3CDTF">2017-09-29T14:06:00Z</dcterms:created>
  <dcterms:modified xsi:type="dcterms:W3CDTF">2017-09-29T14:06:00Z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