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70"/>
        <w:gridCol w:w="3239"/>
      </w:tblGrid>
      <w:tr w:rsidR="003C6AD1" w:rsidTr="00042542">
        <w:tc>
          <w:tcPr>
            <w:tcW w:w="1430" w:type="dxa"/>
            <w:tcBorders>
              <w:bottom w:val="single" w:sz="12" w:space="0" w:color="auto"/>
            </w:tcBorders>
          </w:tcPr>
          <w:p w:rsidR="003C6AD1" w:rsidRDefault="003C6AD1" w:rsidP="00042542">
            <w:pPr>
              <w:pStyle w:val="Priorityarea"/>
              <w:rPr>
                <w:rtl/>
              </w:rPr>
            </w:pPr>
            <w:r w:rsidRPr="00CC1F10">
              <w:rPr>
                <w:noProof/>
                <w:lang w:eastAsia="zh-CN" w:bidi="ar-SA"/>
              </w:rPr>
              <w:drawing>
                <wp:inline distT="0" distB="0" distL="0" distR="0" wp14:anchorId="12FA09D2" wp14:editId="1D57884B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tcBorders>
              <w:bottom w:val="single" w:sz="12" w:space="0" w:color="auto"/>
            </w:tcBorders>
          </w:tcPr>
          <w:p w:rsidR="003C6AD1" w:rsidRPr="002D6488" w:rsidRDefault="003C6AD1" w:rsidP="00042542">
            <w:pPr>
              <w:spacing w:before="0" w:line="168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:rsidR="003C6AD1" w:rsidRPr="002D6488" w:rsidRDefault="003C6AD1" w:rsidP="00042542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239" w:type="dxa"/>
            <w:tcBorders>
              <w:bottom w:val="single" w:sz="12" w:space="0" w:color="auto"/>
            </w:tcBorders>
          </w:tcPr>
          <w:p w:rsidR="003C6AD1" w:rsidRDefault="003C6AD1" w:rsidP="00042542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42147844" wp14:editId="2656AC6F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6AD1" w:rsidTr="00042542">
        <w:tc>
          <w:tcPr>
            <w:tcW w:w="1430" w:type="dxa"/>
            <w:tcBorders>
              <w:top w:val="single" w:sz="12" w:space="0" w:color="auto"/>
            </w:tcBorders>
          </w:tcPr>
          <w:p w:rsidR="003C6AD1" w:rsidRDefault="003C6AD1" w:rsidP="00042542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4970" w:type="dxa"/>
            <w:tcBorders>
              <w:top w:val="single" w:sz="12" w:space="0" w:color="auto"/>
            </w:tcBorders>
          </w:tcPr>
          <w:p w:rsidR="003C6AD1" w:rsidRDefault="003C6AD1" w:rsidP="00042542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3239" w:type="dxa"/>
            <w:tcBorders>
              <w:top w:val="single" w:sz="12" w:space="0" w:color="auto"/>
            </w:tcBorders>
          </w:tcPr>
          <w:p w:rsidR="003C6AD1" w:rsidRDefault="003C6AD1" w:rsidP="00042542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3C6AD1" w:rsidTr="00042542">
        <w:tc>
          <w:tcPr>
            <w:tcW w:w="6400" w:type="dxa"/>
            <w:gridSpan w:val="2"/>
          </w:tcPr>
          <w:p w:rsidR="003C6AD1" w:rsidRPr="00151A1B" w:rsidRDefault="003C6AD1" w:rsidP="006D4933">
            <w:pPr>
              <w:pStyle w:val="Committee"/>
              <w:bidi/>
              <w:spacing w:before="40" w:after="40" w:line="300" w:lineRule="exact"/>
              <w:rPr>
                <w:rtl/>
                <w:lang w:bidi="ar-EG"/>
              </w:rPr>
            </w:pPr>
            <w:r w:rsidRPr="00151A1B">
              <w:rPr>
                <w:rtl/>
              </w:rPr>
              <w:t>الجلسة العامة</w:t>
            </w:r>
          </w:p>
        </w:tc>
        <w:tc>
          <w:tcPr>
            <w:tcW w:w="3239" w:type="dxa"/>
          </w:tcPr>
          <w:p w:rsidR="003C6AD1" w:rsidRPr="00151A1B" w:rsidRDefault="003C6AD1" w:rsidP="006D4933">
            <w:pPr>
              <w:spacing w:before="40" w:after="40" w:line="300" w:lineRule="exact"/>
              <w:jc w:val="left"/>
              <w:rPr>
                <w:b/>
                <w:bCs/>
                <w:lang w:val="fr-FR"/>
              </w:rPr>
            </w:pPr>
            <w:r w:rsidRPr="00151A1B">
              <w:rPr>
                <w:rFonts w:eastAsia="SimSun"/>
                <w:b/>
                <w:bCs/>
                <w:rtl/>
              </w:rPr>
              <w:t xml:space="preserve">الإضافة </w:t>
            </w:r>
            <w:r>
              <w:rPr>
                <w:rFonts w:eastAsia="SimSun"/>
                <w:b/>
                <w:bCs/>
              </w:rPr>
              <w:t>6</w:t>
            </w:r>
            <w:r w:rsidRPr="00151A1B">
              <w:rPr>
                <w:rFonts w:eastAsia="SimSun"/>
                <w:b/>
                <w:bCs/>
                <w:rtl/>
              </w:rPr>
              <w:br/>
              <w:t xml:space="preserve">للوثيقة </w:t>
            </w:r>
            <w:r w:rsidRPr="00151A1B">
              <w:rPr>
                <w:b/>
                <w:bCs/>
              </w:rPr>
              <w:t>WTDC-17/</w:t>
            </w:r>
            <w:r>
              <w:rPr>
                <w:b/>
                <w:bCs/>
              </w:rPr>
              <w:t>22</w:t>
            </w:r>
            <w:r w:rsidRPr="00151A1B">
              <w:rPr>
                <w:b/>
                <w:bCs/>
              </w:rPr>
              <w:t>-A</w:t>
            </w:r>
          </w:p>
        </w:tc>
      </w:tr>
      <w:tr w:rsidR="003C6AD1" w:rsidTr="00042542">
        <w:tc>
          <w:tcPr>
            <w:tcW w:w="6400" w:type="dxa"/>
            <w:gridSpan w:val="2"/>
          </w:tcPr>
          <w:p w:rsidR="003C6AD1" w:rsidRPr="00151A1B" w:rsidRDefault="003C6AD1" w:rsidP="006D4933">
            <w:pPr>
              <w:spacing w:before="40" w:after="40" w:line="300" w:lineRule="exact"/>
              <w:rPr>
                <w:b/>
                <w:bCs/>
                <w:rtl/>
              </w:rPr>
            </w:pPr>
          </w:p>
        </w:tc>
        <w:tc>
          <w:tcPr>
            <w:tcW w:w="3239" w:type="dxa"/>
          </w:tcPr>
          <w:p w:rsidR="003C6AD1" w:rsidRPr="00151A1B" w:rsidRDefault="003C6AD1" w:rsidP="006D4933">
            <w:pPr>
              <w:spacing w:before="40" w:after="40" w:line="300" w:lineRule="exact"/>
              <w:rPr>
                <w:b/>
                <w:bCs/>
                <w:rtl/>
                <w:lang w:val="fr-FR"/>
              </w:rPr>
            </w:pPr>
            <w:r>
              <w:rPr>
                <w:rFonts w:eastAsia="SimSun"/>
                <w:b/>
                <w:bCs/>
              </w:rPr>
              <w:t>2</w:t>
            </w:r>
            <w:r w:rsidR="004C73BA">
              <w:rPr>
                <w:rFonts w:eastAsia="SimSun"/>
                <w:b/>
                <w:bCs/>
              </w:rPr>
              <w:t>8</w:t>
            </w:r>
            <w:r w:rsidRPr="00151A1B">
              <w:rPr>
                <w:rFonts w:eastAsia="SimSun"/>
                <w:b/>
                <w:bCs/>
                <w:rtl/>
              </w:rPr>
              <w:t xml:space="preserve"> أغسطس </w:t>
            </w:r>
            <w:r w:rsidRPr="00151A1B">
              <w:rPr>
                <w:rFonts w:eastAsia="SimSun"/>
                <w:b/>
                <w:bCs/>
              </w:rPr>
              <w:t>2017</w:t>
            </w:r>
          </w:p>
        </w:tc>
      </w:tr>
      <w:tr w:rsidR="003C6AD1" w:rsidTr="00042542">
        <w:tc>
          <w:tcPr>
            <w:tcW w:w="6400" w:type="dxa"/>
            <w:gridSpan w:val="2"/>
          </w:tcPr>
          <w:p w:rsidR="003C6AD1" w:rsidRPr="00151A1B" w:rsidRDefault="003C6AD1" w:rsidP="006D4933">
            <w:pPr>
              <w:spacing w:before="40" w:after="40" w:line="300" w:lineRule="exact"/>
              <w:rPr>
                <w:b/>
                <w:bCs/>
                <w:rtl/>
              </w:rPr>
            </w:pPr>
          </w:p>
        </w:tc>
        <w:tc>
          <w:tcPr>
            <w:tcW w:w="3239" w:type="dxa"/>
          </w:tcPr>
          <w:p w:rsidR="003C6AD1" w:rsidRPr="00151A1B" w:rsidRDefault="003C6AD1" w:rsidP="006D4933">
            <w:pPr>
              <w:spacing w:before="40" w:after="40" w:line="300" w:lineRule="exact"/>
              <w:rPr>
                <w:b/>
                <w:bCs/>
                <w:rtl/>
              </w:rPr>
            </w:pPr>
            <w:r w:rsidRPr="00151A1B">
              <w:rPr>
                <w:b/>
                <w:bCs/>
                <w:rtl/>
              </w:rPr>
              <w:t>الأصل: بالإنكليزية</w:t>
            </w:r>
          </w:p>
        </w:tc>
      </w:tr>
      <w:tr w:rsidR="003C6AD1" w:rsidTr="00042542">
        <w:tc>
          <w:tcPr>
            <w:tcW w:w="9639" w:type="dxa"/>
            <w:gridSpan w:val="3"/>
          </w:tcPr>
          <w:p w:rsidR="003C6AD1" w:rsidRPr="00F82DE1" w:rsidRDefault="004C73BA" w:rsidP="00260E32">
            <w:pPr>
              <w:pStyle w:val="Source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إدارات الأعضاء في </w:t>
            </w:r>
            <w:r w:rsidR="003C6AD1" w:rsidRPr="00AB551D">
              <w:rPr>
                <w:rtl/>
              </w:rPr>
              <w:t>جماعة آسيا والمحيط الهادئ للاتصالات</w:t>
            </w:r>
          </w:p>
        </w:tc>
      </w:tr>
      <w:tr w:rsidR="003C6AD1" w:rsidTr="00042542">
        <w:tc>
          <w:tcPr>
            <w:tcW w:w="9639" w:type="dxa"/>
            <w:gridSpan w:val="3"/>
          </w:tcPr>
          <w:p w:rsidR="003C6AD1" w:rsidRPr="002423F8" w:rsidRDefault="002423F8" w:rsidP="006D4933">
            <w:pPr>
              <w:pStyle w:val="Title1"/>
              <w:rPr>
                <w:b/>
                <w:bCs/>
                <w:highlight w:val="yellow"/>
                <w:rtl/>
              </w:rPr>
            </w:pPr>
            <w:r w:rsidRPr="00034612">
              <w:rPr>
                <w:rtl/>
              </w:rPr>
              <w:t>قرار جديد</w:t>
            </w:r>
            <w:r w:rsidRPr="00034612">
              <w:rPr>
                <w:rFonts w:hint="cs"/>
                <w:rtl/>
              </w:rPr>
              <w:t xml:space="preserve"> </w:t>
            </w:r>
            <w:proofErr w:type="gramStart"/>
            <w:r w:rsidRPr="00034612">
              <w:rPr>
                <w:rFonts w:hint="cs"/>
                <w:rtl/>
              </w:rPr>
              <w:t xml:space="preserve">- </w:t>
            </w:r>
            <w:r w:rsidRPr="00034612">
              <w:rPr>
                <w:rtl/>
              </w:rPr>
              <w:t>الصحة</w:t>
            </w:r>
            <w:proofErr w:type="gramEnd"/>
            <w:r w:rsidRPr="00034612">
              <w:rPr>
                <w:rtl/>
              </w:rPr>
              <w:t xml:space="preserve"> الإلكترونية</w:t>
            </w:r>
          </w:p>
        </w:tc>
      </w:tr>
      <w:tr w:rsidR="003C6AD1" w:rsidTr="00042542">
        <w:tc>
          <w:tcPr>
            <w:tcW w:w="9639" w:type="dxa"/>
            <w:gridSpan w:val="3"/>
          </w:tcPr>
          <w:p w:rsidR="003C6AD1" w:rsidRDefault="003C6AD1" w:rsidP="006D4933">
            <w:pPr>
              <w:pStyle w:val="Title2"/>
            </w:pPr>
          </w:p>
        </w:tc>
      </w:tr>
      <w:tr w:rsidR="006D4933" w:rsidTr="00042542">
        <w:tc>
          <w:tcPr>
            <w:tcW w:w="9639" w:type="dxa"/>
            <w:gridSpan w:val="3"/>
          </w:tcPr>
          <w:p w:rsidR="006D4933" w:rsidRDefault="006D4933" w:rsidP="006D4933">
            <w:pPr>
              <w:jc w:val="center"/>
            </w:pPr>
          </w:p>
        </w:tc>
      </w:tr>
      <w:tr w:rsidR="003C6AD1" w:rsidTr="0004254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32" w:rsidRDefault="003C6AD1" w:rsidP="00260E32">
            <w:pPr>
              <w:tabs>
                <w:tab w:val="clear" w:pos="1134"/>
                <w:tab w:val="left" w:pos="1701"/>
              </w:tabs>
              <w:spacing w:after="60"/>
              <w:rPr>
                <w:rtl/>
              </w:rPr>
            </w:pPr>
            <w:r w:rsidRPr="00796821">
              <w:rPr>
                <w:rFonts w:eastAsia="SimSun"/>
                <w:b/>
                <w:bCs/>
                <w:rtl/>
              </w:rPr>
              <w:t>مجال الأولوية:</w:t>
            </w:r>
          </w:p>
          <w:p w:rsidR="003C6AD1" w:rsidRPr="00796821" w:rsidRDefault="006D4933" w:rsidP="00260E32">
            <w:pPr>
              <w:tabs>
                <w:tab w:val="clear" w:pos="1134"/>
                <w:tab w:val="left" w:pos="1701"/>
              </w:tabs>
              <w:spacing w:after="60"/>
              <w:ind w:left="794" w:hanging="794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3C6AD1">
              <w:rPr>
                <w:rFonts w:hint="cs"/>
                <w:rtl/>
              </w:rPr>
              <w:t>القرارات والتوصيات</w:t>
            </w:r>
          </w:p>
          <w:p w:rsidR="003C6AD1" w:rsidRDefault="003C6AD1" w:rsidP="006D4933">
            <w:pPr>
              <w:spacing w:after="60"/>
              <w:rPr>
                <w:rtl/>
              </w:rPr>
            </w:pPr>
            <w:r w:rsidRPr="00796821">
              <w:rPr>
                <w:rFonts w:eastAsia="SimSun"/>
                <w:b/>
                <w:bCs/>
                <w:rtl/>
              </w:rPr>
              <w:t>ملخص:</w:t>
            </w:r>
          </w:p>
          <w:p w:rsidR="003C6AD1" w:rsidRPr="004C73BA" w:rsidRDefault="004C73BA" w:rsidP="006D4933">
            <w:pPr>
              <w:spacing w:before="60" w:after="6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دأب </w:t>
            </w:r>
            <w:r w:rsidR="0012729E">
              <w:rPr>
                <w:rFonts w:hint="cs"/>
                <w:rtl/>
              </w:rPr>
              <w:t xml:space="preserve">قطاع تنمية الاتصالات في </w:t>
            </w:r>
            <w:r>
              <w:rPr>
                <w:rFonts w:hint="cs"/>
                <w:rtl/>
              </w:rPr>
              <w:t xml:space="preserve">الاتحاد الدولي للاتصالات منذ اعتماد القرار </w:t>
            </w:r>
            <w:r>
              <w:rPr>
                <w:lang w:val="fr-CH"/>
              </w:rPr>
              <w:t>41</w:t>
            </w:r>
            <w:r>
              <w:rPr>
                <w:rFonts w:hint="cs"/>
                <w:rtl/>
                <w:lang w:bidi="ar-EG"/>
              </w:rPr>
              <w:t xml:space="preserve"> في المؤتمر العالمي لتنمية الاتصالات لعام</w:t>
            </w:r>
            <w:r w:rsidR="006D4933">
              <w:rPr>
                <w:rFonts w:hint="eastAsia"/>
                <w:rtl/>
                <w:lang w:bidi="ar-EG"/>
              </w:rPr>
              <w:t> </w:t>
            </w:r>
            <w:r>
              <w:t>2002</w:t>
            </w:r>
            <w:r>
              <w:rPr>
                <w:rFonts w:hint="cs"/>
                <w:rtl/>
                <w:lang w:bidi="ar-EG"/>
              </w:rPr>
              <w:t xml:space="preserve"> على قيادة العالم بثبات في مجال الصحة الإلكترونية. وقد أصدر</w:t>
            </w:r>
            <w:r w:rsidR="0012729E">
              <w:rPr>
                <w:rFonts w:hint="cs"/>
                <w:rtl/>
                <w:lang w:bidi="ar-EG"/>
              </w:rPr>
              <w:t xml:space="preserve"> بالفعل قطاع تقييس الاتصالات نفسه</w:t>
            </w:r>
            <w:r>
              <w:rPr>
                <w:rFonts w:hint="cs"/>
                <w:rtl/>
                <w:lang w:bidi="ar-EG"/>
              </w:rPr>
              <w:t xml:space="preserve"> توصيات في مجال تقييس الصحة الإلكترونية (التوصيتان </w:t>
            </w:r>
            <w:r>
              <w:rPr>
                <w:lang w:val="fr-CH" w:bidi="ar-EG"/>
              </w:rPr>
              <w:t>H.810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lang w:bidi="ar-EG"/>
              </w:rPr>
              <w:t>H.812</w:t>
            </w:r>
            <w:r>
              <w:rPr>
                <w:rFonts w:hint="cs"/>
                <w:rtl/>
                <w:lang w:bidi="ar-EG"/>
              </w:rPr>
              <w:t xml:space="preserve"> وغيرهما).</w:t>
            </w:r>
          </w:p>
          <w:p w:rsidR="004C73BA" w:rsidRDefault="004C73BA" w:rsidP="006D4933">
            <w:pPr>
              <w:spacing w:before="60" w:after="6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بيد أن القرار </w:t>
            </w:r>
            <w:r>
              <w:rPr>
                <w:lang w:val="fr-CH"/>
              </w:rPr>
              <w:t>41</w:t>
            </w:r>
            <w:r>
              <w:rPr>
                <w:rFonts w:hint="cs"/>
                <w:rtl/>
                <w:lang w:bidi="ar-EG"/>
              </w:rPr>
              <w:t xml:space="preserve"> الذي مثّل السند القانوني للأنشطة المشتركة بين الاتحاد و</w:t>
            </w:r>
            <w:r w:rsidR="00D4193A">
              <w:rPr>
                <w:rFonts w:hint="cs"/>
                <w:rtl/>
                <w:lang w:bidi="ar-EG"/>
              </w:rPr>
              <w:t xml:space="preserve">منظمة الصحة العالمية </w:t>
            </w:r>
            <w:r w:rsidR="0012729E">
              <w:rPr>
                <w:rFonts w:hint="cs"/>
                <w:rtl/>
                <w:lang w:bidi="ar-EG"/>
              </w:rPr>
              <w:t>على صعيد</w:t>
            </w:r>
            <w:r w:rsidR="00D4193A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الصحة الإلكترونية قد</w:t>
            </w:r>
            <w:r w:rsidR="006D4933">
              <w:rPr>
                <w:rFonts w:hint="eastAsia"/>
                <w:rtl/>
                <w:lang w:bidi="ar-EG"/>
              </w:rPr>
              <w:t> </w:t>
            </w:r>
            <w:r>
              <w:rPr>
                <w:rFonts w:hint="cs"/>
                <w:rtl/>
                <w:lang w:bidi="ar-EG"/>
              </w:rPr>
              <w:t xml:space="preserve">حُذِف لاحقاً في المؤتمر العالمي لتنمية الاتصالات لعام </w:t>
            </w:r>
            <w:r>
              <w:rPr>
                <w:lang w:val="fr-CH" w:bidi="ar-EG"/>
              </w:rPr>
              <w:t>2006</w:t>
            </w:r>
            <w:r>
              <w:rPr>
                <w:rFonts w:hint="cs"/>
                <w:rtl/>
                <w:lang w:bidi="ar-EG"/>
              </w:rPr>
              <w:t xml:space="preserve"> في الدوحة. لذا، فقد خسر الاتحاد أساساً مهماً للتعاون مع منظمة الصحة العالمية في مجال الصحة الإلكترونية. </w:t>
            </w:r>
          </w:p>
          <w:p w:rsidR="004C73BA" w:rsidRDefault="004C73BA" w:rsidP="006D4933">
            <w:pPr>
              <w:spacing w:before="60" w:after="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ويشجع هذا القرار مكتب تنمية الاتصالات على العمل </w:t>
            </w:r>
            <w:r w:rsidR="0012729E">
              <w:rPr>
                <w:rFonts w:hint="cs"/>
                <w:rtl/>
                <w:lang w:bidi="ar-EG"/>
              </w:rPr>
              <w:t>سوياً</w:t>
            </w:r>
            <w:r>
              <w:rPr>
                <w:rFonts w:hint="cs"/>
                <w:rtl/>
                <w:lang w:bidi="ar-EG"/>
              </w:rPr>
              <w:t xml:space="preserve"> مع منظمة الصحة العالمية</w:t>
            </w:r>
            <w:r w:rsidR="007F0B53">
              <w:rPr>
                <w:rFonts w:hint="eastAsia"/>
                <w:rtl/>
                <w:lang w:bidi="ar-EG"/>
              </w:rPr>
              <w:t> </w:t>
            </w:r>
            <w:r w:rsidR="007F0B53">
              <w:rPr>
                <w:lang w:bidi="ar-EG"/>
              </w:rPr>
              <w:t>(WHO)</w:t>
            </w:r>
            <w:r>
              <w:rPr>
                <w:rFonts w:hint="cs"/>
                <w:rtl/>
                <w:lang w:bidi="ar-EG"/>
              </w:rPr>
              <w:t xml:space="preserve"> والدول الأعضاء و</w:t>
            </w:r>
            <w:r w:rsidR="0012729E">
              <w:rPr>
                <w:rFonts w:hint="cs"/>
                <w:rtl/>
                <w:lang w:bidi="ar-EG"/>
              </w:rPr>
              <w:t>الأفراد العاملين في</w:t>
            </w:r>
            <w:r w:rsidR="006D4933">
              <w:rPr>
                <w:rFonts w:hint="eastAsia"/>
                <w:rtl/>
                <w:lang w:bidi="ar-EG"/>
              </w:rPr>
              <w:t> </w:t>
            </w:r>
            <w:r w:rsidR="0012729E">
              <w:rPr>
                <w:rFonts w:hint="cs"/>
                <w:rtl/>
                <w:lang w:bidi="ar-EG"/>
              </w:rPr>
              <w:t>قطاع الرعاية الصحية</w:t>
            </w:r>
            <w:r>
              <w:rPr>
                <w:rFonts w:hint="cs"/>
                <w:rtl/>
                <w:lang w:bidi="ar-EG"/>
              </w:rPr>
              <w:t xml:space="preserve"> بغية تنفيذ مشاريع </w:t>
            </w:r>
            <w:r w:rsidR="00D4193A">
              <w:rPr>
                <w:rFonts w:hint="cs"/>
                <w:rtl/>
                <w:lang w:bidi="ar-EG"/>
              </w:rPr>
              <w:t xml:space="preserve">ذاتية </w:t>
            </w:r>
            <w:r>
              <w:rPr>
                <w:rFonts w:hint="cs"/>
                <w:rtl/>
                <w:lang w:bidi="ar-EG"/>
              </w:rPr>
              <w:t>مستدامة</w:t>
            </w:r>
            <w:r w:rsidR="0012729E">
              <w:rPr>
                <w:rFonts w:hint="cs"/>
                <w:rtl/>
                <w:lang w:bidi="ar-EG"/>
              </w:rPr>
              <w:t xml:space="preserve"> في مجال الصحة الإلكترونية</w:t>
            </w:r>
            <w:r w:rsidR="006D4933">
              <w:rPr>
                <w:rFonts w:hint="cs"/>
                <w:rtl/>
                <w:lang w:bidi="ar-EG"/>
              </w:rPr>
              <w:t>.</w:t>
            </w:r>
          </w:p>
          <w:p w:rsidR="003C6AD1" w:rsidRDefault="003C6AD1" w:rsidP="006D4933">
            <w:pPr>
              <w:spacing w:after="60"/>
              <w:rPr>
                <w:rtl/>
              </w:rPr>
            </w:pPr>
            <w:r w:rsidRPr="00796821">
              <w:rPr>
                <w:rFonts w:eastAsia="SimSun"/>
                <w:b/>
                <w:bCs/>
                <w:rtl/>
              </w:rPr>
              <w:t>النتائج المتوخاة:</w:t>
            </w:r>
          </w:p>
          <w:p w:rsidR="002423F8" w:rsidRDefault="004C73BA" w:rsidP="006D4933">
            <w:pPr>
              <w:spacing w:before="60" w:after="60"/>
              <w:rPr>
                <w:rtl/>
              </w:rPr>
            </w:pPr>
            <w:r>
              <w:rPr>
                <w:rFonts w:hint="cs"/>
                <w:rtl/>
              </w:rPr>
              <w:t>يرمي هذا القرار إلى تحقيق الأهداف التالية:</w:t>
            </w:r>
          </w:p>
          <w:p w:rsidR="003C6AD1" w:rsidRDefault="002423F8" w:rsidP="006D4933">
            <w:pPr>
              <w:pStyle w:val="enumlev1"/>
              <w:spacing w:before="60" w:after="60"/>
              <w:rPr>
                <w:rtl/>
                <w:lang w:bidi="ar-EG"/>
              </w:rPr>
            </w:pPr>
            <w:r>
              <w:t>1</w:t>
            </w:r>
            <w:r>
              <w:rPr>
                <w:lang w:bidi="ar-EG"/>
              </w:rPr>
              <w:tab/>
            </w:r>
            <w:r w:rsidR="004C73BA">
              <w:rPr>
                <w:rFonts w:hint="cs"/>
                <w:rtl/>
                <w:lang w:bidi="ar-EG"/>
              </w:rPr>
              <w:t>تعزيز التعاون بين الاتحاد ومنظمة الصحة العالمية ودعم الأنشطة المشتركة التالية؛</w:t>
            </w:r>
          </w:p>
          <w:p w:rsidR="002423F8" w:rsidRDefault="002423F8" w:rsidP="006D4933">
            <w:pPr>
              <w:pStyle w:val="enumlev2"/>
              <w:spacing w:before="60" w:after="60"/>
              <w:rPr>
                <w:rtl/>
              </w:rPr>
            </w:pPr>
            <w:r>
              <w:rPr>
                <w:rtl/>
              </w:rPr>
              <w:t>•</w:t>
            </w:r>
            <w:r>
              <w:rPr>
                <w:lang w:bidi="ar-EG"/>
              </w:rPr>
              <w:tab/>
            </w:r>
            <w:r w:rsidR="004C73BA">
              <w:rPr>
                <w:rFonts w:hint="cs"/>
                <w:rtl/>
                <w:lang w:bidi="ar-EG"/>
              </w:rPr>
              <w:t>أنشطة</w:t>
            </w:r>
            <w:r w:rsidR="006D4933">
              <w:rPr>
                <w:rFonts w:hint="cs"/>
                <w:rtl/>
                <w:lang w:bidi="ar-EG"/>
              </w:rPr>
              <w:t xml:space="preserve"> من أجل</w:t>
            </w:r>
            <w:r w:rsidR="004C73BA">
              <w:rPr>
                <w:rFonts w:hint="cs"/>
                <w:rtl/>
                <w:lang w:bidi="ar-EG"/>
              </w:rPr>
              <w:t xml:space="preserve"> وقف التدخين باستخدام المطاريف المتنقلة؛</w:t>
            </w:r>
          </w:p>
          <w:p w:rsidR="002423F8" w:rsidRDefault="002423F8" w:rsidP="006D4933">
            <w:pPr>
              <w:pStyle w:val="enumlev2"/>
              <w:spacing w:before="60" w:after="60"/>
              <w:rPr>
                <w:rtl/>
              </w:rPr>
            </w:pPr>
            <w:r>
              <w:rPr>
                <w:rtl/>
              </w:rPr>
              <w:t>•</w:t>
            </w:r>
            <w:r>
              <w:rPr>
                <w:lang w:bidi="ar-EG"/>
              </w:rPr>
              <w:tab/>
            </w:r>
            <w:r w:rsidR="004C73BA">
              <w:rPr>
                <w:rFonts w:hint="cs"/>
                <w:rtl/>
                <w:lang w:bidi="ar-EG"/>
              </w:rPr>
              <w:t>الحد من الأمراض غير المعدية باستخدام المطاريف المتنقلة؛</w:t>
            </w:r>
          </w:p>
          <w:p w:rsidR="002423F8" w:rsidRDefault="002423F8" w:rsidP="006D4933">
            <w:pPr>
              <w:pStyle w:val="enumlev2"/>
              <w:spacing w:before="60" w:after="60"/>
              <w:rPr>
                <w:rtl/>
              </w:rPr>
            </w:pPr>
            <w:r>
              <w:rPr>
                <w:rtl/>
              </w:rPr>
              <w:lastRenderedPageBreak/>
              <w:t>•</w:t>
            </w:r>
            <w:r>
              <w:rPr>
                <w:lang w:bidi="ar-EG"/>
              </w:rPr>
              <w:tab/>
            </w:r>
            <w:r w:rsidR="004C73BA">
              <w:rPr>
                <w:rFonts w:hint="cs"/>
                <w:rtl/>
                <w:lang w:bidi="ar-EG"/>
              </w:rPr>
              <w:t xml:space="preserve">دعم النساء والأطفال </w:t>
            </w:r>
            <w:r w:rsidR="00E73F3B">
              <w:rPr>
                <w:rFonts w:hint="cs"/>
                <w:rtl/>
                <w:lang w:bidi="ar-EG"/>
              </w:rPr>
              <w:t>المستخدمين لتكنولوجيا المعلومات والاتصالات؛</w:t>
            </w:r>
          </w:p>
          <w:p w:rsidR="002423F8" w:rsidRDefault="002423F8" w:rsidP="006D4933">
            <w:pPr>
              <w:pStyle w:val="enumlev2"/>
              <w:spacing w:before="60" w:after="60"/>
              <w:rPr>
                <w:rtl/>
              </w:rPr>
            </w:pPr>
            <w:r>
              <w:rPr>
                <w:rtl/>
              </w:rPr>
              <w:t>•</w:t>
            </w:r>
            <w:r>
              <w:rPr>
                <w:lang w:bidi="ar-EG"/>
              </w:rPr>
              <w:tab/>
            </w:r>
            <w:r w:rsidR="00E73F3B">
              <w:rPr>
                <w:rFonts w:hint="cs"/>
                <w:rtl/>
                <w:lang w:bidi="ar-EG"/>
              </w:rPr>
              <w:t>التصدي للأمراض المعدية والوقاية من الأوبئة باستخدام تكنولوجيا المعلومات والاتصالات.</w:t>
            </w:r>
          </w:p>
          <w:p w:rsidR="002423F8" w:rsidRDefault="002423F8" w:rsidP="006D4933">
            <w:pPr>
              <w:pStyle w:val="enumlev1"/>
              <w:spacing w:before="60" w:after="60"/>
              <w:rPr>
                <w:rtl/>
                <w:lang w:bidi="ar-EG"/>
              </w:rPr>
            </w:pPr>
            <w:r>
              <w:t>2</w:t>
            </w:r>
            <w:r>
              <w:rPr>
                <w:lang w:bidi="ar-EG"/>
              </w:rPr>
              <w:tab/>
            </w:r>
            <w:r w:rsidR="00E73F3B">
              <w:rPr>
                <w:rFonts w:hint="cs"/>
                <w:rtl/>
                <w:lang w:bidi="ar-EG"/>
              </w:rPr>
              <w:t>دعم وتشجيع الصحة الإلكترونية في البلدان النامية تحقيقاً لأهداف التنمية المستدامة.</w:t>
            </w:r>
          </w:p>
          <w:p w:rsidR="002423F8" w:rsidRDefault="002423F8" w:rsidP="006D4933">
            <w:pPr>
              <w:pStyle w:val="enumlev1"/>
              <w:spacing w:before="60" w:after="60"/>
              <w:rPr>
                <w:rtl/>
                <w:lang w:bidi="ar-EG"/>
              </w:rPr>
            </w:pPr>
            <w:r>
              <w:t>3</w:t>
            </w:r>
            <w:r>
              <w:rPr>
                <w:lang w:bidi="ar-EG"/>
              </w:rPr>
              <w:tab/>
            </w:r>
            <w:r w:rsidR="00E73F3B">
              <w:rPr>
                <w:rFonts w:hint="cs"/>
                <w:rtl/>
                <w:lang w:bidi="ar-EG"/>
              </w:rPr>
              <w:t>دعم</w:t>
            </w:r>
            <w:r w:rsidR="0012729E">
              <w:rPr>
                <w:rFonts w:hint="cs"/>
                <w:rtl/>
                <w:lang w:bidi="ar-EG"/>
              </w:rPr>
              <w:t xml:space="preserve"> إقامة</w:t>
            </w:r>
            <w:r w:rsidR="00E73F3B">
              <w:rPr>
                <w:rFonts w:hint="cs"/>
                <w:rtl/>
                <w:lang w:bidi="ar-EG"/>
              </w:rPr>
              <w:t xml:space="preserve"> </w:t>
            </w:r>
            <w:r w:rsidR="0012729E">
              <w:rPr>
                <w:rFonts w:hint="cs"/>
                <w:rtl/>
                <w:lang w:bidi="ar-EG"/>
              </w:rPr>
              <w:t xml:space="preserve">نظام </w:t>
            </w:r>
            <w:r w:rsidR="00E73F3B">
              <w:rPr>
                <w:rFonts w:hint="cs"/>
                <w:rtl/>
                <w:lang w:bidi="ar-EG"/>
              </w:rPr>
              <w:t xml:space="preserve">قانوني </w:t>
            </w:r>
            <w:r w:rsidR="0012729E">
              <w:rPr>
                <w:rFonts w:hint="cs"/>
                <w:rtl/>
                <w:lang w:bidi="ar-EG"/>
              </w:rPr>
              <w:t xml:space="preserve">وإيجاد حلول اقتصادية </w:t>
            </w:r>
            <w:r w:rsidR="00E73F3B">
              <w:rPr>
                <w:rFonts w:hint="cs"/>
                <w:rtl/>
                <w:lang w:bidi="ar-EG"/>
              </w:rPr>
              <w:t xml:space="preserve">للصحة </w:t>
            </w:r>
            <w:r w:rsidR="006D4933">
              <w:rPr>
                <w:rFonts w:hint="cs"/>
                <w:rtl/>
                <w:lang w:bidi="ar-EG"/>
              </w:rPr>
              <w:t>الإلكترونية في البلدان النامية.</w:t>
            </w:r>
          </w:p>
          <w:p w:rsidR="002423F8" w:rsidRDefault="002423F8" w:rsidP="006D4933">
            <w:pPr>
              <w:pStyle w:val="enumlev1"/>
              <w:spacing w:before="60" w:after="60"/>
              <w:rPr>
                <w:rtl/>
                <w:lang w:bidi="ar-EG"/>
              </w:rPr>
            </w:pPr>
            <w:r>
              <w:t>4</w:t>
            </w:r>
            <w:r>
              <w:rPr>
                <w:lang w:bidi="ar-EG"/>
              </w:rPr>
              <w:tab/>
            </w:r>
            <w:r w:rsidR="00E73F3B">
              <w:rPr>
                <w:rFonts w:hint="cs"/>
                <w:rtl/>
                <w:lang w:bidi="ar-EG"/>
              </w:rPr>
              <w:t>تقديم البلدان المتقدمة الدعم التقني والمالي للبلدان النامية في المشاريع الرائدة في مجال الصحة الإلكترو</w:t>
            </w:r>
            <w:r w:rsidR="006D4933">
              <w:rPr>
                <w:rFonts w:hint="cs"/>
                <w:rtl/>
                <w:lang w:bidi="ar-EG"/>
              </w:rPr>
              <w:t>نية لتحقيق الفعالية الاجتماعية.</w:t>
            </w:r>
          </w:p>
          <w:p w:rsidR="002423F8" w:rsidRPr="002D62F9" w:rsidRDefault="002423F8" w:rsidP="006D4933">
            <w:pPr>
              <w:pStyle w:val="enumlev1"/>
              <w:spacing w:before="60" w:after="60"/>
              <w:rPr>
                <w:rtl/>
                <w:lang w:bidi="ar-EG"/>
              </w:rPr>
            </w:pPr>
            <w:r>
              <w:t>5</w:t>
            </w:r>
            <w:r>
              <w:rPr>
                <w:lang w:bidi="ar-EG"/>
              </w:rPr>
              <w:tab/>
            </w:r>
            <w:r w:rsidR="00E73F3B">
              <w:rPr>
                <w:rFonts w:hint="cs"/>
                <w:rtl/>
                <w:lang w:bidi="ar-EG"/>
              </w:rPr>
              <w:t xml:space="preserve">إقامة أعمال جديدة من خلال </w:t>
            </w:r>
            <w:r w:rsidR="002D62F9">
              <w:rPr>
                <w:rFonts w:hint="cs"/>
                <w:rtl/>
                <w:lang w:bidi="ar-EG"/>
              </w:rPr>
              <w:t xml:space="preserve">الاستعمال </w:t>
            </w:r>
            <w:r w:rsidR="00F80E6A">
              <w:rPr>
                <w:rFonts w:hint="cs"/>
                <w:rtl/>
                <w:lang w:bidi="ar-EG"/>
              </w:rPr>
              <w:t>التام</w:t>
            </w:r>
            <w:r w:rsidR="002D62F9">
              <w:rPr>
                <w:rFonts w:hint="cs"/>
                <w:rtl/>
                <w:lang w:bidi="ar-EG"/>
              </w:rPr>
              <w:t xml:space="preserve"> لتكنولوجيا المعلومات والاتصالات الناشئة مثل </w:t>
            </w:r>
            <w:r w:rsidR="006D4933">
              <w:rPr>
                <w:rFonts w:hint="cs"/>
                <w:rtl/>
                <w:lang w:bidi="ar-EG"/>
              </w:rPr>
              <w:t>الذكاء الاصطناعي</w:t>
            </w:r>
            <w:r w:rsidR="006D4933">
              <w:rPr>
                <w:rFonts w:hint="eastAsia"/>
                <w:rtl/>
                <w:lang w:bidi="ar-EG"/>
              </w:rPr>
              <w:t> </w:t>
            </w:r>
            <w:r w:rsidR="006D4933">
              <w:rPr>
                <w:rFonts w:hint="cs"/>
                <w:rtl/>
                <w:lang w:bidi="ar-EG"/>
              </w:rPr>
              <w:t>-</w:t>
            </w:r>
            <w:r w:rsidR="006D4933">
              <w:rPr>
                <w:rFonts w:hint="eastAsia"/>
                <w:rtl/>
                <w:lang w:bidi="ar-EG"/>
              </w:rPr>
              <w:t> </w:t>
            </w:r>
            <w:r w:rsidR="006D4933">
              <w:rPr>
                <w:rFonts w:hint="cs"/>
                <w:rtl/>
                <w:lang w:bidi="ar-EG"/>
              </w:rPr>
              <w:t>التعلم المتعمق والبيانات الضخمة الطبية.</w:t>
            </w:r>
          </w:p>
          <w:p w:rsidR="003C6AD1" w:rsidRDefault="003C6AD1" w:rsidP="006D4933">
            <w:pPr>
              <w:spacing w:after="60"/>
              <w:rPr>
                <w:rtl/>
              </w:rPr>
            </w:pPr>
            <w:r w:rsidRPr="00796821">
              <w:rPr>
                <w:rFonts w:eastAsia="SimSun"/>
                <w:b/>
                <w:bCs/>
                <w:rtl/>
              </w:rPr>
              <w:t>المراجع:</w:t>
            </w:r>
          </w:p>
          <w:p w:rsidR="003C6AD1" w:rsidRPr="006D4933" w:rsidRDefault="002D62F9" w:rsidP="00876236">
            <w:pPr>
              <w:spacing w:before="60" w:after="60"/>
              <w:rPr>
                <w:color w:val="000000"/>
                <w:rtl/>
                <w:lang w:val="fr-CH" w:bidi="ar-EG"/>
              </w:rPr>
            </w:pPr>
            <w:r>
              <w:rPr>
                <w:rFonts w:hint="cs"/>
                <w:color w:val="000000"/>
                <w:rtl/>
                <w:lang w:bidi="ar-EG"/>
              </w:rPr>
              <w:t xml:space="preserve">الوثيقة </w:t>
            </w:r>
            <w:r>
              <w:rPr>
                <w:color w:val="000000"/>
                <w:lang w:bidi="ar-EG"/>
              </w:rPr>
              <w:t xml:space="preserve">SG2 </w:t>
            </w:r>
            <w:proofErr w:type="spellStart"/>
            <w:r>
              <w:rPr>
                <w:color w:val="000000"/>
                <w:lang w:bidi="ar-EG"/>
              </w:rPr>
              <w:t>SG2</w:t>
            </w:r>
            <w:proofErr w:type="spellEnd"/>
            <w:r w:rsidR="00CF3C1D">
              <w:rPr>
                <w:color w:val="000000"/>
                <w:lang w:val="fr-CH" w:bidi="ar-EG"/>
              </w:rPr>
              <w:t>R</w:t>
            </w:r>
            <w:r w:rsidR="006D4933">
              <w:rPr>
                <w:color w:val="000000"/>
                <w:lang w:bidi="ar-EG"/>
              </w:rPr>
              <w:t>GQ/217</w:t>
            </w:r>
            <w:r w:rsidR="006D4933">
              <w:rPr>
                <w:rFonts w:hint="cs"/>
                <w:color w:val="000000"/>
                <w:rtl/>
                <w:lang w:bidi="ar-EG"/>
              </w:rPr>
              <w:t xml:space="preserve"> لقطاع تنمية الاتصالات</w:t>
            </w:r>
            <w:r w:rsidR="00876236">
              <w:rPr>
                <w:rFonts w:hint="cs"/>
                <w:color w:val="000000"/>
                <w:rtl/>
                <w:lang w:bidi="ar-EG"/>
              </w:rPr>
              <w:t>، والتوصيات</w:t>
            </w:r>
            <w:r>
              <w:rPr>
                <w:rFonts w:hint="cs"/>
                <w:color w:val="000000"/>
                <w:rtl/>
                <w:lang w:bidi="ar-EG"/>
              </w:rPr>
              <w:t xml:space="preserve"> </w:t>
            </w:r>
            <w:r>
              <w:rPr>
                <w:color w:val="000000"/>
                <w:lang w:bidi="ar-EG"/>
              </w:rPr>
              <w:t>H.810</w:t>
            </w:r>
            <w:r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="00876236">
              <w:rPr>
                <w:rFonts w:hint="cs"/>
                <w:color w:val="000000"/>
                <w:rtl/>
                <w:lang w:bidi="ar-EG"/>
              </w:rPr>
              <w:t>و</w:t>
            </w:r>
            <w:r>
              <w:rPr>
                <w:color w:val="000000"/>
                <w:lang w:val="fr-CH" w:bidi="ar-EG"/>
              </w:rPr>
              <w:t>H.812</w:t>
            </w:r>
            <w:r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="00876236">
              <w:rPr>
                <w:rFonts w:hint="cs"/>
                <w:color w:val="000000"/>
                <w:rtl/>
                <w:lang w:bidi="ar-EG"/>
              </w:rPr>
              <w:t>و</w:t>
            </w:r>
            <w:r>
              <w:rPr>
                <w:color w:val="000000"/>
                <w:lang w:bidi="ar-EG"/>
              </w:rPr>
              <w:t>H.860</w:t>
            </w:r>
            <w:r w:rsidR="006D4933">
              <w:rPr>
                <w:rFonts w:hint="cs"/>
                <w:color w:val="000000"/>
                <w:rtl/>
                <w:lang w:bidi="ar-EG"/>
              </w:rPr>
              <w:t xml:space="preserve"> لقطاع تقييس الاتصالات</w:t>
            </w:r>
            <w:r>
              <w:rPr>
                <w:rFonts w:hint="cs"/>
                <w:color w:val="000000"/>
                <w:rtl/>
                <w:lang w:bidi="ar-EG"/>
              </w:rPr>
              <w:t>، والقرار</w:t>
            </w:r>
            <w:r w:rsidR="00876236">
              <w:rPr>
                <w:rFonts w:hint="eastAsia"/>
                <w:color w:val="000000"/>
                <w:rtl/>
                <w:lang w:bidi="ar-EG"/>
              </w:rPr>
              <w:t> </w:t>
            </w:r>
            <w:r>
              <w:rPr>
                <w:color w:val="000000"/>
                <w:lang w:val="fr-CH" w:bidi="ar-EG"/>
              </w:rPr>
              <w:t>183</w:t>
            </w:r>
            <w:r>
              <w:rPr>
                <w:rFonts w:hint="cs"/>
                <w:color w:val="000000"/>
                <w:rtl/>
                <w:lang w:bidi="ar-EG"/>
              </w:rPr>
              <w:t xml:space="preserve"> لمؤتمر المندوبين المفوضين </w:t>
            </w:r>
            <w:r w:rsidR="006D4933">
              <w:rPr>
                <w:rFonts w:hint="cs"/>
                <w:color w:val="000000"/>
                <w:rtl/>
                <w:lang w:bidi="ar-EG"/>
              </w:rPr>
              <w:t>(</w:t>
            </w:r>
            <w:r>
              <w:rPr>
                <w:rFonts w:hint="cs"/>
                <w:color w:val="000000"/>
                <w:rtl/>
                <w:lang w:bidi="ar-EG"/>
              </w:rPr>
              <w:t>بوسان</w:t>
            </w:r>
            <w:r w:rsidR="006D4933">
              <w:rPr>
                <w:rFonts w:hint="cs"/>
                <w:color w:val="000000"/>
                <w:rtl/>
                <w:lang w:bidi="ar-EG"/>
              </w:rPr>
              <w:t xml:space="preserve">، </w:t>
            </w:r>
            <w:r>
              <w:rPr>
                <w:color w:val="000000"/>
                <w:lang w:val="fr-CH" w:bidi="ar-EG"/>
              </w:rPr>
              <w:t>2014</w:t>
            </w:r>
            <w:r w:rsidR="006D4933">
              <w:rPr>
                <w:rFonts w:hint="cs"/>
                <w:color w:val="000000"/>
                <w:rtl/>
                <w:lang w:val="fr-CH" w:bidi="ar-EG"/>
              </w:rPr>
              <w:t>)</w:t>
            </w:r>
            <w:r>
              <w:rPr>
                <w:rFonts w:hint="cs"/>
                <w:color w:val="000000"/>
                <w:rtl/>
                <w:lang w:val="fr-CH" w:bidi="ar-EG"/>
              </w:rPr>
              <w:t xml:space="preserve">، والقرار </w:t>
            </w:r>
            <w:r>
              <w:rPr>
                <w:color w:val="000000"/>
                <w:lang w:val="fr-CH" w:bidi="ar-EG"/>
              </w:rPr>
              <w:t>54</w:t>
            </w:r>
            <w:r>
              <w:rPr>
                <w:rFonts w:hint="cs"/>
                <w:color w:val="000000"/>
                <w:rtl/>
                <w:lang w:bidi="ar-EG"/>
              </w:rPr>
              <w:t xml:space="preserve"> للمؤتمر العالمي لتنمية الاتصالات لعام </w:t>
            </w:r>
            <w:r>
              <w:rPr>
                <w:color w:val="000000"/>
                <w:lang w:val="fr-CH" w:bidi="ar-EG"/>
              </w:rPr>
              <w:t>2014</w:t>
            </w:r>
          </w:p>
        </w:tc>
      </w:tr>
    </w:tbl>
    <w:p w:rsidR="00AC40BC" w:rsidRPr="003C6AD1" w:rsidRDefault="00AC40BC" w:rsidP="008B5B5D">
      <w:pPr>
        <w:rPr>
          <w:rtl/>
          <w:lang w:bidi="ar-EG"/>
        </w:rPr>
      </w:pPr>
    </w:p>
    <w:p w:rsidR="00AC40BC" w:rsidRDefault="00AC40BC" w:rsidP="006D4933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C26B4D" w:rsidRDefault="00986CF4">
      <w:pPr>
        <w:pStyle w:val="Proposal"/>
      </w:pPr>
      <w:r>
        <w:lastRenderedPageBreak/>
        <w:t>ADD</w:t>
      </w:r>
      <w:r>
        <w:tab/>
      </w:r>
      <w:r w:rsidRPr="006D4933">
        <w:rPr>
          <w:b w:val="0"/>
          <w:bCs w:val="0"/>
        </w:rPr>
        <w:t>ACP/22A6/1</w:t>
      </w:r>
    </w:p>
    <w:p w:rsidR="00C26B4D" w:rsidRPr="00876236" w:rsidRDefault="00986CF4" w:rsidP="00260E32">
      <w:pPr>
        <w:pStyle w:val="ResNo"/>
        <w:rPr>
          <w:rtl/>
        </w:rPr>
      </w:pPr>
      <w:r w:rsidRPr="00034612">
        <w:rPr>
          <w:rtl/>
        </w:rPr>
        <w:t xml:space="preserve">مشـروع </w:t>
      </w:r>
      <w:r w:rsidR="006D4933">
        <w:rPr>
          <w:rFonts w:hint="cs"/>
          <w:rtl/>
        </w:rPr>
        <w:t>ال</w:t>
      </w:r>
      <w:r w:rsidRPr="00034612">
        <w:rPr>
          <w:rtl/>
        </w:rPr>
        <w:t xml:space="preserve">قـرار </w:t>
      </w:r>
      <w:r w:rsidR="006D4933">
        <w:rPr>
          <w:rFonts w:hint="cs"/>
          <w:rtl/>
        </w:rPr>
        <w:t>ال</w:t>
      </w:r>
      <w:r w:rsidRPr="00034612">
        <w:rPr>
          <w:rtl/>
        </w:rPr>
        <w:t xml:space="preserve">جديـد </w:t>
      </w:r>
      <w:r w:rsidRPr="00034612">
        <w:t>[ACP-</w:t>
      </w:r>
      <w:r w:rsidR="006A02A2" w:rsidRPr="00034612">
        <w:t>1</w:t>
      </w:r>
      <w:r w:rsidRPr="00034612">
        <w:t>]</w:t>
      </w:r>
    </w:p>
    <w:p w:rsidR="00C26B4D" w:rsidRDefault="006A02A2" w:rsidP="00260E32">
      <w:pPr>
        <w:pStyle w:val="Restitle"/>
        <w:rPr>
          <w:rtl/>
          <w:lang w:bidi="ar-EG"/>
        </w:rPr>
      </w:pPr>
      <w:r w:rsidRPr="00034612">
        <w:rPr>
          <w:rtl/>
        </w:rPr>
        <w:t>الصحة الإلكترونية</w:t>
      </w:r>
    </w:p>
    <w:p w:rsidR="006A02A2" w:rsidRPr="00E53848" w:rsidRDefault="006A02A2" w:rsidP="006A02A2">
      <w:pPr>
        <w:pStyle w:val="Normalaftertitle"/>
        <w:rPr>
          <w:rtl/>
          <w:lang w:bidi="ar-SY"/>
        </w:rPr>
      </w:pPr>
      <w:r w:rsidRPr="00E53848">
        <w:rPr>
          <w:rtl/>
          <w:lang w:bidi="ar-SY"/>
        </w:rPr>
        <w:t>إن المؤتمر العالمي لتنمية الاتصالات</w:t>
      </w:r>
      <w:r w:rsidRPr="00E53848">
        <w:rPr>
          <w:rFonts w:hint="cs"/>
          <w:rtl/>
          <w:lang w:bidi="ar-SY"/>
        </w:rPr>
        <w:t xml:space="preserve"> (</w:t>
      </w:r>
      <w:r w:rsidRPr="00117954">
        <w:rPr>
          <w:rFonts w:hint="cs"/>
          <w:rtl/>
        </w:rPr>
        <w:t xml:space="preserve">بوينس آيرس، </w:t>
      </w:r>
      <w:r w:rsidRPr="00117954">
        <w:t>2017</w:t>
      </w:r>
      <w:r w:rsidRPr="00E53848">
        <w:rPr>
          <w:rFonts w:hint="cs"/>
          <w:rtl/>
          <w:lang w:bidi="ar-SY"/>
        </w:rPr>
        <w:t>)،</w:t>
      </w:r>
    </w:p>
    <w:p w:rsidR="006A02A2" w:rsidRPr="00E53848" w:rsidRDefault="002D62F9" w:rsidP="006A02A2">
      <w:pPr>
        <w:pStyle w:val="Call"/>
        <w:rPr>
          <w:rtl/>
        </w:rPr>
      </w:pPr>
      <w:r>
        <w:rPr>
          <w:rFonts w:hint="cs"/>
          <w:rtl/>
        </w:rPr>
        <w:t>إذ يض</w:t>
      </w:r>
      <w:bookmarkStart w:id="0" w:name="_GoBack"/>
      <w:bookmarkEnd w:id="0"/>
      <w:r>
        <w:rPr>
          <w:rFonts w:hint="cs"/>
          <w:rtl/>
        </w:rPr>
        <w:t>ع في اعتباره</w:t>
      </w:r>
    </w:p>
    <w:p w:rsidR="006A02A2" w:rsidRPr="00E53848" w:rsidRDefault="006A02A2" w:rsidP="006D4933">
      <w:pPr>
        <w:rPr>
          <w:rtl/>
        </w:rPr>
      </w:pPr>
      <w:r w:rsidRPr="00E53848">
        <w:rPr>
          <w:rFonts w:hint="cs"/>
          <w:i/>
          <w:iCs/>
          <w:rtl/>
        </w:rPr>
        <w:t xml:space="preserve"> </w:t>
      </w:r>
      <w:proofErr w:type="gramStart"/>
      <w:r w:rsidRPr="00E53848">
        <w:rPr>
          <w:rFonts w:hint="cs"/>
          <w:i/>
          <w:iCs/>
          <w:rtl/>
        </w:rPr>
        <w:t>أ )</w:t>
      </w:r>
      <w:proofErr w:type="gramEnd"/>
      <w:r w:rsidRPr="00E53848">
        <w:rPr>
          <w:rFonts w:hint="cs"/>
          <w:rtl/>
        </w:rPr>
        <w:tab/>
      </w:r>
      <w:r w:rsidR="002D62F9">
        <w:rPr>
          <w:rFonts w:hint="cs"/>
          <w:rtl/>
        </w:rPr>
        <w:t>أن تاريخ الصحة الإلكترونية في قطاع ت</w:t>
      </w:r>
      <w:r w:rsidR="008271B4">
        <w:rPr>
          <w:rFonts w:hint="cs"/>
          <w:rtl/>
        </w:rPr>
        <w:t xml:space="preserve">نمية الاتصالات </w:t>
      </w:r>
      <w:r w:rsidR="006D4933">
        <w:rPr>
          <w:rFonts w:hint="cs"/>
          <w:rtl/>
        </w:rPr>
        <w:t>بالاتحاد الدولي للاتصالات </w:t>
      </w:r>
      <w:r w:rsidR="006D4933">
        <w:t>(ITU</w:t>
      </w:r>
      <w:r w:rsidR="006D4933">
        <w:noBreakHyphen/>
        <w:t>D)</w:t>
      </w:r>
      <w:r w:rsidR="006D4933">
        <w:rPr>
          <w:rFonts w:hint="cs"/>
          <w:rtl/>
          <w:lang w:bidi="ar-EG"/>
        </w:rPr>
        <w:t xml:space="preserve"> </w:t>
      </w:r>
      <w:r w:rsidR="008271B4">
        <w:rPr>
          <w:rFonts w:hint="cs"/>
          <w:rtl/>
        </w:rPr>
        <w:t>ي</w:t>
      </w:r>
      <w:r w:rsidR="00D4193A">
        <w:rPr>
          <w:rFonts w:hint="cs"/>
          <w:rtl/>
        </w:rPr>
        <w:t>عود</w:t>
      </w:r>
      <w:r w:rsidR="008271B4">
        <w:rPr>
          <w:rFonts w:hint="cs"/>
          <w:rtl/>
        </w:rPr>
        <w:t xml:space="preserve"> إلى </w:t>
      </w:r>
      <w:r w:rsidR="008271B4">
        <w:rPr>
          <w:lang w:val="fr-CH"/>
        </w:rPr>
        <w:t>20</w:t>
      </w:r>
      <w:r w:rsidR="006D4933">
        <w:rPr>
          <w:rFonts w:hint="eastAsia"/>
          <w:rtl/>
          <w:lang w:bidi="ar-EG"/>
        </w:rPr>
        <w:t> </w:t>
      </w:r>
      <w:r w:rsidR="006D4933">
        <w:rPr>
          <w:rFonts w:hint="cs"/>
          <w:rtl/>
          <w:lang w:bidi="ar-EG"/>
        </w:rPr>
        <w:t>عاماً مضت</w:t>
      </w:r>
      <w:r w:rsidR="008271B4">
        <w:rPr>
          <w:rFonts w:hint="cs"/>
          <w:rtl/>
          <w:lang w:bidi="ar-EG"/>
        </w:rPr>
        <w:t xml:space="preserve">. ومنذ اعتماد القرار </w:t>
      </w:r>
      <w:r w:rsidR="008271B4">
        <w:rPr>
          <w:lang w:val="fr-CH" w:bidi="ar-EG"/>
        </w:rPr>
        <w:t>41</w:t>
      </w:r>
      <w:r w:rsidR="008271B4">
        <w:rPr>
          <w:rFonts w:hint="cs"/>
          <w:rtl/>
          <w:lang w:bidi="ar-EG"/>
        </w:rPr>
        <w:t xml:space="preserve"> في المؤتمر العالمي لتنمية الاتصالات </w:t>
      </w:r>
      <w:r w:rsidR="00BF208A">
        <w:rPr>
          <w:rFonts w:hint="cs"/>
          <w:rtl/>
          <w:lang w:bidi="ar-EG"/>
        </w:rPr>
        <w:t>ل</w:t>
      </w:r>
      <w:r w:rsidR="008271B4">
        <w:rPr>
          <w:rFonts w:hint="cs"/>
          <w:rtl/>
          <w:lang w:bidi="ar-EG"/>
        </w:rPr>
        <w:t xml:space="preserve">عام </w:t>
      </w:r>
      <w:r w:rsidR="008271B4">
        <w:rPr>
          <w:lang w:val="fr-CH" w:bidi="ar-EG"/>
        </w:rPr>
        <w:t>2002</w:t>
      </w:r>
      <w:r w:rsidR="008271B4">
        <w:rPr>
          <w:rFonts w:hint="cs"/>
          <w:rtl/>
          <w:lang w:bidi="ar-EG"/>
        </w:rPr>
        <w:t xml:space="preserve"> دأب قطاع تنمية الاتصالات على قيادة العالم بثبات في</w:t>
      </w:r>
      <w:r w:rsidR="006D4933">
        <w:rPr>
          <w:rFonts w:hint="eastAsia"/>
          <w:rtl/>
          <w:lang w:bidi="ar-EG"/>
        </w:rPr>
        <w:t> </w:t>
      </w:r>
      <w:r w:rsidR="008271B4">
        <w:rPr>
          <w:rFonts w:hint="cs"/>
          <w:rtl/>
          <w:lang w:bidi="ar-EG"/>
        </w:rPr>
        <w:t>مجال الصحة الإلكترونية</w:t>
      </w:r>
      <w:r w:rsidRPr="00E53848">
        <w:rPr>
          <w:rFonts w:hint="cs"/>
          <w:rtl/>
        </w:rPr>
        <w:t>؛</w:t>
      </w:r>
    </w:p>
    <w:p w:rsidR="006A02A2" w:rsidRPr="00021A3D" w:rsidRDefault="006A02A2" w:rsidP="00021A3D">
      <w:pPr>
        <w:rPr>
          <w:spacing w:val="-4"/>
          <w:rtl/>
        </w:rPr>
      </w:pPr>
      <w:proofErr w:type="gramStart"/>
      <w:r w:rsidRPr="00021A3D">
        <w:rPr>
          <w:rFonts w:hint="cs"/>
          <w:i/>
          <w:iCs/>
          <w:spacing w:val="-4"/>
          <w:rtl/>
        </w:rPr>
        <w:t>ب)</w:t>
      </w:r>
      <w:r w:rsidRPr="00021A3D">
        <w:rPr>
          <w:rFonts w:hint="cs"/>
          <w:spacing w:val="-4"/>
          <w:rtl/>
        </w:rPr>
        <w:tab/>
      </w:r>
      <w:proofErr w:type="gramEnd"/>
      <w:r w:rsidR="008271B4" w:rsidRPr="00021A3D">
        <w:rPr>
          <w:rFonts w:hint="cs"/>
          <w:spacing w:val="-4"/>
          <w:rtl/>
        </w:rPr>
        <w:t xml:space="preserve">القرار </w:t>
      </w:r>
      <w:r w:rsidR="008271B4" w:rsidRPr="00021A3D">
        <w:rPr>
          <w:spacing w:val="-4"/>
          <w:lang w:val="fr-CH"/>
        </w:rPr>
        <w:t>183</w:t>
      </w:r>
      <w:r w:rsidR="008271B4" w:rsidRPr="00021A3D">
        <w:rPr>
          <w:rFonts w:hint="cs"/>
          <w:spacing w:val="-4"/>
          <w:rtl/>
          <w:lang w:bidi="ar-EG"/>
        </w:rPr>
        <w:t xml:space="preserve"> لمؤتمر المندوبين المفوضين</w:t>
      </w:r>
      <w:r w:rsidR="00BF208A" w:rsidRPr="00021A3D">
        <w:rPr>
          <w:rFonts w:hint="cs"/>
          <w:spacing w:val="-4"/>
          <w:rtl/>
          <w:lang w:bidi="ar-EG"/>
        </w:rPr>
        <w:t xml:space="preserve"> لعام </w:t>
      </w:r>
      <w:r w:rsidR="00BF208A" w:rsidRPr="00021A3D">
        <w:rPr>
          <w:spacing w:val="-4"/>
          <w:lang w:val="fr-CH" w:bidi="ar-EG"/>
        </w:rPr>
        <w:t>2014</w:t>
      </w:r>
      <w:r w:rsidR="008271B4" w:rsidRPr="00021A3D">
        <w:rPr>
          <w:rFonts w:hint="cs"/>
          <w:spacing w:val="-4"/>
          <w:rtl/>
          <w:lang w:bidi="ar-EG"/>
        </w:rPr>
        <w:t xml:space="preserve"> (بوسان) والقرار </w:t>
      </w:r>
      <w:r w:rsidR="008271B4" w:rsidRPr="00021A3D">
        <w:rPr>
          <w:spacing w:val="-4"/>
          <w:lang w:val="fr-CH" w:bidi="ar-EG"/>
        </w:rPr>
        <w:t>54</w:t>
      </w:r>
      <w:r w:rsidR="008271B4" w:rsidRPr="00021A3D">
        <w:rPr>
          <w:rFonts w:hint="cs"/>
          <w:spacing w:val="-4"/>
          <w:rtl/>
          <w:lang w:bidi="ar-EG"/>
        </w:rPr>
        <w:t xml:space="preserve"> لقطاع تنمية الاتصالات </w:t>
      </w:r>
      <w:r w:rsidR="00BF208A" w:rsidRPr="00021A3D">
        <w:rPr>
          <w:rFonts w:hint="cs"/>
          <w:spacing w:val="-4"/>
          <w:rtl/>
          <w:lang w:bidi="ar-EG"/>
        </w:rPr>
        <w:t>(</w:t>
      </w:r>
      <w:r w:rsidR="00BF208A" w:rsidRPr="00021A3D">
        <w:rPr>
          <w:spacing w:val="-4"/>
          <w:lang w:bidi="ar-EG"/>
        </w:rPr>
        <w:t>WTDC-14</w:t>
      </w:r>
      <w:r w:rsidR="006D4933" w:rsidRPr="00021A3D">
        <w:rPr>
          <w:rFonts w:hint="cs"/>
          <w:spacing w:val="-4"/>
          <w:rtl/>
          <w:lang w:bidi="ar-EG"/>
        </w:rPr>
        <w:t>،</w:t>
      </w:r>
      <w:r w:rsidR="00021A3D">
        <w:rPr>
          <w:rFonts w:hint="eastAsia"/>
          <w:spacing w:val="-4"/>
          <w:rtl/>
          <w:lang w:bidi="ar-EG"/>
        </w:rPr>
        <w:t> </w:t>
      </w:r>
      <w:r w:rsidR="006D4933" w:rsidRPr="00021A3D">
        <w:rPr>
          <w:rFonts w:hint="cs"/>
          <w:spacing w:val="-4"/>
          <w:rtl/>
          <w:lang w:bidi="ar-EG"/>
        </w:rPr>
        <w:t>دبي</w:t>
      </w:r>
      <w:r w:rsidR="00BF208A" w:rsidRPr="00021A3D">
        <w:rPr>
          <w:rFonts w:hint="cs"/>
          <w:spacing w:val="-4"/>
          <w:rtl/>
          <w:lang w:bidi="ar-EG"/>
        </w:rPr>
        <w:t>)</w:t>
      </w:r>
      <w:r w:rsidRPr="00021A3D">
        <w:rPr>
          <w:rFonts w:hint="cs"/>
          <w:spacing w:val="-4"/>
          <w:rtl/>
        </w:rPr>
        <w:t>؛</w:t>
      </w:r>
    </w:p>
    <w:p w:rsidR="006A02A2" w:rsidRPr="00876236" w:rsidRDefault="006A02A2" w:rsidP="00876236">
      <w:pPr>
        <w:rPr>
          <w:spacing w:val="-6"/>
          <w:rtl/>
        </w:rPr>
      </w:pPr>
      <w:proofErr w:type="gramStart"/>
      <w:r w:rsidRPr="00876236">
        <w:rPr>
          <w:rFonts w:hint="cs"/>
          <w:i/>
          <w:iCs/>
          <w:spacing w:val="-6"/>
          <w:rtl/>
        </w:rPr>
        <w:t>ج)</w:t>
      </w:r>
      <w:r w:rsidRPr="00876236">
        <w:rPr>
          <w:rFonts w:hint="cs"/>
          <w:spacing w:val="-6"/>
          <w:rtl/>
        </w:rPr>
        <w:tab/>
      </w:r>
      <w:proofErr w:type="gramEnd"/>
      <w:r w:rsidR="008271B4" w:rsidRPr="00876236">
        <w:rPr>
          <w:rFonts w:hint="cs"/>
          <w:spacing w:val="-6"/>
          <w:rtl/>
        </w:rPr>
        <w:t xml:space="preserve">أن قطاع تقييس الاتصالات في الاتحاد قد أصدر التوصيات </w:t>
      </w:r>
      <w:r w:rsidR="008271B4" w:rsidRPr="00876236">
        <w:rPr>
          <w:color w:val="000000"/>
          <w:spacing w:val="-6"/>
          <w:lang w:bidi="ar-EG"/>
        </w:rPr>
        <w:t>H.810</w:t>
      </w:r>
      <w:r w:rsidR="008271B4" w:rsidRPr="00876236">
        <w:rPr>
          <w:rFonts w:hint="cs"/>
          <w:color w:val="000000"/>
          <w:spacing w:val="-6"/>
          <w:rtl/>
          <w:lang w:bidi="ar-EG"/>
        </w:rPr>
        <w:t xml:space="preserve"> و</w:t>
      </w:r>
      <w:r w:rsidR="008271B4" w:rsidRPr="00876236">
        <w:rPr>
          <w:color w:val="000000"/>
          <w:spacing w:val="-6"/>
          <w:lang w:val="fr-CH" w:bidi="ar-EG"/>
        </w:rPr>
        <w:t>H.812</w:t>
      </w:r>
      <w:r w:rsidR="008271B4" w:rsidRPr="00876236">
        <w:rPr>
          <w:rFonts w:hint="cs"/>
          <w:color w:val="000000"/>
          <w:spacing w:val="-6"/>
          <w:rtl/>
          <w:lang w:bidi="ar-EG"/>
        </w:rPr>
        <w:t xml:space="preserve"> </w:t>
      </w:r>
      <w:r w:rsidR="00BF208A" w:rsidRPr="00876236">
        <w:rPr>
          <w:rFonts w:hint="cs"/>
          <w:color w:val="000000"/>
          <w:spacing w:val="-6"/>
          <w:rtl/>
          <w:lang w:bidi="ar-EG"/>
        </w:rPr>
        <w:t>و</w:t>
      </w:r>
      <w:r w:rsidR="008271B4" w:rsidRPr="00876236">
        <w:rPr>
          <w:color w:val="000000"/>
          <w:spacing w:val="-6"/>
          <w:lang w:bidi="ar-EG"/>
        </w:rPr>
        <w:t>H.860</w:t>
      </w:r>
      <w:r w:rsidR="008271B4" w:rsidRPr="00876236">
        <w:rPr>
          <w:rFonts w:hint="cs"/>
          <w:color w:val="000000"/>
          <w:spacing w:val="-6"/>
          <w:rtl/>
          <w:lang w:bidi="ar-EG"/>
        </w:rPr>
        <w:t>،</w:t>
      </w:r>
      <w:r w:rsidR="008271B4" w:rsidRPr="00876236">
        <w:rPr>
          <w:rFonts w:hint="cs"/>
          <w:spacing w:val="-6"/>
          <w:rtl/>
        </w:rPr>
        <w:t xml:space="preserve"> من أجل تقييس الصحة</w:t>
      </w:r>
      <w:r w:rsidR="00876236" w:rsidRPr="00876236">
        <w:rPr>
          <w:rFonts w:hint="eastAsia"/>
          <w:spacing w:val="-6"/>
          <w:rtl/>
        </w:rPr>
        <w:t> </w:t>
      </w:r>
      <w:r w:rsidR="008271B4" w:rsidRPr="00876236">
        <w:rPr>
          <w:rFonts w:hint="cs"/>
          <w:spacing w:val="-6"/>
          <w:rtl/>
        </w:rPr>
        <w:t>الإلكترونية</w:t>
      </w:r>
      <w:r w:rsidRPr="00876236">
        <w:rPr>
          <w:rFonts w:hint="cs"/>
          <w:spacing w:val="-6"/>
          <w:rtl/>
        </w:rPr>
        <w:t>؛</w:t>
      </w:r>
    </w:p>
    <w:p w:rsidR="006A02A2" w:rsidRDefault="006A02A2" w:rsidP="006D4933">
      <w:pPr>
        <w:rPr>
          <w:rtl/>
        </w:rPr>
      </w:pPr>
      <w:proofErr w:type="gramStart"/>
      <w:r>
        <w:rPr>
          <w:rFonts w:hint="cs"/>
          <w:i/>
          <w:iCs/>
          <w:rtl/>
        </w:rPr>
        <w:t>د </w:t>
      </w:r>
      <w:r w:rsidRPr="00E53848">
        <w:rPr>
          <w:rFonts w:hint="cs"/>
          <w:i/>
          <w:iCs/>
          <w:rtl/>
        </w:rPr>
        <w:t>)</w:t>
      </w:r>
      <w:proofErr w:type="gramEnd"/>
      <w:r w:rsidRPr="00E53848">
        <w:rPr>
          <w:rFonts w:hint="cs"/>
          <w:rtl/>
        </w:rPr>
        <w:tab/>
      </w:r>
      <w:r w:rsidR="008271B4">
        <w:rPr>
          <w:rFonts w:hint="cs"/>
          <w:rtl/>
        </w:rPr>
        <w:t xml:space="preserve">أن الصحة الإلكترونية تساعد الناس في حياتهم، وذلك بفضل </w:t>
      </w:r>
      <w:r w:rsidR="006D4933">
        <w:rPr>
          <w:rFonts w:hint="cs"/>
          <w:rtl/>
        </w:rPr>
        <w:t>ال</w:t>
      </w:r>
      <w:r w:rsidR="008271B4">
        <w:rPr>
          <w:rFonts w:hint="cs"/>
          <w:rtl/>
        </w:rPr>
        <w:t xml:space="preserve">جهود </w:t>
      </w:r>
      <w:r w:rsidR="006D4933">
        <w:rPr>
          <w:rFonts w:hint="cs"/>
          <w:rtl/>
        </w:rPr>
        <w:t xml:space="preserve">التي يبذلها </w:t>
      </w:r>
      <w:r w:rsidR="008271B4">
        <w:rPr>
          <w:rFonts w:hint="cs"/>
          <w:rtl/>
        </w:rPr>
        <w:t>الاتحاد منذ أمد بعيد</w:t>
      </w:r>
      <w:r>
        <w:rPr>
          <w:rFonts w:hint="cs"/>
          <w:rtl/>
        </w:rPr>
        <w:t>،</w:t>
      </w:r>
    </w:p>
    <w:p w:rsidR="006A02A2" w:rsidRPr="00E53848" w:rsidRDefault="008271B4" w:rsidP="006A02A2">
      <w:pPr>
        <w:pStyle w:val="Call"/>
        <w:rPr>
          <w:rtl/>
        </w:rPr>
      </w:pPr>
      <w:r>
        <w:rPr>
          <w:rFonts w:hint="cs"/>
          <w:rtl/>
        </w:rPr>
        <w:t>وإذ يدرك</w:t>
      </w:r>
    </w:p>
    <w:p w:rsidR="006A02A2" w:rsidRPr="00E53848" w:rsidRDefault="006A02A2" w:rsidP="000C1F51">
      <w:pPr>
        <w:rPr>
          <w:rtl/>
        </w:rPr>
      </w:pPr>
      <w:r w:rsidRPr="00E53848">
        <w:rPr>
          <w:rFonts w:hint="cs"/>
          <w:i/>
          <w:iCs/>
          <w:rtl/>
        </w:rPr>
        <w:t xml:space="preserve"> </w:t>
      </w:r>
      <w:proofErr w:type="gramStart"/>
      <w:r w:rsidRPr="00E53848">
        <w:rPr>
          <w:rFonts w:hint="cs"/>
          <w:i/>
          <w:iCs/>
          <w:rtl/>
        </w:rPr>
        <w:t>أ )</w:t>
      </w:r>
      <w:proofErr w:type="gramEnd"/>
      <w:r w:rsidRPr="00E53848">
        <w:rPr>
          <w:rFonts w:hint="cs"/>
          <w:rtl/>
        </w:rPr>
        <w:tab/>
      </w:r>
      <w:r w:rsidR="008271B4">
        <w:rPr>
          <w:rFonts w:hint="cs"/>
          <w:rtl/>
        </w:rPr>
        <w:t xml:space="preserve">أن </w:t>
      </w:r>
      <w:r w:rsidR="00CD315A">
        <w:rPr>
          <w:rFonts w:hint="cs"/>
          <w:rtl/>
        </w:rPr>
        <w:t xml:space="preserve">من الواضح أن </w:t>
      </w:r>
      <w:r w:rsidR="008271B4">
        <w:rPr>
          <w:rFonts w:hint="cs"/>
          <w:rtl/>
        </w:rPr>
        <w:t xml:space="preserve">تكنولوجيا المعلومات والاتصالات </w:t>
      </w:r>
      <w:r w:rsidR="00CD315A">
        <w:rPr>
          <w:rFonts w:hint="cs"/>
          <w:rtl/>
        </w:rPr>
        <w:t>لها فوائد جمّة (</w:t>
      </w:r>
      <w:r w:rsidR="006D4933">
        <w:rPr>
          <w:rFonts w:hint="cs"/>
          <w:rtl/>
        </w:rPr>
        <w:t xml:space="preserve">واسعة </w:t>
      </w:r>
      <w:r w:rsidR="00CD315A">
        <w:rPr>
          <w:rFonts w:hint="cs"/>
          <w:rtl/>
        </w:rPr>
        <w:t xml:space="preserve">الانتشار) تعود على السكان </w:t>
      </w:r>
      <w:r w:rsidR="006D4933">
        <w:rPr>
          <w:rFonts w:hint="cs"/>
          <w:rtl/>
        </w:rPr>
        <w:t xml:space="preserve">الذين </w:t>
      </w:r>
      <w:r w:rsidR="00CD315A">
        <w:rPr>
          <w:rFonts w:hint="cs"/>
          <w:rtl/>
        </w:rPr>
        <w:t>يقطنون في</w:t>
      </w:r>
      <w:r w:rsidR="006D4933">
        <w:rPr>
          <w:rFonts w:hint="eastAsia"/>
          <w:rtl/>
        </w:rPr>
        <w:t> </w:t>
      </w:r>
      <w:r w:rsidR="00CD315A">
        <w:rPr>
          <w:rFonts w:hint="cs"/>
          <w:rtl/>
        </w:rPr>
        <w:t>أماكن نائية ولا يحصلون حالياً على الخدمات الطبية أو خدمات الرعاية الصحية، وعلى الناس الذي</w:t>
      </w:r>
      <w:r w:rsidR="007F0B53">
        <w:rPr>
          <w:rFonts w:hint="cs"/>
          <w:rtl/>
        </w:rPr>
        <w:t>ن</w:t>
      </w:r>
      <w:r w:rsidR="00CD315A">
        <w:rPr>
          <w:rFonts w:hint="cs"/>
          <w:rtl/>
        </w:rPr>
        <w:t xml:space="preserve"> يتلقون هذه الخدمات في</w:t>
      </w:r>
      <w:r w:rsidR="006D4933">
        <w:rPr>
          <w:rFonts w:hint="eastAsia"/>
          <w:rtl/>
        </w:rPr>
        <w:t> </w:t>
      </w:r>
      <w:r w:rsidR="00CD315A">
        <w:rPr>
          <w:rFonts w:hint="cs"/>
          <w:rtl/>
        </w:rPr>
        <w:t xml:space="preserve">حياتهم اليومية، وأن من الضروري لتطبيق الصحة الإلكترونية تطبيقاً فعلياً في البلدان النامية على أساس مصفوفة القمة العالمية لمجتمع المعلومات </w:t>
      </w:r>
      <w:r w:rsidR="000C1F51">
        <w:rPr>
          <w:rFonts w:hint="cs"/>
          <w:rtl/>
        </w:rPr>
        <w:t>-</w:t>
      </w:r>
      <w:r w:rsidR="00CD315A">
        <w:rPr>
          <w:rFonts w:hint="cs"/>
          <w:rtl/>
        </w:rPr>
        <w:t xml:space="preserve"> أهداف التنمية المستدام</w:t>
      </w:r>
      <w:r w:rsidR="006D4933">
        <w:rPr>
          <w:rFonts w:hint="cs"/>
          <w:rtl/>
        </w:rPr>
        <w:t>ة، أن تكون الخدمات ذات الصلة متمح</w:t>
      </w:r>
      <w:r w:rsidR="00CD315A">
        <w:rPr>
          <w:rFonts w:hint="cs"/>
          <w:rtl/>
        </w:rPr>
        <w:t>ورة حول المستعملين وأن تنفّذ لتشمل الجميع بصرف النظر عن الظروف</w:t>
      </w:r>
      <w:r w:rsidRPr="00E53848">
        <w:rPr>
          <w:rFonts w:hint="cs"/>
          <w:rtl/>
        </w:rPr>
        <w:t>؛</w:t>
      </w:r>
    </w:p>
    <w:p w:rsidR="006A02A2" w:rsidRDefault="006A02A2" w:rsidP="00871859">
      <w:pPr>
        <w:rPr>
          <w:rtl/>
        </w:rPr>
      </w:pPr>
      <w:proofErr w:type="gramStart"/>
      <w:r w:rsidRPr="00E53848">
        <w:rPr>
          <w:rFonts w:hint="cs"/>
          <w:i/>
          <w:iCs/>
          <w:rtl/>
        </w:rPr>
        <w:t>ب)</w:t>
      </w:r>
      <w:r w:rsidRPr="00E53848">
        <w:rPr>
          <w:rFonts w:hint="cs"/>
          <w:rtl/>
        </w:rPr>
        <w:tab/>
      </w:r>
      <w:proofErr w:type="gramEnd"/>
      <w:r w:rsidR="00CD315A">
        <w:rPr>
          <w:rFonts w:hint="cs"/>
          <w:rtl/>
        </w:rPr>
        <w:t xml:space="preserve">أنه كي يتسنى تنفيذ الصحة الإلكترونية </w:t>
      </w:r>
      <w:r w:rsidR="00D4193A">
        <w:rPr>
          <w:rFonts w:hint="cs"/>
          <w:rtl/>
        </w:rPr>
        <w:t>تنفيذاً ذاتياً ومستداماً</w:t>
      </w:r>
      <w:r w:rsidR="00CD315A">
        <w:rPr>
          <w:rFonts w:hint="cs"/>
          <w:rtl/>
        </w:rPr>
        <w:t xml:space="preserve">، لا بد من خطة رئيسية جديدة تتولى إعدادها لجنة وطنية تشمل ممثلين من </w:t>
      </w:r>
      <w:r w:rsidR="006D4933">
        <w:rPr>
          <w:rFonts w:hint="cs"/>
          <w:rtl/>
        </w:rPr>
        <w:t>القطاع</w:t>
      </w:r>
      <w:r w:rsidR="00CD315A">
        <w:rPr>
          <w:rFonts w:hint="cs"/>
          <w:rtl/>
        </w:rPr>
        <w:t xml:space="preserve"> الطبي. وإضافة إلى ذلك، </w:t>
      </w:r>
      <w:r w:rsidR="00EC5115">
        <w:rPr>
          <w:rFonts w:hint="cs"/>
          <w:rtl/>
        </w:rPr>
        <w:t>لا بد أن تكون هناك فرقة عمل تتبع للجنة لتوفير التوجيه</w:t>
      </w:r>
      <w:r w:rsidR="00871859">
        <w:rPr>
          <w:rFonts w:hint="eastAsia"/>
          <w:rtl/>
        </w:rPr>
        <w:t> </w:t>
      </w:r>
      <w:r w:rsidR="00EC5115">
        <w:rPr>
          <w:rFonts w:hint="cs"/>
          <w:rtl/>
        </w:rPr>
        <w:t>المفصَّل</w:t>
      </w:r>
      <w:r>
        <w:rPr>
          <w:rFonts w:hint="cs"/>
          <w:rtl/>
        </w:rPr>
        <w:t>؛</w:t>
      </w:r>
    </w:p>
    <w:p w:rsidR="006A02A2" w:rsidRDefault="006A02A2" w:rsidP="006D4933">
      <w:pPr>
        <w:rPr>
          <w:rtl/>
        </w:rPr>
      </w:pPr>
      <w:proofErr w:type="gramStart"/>
      <w:r>
        <w:rPr>
          <w:rFonts w:hint="cs"/>
          <w:i/>
          <w:iCs/>
          <w:rtl/>
        </w:rPr>
        <w:t>ج</w:t>
      </w:r>
      <w:r w:rsidRPr="00E53848">
        <w:rPr>
          <w:rFonts w:hint="cs"/>
          <w:i/>
          <w:iCs/>
          <w:rtl/>
        </w:rPr>
        <w:t>)</w:t>
      </w:r>
      <w:r w:rsidRPr="00E53848">
        <w:rPr>
          <w:rFonts w:hint="cs"/>
          <w:rtl/>
        </w:rPr>
        <w:tab/>
      </w:r>
      <w:proofErr w:type="gramEnd"/>
      <w:r w:rsidR="00EC5115">
        <w:rPr>
          <w:rFonts w:hint="cs"/>
          <w:rtl/>
        </w:rPr>
        <w:t xml:space="preserve">أن من الضروري في التعاون مع ممثلي </w:t>
      </w:r>
      <w:r w:rsidR="006D4933">
        <w:rPr>
          <w:rFonts w:hint="cs"/>
          <w:rtl/>
        </w:rPr>
        <w:t xml:space="preserve">القطاع </w:t>
      </w:r>
      <w:r w:rsidR="00EC5115">
        <w:rPr>
          <w:rFonts w:hint="cs"/>
          <w:rtl/>
        </w:rPr>
        <w:t>الطبي أن تؤخذ المسائل التالية بعين الاعتبار</w:t>
      </w:r>
      <w:r>
        <w:rPr>
          <w:rFonts w:hint="cs"/>
          <w:rtl/>
        </w:rPr>
        <w:t>:</w:t>
      </w:r>
    </w:p>
    <w:p w:rsidR="006A02A2" w:rsidRPr="00444107" w:rsidRDefault="006D4933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t>’</w:t>
      </w:r>
      <w:r>
        <w:rPr>
          <w:lang w:bidi="ar-EG"/>
        </w:rPr>
        <w:t>1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 w:rsidR="00EC5115">
        <w:rPr>
          <w:rFonts w:hint="cs"/>
          <w:rtl/>
        </w:rPr>
        <w:t>أن حال الخدمات الطبية في البلدان النامية، ولا سيما في الأماكن النائية، لا يمكن تحسينها بنفس مستوى الخدمات الطبية القائمة في البلدان المتقدمة</w:t>
      </w:r>
      <w:r w:rsidR="006A02A2" w:rsidRPr="00444107">
        <w:rPr>
          <w:rFonts w:hint="cs"/>
          <w:rtl/>
        </w:rPr>
        <w:t>؛</w:t>
      </w:r>
    </w:p>
    <w:p w:rsidR="006A02A2" w:rsidRPr="00444107" w:rsidRDefault="006D4933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t>’</w:t>
      </w:r>
      <w:r>
        <w:rPr>
          <w:lang w:bidi="ar-EG"/>
        </w:rPr>
        <w:t>2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 w:rsidR="00EC5115">
        <w:rPr>
          <w:rFonts w:hint="cs"/>
          <w:rtl/>
        </w:rPr>
        <w:t xml:space="preserve">أن من الضروري أن تُحترم بأكبر قدر ممكن النظم القانونية التي تقضي بإجراء </w:t>
      </w:r>
      <w:r>
        <w:rPr>
          <w:rFonts w:hint="cs"/>
          <w:rtl/>
        </w:rPr>
        <w:t>الفحوص</w:t>
      </w:r>
      <w:r w:rsidR="00EC5115">
        <w:rPr>
          <w:rFonts w:hint="cs"/>
          <w:rtl/>
        </w:rPr>
        <w:t xml:space="preserve"> الطبية إما كتابةً على الورق أو وجهاً لوجه. بيد أنه لا بد من مراعاة الاستثناءات التالية</w:t>
      </w:r>
      <w:r w:rsidR="006A02A2">
        <w:rPr>
          <w:rFonts w:hint="cs"/>
          <w:rtl/>
        </w:rPr>
        <w:t>:</w:t>
      </w:r>
    </w:p>
    <w:p w:rsidR="006A02A2" w:rsidRDefault="006A02A2" w:rsidP="00876236">
      <w:pPr>
        <w:pStyle w:val="enumlev2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EC5115">
        <w:rPr>
          <w:rFonts w:hint="cs"/>
          <w:rtl/>
        </w:rPr>
        <w:t>استعمال تكنولوجيا المعلومات والاتصالات في حالة الطوارئ بسبب الكوارث أو في حالة الأمراض المعدية التي تنتشر في مساحات شاسعة</w:t>
      </w:r>
      <w:r>
        <w:rPr>
          <w:rFonts w:hint="cs"/>
          <w:rtl/>
        </w:rPr>
        <w:t>؛</w:t>
      </w:r>
    </w:p>
    <w:p w:rsidR="006A02A2" w:rsidRDefault="006A02A2" w:rsidP="00876236">
      <w:pPr>
        <w:pStyle w:val="enumlev2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EC5115">
        <w:rPr>
          <w:rFonts w:hint="cs"/>
          <w:rtl/>
        </w:rPr>
        <w:t>استعمال تكنولوجيا المعلومات والاتصالات في الأماكن أو الجزر النائية جغرافياً</w:t>
      </w:r>
      <w:r>
        <w:rPr>
          <w:rFonts w:hint="cs"/>
          <w:rtl/>
        </w:rPr>
        <w:t>؛</w:t>
      </w:r>
    </w:p>
    <w:p w:rsidR="006A02A2" w:rsidRDefault="006A02A2" w:rsidP="00871859">
      <w:pPr>
        <w:pStyle w:val="enumlev2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EC5115">
        <w:rPr>
          <w:rFonts w:hint="cs"/>
          <w:rtl/>
        </w:rPr>
        <w:t>استعمال تكنولوجيا المعلومات والاتصالات عند الحاجة إلى خدمات طبية منزلية مثل حالات الإصابة بالسرطان</w:t>
      </w:r>
      <w:r w:rsidR="00871859">
        <w:rPr>
          <w:rFonts w:hint="eastAsia"/>
          <w:rtl/>
        </w:rPr>
        <w:t> </w:t>
      </w:r>
      <w:r w:rsidR="00EC5115">
        <w:rPr>
          <w:rFonts w:hint="cs"/>
          <w:rtl/>
        </w:rPr>
        <w:t>المتأخرة؛</w:t>
      </w:r>
    </w:p>
    <w:p w:rsidR="006A02A2" w:rsidRDefault="006A02A2" w:rsidP="00C240FB">
      <w:pPr>
        <w:pStyle w:val="enumlev2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EC5115">
        <w:rPr>
          <w:rFonts w:hint="cs"/>
          <w:rtl/>
        </w:rPr>
        <w:t>استعمال تكنولوجيا المعلومات والاتصالات للنساء الحوامل، والمواليد، والأطفال حديثي الولادة، والمصابين باضطرابات</w:t>
      </w:r>
      <w:r w:rsidR="00C240FB">
        <w:rPr>
          <w:rFonts w:hint="eastAsia"/>
          <w:rtl/>
        </w:rPr>
        <w:t> </w:t>
      </w:r>
      <w:r w:rsidR="00EC5115">
        <w:rPr>
          <w:rFonts w:hint="cs"/>
          <w:rtl/>
        </w:rPr>
        <w:t>نفسية</w:t>
      </w:r>
      <w:r>
        <w:rPr>
          <w:rFonts w:hint="cs"/>
          <w:rtl/>
        </w:rPr>
        <w:t>؛</w:t>
      </w:r>
    </w:p>
    <w:p w:rsidR="006A02A2" w:rsidRPr="00774AF1" w:rsidRDefault="006A02A2" w:rsidP="00774AF1">
      <w:pPr>
        <w:pStyle w:val="enumlev2"/>
        <w:rPr>
          <w:spacing w:val="-2"/>
          <w:rtl/>
        </w:rPr>
      </w:pPr>
      <w:r w:rsidRPr="00774AF1">
        <w:rPr>
          <w:rFonts w:hint="cs"/>
          <w:spacing w:val="-2"/>
          <w:rtl/>
        </w:rPr>
        <w:t>-</w:t>
      </w:r>
      <w:r w:rsidRPr="00774AF1">
        <w:rPr>
          <w:rFonts w:hint="cs"/>
          <w:spacing w:val="-2"/>
          <w:rtl/>
        </w:rPr>
        <w:tab/>
      </w:r>
      <w:r w:rsidR="00AF098A" w:rsidRPr="00774AF1">
        <w:rPr>
          <w:rFonts w:hint="cs"/>
          <w:spacing w:val="-2"/>
          <w:rtl/>
        </w:rPr>
        <w:t xml:space="preserve">التشخيص الطبي في </w:t>
      </w:r>
      <w:r w:rsidR="006D4933" w:rsidRPr="00774AF1">
        <w:rPr>
          <w:rFonts w:hint="cs"/>
          <w:spacing w:val="-2"/>
          <w:rtl/>
        </w:rPr>
        <w:t>الفحوص</w:t>
      </w:r>
      <w:r w:rsidR="00AF098A" w:rsidRPr="00774AF1">
        <w:rPr>
          <w:rFonts w:hint="cs"/>
          <w:spacing w:val="-2"/>
          <w:rtl/>
        </w:rPr>
        <w:t xml:space="preserve"> الطبية التي تُجرى عن بُعد على أساس </w:t>
      </w:r>
      <w:r w:rsidR="006D4933" w:rsidRPr="00774AF1">
        <w:rPr>
          <w:rFonts w:hint="cs"/>
          <w:spacing w:val="-2"/>
          <w:rtl/>
        </w:rPr>
        <w:t>ال</w:t>
      </w:r>
      <w:r w:rsidR="00AF098A" w:rsidRPr="00774AF1">
        <w:rPr>
          <w:rFonts w:hint="cs"/>
          <w:spacing w:val="-2"/>
          <w:rtl/>
        </w:rPr>
        <w:t xml:space="preserve">ذكاء </w:t>
      </w:r>
      <w:r w:rsidR="006D4933" w:rsidRPr="00774AF1">
        <w:rPr>
          <w:rFonts w:hint="cs"/>
          <w:spacing w:val="-2"/>
          <w:rtl/>
        </w:rPr>
        <w:t>الاصطناعي بالتوصيل</w:t>
      </w:r>
      <w:r w:rsidR="00774AF1" w:rsidRPr="00774AF1">
        <w:rPr>
          <w:rFonts w:hint="eastAsia"/>
          <w:spacing w:val="-2"/>
          <w:rtl/>
        </w:rPr>
        <w:t> </w:t>
      </w:r>
      <w:r w:rsidR="00AF098A" w:rsidRPr="00774AF1">
        <w:rPr>
          <w:rFonts w:hint="cs"/>
          <w:spacing w:val="-2"/>
          <w:rtl/>
        </w:rPr>
        <w:t>بشبكة</w:t>
      </w:r>
      <w:r w:rsidRPr="00774AF1">
        <w:rPr>
          <w:rFonts w:hint="cs"/>
          <w:spacing w:val="-2"/>
          <w:rtl/>
        </w:rPr>
        <w:t>؛</w:t>
      </w:r>
    </w:p>
    <w:p w:rsidR="006A02A2" w:rsidRPr="00444107" w:rsidRDefault="00876236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lastRenderedPageBreak/>
        <w:t>’</w:t>
      </w:r>
      <w:r>
        <w:rPr>
          <w:lang w:bidi="ar-EG"/>
        </w:rPr>
        <w:t>3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>
        <w:rPr>
          <w:rFonts w:hint="cs"/>
          <w:rtl/>
        </w:rPr>
        <w:t>إذكاء</w:t>
      </w:r>
      <w:r w:rsidR="00AF098A">
        <w:rPr>
          <w:rFonts w:hint="cs"/>
          <w:rtl/>
        </w:rPr>
        <w:t xml:space="preserve"> الوعي </w:t>
      </w:r>
      <w:r w:rsidR="004636AE">
        <w:rPr>
          <w:rFonts w:hint="cs"/>
          <w:rtl/>
        </w:rPr>
        <w:t xml:space="preserve">بشأن </w:t>
      </w:r>
      <w:r w:rsidR="00AF098A">
        <w:rPr>
          <w:rFonts w:hint="cs"/>
          <w:rtl/>
        </w:rPr>
        <w:t xml:space="preserve">تكنولوجيا المعلومات والاتصالات </w:t>
      </w:r>
      <w:r>
        <w:rPr>
          <w:rFonts w:hint="cs"/>
          <w:rtl/>
        </w:rPr>
        <w:t xml:space="preserve">والتشجيع على استخدامها </w:t>
      </w:r>
      <w:r w:rsidR="00AF098A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="00AF098A">
        <w:rPr>
          <w:rFonts w:hint="cs"/>
          <w:rtl/>
        </w:rPr>
        <w:t xml:space="preserve">مجال الرعاية الصحية </w:t>
      </w:r>
      <w:r>
        <w:rPr>
          <w:rFonts w:hint="cs"/>
          <w:rtl/>
        </w:rPr>
        <w:t xml:space="preserve">لكبار السن </w:t>
      </w:r>
      <w:r w:rsidR="00AF098A">
        <w:rPr>
          <w:rFonts w:hint="cs"/>
          <w:rtl/>
        </w:rPr>
        <w:t>بين شرائح مجتمعية معيَّنة مثل الأسر والجيران</w:t>
      </w:r>
      <w:r w:rsidR="006A02A2" w:rsidRPr="00444107">
        <w:rPr>
          <w:rFonts w:hint="cs"/>
          <w:rtl/>
        </w:rPr>
        <w:t>؛</w:t>
      </w:r>
    </w:p>
    <w:p w:rsidR="006A02A2" w:rsidRPr="00444107" w:rsidRDefault="00876236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t>’</w:t>
      </w:r>
      <w:r>
        <w:rPr>
          <w:lang w:bidi="ar-EG"/>
        </w:rPr>
        <w:t>4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 w:rsidR="00AF098A">
        <w:rPr>
          <w:rFonts w:hint="cs"/>
          <w:rtl/>
        </w:rPr>
        <w:t xml:space="preserve">تبادل المعلومات وتطبيق البيانات الضخمة في المسائل المتعلقة بمخاطر الصحة التي يتسبب فيها الغذاء أو السلع </w:t>
      </w:r>
      <w:r w:rsidR="00A710C8">
        <w:rPr>
          <w:rFonts w:hint="cs"/>
          <w:rtl/>
        </w:rPr>
        <w:t>الكمالية، والمسائل المتعلقة بالتأثيرات الجانبية للعقاقير</w:t>
      </w:r>
      <w:r w:rsidR="006A02A2" w:rsidRPr="00444107">
        <w:rPr>
          <w:rFonts w:hint="cs"/>
          <w:rtl/>
        </w:rPr>
        <w:t>؛</w:t>
      </w:r>
    </w:p>
    <w:p w:rsidR="006A02A2" w:rsidRPr="00444107" w:rsidRDefault="00876236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t>’</w:t>
      </w:r>
      <w:r>
        <w:rPr>
          <w:lang w:bidi="ar-EG"/>
        </w:rPr>
        <w:t>5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 w:rsidR="00A710C8">
        <w:rPr>
          <w:rFonts w:hint="cs"/>
          <w:rtl/>
        </w:rPr>
        <w:t xml:space="preserve">الدعم المالي من أجل تنفيذ الصحة الإلكترونية تنفيذاً </w:t>
      </w:r>
      <w:r w:rsidR="00D4193A">
        <w:rPr>
          <w:rFonts w:hint="cs"/>
          <w:rtl/>
        </w:rPr>
        <w:t>ذاتياً</w:t>
      </w:r>
      <w:r w:rsidR="00A710C8">
        <w:rPr>
          <w:rFonts w:hint="cs"/>
          <w:rtl/>
        </w:rPr>
        <w:t xml:space="preserve"> ومستداماً (بما في ذلك التكاليف التشغيلية) والآليات ذات</w:t>
      </w:r>
      <w:r>
        <w:rPr>
          <w:rFonts w:hint="eastAsia"/>
          <w:rtl/>
        </w:rPr>
        <w:t> </w:t>
      </w:r>
      <w:r w:rsidR="00A710C8">
        <w:rPr>
          <w:rFonts w:hint="cs"/>
          <w:rtl/>
        </w:rPr>
        <w:t>الصلة</w:t>
      </w:r>
      <w:r w:rsidR="006A02A2" w:rsidRPr="00444107">
        <w:rPr>
          <w:rFonts w:hint="cs"/>
          <w:rtl/>
        </w:rPr>
        <w:t>؛</w:t>
      </w:r>
    </w:p>
    <w:p w:rsidR="006A02A2" w:rsidRPr="00444107" w:rsidRDefault="00876236" w:rsidP="00876236">
      <w:pPr>
        <w:pStyle w:val="enumlev1"/>
        <w:rPr>
          <w:rtl/>
        </w:rPr>
      </w:pPr>
      <w:r>
        <w:rPr>
          <w:rFonts w:hint="cs"/>
          <w:rtl/>
          <w:lang w:bidi="ar-EG"/>
        </w:rPr>
        <w:t>’</w:t>
      </w:r>
      <w:r>
        <w:rPr>
          <w:lang w:bidi="ar-EG"/>
        </w:rPr>
        <w:t>6</w:t>
      </w:r>
      <w:r>
        <w:rPr>
          <w:rFonts w:hint="cs"/>
          <w:rtl/>
          <w:lang w:bidi="ar-EG"/>
        </w:rPr>
        <w:t>‘</w:t>
      </w:r>
      <w:r w:rsidR="006A02A2" w:rsidRPr="00444107">
        <w:rPr>
          <w:rtl/>
        </w:rPr>
        <w:tab/>
      </w:r>
      <w:r w:rsidR="00A710C8">
        <w:rPr>
          <w:rFonts w:hint="cs"/>
          <w:rtl/>
        </w:rPr>
        <w:t>برامج تدريب الموظفين في البلدان النامية، بمن فيهم الخبراء</w:t>
      </w:r>
      <w:r>
        <w:rPr>
          <w:rFonts w:hint="cs"/>
          <w:rtl/>
        </w:rPr>
        <w:t>،</w:t>
      </w:r>
      <w:r w:rsidR="00A710C8">
        <w:rPr>
          <w:rFonts w:hint="cs"/>
          <w:rtl/>
        </w:rPr>
        <w:t xml:space="preserve"> </w:t>
      </w:r>
      <w:r>
        <w:rPr>
          <w:rFonts w:hint="cs"/>
          <w:rtl/>
        </w:rPr>
        <w:t xml:space="preserve">وتحسين </w:t>
      </w:r>
      <w:r w:rsidR="00D04452">
        <w:rPr>
          <w:rFonts w:hint="cs"/>
          <w:rtl/>
        </w:rPr>
        <w:t>الإلمام ب</w:t>
      </w:r>
      <w:r w:rsidR="00A710C8">
        <w:rPr>
          <w:rFonts w:hint="cs"/>
          <w:rtl/>
        </w:rPr>
        <w:t xml:space="preserve">تكنولوجيا المعلومات والاتصالات </w:t>
      </w:r>
      <w:r>
        <w:rPr>
          <w:rFonts w:hint="cs"/>
          <w:rtl/>
        </w:rPr>
        <w:t>لدى</w:t>
      </w:r>
      <w:r>
        <w:rPr>
          <w:rFonts w:hint="eastAsia"/>
          <w:rtl/>
        </w:rPr>
        <w:t> </w:t>
      </w:r>
      <w:r w:rsidR="00A710C8">
        <w:rPr>
          <w:rFonts w:hint="cs"/>
          <w:rtl/>
        </w:rPr>
        <w:t>المستعملين</w:t>
      </w:r>
      <w:r w:rsidR="006A02A2">
        <w:rPr>
          <w:rFonts w:hint="cs"/>
          <w:rtl/>
        </w:rPr>
        <w:t>،</w:t>
      </w:r>
    </w:p>
    <w:p w:rsidR="006A02A2" w:rsidRPr="006A02A2" w:rsidRDefault="00D04452" w:rsidP="00876236">
      <w:pPr>
        <w:pStyle w:val="Call"/>
        <w:rPr>
          <w:b/>
          <w:bCs/>
          <w:rtl/>
        </w:rPr>
      </w:pPr>
      <w:r>
        <w:rPr>
          <w:rFonts w:hint="cs"/>
          <w:rtl/>
        </w:rPr>
        <w:t>ي</w:t>
      </w:r>
      <w:r w:rsidR="00A710C8">
        <w:rPr>
          <w:rFonts w:hint="cs"/>
          <w:rtl/>
        </w:rPr>
        <w:t xml:space="preserve">قرر أن يكلف مكتب </w:t>
      </w:r>
      <w:r w:rsidR="00B51F96">
        <w:rPr>
          <w:rFonts w:hint="cs"/>
          <w:rtl/>
        </w:rPr>
        <w:t>تنمية</w:t>
      </w:r>
      <w:r w:rsidR="00876236">
        <w:rPr>
          <w:rFonts w:hint="cs"/>
          <w:rtl/>
        </w:rPr>
        <w:t xml:space="preserve"> الاتصالات</w:t>
      </w:r>
    </w:p>
    <w:p w:rsidR="006A02A2" w:rsidRDefault="00312FEC" w:rsidP="00876236">
      <w:pPr>
        <w:rPr>
          <w:rtl/>
        </w:rPr>
      </w:pPr>
      <w:r>
        <w:rPr>
          <w:lang w:val="fr-CH"/>
        </w:rPr>
        <w:t>1</w:t>
      </w:r>
      <w:r>
        <w:rPr>
          <w:rtl/>
          <w:lang w:bidi="ar-EG"/>
        </w:rPr>
        <w:tab/>
      </w:r>
      <w:r w:rsidR="00A710C8">
        <w:rPr>
          <w:rFonts w:hint="cs"/>
          <w:rtl/>
        </w:rPr>
        <w:t>العمل سوياً مع منظمة الصحة العالمية</w:t>
      </w:r>
      <w:r w:rsidR="007F0B53">
        <w:rPr>
          <w:rFonts w:hint="eastAsia"/>
          <w:rtl/>
        </w:rPr>
        <w:t> </w:t>
      </w:r>
      <w:r w:rsidR="007F0B53">
        <w:t>(WHO)</w:t>
      </w:r>
      <w:r w:rsidR="00A710C8">
        <w:rPr>
          <w:rFonts w:hint="cs"/>
          <w:rtl/>
        </w:rPr>
        <w:t xml:space="preserve"> والدول الأعضاء و</w:t>
      </w:r>
      <w:r w:rsidR="00D04452">
        <w:rPr>
          <w:rFonts w:hint="cs"/>
          <w:rtl/>
        </w:rPr>
        <w:t xml:space="preserve">الأفراد العاملين في </w:t>
      </w:r>
      <w:r w:rsidR="00A710C8">
        <w:rPr>
          <w:rFonts w:hint="cs"/>
          <w:rtl/>
        </w:rPr>
        <w:t xml:space="preserve">قطاع </w:t>
      </w:r>
      <w:r w:rsidR="00876236">
        <w:rPr>
          <w:rFonts w:hint="cs"/>
          <w:rtl/>
        </w:rPr>
        <w:t>الرعاية الصحية</w:t>
      </w:r>
      <w:r w:rsidR="00A710C8">
        <w:rPr>
          <w:rFonts w:hint="cs"/>
          <w:rtl/>
        </w:rPr>
        <w:t>، والاشتراك في</w:t>
      </w:r>
      <w:r w:rsidR="00876236">
        <w:rPr>
          <w:rFonts w:hint="eastAsia"/>
          <w:rtl/>
        </w:rPr>
        <w:t> </w:t>
      </w:r>
      <w:r w:rsidR="00A710C8">
        <w:rPr>
          <w:rFonts w:hint="cs"/>
          <w:rtl/>
        </w:rPr>
        <w:t xml:space="preserve">أنشطة لتحقيق مشاريع </w:t>
      </w:r>
      <w:r w:rsidR="00D04452">
        <w:rPr>
          <w:rFonts w:hint="cs"/>
          <w:rtl/>
        </w:rPr>
        <w:t>ذاتية و</w:t>
      </w:r>
      <w:r w:rsidR="00A710C8">
        <w:rPr>
          <w:rFonts w:hint="cs"/>
          <w:rtl/>
        </w:rPr>
        <w:t>مستدامة في المجالات التالية على أساس مستمر</w:t>
      </w:r>
      <w:r w:rsidR="00876236">
        <w:rPr>
          <w:rFonts w:hint="cs"/>
          <w:rtl/>
        </w:rPr>
        <w:t>:</w:t>
      </w:r>
    </w:p>
    <w:p w:rsidR="00A710C8" w:rsidRDefault="006A02A2" w:rsidP="00876236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A710C8">
        <w:rPr>
          <w:rFonts w:hint="cs"/>
          <w:rtl/>
          <w:lang w:bidi="ar-EG"/>
        </w:rPr>
        <w:t xml:space="preserve">أنشطة </w:t>
      </w:r>
      <w:r w:rsidR="00876236">
        <w:rPr>
          <w:rFonts w:hint="cs"/>
          <w:rtl/>
          <w:lang w:bidi="ar-EG"/>
        </w:rPr>
        <w:t>ل</w:t>
      </w:r>
      <w:r w:rsidR="00A710C8">
        <w:rPr>
          <w:rFonts w:hint="cs"/>
          <w:rtl/>
          <w:lang w:bidi="ar-EG"/>
        </w:rPr>
        <w:t>وقف التدخين باستخدام المطاريف المتنقلة؛</w:t>
      </w:r>
    </w:p>
    <w:p w:rsidR="006A02A2" w:rsidRDefault="006A02A2" w:rsidP="00876236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3F536B">
        <w:rPr>
          <w:rFonts w:hint="cs"/>
          <w:rtl/>
          <w:lang w:bidi="ar-EG"/>
        </w:rPr>
        <w:t>الحد من الأمراض غير المعدية باستخدام المطاريف المتنقلة</w:t>
      </w:r>
      <w:r>
        <w:rPr>
          <w:rFonts w:hint="cs"/>
          <w:rtl/>
        </w:rPr>
        <w:t>؛</w:t>
      </w:r>
    </w:p>
    <w:p w:rsidR="007B1779" w:rsidRDefault="006A02A2" w:rsidP="00876236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3F536B">
        <w:rPr>
          <w:rFonts w:hint="cs"/>
          <w:rtl/>
          <w:lang w:bidi="ar-EG"/>
        </w:rPr>
        <w:t>دعم النساء والأطفال المستخدمين لتكنولوجيا المعلومات والاتصالات؛</w:t>
      </w:r>
    </w:p>
    <w:p w:rsidR="007B1779" w:rsidRPr="007B1779" w:rsidRDefault="007B1779" w:rsidP="00876236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  <w:t>التصدي للأمراض المعدية والوقاية من الأوبئة باستخدام تكنولوجيا المعلومات والاتصالات؛</w:t>
      </w:r>
    </w:p>
    <w:p w:rsidR="006A02A2" w:rsidRPr="006A02A2" w:rsidRDefault="006A02A2" w:rsidP="00F80E6A">
      <w:pPr>
        <w:rPr>
          <w:b/>
          <w:bCs/>
          <w:rtl/>
        </w:rPr>
      </w:pPr>
      <w:r>
        <w:t>2</w:t>
      </w:r>
      <w:r w:rsidRPr="006A02A2">
        <w:rPr>
          <w:rtl/>
        </w:rPr>
        <w:tab/>
      </w:r>
      <w:r w:rsidR="007B1779">
        <w:rPr>
          <w:rFonts w:hint="cs"/>
          <w:rtl/>
        </w:rPr>
        <w:t>العمل سوياً مع منظمة الصحة العالمية لمساعدة الدول الأعضاء على وضع سياسة ومبادئ توجيهية في مجال الصحة الإلكترونية لتشجيع قبول</w:t>
      </w:r>
      <w:r w:rsidR="00F80E6A">
        <w:rPr>
          <w:rFonts w:hint="cs"/>
          <w:rtl/>
        </w:rPr>
        <w:t>ها</w:t>
      </w:r>
      <w:r w:rsidR="007B1779">
        <w:rPr>
          <w:rFonts w:hint="cs"/>
          <w:rtl/>
        </w:rPr>
        <w:t xml:space="preserve"> اجتماعياً </w:t>
      </w:r>
      <w:r w:rsidR="00F80E6A">
        <w:rPr>
          <w:rFonts w:hint="cs"/>
          <w:rtl/>
        </w:rPr>
        <w:t>وتطبيقها</w:t>
      </w:r>
      <w:r w:rsidR="007B1779">
        <w:rPr>
          <w:rFonts w:hint="cs"/>
          <w:rtl/>
        </w:rPr>
        <w:t xml:space="preserve"> تطبيقاً ذاتياً ومستداماً</w:t>
      </w:r>
      <w:r>
        <w:rPr>
          <w:rFonts w:hint="cs"/>
          <w:rtl/>
        </w:rPr>
        <w:t>؛</w:t>
      </w:r>
    </w:p>
    <w:p w:rsidR="006A02A2" w:rsidRPr="006A02A2" w:rsidRDefault="006A02A2" w:rsidP="007B1779">
      <w:pPr>
        <w:rPr>
          <w:b/>
          <w:bCs/>
          <w:rtl/>
        </w:rPr>
      </w:pPr>
      <w:r>
        <w:t>3</w:t>
      </w:r>
      <w:r w:rsidRPr="006A02A2">
        <w:rPr>
          <w:rtl/>
        </w:rPr>
        <w:tab/>
      </w:r>
      <w:r w:rsidR="007B1779">
        <w:rPr>
          <w:rFonts w:hint="cs"/>
          <w:rtl/>
        </w:rPr>
        <w:t>العمل سوياً مع منظمة الصحة العالمية لتشجيع تقييس الصحة الإلكترونية في البلدان النامية</w:t>
      </w:r>
      <w:r>
        <w:rPr>
          <w:rFonts w:hint="cs"/>
          <w:rtl/>
        </w:rPr>
        <w:t>؛</w:t>
      </w:r>
    </w:p>
    <w:p w:rsidR="006A02A2" w:rsidRPr="006A02A2" w:rsidRDefault="006A02A2" w:rsidP="00774AF1">
      <w:pPr>
        <w:rPr>
          <w:b/>
          <w:bCs/>
          <w:rtl/>
        </w:rPr>
      </w:pPr>
      <w:r>
        <w:t>4</w:t>
      </w:r>
      <w:r w:rsidRPr="006A02A2">
        <w:rPr>
          <w:rtl/>
        </w:rPr>
        <w:tab/>
      </w:r>
      <w:r w:rsidR="007B1779">
        <w:rPr>
          <w:rFonts w:hint="cs"/>
          <w:rtl/>
        </w:rPr>
        <w:t xml:space="preserve">العمل </w:t>
      </w:r>
      <w:r w:rsidR="00D4193A">
        <w:rPr>
          <w:rFonts w:hint="cs"/>
          <w:rtl/>
        </w:rPr>
        <w:t xml:space="preserve">سوياً </w:t>
      </w:r>
      <w:r w:rsidR="007B1779">
        <w:rPr>
          <w:rFonts w:hint="cs"/>
          <w:rtl/>
        </w:rPr>
        <w:t>مع منظمة الصحة العالمية في إطار الجهود لتقديم الدعم المالي والتقني لتنفيذ مشاريع رائدة في</w:t>
      </w:r>
      <w:r w:rsidR="00774AF1">
        <w:rPr>
          <w:rFonts w:hint="eastAsia"/>
          <w:rtl/>
        </w:rPr>
        <w:t> </w:t>
      </w:r>
      <w:r w:rsidR="007B1779">
        <w:rPr>
          <w:rFonts w:hint="cs"/>
          <w:rtl/>
        </w:rPr>
        <w:t>مجال الصحة الإلكترونية في البلدان النامية</w:t>
      </w:r>
      <w:r>
        <w:rPr>
          <w:rFonts w:hint="cs"/>
          <w:rtl/>
        </w:rPr>
        <w:t>؛</w:t>
      </w:r>
    </w:p>
    <w:p w:rsidR="006A02A2" w:rsidRPr="006A02A2" w:rsidRDefault="006A02A2" w:rsidP="00D4193A">
      <w:pPr>
        <w:rPr>
          <w:b/>
          <w:bCs/>
          <w:rtl/>
        </w:rPr>
      </w:pPr>
      <w:r>
        <w:t>5</w:t>
      </w:r>
      <w:r w:rsidRPr="006A02A2">
        <w:rPr>
          <w:rtl/>
        </w:rPr>
        <w:tab/>
      </w:r>
      <w:r w:rsidR="007B1779">
        <w:rPr>
          <w:rFonts w:hint="cs"/>
          <w:rtl/>
        </w:rPr>
        <w:t xml:space="preserve">العمل </w:t>
      </w:r>
      <w:r w:rsidR="00D4193A">
        <w:rPr>
          <w:rFonts w:hint="cs"/>
          <w:rtl/>
        </w:rPr>
        <w:t xml:space="preserve">سوياً </w:t>
      </w:r>
      <w:r w:rsidR="007B1779">
        <w:rPr>
          <w:rFonts w:hint="cs"/>
          <w:rtl/>
        </w:rPr>
        <w:t>مع منظمة الصحة العالمية لتجميع نتائج مشاريع وتقارير الصحة الإلكترونية بشأن الدروس المستفادة على أساس</w:t>
      </w:r>
      <w:r w:rsidR="00774AF1">
        <w:rPr>
          <w:rFonts w:hint="eastAsia"/>
          <w:rtl/>
        </w:rPr>
        <w:t> </w:t>
      </w:r>
      <w:r w:rsidR="007B1779">
        <w:rPr>
          <w:rFonts w:hint="cs"/>
          <w:rtl/>
        </w:rPr>
        <w:t>منتظم</w:t>
      </w:r>
      <w:r>
        <w:rPr>
          <w:rFonts w:hint="cs"/>
          <w:rtl/>
        </w:rPr>
        <w:t>؛</w:t>
      </w:r>
    </w:p>
    <w:p w:rsidR="006A02A2" w:rsidRPr="006A02A2" w:rsidRDefault="006A02A2" w:rsidP="007B1779">
      <w:pPr>
        <w:rPr>
          <w:b/>
          <w:bCs/>
          <w:rtl/>
          <w:lang w:bidi="ar-EG"/>
        </w:rPr>
      </w:pPr>
      <w:r>
        <w:t>6</w:t>
      </w:r>
      <w:r w:rsidRPr="006A02A2">
        <w:rPr>
          <w:rtl/>
        </w:rPr>
        <w:tab/>
      </w:r>
      <w:r w:rsidR="007B1779">
        <w:rPr>
          <w:rFonts w:hint="cs"/>
          <w:rtl/>
        </w:rPr>
        <w:t>العمل مع قطاعي تقييس الاتصالات والاتصالات الراديوية في الاتحاد من أجل تشجيع الصحة الإلكترونية في</w:t>
      </w:r>
      <w:r w:rsidR="00774AF1">
        <w:rPr>
          <w:rFonts w:hint="eastAsia"/>
          <w:rtl/>
        </w:rPr>
        <w:t> </w:t>
      </w:r>
      <w:r w:rsidR="007B1779">
        <w:rPr>
          <w:rFonts w:hint="cs"/>
          <w:rtl/>
        </w:rPr>
        <w:t>البلدان النامية بالتركيز على تقييس الصحة الإلكترونية والمسائل التقنية ذات الصلة</w:t>
      </w:r>
      <w:r>
        <w:rPr>
          <w:rFonts w:hint="cs"/>
          <w:rtl/>
          <w:lang w:bidi="ar-EG"/>
        </w:rPr>
        <w:t>،</w:t>
      </w:r>
    </w:p>
    <w:p w:rsidR="006A02A2" w:rsidRPr="00E53848" w:rsidRDefault="007B1779" w:rsidP="006A02A2">
      <w:pPr>
        <w:pStyle w:val="Call"/>
        <w:rPr>
          <w:rtl/>
        </w:rPr>
      </w:pPr>
      <w:r>
        <w:rPr>
          <w:rFonts w:hint="cs"/>
          <w:rtl/>
        </w:rPr>
        <w:t>يدعو</w:t>
      </w:r>
    </w:p>
    <w:p w:rsidR="006A02A2" w:rsidRPr="006A02A2" w:rsidRDefault="006A02A2" w:rsidP="00876236">
      <w:pPr>
        <w:rPr>
          <w:b/>
          <w:bCs/>
          <w:rtl/>
        </w:rPr>
      </w:pPr>
      <w:r>
        <w:t>1</w:t>
      </w:r>
      <w:r w:rsidRPr="006A02A2">
        <w:rPr>
          <w:rtl/>
        </w:rPr>
        <w:tab/>
      </w:r>
      <w:r w:rsidR="007B1779">
        <w:rPr>
          <w:rFonts w:hint="cs"/>
          <w:rtl/>
        </w:rPr>
        <w:t xml:space="preserve">الدول الأعضاء إلى التعاون مع قطاع </w:t>
      </w:r>
      <w:r w:rsidR="00876236">
        <w:rPr>
          <w:rFonts w:hint="cs"/>
          <w:rtl/>
        </w:rPr>
        <w:t>الرع</w:t>
      </w:r>
      <w:r w:rsidR="007F0B53">
        <w:rPr>
          <w:rFonts w:hint="cs"/>
          <w:rtl/>
        </w:rPr>
        <w:t>ا</w:t>
      </w:r>
      <w:r w:rsidR="00876236">
        <w:rPr>
          <w:rFonts w:hint="cs"/>
          <w:rtl/>
        </w:rPr>
        <w:t xml:space="preserve">ية الصحية </w:t>
      </w:r>
      <w:r w:rsidR="007B1779">
        <w:rPr>
          <w:rFonts w:hint="cs"/>
          <w:rtl/>
        </w:rPr>
        <w:t>من أجل توفير آليات للدعم المالي اللازم لخدمات الصحة الإلكترونية المستدامة</w:t>
      </w:r>
      <w:r>
        <w:rPr>
          <w:rFonts w:hint="cs"/>
          <w:rtl/>
        </w:rPr>
        <w:t>؛</w:t>
      </w:r>
    </w:p>
    <w:p w:rsidR="006A02A2" w:rsidRPr="006A02A2" w:rsidRDefault="006A02A2" w:rsidP="00876236">
      <w:pPr>
        <w:rPr>
          <w:b/>
          <w:bCs/>
          <w:rtl/>
        </w:rPr>
      </w:pPr>
      <w:r>
        <w:t>2</w:t>
      </w:r>
      <w:r w:rsidRPr="006A02A2">
        <w:rPr>
          <w:rtl/>
        </w:rPr>
        <w:tab/>
      </w:r>
      <w:r w:rsidR="00986CF4" w:rsidRPr="00034612">
        <w:rPr>
          <w:rFonts w:hint="cs"/>
          <w:rtl/>
        </w:rPr>
        <w:t>المؤسسات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المالية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الدولية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والوكالات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المانحة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إلى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المساعدة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على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تطوير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تطبيقات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الصحة</w:t>
      </w:r>
      <w:r w:rsidR="00986CF4" w:rsidRPr="00034612">
        <w:rPr>
          <w:rtl/>
        </w:rPr>
        <w:t xml:space="preserve"> </w:t>
      </w:r>
      <w:r w:rsidR="00986CF4" w:rsidRPr="00034612">
        <w:rPr>
          <w:rFonts w:hint="cs"/>
          <w:rtl/>
        </w:rPr>
        <w:t>الإلكترونية</w:t>
      </w:r>
      <w:r w:rsidR="00F80E6A">
        <w:rPr>
          <w:rFonts w:hint="cs"/>
          <w:rtl/>
        </w:rPr>
        <w:t xml:space="preserve"> ومشاريعها </w:t>
      </w:r>
      <w:r w:rsidR="00986CF4" w:rsidRPr="00034612">
        <w:rPr>
          <w:rFonts w:hint="cs"/>
          <w:rtl/>
        </w:rPr>
        <w:t>في</w:t>
      </w:r>
      <w:r w:rsidR="00876236">
        <w:rPr>
          <w:rFonts w:hint="cs"/>
          <w:rtl/>
        </w:rPr>
        <w:t> </w:t>
      </w:r>
      <w:r w:rsidR="00986CF4" w:rsidRPr="00034612">
        <w:rPr>
          <w:rFonts w:hint="cs"/>
          <w:rtl/>
        </w:rPr>
        <w:t>البلدان</w:t>
      </w:r>
      <w:r w:rsidR="00774AF1">
        <w:rPr>
          <w:rFonts w:hint="eastAsia"/>
          <w:rtl/>
        </w:rPr>
        <w:t> </w:t>
      </w:r>
      <w:r w:rsidR="00986CF4" w:rsidRPr="00034612">
        <w:rPr>
          <w:rFonts w:hint="cs"/>
          <w:rtl/>
        </w:rPr>
        <w:t>النامية</w:t>
      </w:r>
      <w:r w:rsidR="00F80E6A">
        <w:rPr>
          <w:rFonts w:hint="cs"/>
          <w:rtl/>
        </w:rPr>
        <w:t>.</w:t>
      </w:r>
    </w:p>
    <w:p w:rsidR="007B1779" w:rsidRDefault="00C240FB" w:rsidP="00774AF1">
      <w:pPr>
        <w:pStyle w:val="Reasons"/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الأسباب:</w:t>
      </w:r>
    </w:p>
    <w:p w:rsidR="00C26B4D" w:rsidRPr="007B1779" w:rsidRDefault="007B1779" w:rsidP="00774AF1">
      <w:pPr>
        <w:pStyle w:val="Reasons"/>
        <w:keepNext/>
        <w:keepLines/>
        <w:rPr>
          <w:b w:val="0"/>
          <w:bCs w:val="0"/>
          <w:rtl/>
          <w:lang w:bidi="ar-EG"/>
        </w:rPr>
      </w:pPr>
      <w:r w:rsidRPr="007B1779">
        <w:rPr>
          <w:rFonts w:hint="cs"/>
          <w:b w:val="0"/>
          <w:bCs w:val="0"/>
          <w:rtl/>
          <w:lang w:bidi="ar-EG"/>
        </w:rPr>
        <w:t xml:space="preserve">يهدف هذا القرار </w:t>
      </w:r>
      <w:r w:rsidR="00876236">
        <w:rPr>
          <w:rFonts w:hint="cs"/>
          <w:b w:val="0"/>
          <w:bCs w:val="0"/>
          <w:rtl/>
          <w:lang w:bidi="ar-EG"/>
        </w:rPr>
        <w:t xml:space="preserve">الجديد </w:t>
      </w:r>
      <w:r w:rsidRPr="007B1779">
        <w:rPr>
          <w:rFonts w:hint="cs"/>
          <w:b w:val="0"/>
          <w:bCs w:val="0"/>
          <w:rtl/>
          <w:lang w:bidi="ar-EG"/>
        </w:rPr>
        <w:t>إلى مناشدة مكتب تنمية الاتصالات التعاون مع منظمة الصحة العالمية فيما يخص الصحة الإلكترونية، ولا</w:t>
      </w:r>
      <w:r w:rsidR="00876236">
        <w:rPr>
          <w:rFonts w:hint="eastAsia"/>
          <w:b w:val="0"/>
          <w:bCs w:val="0"/>
          <w:rtl/>
          <w:lang w:bidi="ar-EG"/>
        </w:rPr>
        <w:t> </w:t>
      </w:r>
      <w:r w:rsidRPr="007B1779">
        <w:rPr>
          <w:rFonts w:hint="cs"/>
          <w:b w:val="0"/>
          <w:bCs w:val="0"/>
          <w:rtl/>
          <w:lang w:bidi="ar-EG"/>
        </w:rPr>
        <w:t>سيما في المجالات التالية</w:t>
      </w:r>
      <w:r w:rsidR="006A02A2" w:rsidRPr="007B1779">
        <w:rPr>
          <w:rFonts w:hint="cs"/>
          <w:b w:val="0"/>
          <w:bCs w:val="0"/>
          <w:rtl/>
          <w:lang w:bidi="ar-EG"/>
        </w:rPr>
        <w:t>:</w:t>
      </w:r>
    </w:p>
    <w:p w:rsidR="007B1779" w:rsidRDefault="006A02A2" w:rsidP="00774AF1">
      <w:pPr>
        <w:pStyle w:val="enumlev1"/>
        <w:keepNext/>
        <w:keepLines/>
        <w:rPr>
          <w:rtl/>
        </w:rPr>
      </w:pPr>
      <w:r>
        <w:rPr>
          <w:rtl/>
        </w:rPr>
        <w:t>•</w:t>
      </w:r>
      <w:r>
        <w:rPr>
          <w:rFonts w:hint="cs"/>
          <w:rtl/>
        </w:rPr>
        <w:tab/>
      </w:r>
      <w:r w:rsidR="007B1779">
        <w:rPr>
          <w:rFonts w:hint="cs"/>
          <w:rtl/>
          <w:lang w:bidi="ar-EG"/>
        </w:rPr>
        <w:t xml:space="preserve">أنشطة </w:t>
      </w:r>
      <w:r w:rsidR="00876236">
        <w:rPr>
          <w:rFonts w:hint="cs"/>
          <w:rtl/>
          <w:lang w:bidi="ar-EG"/>
        </w:rPr>
        <w:t>ل</w:t>
      </w:r>
      <w:r w:rsidR="007B1779">
        <w:rPr>
          <w:rFonts w:hint="cs"/>
          <w:rtl/>
          <w:lang w:bidi="ar-EG"/>
        </w:rPr>
        <w:t>وقف التدخين باستخدام المطاريف المتنقلة؛</w:t>
      </w:r>
    </w:p>
    <w:p w:rsidR="007B1779" w:rsidRDefault="00AB5DC0" w:rsidP="00774AF1">
      <w:pPr>
        <w:pStyle w:val="enumlev1"/>
        <w:keepNext/>
        <w:keepLines/>
        <w:rPr>
          <w:rtl/>
        </w:rPr>
      </w:pPr>
      <w:r>
        <w:rPr>
          <w:rtl/>
        </w:rPr>
        <w:t>•</w:t>
      </w:r>
      <w:r>
        <w:rPr>
          <w:rtl/>
        </w:rPr>
        <w:tab/>
      </w:r>
      <w:r w:rsidR="007B1779">
        <w:rPr>
          <w:rFonts w:hint="cs"/>
          <w:rtl/>
          <w:lang w:bidi="ar-EG"/>
        </w:rPr>
        <w:t>الحد من الأمراض غير المعدية باستخدام المطاريف المتنقلة</w:t>
      </w:r>
      <w:r w:rsidR="007B1779">
        <w:rPr>
          <w:rFonts w:hint="cs"/>
          <w:rtl/>
        </w:rPr>
        <w:t>؛</w:t>
      </w:r>
    </w:p>
    <w:p w:rsidR="007B1779" w:rsidRDefault="00AB5DC0" w:rsidP="00876236">
      <w:pPr>
        <w:pStyle w:val="enumlev1"/>
        <w:rPr>
          <w:rtl/>
          <w:lang w:bidi="ar-EG"/>
        </w:rPr>
      </w:pPr>
      <w:r>
        <w:rPr>
          <w:rtl/>
        </w:rPr>
        <w:t>•</w:t>
      </w:r>
      <w:r w:rsidR="007B1779">
        <w:rPr>
          <w:rFonts w:hint="cs"/>
          <w:rtl/>
          <w:lang w:bidi="ar-EG"/>
        </w:rPr>
        <w:tab/>
        <w:t>دعم النساء والأطفال المستخدمين لتكنولوجيا المعلومات والاتصالات؛</w:t>
      </w:r>
    </w:p>
    <w:p w:rsidR="007B1779" w:rsidRPr="007B1779" w:rsidRDefault="00AB5DC0" w:rsidP="00876236">
      <w:pPr>
        <w:pStyle w:val="enumlev1"/>
        <w:rPr>
          <w:rtl/>
          <w:lang w:bidi="ar-EG"/>
        </w:rPr>
      </w:pPr>
      <w:r>
        <w:rPr>
          <w:rtl/>
        </w:rPr>
        <w:t>•</w:t>
      </w:r>
      <w:r w:rsidR="007B1779">
        <w:rPr>
          <w:rFonts w:hint="cs"/>
          <w:rtl/>
          <w:lang w:bidi="ar-EG"/>
        </w:rPr>
        <w:tab/>
        <w:t>التصدي للأمراض المعدية والوقاية من الأوبئة باستخدام تكنولوجيا المعلومات والاتصالات</w:t>
      </w:r>
      <w:r>
        <w:rPr>
          <w:rFonts w:hint="cs"/>
          <w:rtl/>
          <w:lang w:bidi="ar-EG"/>
        </w:rPr>
        <w:t>.</w:t>
      </w:r>
    </w:p>
    <w:p w:rsidR="006A02A2" w:rsidRDefault="00AB5DC0" w:rsidP="006A02A2">
      <w:pPr>
        <w:rPr>
          <w:rtl/>
          <w:lang w:bidi="ar-EG"/>
        </w:rPr>
      </w:pPr>
      <w:r>
        <w:rPr>
          <w:rFonts w:hint="cs"/>
          <w:rtl/>
          <w:lang w:bidi="ar-EG"/>
        </w:rPr>
        <w:t>ويناشد مكتب تنمية الاتصالات أيضاً</w:t>
      </w:r>
      <w:r w:rsidR="00986CF4">
        <w:rPr>
          <w:rFonts w:hint="cs"/>
          <w:rtl/>
          <w:lang w:bidi="ar-EG"/>
        </w:rPr>
        <w:t>:</w:t>
      </w:r>
    </w:p>
    <w:p w:rsidR="00986CF4" w:rsidRDefault="00986CF4" w:rsidP="00AF7D1A">
      <w:pPr>
        <w:pStyle w:val="enumlev1"/>
        <w:rPr>
          <w:rtl/>
        </w:rPr>
      </w:pPr>
      <w:r>
        <w:rPr>
          <w:rtl/>
        </w:rPr>
        <w:t>•</w:t>
      </w:r>
      <w:r>
        <w:rPr>
          <w:rFonts w:hint="cs"/>
          <w:rtl/>
        </w:rPr>
        <w:tab/>
      </w:r>
      <w:r w:rsidR="00AB5DC0">
        <w:rPr>
          <w:rFonts w:hint="cs"/>
          <w:rtl/>
        </w:rPr>
        <w:t>دعم وتشجيع الصحة الإلكترونية بين البلدان النامية على وجه الخصوص بغية تحقيق أهداف التنمية</w:t>
      </w:r>
      <w:r w:rsidR="00AF7D1A">
        <w:rPr>
          <w:rFonts w:hint="eastAsia"/>
          <w:rtl/>
        </w:rPr>
        <w:t> </w:t>
      </w:r>
      <w:r w:rsidR="00AB5DC0">
        <w:rPr>
          <w:rFonts w:hint="cs"/>
          <w:rtl/>
        </w:rPr>
        <w:t>المستدامة</w:t>
      </w:r>
      <w:r>
        <w:rPr>
          <w:rFonts w:hint="cs"/>
          <w:rtl/>
        </w:rPr>
        <w:t>؛</w:t>
      </w:r>
    </w:p>
    <w:p w:rsidR="00986CF4" w:rsidRDefault="00986CF4" w:rsidP="00876236">
      <w:pPr>
        <w:pStyle w:val="enumlev1"/>
        <w:rPr>
          <w:rtl/>
        </w:rPr>
      </w:pPr>
      <w:r>
        <w:rPr>
          <w:rtl/>
        </w:rPr>
        <w:t>•</w:t>
      </w:r>
      <w:r>
        <w:rPr>
          <w:rFonts w:hint="cs"/>
          <w:rtl/>
        </w:rPr>
        <w:tab/>
      </w:r>
      <w:r w:rsidR="00AB5DC0">
        <w:rPr>
          <w:rFonts w:hint="cs"/>
          <w:rtl/>
        </w:rPr>
        <w:t>دعم إعداد نظام قانوني وحلول اقتصادية للصحة الإلكترونية في البلدان النامية</w:t>
      </w:r>
      <w:r>
        <w:rPr>
          <w:rFonts w:hint="cs"/>
          <w:rtl/>
        </w:rPr>
        <w:t>؛</w:t>
      </w:r>
    </w:p>
    <w:p w:rsidR="00986CF4" w:rsidRDefault="00986CF4" w:rsidP="00876236">
      <w:pPr>
        <w:pStyle w:val="enumlev1"/>
        <w:rPr>
          <w:rtl/>
        </w:rPr>
      </w:pPr>
      <w:r>
        <w:rPr>
          <w:rtl/>
        </w:rPr>
        <w:t>•</w:t>
      </w:r>
      <w:r>
        <w:rPr>
          <w:rFonts w:hint="cs"/>
          <w:rtl/>
        </w:rPr>
        <w:tab/>
      </w:r>
      <w:r w:rsidR="00AB5DC0">
        <w:rPr>
          <w:rFonts w:hint="cs"/>
          <w:rtl/>
        </w:rPr>
        <w:t>تقديم البلدان المتقدمة الدعم المالي والتقني من أجل تعميم المشاريع الرائدة في مجال الصحة الإلكترونية في</w:t>
      </w:r>
      <w:r w:rsidR="00AF7D1A">
        <w:rPr>
          <w:rFonts w:hint="eastAsia"/>
          <w:rtl/>
        </w:rPr>
        <w:t> </w:t>
      </w:r>
      <w:r w:rsidR="00AB5DC0">
        <w:rPr>
          <w:rFonts w:hint="cs"/>
          <w:rtl/>
        </w:rPr>
        <w:t xml:space="preserve">البلدان النامية </w:t>
      </w:r>
      <w:r w:rsidR="00D4193A">
        <w:rPr>
          <w:rFonts w:hint="cs"/>
          <w:rtl/>
        </w:rPr>
        <w:t>لتحقيق</w:t>
      </w:r>
      <w:r w:rsidR="00AB5DC0">
        <w:rPr>
          <w:rFonts w:hint="cs"/>
          <w:rtl/>
        </w:rPr>
        <w:t xml:space="preserve"> الفعالية الاجتماعية؛</w:t>
      </w:r>
    </w:p>
    <w:p w:rsidR="00AB5DC0" w:rsidRDefault="00AB5DC0" w:rsidP="00876236">
      <w:pPr>
        <w:pStyle w:val="enumlev1"/>
        <w:rPr>
          <w:rtl/>
          <w:lang w:bidi="ar-EG"/>
        </w:rPr>
      </w:pPr>
      <w:r>
        <w:rPr>
          <w:rtl/>
        </w:rPr>
        <w:t>•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دعم إقامة أعمال جديدة من خلال الاستعمال </w:t>
      </w:r>
      <w:r w:rsidR="00F80E6A">
        <w:rPr>
          <w:rFonts w:hint="cs"/>
          <w:rtl/>
          <w:lang w:bidi="ar-EG"/>
        </w:rPr>
        <w:t>التام</w:t>
      </w:r>
      <w:r>
        <w:rPr>
          <w:rFonts w:hint="cs"/>
          <w:rtl/>
          <w:lang w:bidi="ar-EG"/>
        </w:rPr>
        <w:t xml:space="preserve"> لتكنولوجيا</w:t>
      </w:r>
      <w:r w:rsidR="00876236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 المعلومات والاتصالات الناشئة مثل </w:t>
      </w:r>
      <w:r w:rsidR="00876236">
        <w:rPr>
          <w:rFonts w:hint="cs"/>
          <w:rtl/>
          <w:lang w:bidi="ar-EG"/>
        </w:rPr>
        <w:t>الذكاء الاصطناعي </w:t>
      </w:r>
      <w:proofErr w:type="gramStart"/>
      <w:r w:rsidR="00876236">
        <w:rPr>
          <w:rFonts w:hint="cs"/>
          <w:rtl/>
          <w:lang w:bidi="ar-EG"/>
        </w:rPr>
        <w:t>- التعلم</w:t>
      </w:r>
      <w:proofErr w:type="gramEnd"/>
      <w:r w:rsidR="00876236">
        <w:rPr>
          <w:rFonts w:hint="cs"/>
          <w:rtl/>
          <w:lang w:bidi="ar-EG"/>
        </w:rPr>
        <w:t xml:space="preserve"> المتعمق </w:t>
      </w:r>
      <w:r>
        <w:rPr>
          <w:rFonts w:hint="cs"/>
          <w:rtl/>
          <w:lang w:bidi="ar-EG"/>
        </w:rPr>
        <w:t xml:space="preserve">والبيانات الضخمة الطبية </w:t>
      </w:r>
      <w:r w:rsidR="00876236">
        <w:rPr>
          <w:rFonts w:hint="cs"/>
          <w:rtl/>
          <w:lang w:bidi="ar-EG"/>
        </w:rPr>
        <w:t xml:space="preserve">حيثما ترتبط </w:t>
      </w:r>
      <w:r>
        <w:rPr>
          <w:rFonts w:hint="cs"/>
          <w:rtl/>
          <w:lang w:bidi="ar-EG"/>
        </w:rPr>
        <w:t>بالصحة الإلكترونية.</w:t>
      </w:r>
    </w:p>
    <w:p w:rsidR="00876236" w:rsidRPr="00876236" w:rsidRDefault="00876236" w:rsidP="00876236">
      <w:pPr>
        <w:pStyle w:val="Reasons"/>
        <w:rPr>
          <w:rFonts w:hint="cs"/>
          <w:rtl/>
          <w:lang w:bidi="ar-EG"/>
        </w:rPr>
      </w:pPr>
    </w:p>
    <w:p w:rsidR="00986CF4" w:rsidRPr="006A02A2" w:rsidRDefault="00986CF4" w:rsidP="00986CF4">
      <w:pPr>
        <w:spacing w:before="600"/>
        <w:jc w:val="center"/>
        <w:rPr>
          <w:lang w:bidi="ar-EG"/>
        </w:rPr>
      </w:pPr>
      <w:r>
        <w:rPr>
          <w:rtl/>
          <w:lang w:bidi="ar-EG"/>
        </w:rPr>
        <w:t>___________</w:t>
      </w:r>
    </w:p>
    <w:sectPr w:rsidR="00986CF4" w:rsidRPr="006A02A2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DB" w:rsidRDefault="00D533DB" w:rsidP="00E07379">
      <w:pPr>
        <w:spacing w:before="0" w:line="240" w:lineRule="auto"/>
      </w:pPr>
      <w:r>
        <w:separator/>
      </w:r>
    </w:p>
  </w:endnote>
  <w:endnote w:type="continuationSeparator" w:id="0">
    <w:p w:rsidR="00D533DB" w:rsidRDefault="00D533DB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2D4DD1" w:rsidRDefault="002D4DD1" w:rsidP="00003635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021A3D">
      <w:rPr>
        <w:rFonts w:cs="Times New Roman"/>
        <w:noProof/>
        <w:sz w:val="16"/>
        <w:szCs w:val="16"/>
      </w:rPr>
      <w:t>P:\ARA\ITU-D\CONF-D\WTDC17\000\022ADD06A 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>
      <w:rPr>
        <w:rFonts w:cs="Times New Roman"/>
        <w:sz w:val="16"/>
        <w:szCs w:val="16"/>
      </w:rPr>
      <w:t>   </w:t>
    </w:r>
    <w:r w:rsidRPr="002D4DD1">
      <w:rPr>
        <w:rFonts w:cs="Times New Roman"/>
        <w:sz w:val="16"/>
        <w:szCs w:val="16"/>
      </w:rPr>
      <w:t>(</w:t>
    </w:r>
    <w:r w:rsidR="00003635">
      <w:rPr>
        <w:rFonts w:cs="Times New Roman" w:hint="cs"/>
        <w:sz w:val="16"/>
        <w:szCs w:val="16"/>
        <w:rtl/>
      </w:rPr>
      <w:t>423546</w:t>
    </w:r>
    <w:r w:rsidRPr="002D4DD1">
      <w:rPr>
        <w:rFonts w:cs="Times New Roman"/>
        <w:sz w:val="16"/>
        <w:szCs w:val="16"/>
      </w:rPr>
      <w:t>)</w:t>
    </w:r>
    <w:r w:rsidR="002F0028" w:rsidRPr="002D4DD1">
      <w:rPr>
        <w:rFonts w:cs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186911" w:rsidRPr="00186911" w:rsidTr="00186911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186911" w:rsidRDefault="00186911" w:rsidP="007F0B53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186911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186911" w:rsidRDefault="00186911" w:rsidP="007F0B53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186911" w:rsidRPr="00186911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 w:rsidRPr="007F0B53">
            <w:rPr>
              <w:sz w:val="20"/>
              <w:szCs w:val="26"/>
              <w:lang w:val="en-GB"/>
            </w:rPr>
            <w:t>Mr Yoshiaki Nagaya</w:t>
          </w:r>
          <w:r>
            <w:rPr>
              <w:rFonts w:hint="cs"/>
              <w:sz w:val="20"/>
              <w:szCs w:val="26"/>
              <w:rtl/>
              <w:lang w:val="en-GB"/>
            </w:rPr>
            <w:t>، اليابان</w:t>
          </w:r>
        </w:p>
      </w:tc>
    </w:tr>
    <w:tr w:rsidR="00186911" w:rsidRPr="00186911" w:rsidTr="00B604E1">
      <w:tc>
        <w:tcPr>
          <w:tcW w:w="1417" w:type="dxa"/>
          <w:tcBorders>
            <w:bottom w:val="single" w:sz="4" w:space="0" w:color="auto"/>
          </w:tcBorders>
        </w:tcPr>
        <w:p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tcBorders>
            <w:bottom w:val="single" w:sz="4" w:space="0" w:color="auto"/>
          </w:tcBorders>
          <w:hideMark/>
        </w:tcPr>
        <w:p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  <w:tcBorders>
            <w:bottom w:val="single" w:sz="4" w:space="0" w:color="auto"/>
          </w:tcBorders>
        </w:tcPr>
        <w:p w:rsidR="00186911" w:rsidRPr="00186911" w:rsidRDefault="00C240FB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rtl/>
              <w:lang w:val="en-GB" w:bidi="ar-EG"/>
            </w:rPr>
          </w:pPr>
          <w:hyperlink r:id="rId1" w:history="1">
            <w:r w:rsidR="007F0B53" w:rsidRPr="007F0B53">
              <w:rPr>
                <w:rStyle w:val="Hyperlink"/>
                <w:rFonts w:ascii="Calibri" w:hAnsi="Calibri"/>
                <w:sz w:val="20"/>
                <w:szCs w:val="26"/>
                <w:lang w:val="en-GB"/>
              </w:rPr>
              <w:t>y.nagaya@soumu.go.jp</w:t>
            </w:r>
          </w:hyperlink>
        </w:p>
      </w:tc>
    </w:tr>
    <w:tr w:rsidR="007F0B53" w:rsidRPr="00186911" w:rsidTr="00B604E1">
      <w:tc>
        <w:tcPr>
          <w:tcW w:w="1417" w:type="dxa"/>
          <w:tcBorders>
            <w:top w:val="single" w:sz="4" w:space="0" w:color="auto"/>
          </w:tcBorders>
          <w:shd w:val="clear" w:color="auto" w:fill="FFFFFF" w:themeFill="background1"/>
        </w:tcPr>
        <w:p w:rsidR="007F0B53" w:rsidRPr="00186911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7F0B53">
            <w:rPr>
              <w:rFonts w:hint="cs"/>
              <w:sz w:val="20"/>
              <w:szCs w:val="26"/>
              <w:rtl/>
              <w:lang w:val="en-GB"/>
            </w:rPr>
            <w:t>جهة ا</w:t>
          </w:r>
          <w:r w:rsidRPr="007F0B53">
            <w:rPr>
              <w:sz w:val="20"/>
              <w:szCs w:val="26"/>
              <w:rtl/>
              <w:lang w:val="en-GB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</w:tcBorders>
          <w:shd w:val="clear" w:color="auto" w:fill="FFFFFF" w:themeFill="background1"/>
          <w:hideMark/>
        </w:tcPr>
        <w:p w:rsidR="007F0B53" w:rsidRPr="007F0B53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bidi="ar-EG"/>
            </w:rPr>
          </w:pPr>
          <w:r w:rsidRPr="00186911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</w:tcBorders>
          <w:shd w:val="clear" w:color="auto" w:fill="FFFFFF" w:themeFill="background1"/>
        </w:tcPr>
        <w:p w:rsidR="007F0B53" w:rsidRPr="00186911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proofErr w:type="spellStart"/>
          <w:r w:rsidRPr="007F0B53">
            <w:rPr>
              <w:sz w:val="20"/>
              <w:szCs w:val="26"/>
              <w:lang w:val="en-GB"/>
            </w:rPr>
            <w:t>Prof.</w:t>
          </w:r>
          <w:proofErr w:type="spellEnd"/>
          <w:r w:rsidRPr="007F0B53">
            <w:rPr>
              <w:sz w:val="20"/>
              <w:szCs w:val="26"/>
              <w:lang w:val="en-GB"/>
            </w:rPr>
            <w:t xml:space="preserve"> Isao Nakajima</w:t>
          </w:r>
          <w:r>
            <w:rPr>
              <w:rFonts w:hint="cs"/>
              <w:sz w:val="20"/>
              <w:szCs w:val="26"/>
              <w:rtl/>
              <w:lang w:val="en-GB"/>
            </w:rPr>
            <w:t>، اليابان</w:t>
          </w:r>
        </w:p>
      </w:tc>
    </w:tr>
    <w:tr w:rsidR="007F0B53" w:rsidRPr="00186911" w:rsidTr="007F0B53">
      <w:tc>
        <w:tcPr>
          <w:tcW w:w="1417" w:type="dxa"/>
        </w:tcPr>
        <w:p w:rsidR="007F0B53" w:rsidRPr="00186911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7F0B53" w:rsidRPr="007F0B53" w:rsidRDefault="007F0B53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bidi="ar-EG"/>
            </w:rPr>
          </w:pPr>
          <w:r w:rsidRPr="00186911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7F0B53" w:rsidRPr="00186911" w:rsidRDefault="00C240FB" w:rsidP="007F0B5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hyperlink r:id="rId2" w:history="1">
            <w:r w:rsidR="007F0B53" w:rsidRPr="007F0B53">
              <w:rPr>
                <w:rStyle w:val="Hyperlink"/>
                <w:rFonts w:ascii="Calibri" w:hAnsi="Calibri"/>
                <w:sz w:val="20"/>
                <w:szCs w:val="26"/>
                <w:lang w:val="en-GB"/>
              </w:rPr>
              <w:t>jh1rnz@aol.com</w:t>
            </w:r>
          </w:hyperlink>
        </w:p>
      </w:tc>
    </w:tr>
  </w:tbl>
  <w:p w:rsidR="002D4DD1" w:rsidRPr="007F0B53" w:rsidRDefault="00C240FB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  <w:lang w:val="en-GB"/>
      </w:rPr>
    </w:pPr>
    <w:hyperlink r:id="rId3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DB" w:rsidRDefault="00D533DB" w:rsidP="00E07379">
      <w:pPr>
        <w:spacing w:before="0" w:line="240" w:lineRule="auto"/>
      </w:pPr>
      <w:r>
        <w:separator/>
      </w:r>
    </w:p>
  </w:footnote>
  <w:footnote w:type="continuationSeparator" w:id="0">
    <w:p w:rsidR="00D533DB" w:rsidRDefault="00D533DB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260E32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260E32">
      <w:tab/>
    </w:r>
    <w:r w:rsidR="00744E36" w:rsidRPr="00260E32">
      <w:rPr>
        <w:lang w:val="de-CH"/>
      </w:rPr>
      <w:t>WTDC-17/</w:t>
    </w:r>
    <w:bookmarkStart w:id="1" w:name="OLE_LINK3"/>
    <w:bookmarkStart w:id="2" w:name="OLE_LINK2"/>
    <w:bookmarkStart w:id="3" w:name="OLE_LINK1"/>
    <w:r w:rsidR="00744E36" w:rsidRPr="00260E32">
      <w:t>22(Add.6)</w:t>
    </w:r>
    <w:bookmarkEnd w:id="1"/>
    <w:bookmarkEnd w:id="2"/>
    <w:bookmarkEnd w:id="3"/>
    <w:r w:rsidR="00744E36" w:rsidRPr="00260E32">
      <w:t>-A</w:t>
    </w:r>
    <w:r w:rsidRPr="00260E32">
      <w:rPr>
        <w:rtl/>
        <w:lang w:bidi="ar-EG"/>
      </w:rPr>
      <w:tab/>
    </w:r>
    <w:r w:rsidRPr="00260E32">
      <w:rPr>
        <w:rFonts w:hint="cs"/>
        <w:rtl/>
      </w:rPr>
      <w:t xml:space="preserve">الصفحة </w:t>
    </w:r>
    <w:r w:rsidRPr="00260E32">
      <w:rPr>
        <w:szCs w:val="22"/>
        <w:lang w:val="en-GB"/>
      </w:rPr>
      <w:fldChar w:fldCharType="begin"/>
    </w:r>
    <w:r w:rsidRPr="00260E32">
      <w:rPr>
        <w:szCs w:val="22"/>
        <w:lang w:val="en-GB"/>
      </w:rPr>
      <w:instrText xml:space="preserve"> PAGE </w:instrText>
    </w:r>
    <w:r w:rsidRPr="00260E32">
      <w:rPr>
        <w:szCs w:val="22"/>
        <w:lang w:val="en-GB"/>
      </w:rPr>
      <w:fldChar w:fldCharType="separate"/>
    </w:r>
    <w:r w:rsidR="00C240FB">
      <w:rPr>
        <w:noProof/>
        <w:szCs w:val="22"/>
        <w:rtl/>
        <w:lang w:val="en-GB"/>
      </w:rPr>
      <w:t>5</w:t>
    </w:r>
    <w:r w:rsidRPr="00260E32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881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3238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7E1B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80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C1D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48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C1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2B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62C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B64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0B54E2"/>
    <w:multiLevelType w:val="hybridMultilevel"/>
    <w:tmpl w:val="DE505F4E"/>
    <w:lvl w:ilvl="0" w:tplc="46E066B6">
      <w:start w:val="1"/>
      <w:numFmt w:val="bullet"/>
      <w:lvlText w:val="•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03635"/>
    <w:rsid w:val="000124CC"/>
    <w:rsid w:val="00021A3D"/>
    <w:rsid w:val="00034612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C1F51"/>
    <w:rsid w:val="000C5B32"/>
    <w:rsid w:val="000F0B1C"/>
    <w:rsid w:val="000F1D42"/>
    <w:rsid w:val="000F4D07"/>
    <w:rsid w:val="00100DDC"/>
    <w:rsid w:val="00102A03"/>
    <w:rsid w:val="001040A3"/>
    <w:rsid w:val="001212F0"/>
    <w:rsid w:val="0012729E"/>
    <w:rsid w:val="001455B5"/>
    <w:rsid w:val="00173915"/>
    <w:rsid w:val="00186911"/>
    <w:rsid w:val="001F0DEF"/>
    <w:rsid w:val="0022345D"/>
    <w:rsid w:val="00225854"/>
    <w:rsid w:val="0023283D"/>
    <w:rsid w:val="002423F8"/>
    <w:rsid w:val="00252E0C"/>
    <w:rsid w:val="00260E32"/>
    <w:rsid w:val="00276881"/>
    <w:rsid w:val="002916BE"/>
    <w:rsid w:val="002978F4"/>
    <w:rsid w:val="002B028D"/>
    <w:rsid w:val="002B435E"/>
    <w:rsid w:val="002C4DAE"/>
    <w:rsid w:val="002D4DD1"/>
    <w:rsid w:val="002D62F9"/>
    <w:rsid w:val="002D6488"/>
    <w:rsid w:val="002D6669"/>
    <w:rsid w:val="002E6541"/>
    <w:rsid w:val="002F0028"/>
    <w:rsid w:val="002F5560"/>
    <w:rsid w:val="002F7232"/>
    <w:rsid w:val="0030486B"/>
    <w:rsid w:val="00312FEC"/>
    <w:rsid w:val="003231B9"/>
    <w:rsid w:val="003275AC"/>
    <w:rsid w:val="00333D29"/>
    <w:rsid w:val="003409F4"/>
    <w:rsid w:val="00357185"/>
    <w:rsid w:val="003C31C5"/>
    <w:rsid w:val="003C475F"/>
    <w:rsid w:val="003C6AD1"/>
    <w:rsid w:val="003E4132"/>
    <w:rsid w:val="003E5E3F"/>
    <w:rsid w:val="003F536B"/>
    <w:rsid w:val="003F678F"/>
    <w:rsid w:val="0042686F"/>
    <w:rsid w:val="004367CE"/>
    <w:rsid w:val="00443869"/>
    <w:rsid w:val="004636AE"/>
    <w:rsid w:val="004712C6"/>
    <w:rsid w:val="00497703"/>
    <w:rsid w:val="004B3824"/>
    <w:rsid w:val="004C73BA"/>
    <w:rsid w:val="004F0F06"/>
    <w:rsid w:val="00501E0E"/>
    <w:rsid w:val="005204D7"/>
    <w:rsid w:val="00521DBB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C2C21"/>
    <w:rsid w:val="005D6476"/>
    <w:rsid w:val="005D6C0D"/>
    <w:rsid w:val="005E5283"/>
    <w:rsid w:val="005E58F5"/>
    <w:rsid w:val="00606660"/>
    <w:rsid w:val="006157A3"/>
    <w:rsid w:val="00617F70"/>
    <w:rsid w:val="00620E60"/>
    <w:rsid w:val="00632E1A"/>
    <w:rsid w:val="0063315A"/>
    <w:rsid w:val="00634C57"/>
    <w:rsid w:val="0065591D"/>
    <w:rsid w:val="00662C5A"/>
    <w:rsid w:val="00670AF5"/>
    <w:rsid w:val="006A02A2"/>
    <w:rsid w:val="006C1556"/>
    <w:rsid w:val="006D4933"/>
    <w:rsid w:val="006E77E7"/>
    <w:rsid w:val="006F267F"/>
    <w:rsid w:val="006F63F7"/>
    <w:rsid w:val="006F6F03"/>
    <w:rsid w:val="007040E1"/>
    <w:rsid w:val="00706D7A"/>
    <w:rsid w:val="00707FC4"/>
    <w:rsid w:val="00726AEC"/>
    <w:rsid w:val="00744E36"/>
    <w:rsid w:val="00746318"/>
    <w:rsid w:val="007530CA"/>
    <w:rsid w:val="00774AF1"/>
    <w:rsid w:val="0078126D"/>
    <w:rsid w:val="0079553D"/>
    <w:rsid w:val="007A1497"/>
    <w:rsid w:val="007B0163"/>
    <w:rsid w:val="007B01CC"/>
    <w:rsid w:val="007B1779"/>
    <w:rsid w:val="007B4939"/>
    <w:rsid w:val="007E7C6C"/>
    <w:rsid w:val="007F0B53"/>
    <w:rsid w:val="007F6238"/>
    <w:rsid w:val="007F646C"/>
    <w:rsid w:val="00801FCD"/>
    <w:rsid w:val="00803D7E"/>
    <w:rsid w:val="00803F08"/>
    <w:rsid w:val="008235CD"/>
    <w:rsid w:val="00823A07"/>
    <w:rsid w:val="008271B4"/>
    <w:rsid w:val="00835FEC"/>
    <w:rsid w:val="008513CB"/>
    <w:rsid w:val="00871859"/>
    <w:rsid w:val="00874D9C"/>
    <w:rsid w:val="00876236"/>
    <w:rsid w:val="008A1810"/>
    <w:rsid w:val="008B0945"/>
    <w:rsid w:val="008B5B5D"/>
    <w:rsid w:val="00916411"/>
    <w:rsid w:val="00917694"/>
    <w:rsid w:val="00923199"/>
    <w:rsid w:val="009263CD"/>
    <w:rsid w:val="00930E6D"/>
    <w:rsid w:val="00941BF8"/>
    <w:rsid w:val="00972CA2"/>
    <w:rsid w:val="00982B28"/>
    <w:rsid w:val="009846F2"/>
    <w:rsid w:val="00984EA5"/>
    <w:rsid w:val="00986CF4"/>
    <w:rsid w:val="00992593"/>
    <w:rsid w:val="009C17E1"/>
    <w:rsid w:val="009C35ED"/>
    <w:rsid w:val="009F1C12"/>
    <w:rsid w:val="00A12123"/>
    <w:rsid w:val="00A124CB"/>
    <w:rsid w:val="00A2167A"/>
    <w:rsid w:val="00A25A43"/>
    <w:rsid w:val="00A3295B"/>
    <w:rsid w:val="00A42AE5"/>
    <w:rsid w:val="00A52B61"/>
    <w:rsid w:val="00A64820"/>
    <w:rsid w:val="00A710C8"/>
    <w:rsid w:val="00A71DD6"/>
    <w:rsid w:val="00A723C7"/>
    <w:rsid w:val="00A80E11"/>
    <w:rsid w:val="00A97F94"/>
    <w:rsid w:val="00AB1309"/>
    <w:rsid w:val="00AB287D"/>
    <w:rsid w:val="00AB5DC0"/>
    <w:rsid w:val="00AC2C52"/>
    <w:rsid w:val="00AC40BC"/>
    <w:rsid w:val="00AD1503"/>
    <w:rsid w:val="00AE7244"/>
    <w:rsid w:val="00AF098A"/>
    <w:rsid w:val="00AF3FEE"/>
    <w:rsid w:val="00AF7D1A"/>
    <w:rsid w:val="00B02814"/>
    <w:rsid w:val="00B02F46"/>
    <w:rsid w:val="00B2000C"/>
    <w:rsid w:val="00B20ADE"/>
    <w:rsid w:val="00B3042D"/>
    <w:rsid w:val="00B44825"/>
    <w:rsid w:val="00B51F96"/>
    <w:rsid w:val="00B604E1"/>
    <w:rsid w:val="00B66B9A"/>
    <w:rsid w:val="00B750BB"/>
    <w:rsid w:val="00B754AA"/>
    <w:rsid w:val="00B82089"/>
    <w:rsid w:val="00B970AE"/>
    <w:rsid w:val="00BA1427"/>
    <w:rsid w:val="00BB74F5"/>
    <w:rsid w:val="00BD2824"/>
    <w:rsid w:val="00BE49D0"/>
    <w:rsid w:val="00BF208A"/>
    <w:rsid w:val="00BF2C38"/>
    <w:rsid w:val="00C23331"/>
    <w:rsid w:val="00C240FB"/>
    <w:rsid w:val="00C265DA"/>
    <w:rsid w:val="00C26B4D"/>
    <w:rsid w:val="00C442F2"/>
    <w:rsid w:val="00C45243"/>
    <w:rsid w:val="00C674FE"/>
    <w:rsid w:val="00C701CD"/>
    <w:rsid w:val="00C7297D"/>
    <w:rsid w:val="00C75633"/>
    <w:rsid w:val="00C8242E"/>
    <w:rsid w:val="00C82615"/>
    <w:rsid w:val="00C85BCB"/>
    <w:rsid w:val="00C867DB"/>
    <w:rsid w:val="00CA2A38"/>
    <w:rsid w:val="00CA50FF"/>
    <w:rsid w:val="00CC3CD2"/>
    <w:rsid w:val="00CC43BE"/>
    <w:rsid w:val="00CD123C"/>
    <w:rsid w:val="00CD2085"/>
    <w:rsid w:val="00CD315A"/>
    <w:rsid w:val="00CE2EE1"/>
    <w:rsid w:val="00CF3C1D"/>
    <w:rsid w:val="00CF3FFD"/>
    <w:rsid w:val="00CF5ED3"/>
    <w:rsid w:val="00D04452"/>
    <w:rsid w:val="00D0494C"/>
    <w:rsid w:val="00D14BEB"/>
    <w:rsid w:val="00D16630"/>
    <w:rsid w:val="00D21C89"/>
    <w:rsid w:val="00D2370D"/>
    <w:rsid w:val="00D41647"/>
    <w:rsid w:val="00D4193A"/>
    <w:rsid w:val="00D45542"/>
    <w:rsid w:val="00D533DB"/>
    <w:rsid w:val="00D77D0F"/>
    <w:rsid w:val="00D94196"/>
    <w:rsid w:val="00DA1996"/>
    <w:rsid w:val="00DA1CF0"/>
    <w:rsid w:val="00DB2271"/>
    <w:rsid w:val="00DB5659"/>
    <w:rsid w:val="00DC1B4F"/>
    <w:rsid w:val="00DC24B4"/>
    <w:rsid w:val="00DC5E81"/>
    <w:rsid w:val="00DD7A05"/>
    <w:rsid w:val="00DE513F"/>
    <w:rsid w:val="00DF16DC"/>
    <w:rsid w:val="00DF204E"/>
    <w:rsid w:val="00DF2E14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3F3B"/>
    <w:rsid w:val="00E74A3E"/>
    <w:rsid w:val="00E74BE7"/>
    <w:rsid w:val="00E86CC9"/>
    <w:rsid w:val="00E96624"/>
    <w:rsid w:val="00EB7016"/>
    <w:rsid w:val="00EC5115"/>
    <w:rsid w:val="00F126F1"/>
    <w:rsid w:val="00F2106A"/>
    <w:rsid w:val="00F36D8B"/>
    <w:rsid w:val="00F401D0"/>
    <w:rsid w:val="00F45F2B"/>
    <w:rsid w:val="00F57AE4"/>
    <w:rsid w:val="00F67150"/>
    <w:rsid w:val="00F80E6A"/>
    <w:rsid w:val="00F84366"/>
    <w:rsid w:val="00F85089"/>
    <w:rsid w:val="00F85564"/>
    <w:rsid w:val="00F86CFA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BA61790-FFAE-4153-B4D2-92C4737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18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WTDC/WTDC17/Pages/default.aspx" TargetMode="External"/><Relationship Id="rId2" Type="http://schemas.openxmlformats.org/officeDocument/2006/relationships/hyperlink" Target="mailto:jh1rnz@aol.com" TargetMode="External"/><Relationship Id="rId1" Type="http://schemas.openxmlformats.org/officeDocument/2006/relationships/hyperlink" Target="mailto:y.nagaya@soumu.g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:import namespace="996b2e75-67fd-4955-a3b0-5ab9934cb50b"/>
    <xs:import namespace="de10a323-94a9-4e93-88b4-ea964576960d"/>
    <xs:element name="properties">
      <xs:complexType>
        <xs:sequence>
          <xs:element name="documentManagement">
            <xs:complexType>
              <xs:all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D14-WTDC17-C-0022!A6!MSW-A</DPM_x0020_File_x0020_name>
    <DPM_x0020_Version xmlns="de10a323-94a9-4e93-88b4-ea964576960d" xsi:nil="false">DPM_2017.08.29.1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34809-5B13-4C25-B810-2864C1DF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5882E-5C58-48C8-AFD8-EEB96A496D6E}">
  <ds:schemaRefs>
    <ds:schemaRef ds:uri="http://www.w3.org/XML/1998/namespace"/>
    <ds:schemaRef ds:uri="http://schemas.openxmlformats.org/package/2006/metadata/core-properties"/>
    <ds:schemaRef ds:uri="de10a323-94a9-4e93-88b4-ea964576960d"/>
    <ds:schemaRef ds:uri="http://purl.org/dc/elements/1.1/"/>
    <ds:schemaRef ds:uri="996b2e75-67fd-4955-a3b0-5ab9934cb50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BCB52A-2D7E-42FC-AB5B-24D1642C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D14-WTDC17-C-0022!A6!MSW-A</vt:lpstr>
    </vt:vector>
  </TitlesOfParts>
  <Company>International Telecommunication Union (ITU)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D14-WTDC17-C-0022!A6!MSW-A</dc:title>
  <dc:subject>World Telecommunication Standardization Assembly</dc:subject>
  <dc:creator>Documents Proposals Manager (DPM)</dc:creator>
  <cp:keywords>DPM_v2017.8.29.1_prod</cp:keywords>
  <dc:description/>
  <cp:lastModifiedBy>Awad, Samy</cp:lastModifiedBy>
  <cp:revision>12</cp:revision>
  <cp:lastPrinted>2017-09-12T11:55:00Z</cp:lastPrinted>
  <dcterms:created xsi:type="dcterms:W3CDTF">2017-09-26T12:28:00Z</dcterms:created>
  <dcterms:modified xsi:type="dcterms:W3CDTF">2017-09-27T17:03:00Z</dcterms:modified>
  <cp:category>Conference document</cp:category>
</cp:coreProperties>
</file>