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940555" w:rsidRDefault="00130081" w:rsidP="008B5657">
            <w:pPr>
              <w:tabs>
                <w:tab w:val="left" w:pos="851"/>
              </w:tabs>
              <w:spacing w:before="0" w:line="240" w:lineRule="atLeast"/>
              <w:rPr>
                <w:rFonts w:cstheme="minorHAnsi"/>
                <w:szCs w:val="24"/>
              </w:rPr>
            </w:pPr>
            <w:r>
              <w:rPr>
                <w:rFonts w:ascii="Verdana" w:hAnsi="Verdana"/>
                <w:b/>
                <w:sz w:val="20"/>
              </w:rPr>
              <w:t>Addendum 12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940555"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7D4431" w:rsidP="0032755C">
            <w:pPr>
              <w:pStyle w:val="Title1"/>
              <w:spacing w:after="120"/>
            </w:pPr>
            <w:r>
              <w:t>New Resolution</w:t>
            </w:r>
            <w:r w:rsidR="00D920B3">
              <w:t xml:space="preserve"> - Promoting the Adoption of </w:t>
            </w:r>
            <w:r w:rsidR="0032755C">
              <w:br/>
            </w:r>
            <w:r w:rsidR="00D920B3">
              <w:t>Internet of Things (IoT) Platforms, Applications and Services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A478F6">
        <w:tc>
          <w:tcPr>
            <w:tcW w:w="10031" w:type="dxa"/>
            <w:gridSpan w:val="3"/>
            <w:tcBorders>
              <w:top w:val="single" w:sz="4" w:space="0" w:color="auto"/>
              <w:left w:val="single" w:sz="4" w:space="0" w:color="auto"/>
              <w:bottom w:val="single" w:sz="4" w:space="0" w:color="auto"/>
              <w:right w:val="single" w:sz="4" w:space="0" w:color="auto"/>
            </w:tcBorders>
          </w:tcPr>
          <w:p w:rsidR="00A478F6" w:rsidRDefault="00D12DF0" w:rsidP="00F31BFB">
            <w:r>
              <w:rPr>
                <w:rFonts w:ascii="Calibri" w:eastAsia="SimSun" w:hAnsi="Calibri" w:cs="Traditional Arabic"/>
                <w:b/>
                <w:bCs/>
                <w:szCs w:val="24"/>
              </w:rPr>
              <w:t>Priority area:</w:t>
            </w:r>
            <w:r w:rsidR="00940555">
              <w:rPr>
                <w:rFonts w:ascii="Calibri" w:eastAsia="SimSun" w:hAnsi="Calibri" w:cs="Traditional Arabic"/>
                <w:szCs w:val="24"/>
              </w:rPr>
              <w:tab/>
              <w:t>-</w:t>
            </w:r>
            <w:r w:rsidR="00940555">
              <w:rPr>
                <w:rFonts w:ascii="Calibri" w:eastAsia="SimSun" w:hAnsi="Calibri" w:cs="Traditional Arabic"/>
                <w:szCs w:val="24"/>
              </w:rPr>
              <w:tab/>
              <w:t>Resolutions and recommendations</w:t>
            </w:r>
          </w:p>
          <w:p w:rsidR="00940555" w:rsidRDefault="00940555" w:rsidP="00F31BFB">
            <w:r>
              <w:rPr>
                <w:rFonts w:ascii="Calibri" w:eastAsia="SimSun" w:hAnsi="Calibri" w:cs="Traditional Arabic"/>
                <w:b/>
                <w:bCs/>
                <w:szCs w:val="24"/>
              </w:rPr>
              <w:t>Summary:</w:t>
            </w:r>
          </w:p>
          <w:p w:rsidR="00940555" w:rsidRDefault="00940555" w:rsidP="00F31BFB">
            <w:r w:rsidRPr="00CD579D">
              <w:t>The Internet of Things (</w:t>
            </w:r>
            <w:proofErr w:type="spellStart"/>
            <w:r w:rsidRPr="00CD579D">
              <w:t>IoT</w:t>
            </w:r>
            <w:proofErr w:type="spellEnd"/>
            <w:r w:rsidRPr="00CD579D">
              <w:t xml:space="preserve">) is a key enabler of the Information Society which offers an opportunity to transform city infrastructure, from intelligent buildings and transportation systems to smart energy and </w:t>
            </w:r>
            <w:r w:rsidRPr="0047526E">
              <w:t>water networks.  A 2016 report estimated that up</w:t>
            </w:r>
            <w:r w:rsidRPr="00CD579D">
              <w:t xml:space="preserve"> to 50 billion devices could be connected by 2020, impacting nearly every aspect of our daily lives.  Furthermore, the ITU-T has also convened a Study Group on </w:t>
            </w:r>
            <w:proofErr w:type="spellStart"/>
            <w:r w:rsidRPr="00CD579D">
              <w:t>IoT</w:t>
            </w:r>
            <w:proofErr w:type="spellEnd"/>
            <w:r w:rsidRPr="00CD579D">
              <w:t xml:space="preserve"> and its applications including smart cities and communities (SG20) to work on standardisation requirements of the </w:t>
            </w:r>
            <w:proofErr w:type="spellStart"/>
            <w:r w:rsidRPr="00CD579D">
              <w:t>IoT</w:t>
            </w:r>
            <w:proofErr w:type="spellEnd"/>
            <w:r w:rsidRPr="00CD579D">
              <w:t xml:space="preserve"> technologies.</w:t>
            </w:r>
          </w:p>
          <w:p w:rsidR="00940555" w:rsidRPr="00CD125C" w:rsidRDefault="00940555" w:rsidP="00F31BFB">
            <w:r w:rsidRPr="002E1F5C">
              <w:t xml:space="preserve">Considering the developments in </w:t>
            </w:r>
            <w:proofErr w:type="spellStart"/>
            <w:r w:rsidRPr="002E1F5C">
              <w:t>I</w:t>
            </w:r>
            <w:r>
              <w:t>oT</w:t>
            </w:r>
            <w:proofErr w:type="spellEnd"/>
            <w:r w:rsidRPr="002E1F5C">
              <w:t xml:space="preserve"> and the progress made since the last WTDC-14</w:t>
            </w:r>
            <w:r>
              <w:t xml:space="preserve"> and the various </w:t>
            </w:r>
            <w:proofErr w:type="spellStart"/>
            <w:r>
              <w:t>IoT</w:t>
            </w:r>
            <w:proofErr w:type="spellEnd"/>
            <w:r>
              <w:t xml:space="preserve"> related work in ITU-T and ITU-R</w:t>
            </w:r>
            <w:r w:rsidRPr="002E1F5C">
              <w:t xml:space="preserve">, </w:t>
            </w:r>
            <w:r>
              <w:t xml:space="preserve">APT Members </w:t>
            </w:r>
            <w:r w:rsidRPr="002E1F5C">
              <w:t xml:space="preserve">would like to propose </w:t>
            </w:r>
            <w:r>
              <w:t xml:space="preserve">a new resolution which would look at how the ITU-D can work with ITU-T and ITU-R to provide the necessary assistance to developing countries interested in </w:t>
            </w:r>
            <w:proofErr w:type="spellStart"/>
            <w:r>
              <w:t>IoT</w:t>
            </w:r>
            <w:proofErr w:type="spellEnd"/>
            <w:r>
              <w:t xml:space="preserve"> development and technologies.</w:t>
            </w:r>
          </w:p>
          <w:p w:rsidR="00940555" w:rsidRDefault="00940555" w:rsidP="00F31BFB">
            <w:r>
              <w:rPr>
                <w:rFonts w:ascii="Calibri" w:eastAsia="SimSun" w:hAnsi="Calibri" w:cs="Traditional Arabic"/>
                <w:b/>
                <w:bCs/>
                <w:szCs w:val="24"/>
              </w:rPr>
              <w:t>Expected results:</w:t>
            </w:r>
          </w:p>
          <w:p w:rsidR="00940555" w:rsidRPr="00CD125C" w:rsidRDefault="00940555" w:rsidP="00F31BFB">
            <w:pPr>
              <w:pStyle w:val="ListParagraph"/>
              <w:tabs>
                <w:tab w:val="clear" w:pos="794"/>
                <w:tab w:val="clear" w:pos="1191"/>
                <w:tab w:val="clear" w:pos="1588"/>
                <w:tab w:val="clear" w:pos="1985"/>
              </w:tabs>
              <w:overflowPunct/>
              <w:autoSpaceDE/>
              <w:autoSpaceDN/>
              <w:adjustRightInd/>
              <w:textAlignment w:val="auto"/>
            </w:pPr>
            <w:r>
              <w:t xml:space="preserve">This is a new resolution, which aims to consolidate the work done relating to </w:t>
            </w:r>
            <w:proofErr w:type="spellStart"/>
            <w:r>
              <w:t>IoT</w:t>
            </w:r>
            <w:proofErr w:type="spellEnd"/>
            <w:r>
              <w:t xml:space="preserve"> by the three ITU Sectors to facilitate the development and adoption of </w:t>
            </w:r>
            <w:proofErr w:type="spellStart"/>
            <w:r>
              <w:t>IoT</w:t>
            </w:r>
            <w:proofErr w:type="spellEnd"/>
            <w:r>
              <w:t>, especially in developing countries.</w:t>
            </w:r>
          </w:p>
          <w:p w:rsidR="00940555" w:rsidRDefault="00940555" w:rsidP="00F31BFB">
            <w:r>
              <w:rPr>
                <w:rFonts w:ascii="Calibri" w:eastAsia="SimSun" w:hAnsi="Calibri" w:cs="Traditional Arabic"/>
                <w:b/>
                <w:bCs/>
                <w:szCs w:val="24"/>
              </w:rPr>
              <w:t>References:</w:t>
            </w:r>
          </w:p>
          <w:p w:rsidR="00940555" w:rsidRPr="00FE408C" w:rsidRDefault="00940555" w:rsidP="00F31BFB">
            <w:pPr>
              <w:pStyle w:val="ListParagraph"/>
              <w:numPr>
                <w:ilvl w:val="0"/>
                <w:numId w:val="18"/>
              </w:numPr>
              <w:tabs>
                <w:tab w:val="clear" w:pos="794"/>
                <w:tab w:val="clear" w:pos="1191"/>
                <w:tab w:val="clear" w:pos="1588"/>
                <w:tab w:val="clear" w:pos="1985"/>
                <w:tab w:val="left" w:pos="567"/>
              </w:tabs>
              <w:overflowPunct/>
              <w:autoSpaceDE/>
              <w:autoSpaceDN/>
              <w:adjustRightInd/>
              <w:spacing w:after="120"/>
              <w:ind w:left="567" w:hanging="567"/>
              <w:textAlignment w:val="auto"/>
            </w:pPr>
            <w:r w:rsidRPr="00FE408C">
              <w:t xml:space="preserve">Resolution 197 (Busan, 2014) of the PP on facilitating the </w:t>
            </w:r>
            <w:proofErr w:type="spellStart"/>
            <w:r w:rsidRPr="00FE408C">
              <w:t>IoT</w:t>
            </w:r>
            <w:proofErr w:type="spellEnd"/>
            <w:r w:rsidRPr="00FE408C">
              <w:t xml:space="preserve"> to prepare for a globally connected world</w:t>
            </w:r>
          </w:p>
          <w:p w:rsidR="00940555" w:rsidRPr="00FE408C" w:rsidRDefault="00940555" w:rsidP="00F31BFB">
            <w:pPr>
              <w:pStyle w:val="ListParagraph"/>
              <w:numPr>
                <w:ilvl w:val="0"/>
                <w:numId w:val="18"/>
              </w:numPr>
              <w:tabs>
                <w:tab w:val="clear" w:pos="794"/>
                <w:tab w:val="clear" w:pos="1191"/>
                <w:tab w:val="clear" w:pos="1588"/>
                <w:tab w:val="clear" w:pos="1985"/>
                <w:tab w:val="left" w:pos="567"/>
              </w:tabs>
              <w:overflowPunct/>
              <w:autoSpaceDE/>
              <w:autoSpaceDN/>
              <w:adjustRightInd/>
              <w:spacing w:after="120"/>
              <w:ind w:left="567" w:hanging="567"/>
              <w:textAlignment w:val="auto"/>
            </w:pPr>
            <w:r w:rsidRPr="00FE408C">
              <w:t>ITU-R 66 (Geneva, 2015) of the RA on studies related to wireless systems and applications for the development of the Internet of Things (</w:t>
            </w:r>
            <w:proofErr w:type="spellStart"/>
            <w:r w:rsidRPr="00FE408C">
              <w:t>IoT</w:t>
            </w:r>
            <w:proofErr w:type="spellEnd"/>
            <w:r w:rsidRPr="00FE408C">
              <w:t>)</w:t>
            </w:r>
          </w:p>
          <w:p w:rsidR="00940555" w:rsidRDefault="00940555" w:rsidP="00F31BFB">
            <w:pPr>
              <w:spacing w:after="240"/>
              <w:rPr>
                <w:szCs w:val="24"/>
              </w:rPr>
            </w:pPr>
            <w:r w:rsidRPr="00FE408C">
              <w:t>Resolution 98 (</w:t>
            </w:r>
            <w:proofErr w:type="spellStart"/>
            <w:r w:rsidRPr="00FE408C">
              <w:t>Hammamet</w:t>
            </w:r>
            <w:proofErr w:type="spellEnd"/>
            <w:r w:rsidRPr="00FE408C">
              <w:t>, 2016) of the WTSA on enhancing the standardisation of Internet of Things and Smart Cities and Communities for global development</w:t>
            </w:r>
            <w:r>
              <w:t>.</w:t>
            </w:r>
          </w:p>
        </w:tc>
      </w:tr>
    </w:tbl>
    <w:p w:rsidR="00E0185D" w:rsidRDefault="00E0185D">
      <w:pPr>
        <w:tabs>
          <w:tab w:val="clear" w:pos="794"/>
          <w:tab w:val="clear" w:pos="1191"/>
          <w:tab w:val="clear" w:pos="1588"/>
          <w:tab w:val="clear" w:pos="1985"/>
        </w:tabs>
        <w:overflowPunct/>
        <w:autoSpaceDE/>
        <w:autoSpaceDN/>
        <w:adjustRightInd/>
        <w:spacing w:before="0"/>
        <w:textAlignment w:val="auto"/>
        <w:rPr>
          <w:b/>
          <w:bCs/>
        </w:rPr>
      </w:pPr>
    </w:p>
    <w:p w:rsidR="00940555" w:rsidRPr="0048442D" w:rsidRDefault="00940555" w:rsidP="0048442D">
      <w:pPr>
        <w:keepNext/>
        <w:rPr>
          <w:b/>
          <w:bCs/>
        </w:rPr>
      </w:pPr>
      <w:r w:rsidRPr="0048442D">
        <w:rPr>
          <w:b/>
          <w:bCs/>
        </w:rPr>
        <w:lastRenderedPageBreak/>
        <w:t xml:space="preserve">PROPOSAL </w:t>
      </w:r>
    </w:p>
    <w:p w:rsidR="0048442D" w:rsidRDefault="00940555" w:rsidP="0048442D">
      <w:r w:rsidRPr="001031D0">
        <w:t>APT Member Administrations propose a new</w:t>
      </w:r>
      <w:r>
        <w:t xml:space="preserve"> resolution, which aims to consolidate the work done relating to </w:t>
      </w:r>
      <w:proofErr w:type="spellStart"/>
      <w:r>
        <w:t>IoT</w:t>
      </w:r>
      <w:proofErr w:type="spellEnd"/>
      <w:r>
        <w:t xml:space="preserve"> by the three ITU Sectors to facilitate the development and adoption of </w:t>
      </w:r>
      <w:proofErr w:type="spellStart"/>
      <w:r>
        <w:t>IoT</w:t>
      </w:r>
      <w:proofErr w:type="spellEnd"/>
      <w:r>
        <w:t>, especially in developing countries.</w:t>
      </w:r>
    </w:p>
    <w:p w:rsidR="00A478F6" w:rsidRPr="00E0185D" w:rsidRDefault="00C26DD5" w:rsidP="0048442D">
      <w:pPr>
        <w:pStyle w:val="Proposal"/>
        <w:rPr>
          <w:szCs w:val="24"/>
        </w:rPr>
      </w:pPr>
      <w:r>
        <w:rPr>
          <w:szCs w:val="24"/>
        </w:rPr>
        <w:br w:type="page"/>
      </w:r>
      <w:bookmarkStart w:id="8" w:name="_GoBack"/>
      <w:r w:rsidR="00D12DF0" w:rsidRPr="0048442D">
        <w:rPr>
          <w:b/>
          <w:bCs/>
        </w:rPr>
        <w:lastRenderedPageBreak/>
        <w:t>ADD</w:t>
      </w:r>
      <w:bookmarkEnd w:id="8"/>
      <w:r w:rsidR="00D12DF0">
        <w:tab/>
        <w:t>ACP/22A12/1</w:t>
      </w:r>
    </w:p>
    <w:p w:rsidR="00A478F6" w:rsidRDefault="00D12DF0" w:rsidP="00D408A9">
      <w:pPr>
        <w:pStyle w:val="ResNo"/>
      </w:pPr>
      <w:r>
        <w:rPr>
          <w:rFonts w:ascii="Calibri"/>
        </w:rPr>
        <w:t>DRAFT NEW RESOLUTION</w:t>
      </w:r>
      <w:r w:rsidR="00940555">
        <w:rPr>
          <w:rFonts w:ascii="Calibri"/>
        </w:rPr>
        <w:t xml:space="preserve"> </w:t>
      </w:r>
      <w:r w:rsidR="00F31BFB">
        <w:t>[ACP-</w:t>
      </w:r>
      <w:r w:rsidR="00D408A9">
        <w:t>2</w:t>
      </w:r>
      <w:r w:rsidR="00F31BFB">
        <w:t>]</w:t>
      </w:r>
      <w:r w:rsidR="00940555">
        <w:t xml:space="preserve"> </w:t>
      </w:r>
    </w:p>
    <w:p w:rsidR="00A478F6" w:rsidRDefault="00940555">
      <w:pPr>
        <w:pStyle w:val="Restitle"/>
      </w:pPr>
      <w:r w:rsidRPr="00FE408C">
        <w:t xml:space="preserve">Promoting the Adoption of </w:t>
      </w:r>
      <w:r w:rsidRPr="00FE408C">
        <w:br/>
        <w:t>Internet of Things (</w:t>
      </w:r>
      <w:proofErr w:type="spellStart"/>
      <w:r w:rsidRPr="00FE408C">
        <w:t>IoT</w:t>
      </w:r>
      <w:proofErr w:type="spellEnd"/>
      <w:r w:rsidRPr="00FE408C">
        <w:t xml:space="preserve">) </w:t>
      </w:r>
      <w:r>
        <w:t>P</w:t>
      </w:r>
      <w:r w:rsidRPr="009B606B">
        <w:t>latforms</w:t>
      </w:r>
      <w:r>
        <w:t xml:space="preserve">, </w:t>
      </w:r>
      <w:r w:rsidRPr="00FE408C">
        <w:t>Applications and Services</w:t>
      </w:r>
    </w:p>
    <w:p w:rsidR="00940555" w:rsidRPr="00FE408C" w:rsidRDefault="00940555" w:rsidP="00940555">
      <w:pPr>
        <w:pStyle w:val="Normalaftertitle"/>
      </w:pPr>
      <w:r w:rsidRPr="00FE408C">
        <w:t xml:space="preserve">The World Telecommunication Development Conference </w:t>
      </w:r>
      <w:r>
        <w:t>(</w:t>
      </w:r>
      <w:r w:rsidRPr="00FE408C">
        <w:t>Bueno</w:t>
      </w:r>
      <w:r>
        <w:t>s</w:t>
      </w:r>
      <w:r w:rsidRPr="00FE408C">
        <w:t xml:space="preserve"> Aires, 2017</w:t>
      </w:r>
      <w:r>
        <w:t>)</w:t>
      </w:r>
    </w:p>
    <w:p w:rsidR="00940555" w:rsidRPr="004A613E" w:rsidRDefault="00940555" w:rsidP="00940555">
      <w:pPr>
        <w:pStyle w:val="Call"/>
      </w:pPr>
      <w:proofErr w:type="gramStart"/>
      <w:r w:rsidRPr="004A613E">
        <w:t>recalling</w:t>
      </w:r>
      <w:proofErr w:type="gramEnd"/>
      <w:r w:rsidRPr="004A613E">
        <w:t xml:space="preserve"> </w:t>
      </w:r>
    </w:p>
    <w:p w:rsidR="00940555" w:rsidRPr="00FE408C" w:rsidRDefault="00940555" w:rsidP="004D30BE">
      <w:r w:rsidRPr="00FE408C">
        <w:t>Resolution 139 (rev., Busan, 2014) of the Plenipotentiary Conference</w:t>
      </w:r>
      <w:r>
        <w:t xml:space="preserve"> (PP)</w:t>
      </w:r>
      <w:r w:rsidRPr="00FE408C">
        <w:t xml:space="preserve"> on use of telecommunications/information and communication technologies to bridge the digital divide and build an inclusive information society;</w:t>
      </w:r>
    </w:p>
    <w:p w:rsidR="00940555" w:rsidRPr="00FE408C" w:rsidRDefault="00940555" w:rsidP="004D30BE">
      <w:r w:rsidRPr="004A613E">
        <w:rPr>
          <w:i/>
          <w:iCs/>
        </w:rPr>
        <w:t>b)</w:t>
      </w:r>
      <w:r>
        <w:tab/>
      </w:r>
      <w:r w:rsidRPr="00FE408C">
        <w:t xml:space="preserve">Resolution 197 (Busan, 2014) of the PP on facilitating the </w:t>
      </w:r>
      <w:proofErr w:type="spellStart"/>
      <w:r w:rsidRPr="00FE408C">
        <w:t>IoT</w:t>
      </w:r>
      <w:proofErr w:type="spellEnd"/>
      <w:r w:rsidRPr="00FE408C">
        <w:t xml:space="preserve"> to prepare for a globally connected world;</w:t>
      </w:r>
    </w:p>
    <w:p w:rsidR="00940555" w:rsidRPr="00FE408C" w:rsidRDefault="00940555" w:rsidP="004D30BE">
      <w:r w:rsidRPr="004A613E">
        <w:rPr>
          <w:i/>
          <w:iCs/>
        </w:rPr>
        <w:t>c)</w:t>
      </w:r>
      <w:r>
        <w:tab/>
      </w:r>
      <w:r w:rsidRPr="00FE408C">
        <w:t>Resolution 200 (Busan, 2014) of the PP on Connect 2020 Agenda for global telecommunication/information and communication technology development;</w:t>
      </w:r>
    </w:p>
    <w:p w:rsidR="00940555" w:rsidRPr="00FE408C" w:rsidRDefault="00940555" w:rsidP="004D30BE">
      <w:r w:rsidRPr="004A613E">
        <w:rPr>
          <w:i/>
          <w:iCs/>
        </w:rPr>
        <w:t>d)</w:t>
      </w:r>
      <w:r>
        <w:tab/>
      </w:r>
      <w:r w:rsidRPr="00FE408C">
        <w:t>Resolution 77 (Dubai, 2014) of the WTDC on broadband technology and applications for greater growth and development of telecommunication/information and communication serv</w:t>
      </w:r>
      <w:r>
        <w:t>ices and broadband connectivity;</w:t>
      </w:r>
    </w:p>
    <w:p w:rsidR="00940555" w:rsidRPr="00FE408C" w:rsidRDefault="00940555" w:rsidP="004D30BE">
      <w:r w:rsidRPr="004A613E">
        <w:rPr>
          <w:i/>
          <w:iCs/>
        </w:rPr>
        <w:t>e)</w:t>
      </w:r>
      <w:r>
        <w:tab/>
      </w:r>
      <w:r w:rsidRPr="00FE408C">
        <w:t xml:space="preserve">ITU-R 66 (Geneva, 2015) of the </w:t>
      </w:r>
      <w:proofErr w:type="spellStart"/>
      <w:r w:rsidRPr="00FE408C">
        <w:t>R</w:t>
      </w:r>
      <w:r>
        <w:t>adiocommunication</w:t>
      </w:r>
      <w:proofErr w:type="spellEnd"/>
      <w:r>
        <w:t xml:space="preserve"> </w:t>
      </w:r>
      <w:r w:rsidRPr="00FE408C">
        <w:t>A</w:t>
      </w:r>
      <w:r>
        <w:t>ssembly</w:t>
      </w:r>
      <w:r w:rsidRPr="00FE408C">
        <w:t xml:space="preserve"> on studies related to wireless systems and applications for the development of the Internet of Things (</w:t>
      </w:r>
      <w:proofErr w:type="spellStart"/>
      <w:r w:rsidRPr="00FE408C">
        <w:t>IoT</w:t>
      </w:r>
      <w:proofErr w:type="spellEnd"/>
      <w:r w:rsidRPr="00FE408C">
        <w:t>);</w:t>
      </w:r>
    </w:p>
    <w:p w:rsidR="00940555" w:rsidRPr="00BA0012" w:rsidRDefault="00940555" w:rsidP="004D30BE">
      <w:proofErr w:type="gramStart"/>
      <w:r w:rsidRPr="004A613E">
        <w:rPr>
          <w:i/>
          <w:iCs/>
        </w:rPr>
        <w:t>f</w:t>
      </w:r>
      <w:proofErr w:type="gramEnd"/>
      <w:r w:rsidRPr="004A613E">
        <w:rPr>
          <w:i/>
          <w:iCs/>
        </w:rPr>
        <w:t>)</w:t>
      </w:r>
      <w:r>
        <w:tab/>
      </w:r>
      <w:r w:rsidRPr="00FE408C">
        <w:t>Resolution 98 (</w:t>
      </w:r>
      <w:proofErr w:type="spellStart"/>
      <w:r w:rsidRPr="00FE408C">
        <w:t>Hammamet</w:t>
      </w:r>
      <w:proofErr w:type="spellEnd"/>
      <w:r w:rsidRPr="00FE408C">
        <w:t>, 2016) of the W</w:t>
      </w:r>
      <w:r>
        <w:t xml:space="preserve">orld </w:t>
      </w:r>
      <w:r w:rsidRPr="00FE408C">
        <w:t>T</w:t>
      </w:r>
      <w:r>
        <w:t xml:space="preserve">elecommunication </w:t>
      </w:r>
      <w:r w:rsidRPr="00FE408C">
        <w:t>S</w:t>
      </w:r>
      <w:r>
        <w:t xml:space="preserve">tandardisation </w:t>
      </w:r>
      <w:r w:rsidRPr="00FE408C">
        <w:t>A</w:t>
      </w:r>
      <w:r>
        <w:t>ssembly on enhancing the standardis</w:t>
      </w:r>
      <w:r w:rsidRPr="00FE408C">
        <w:t>a</w:t>
      </w:r>
      <w:r>
        <w:t>tion of Internet of Things and smart cities and c</w:t>
      </w:r>
      <w:r w:rsidRPr="00FE408C">
        <w:t>ommunities fo</w:t>
      </w:r>
      <w:r>
        <w:t>r global d</w:t>
      </w:r>
      <w:r w:rsidRPr="00FE408C">
        <w:t>evelopment,</w:t>
      </w:r>
    </w:p>
    <w:p w:rsidR="00940555" w:rsidRPr="004A613E" w:rsidRDefault="00940555" w:rsidP="00940555">
      <w:pPr>
        <w:pStyle w:val="Call"/>
      </w:pPr>
      <w:proofErr w:type="gramStart"/>
      <w:r w:rsidRPr="004A613E">
        <w:t>recognizing</w:t>
      </w:r>
      <w:proofErr w:type="gramEnd"/>
    </w:p>
    <w:p w:rsidR="00940555" w:rsidRPr="003E39D9" w:rsidRDefault="00940555" w:rsidP="003E39D9">
      <w:r w:rsidRPr="00B14CAB">
        <w:rPr>
          <w:i/>
          <w:iCs/>
        </w:rPr>
        <w:t>a)</w:t>
      </w:r>
      <w:r w:rsidRPr="003E39D9">
        <w:tab/>
      </w:r>
      <w:proofErr w:type="gramStart"/>
      <w:r w:rsidRPr="00DF7770">
        <w:t>that</w:t>
      </w:r>
      <w:proofErr w:type="gramEnd"/>
      <w:r w:rsidRPr="00DF7770">
        <w:t xml:space="preserve"> ITU is the leading United Nations agency for information and communication technologies (ICTs)</w:t>
      </w:r>
      <w:r w:rsidRPr="003E39D9">
        <w:t>;</w:t>
      </w:r>
    </w:p>
    <w:p w:rsidR="00940555" w:rsidRPr="003E39D9" w:rsidRDefault="00B14CAB" w:rsidP="003E39D9">
      <w:r w:rsidRPr="00B14CAB">
        <w:rPr>
          <w:i/>
          <w:iCs/>
        </w:rPr>
        <w:t>b)</w:t>
      </w:r>
      <w:r w:rsidR="00940555" w:rsidRPr="003E39D9">
        <w:tab/>
      </w:r>
      <w:proofErr w:type="gramStart"/>
      <w:r w:rsidR="00940555" w:rsidRPr="003E39D9">
        <w:t>the</w:t>
      </w:r>
      <w:proofErr w:type="gramEnd"/>
      <w:r w:rsidR="00940555" w:rsidRPr="003E39D9">
        <w:t xml:space="preserve"> potential of ICTs as a key enabler of socio-economic development which can be further harnessed to achieve the 17 Sustainable Development Goals (SDGs) adopted in Resolution 70/1 of the United Nations General Assembly; </w:t>
      </w:r>
    </w:p>
    <w:p w:rsidR="00940555" w:rsidRPr="003E39D9" w:rsidRDefault="00940555" w:rsidP="003E39D9">
      <w:r w:rsidRPr="00B14CAB">
        <w:rPr>
          <w:i/>
          <w:iCs/>
        </w:rPr>
        <w:t>c)</w:t>
      </w:r>
      <w:r w:rsidRPr="003E39D9">
        <w:tab/>
        <w:t>the WSIS +10 Review Process, in particular Resolution 70/125 of the United Nations General Assembly (UNGA) on the overall review of the implementation of the outcomes of World Summit on the Information Society (WSIS) and the WSIS +10 Statement on the Implementation of WSIS Outcomes;</w:t>
      </w:r>
    </w:p>
    <w:p w:rsidR="00940555" w:rsidRPr="003E39D9" w:rsidRDefault="00940555" w:rsidP="003E39D9">
      <w:r w:rsidRPr="00B14CAB">
        <w:rPr>
          <w:i/>
          <w:iCs/>
        </w:rPr>
        <w:t>d)</w:t>
      </w:r>
      <w:r w:rsidRPr="003E39D9">
        <w:tab/>
        <w:t>the work of the ITU-D Study Group Question 1/2 on “Creating the Smart Society: Social and Economic Development through ICT Applications”, ITU-T Study Group 20 (SG20) on “</w:t>
      </w:r>
      <w:proofErr w:type="spellStart"/>
      <w:r w:rsidRPr="003E39D9">
        <w:t>IoT</w:t>
      </w:r>
      <w:proofErr w:type="spellEnd"/>
      <w:r w:rsidRPr="003E39D9">
        <w:t xml:space="preserve"> Standards and its Applications including Smart Cities and Communities”, and other relevant ITU-R studies, including on the technical and operational aspects of radio networks and systems for </w:t>
      </w:r>
      <w:proofErr w:type="spellStart"/>
      <w:r w:rsidRPr="003E39D9">
        <w:t>IoT</w:t>
      </w:r>
      <w:proofErr w:type="spellEnd"/>
      <w:r w:rsidRPr="003E39D9">
        <w:t>,</w:t>
      </w:r>
    </w:p>
    <w:p w:rsidR="00940555" w:rsidRPr="003E39D9" w:rsidRDefault="00940555" w:rsidP="003E39D9">
      <w:pPr>
        <w:pStyle w:val="Call"/>
      </w:pPr>
      <w:proofErr w:type="gramStart"/>
      <w:r w:rsidRPr="003E39D9">
        <w:lastRenderedPageBreak/>
        <w:t>noting</w:t>
      </w:r>
      <w:proofErr w:type="gramEnd"/>
    </w:p>
    <w:p w:rsidR="00940555" w:rsidRPr="00BA0012" w:rsidRDefault="00940555" w:rsidP="00940555">
      <w:r w:rsidRPr="00B14CAB">
        <w:rPr>
          <w:i/>
          <w:iCs/>
        </w:rPr>
        <w:t>a)</w:t>
      </w:r>
      <w:r w:rsidRPr="00BA0012">
        <w:tab/>
        <w:t xml:space="preserve">that the application of </w:t>
      </w:r>
      <w:proofErr w:type="spellStart"/>
      <w:r w:rsidRPr="00BA0012">
        <w:t>IoT</w:t>
      </w:r>
      <w:proofErr w:type="spellEnd"/>
      <w:r w:rsidRPr="00BA0012">
        <w:t xml:space="preserve"> will bring about significant benefits in many different sectors, including but not limited to energy, transportation, health, agriculture, </w:t>
      </w:r>
      <w:proofErr w:type="spellStart"/>
      <w:r w:rsidRPr="00BA0012">
        <w:t>etc</w:t>
      </w:r>
      <w:proofErr w:type="spellEnd"/>
      <w:r w:rsidRPr="00BA0012">
        <w:t>;</w:t>
      </w:r>
    </w:p>
    <w:p w:rsidR="00940555" w:rsidRPr="00BA0012" w:rsidRDefault="00940555" w:rsidP="00940555">
      <w:r w:rsidRPr="00B14CAB">
        <w:rPr>
          <w:i/>
          <w:iCs/>
        </w:rPr>
        <w:t>b)</w:t>
      </w:r>
      <w:r w:rsidRPr="00BA0012">
        <w:tab/>
      </w:r>
      <w:proofErr w:type="gramStart"/>
      <w:r w:rsidRPr="00BA0012">
        <w:t>that</w:t>
      </w:r>
      <w:proofErr w:type="gramEnd"/>
      <w:r w:rsidRPr="00BA0012">
        <w:t xml:space="preserve"> the use of the </w:t>
      </w:r>
      <w:proofErr w:type="spellStart"/>
      <w:r w:rsidRPr="00BA0012">
        <w:t>IoT</w:t>
      </w:r>
      <w:proofErr w:type="spellEnd"/>
      <w:r w:rsidRPr="00BA0012">
        <w:t xml:space="preserve"> will be more pervasive and far-reaching due to the wide-ranging applications in both ICT and non-ICT sectors; </w:t>
      </w:r>
    </w:p>
    <w:p w:rsidR="00940555" w:rsidRPr="00BA0012" w:rsidRDefault="00940555" w:rsidP="00940555">
      <w:r w:rsidRPr="00B14CAB">
        <w:rPr>
          <w:i/>
          <w:iCs/>
        </w:rPr>
        <w:t>c)</w:t>
      </w:r>
      <w:r w:rsidRPr="00BA0012">
        <w:tab/>
      </w:r>
      <w:proofErr w:type="gramStart"/>
      <w:r w:rsidRPr="00BA0012">
        <w:t>that</w:t>
      </w:r>
      <w:proofErr w:type="gramEnd"/>
      <w:r w:rsidRPr="00BA0012">
        <w:t xml:space="preserve"> the development of </w:t>
      </w:r>
      <w:proofErr w:type="spellStart"/>
      <w:r w:rsidRPr="00BA0012">
        <w:t>IoT</w:t>
      </w:r>
      <w:proofErr w:type="spellEnd"/>
      <w:r w:rsidRPr="00BA0012">
        <w:t xml:space="preserve"> will hinge upon the active participation of governments, industry and other relevant organisations and stakeholders;</w:t>
      </w:r>
    </w:p>
    <w:p w:rsidR="00940555" w:rsidRPr="00FE408C" w:rsidRDefault="00940555" w:rsidP="00940555">
      <w:r w:rsidRPr="00B14CAB">
        <w:rPr>
          <w:i/>
          <w:iCs/>
        </w:rPr>
        <w:t>d)</w:t>
      </w:r>
      <w:r w:rsidRPr="00BA0012">
        <w:tab/>
        <w:t>that special attention should be given to developing countries, especially Least Developed Countries (LDCs), Small Island Developing States (SIDS), Landlocked Developing Countries (LDCs), as they may have limited resources to build an inclusive society,</w:t>
      </w:r>
    </w:p>
    <w:p w:rsidR="00940555" w:rsidRPr="004A613E" w:rsidRDefault="00940555" w:rsidP="00940555">
      <w:pPr>
        <w:pStyle w:val="Call"/>
      </w:pPr>
      <w:proofErr w:type="gramStart"/>
      <w:r w:rsidRPr="004A613E">
        <w:t>resolves</w:t>
      </w:r>
      <w:proofErr w:type="gramEnd"/>
      <w:r w:rsidRPr="004A613E">
        <w:t xml:space="preserve"> </w:t>
      </w:r>
    </w:p>
    <w:p w:rsidR="00940555" w:rsidRPr="0065364E" w:rsidRDefault="00B14CAB" w:rsidP="00940555">
      <w:r>
        <w:t>1</w:t>
      </w:r>
      <w:r>
        <w:tab/>
      </w:r>
      <w:r w:rsidR="00940555" w:rsidRPr="0065364E">
        <w:t xml:space="preserve">for the ITU-D to promote the development of </w:t>
      </w:r>
      <w:proofErr w:type="spellStart"/>
      <w:r w:rsidR="00940555" w:rsidRPr="0065364E">
        <w:t>IoT</w:t>
      </w:r>
      <w:proofErr w:type="spellEnd"/>
      <w:r w:rsidR="00940555" w:rsidRPr="0065364E">
        <w:t xml:space="preserve"> platforms and adoption of </w:t>
      </w:r>
      <w:proofErr w:type="spellStart"/>
      <w:r w:rsidR="00940555" w:rsidRPr="0065364E">
        <w:t>IoT</w:t>
      </w:r>
      <w:proofErr w:type="spellEnd"/>
      <w:r w:rsidR="00940555" w:rsidRPr="0065364E">
        <w:t xml:space="preserve"> applications and services, which would contribute to the achieving of the SDGs and the Connect 2020 Agenda</w:t>
      </w:r>
      <w:r>
        <w:t>;</w:t>
      </w:r>
    </w:p>
    <w:p w:rsidR="00940555" w:rsidRPr="00FE408C" w:rsidRDefault="00B14CAB" w:rsidP="00940555">
      <w:r>
        <w:t>2</w:t>
      </w:r>
      <w:r>
        <w:tab/>
      </w:r>
      <w:r w:rsidR="00940555" w:rsidRPr="0065364E">
        <w:t xml:space="preserve">for the ITU-D, in collaboration with ITU-T and ITU-R to continue studying the various aspects of </w:t>
      </w:r>
      <w:proofErr w:type="spellStart"/>
      <w:r w:rsidR="00940555" w:rsidRPr="0065364E">
        <w:t>IoT</w:t>
      </w:r>
      <w:proofErr w:type="spellEnd"/>
      <w:r w:rsidR="00940555" w:rsidRPr="0065364E">
        <w:t xml:space="preserve"> to support Member States, in particular the developing countries, to maximize the benefits of </w:t>
      </w:r>
      <w:proofErr w:type="spellStart"/>
      <w:r w:rsidR="00940555" w:rsidRPr="0065364E">
        <w:t>IoT</w:t>
      </w:r>
      <w:proofErr w:type="spellEnd"/>
      <w:r w:rsidR="00940555" w:rsidRPr="0065364E">
        <w:t xml:space="preserve"> in advancing socio-economic development while addressing the potential challenges of </w:t>
      </w:r>
      <w:proofErr w:type="spellStart"/>
      <w:r w:rsidR="00940555" w:rsidRPr="0065364E">
        <w:t>IoT</w:t>
      </w:r>
      <w:proofErr w:type="spellEnd"/>
      <w:r w:rsidR="00940555">
        <w:t xml:space="preserve"> deployment,</w:t>
      </w:r>
    </w:p>
    <w:p w:rsidR="00940555" w:rsidRPr="007135A6" w:rsidRDefault="00940555" w:rsidP="00940555">
      <w:pPr>
        <w:pStyle w:val="Call"/>
        <w:rPr>
          <w:lang w:val="en-US"/>
        </w:rPr>
      </w:pPr>
      <w:proofErr w:type="gramStart"/>
      <w:r w:rsidRPr="00FE408C">
        <w:rPr>
          <w:lang w:val="en-US"/>
        </w:rPr>
        <w:t>instructs</w:t>
      </w:r>
      <w:proofErr w:type="gramEnd"/>
      <w:r w:rsidRPr="00FE408C">
        <w:rPr>
          <w:lang w:val="en-US"/>
        </w:rPr>
        <w:t xml:space="preserve"> the Director of the Telecommunication Development Bureau</w:t>
      </w:r>
    </w:p>
    <w:p w:rsidR="00940555" w:rsidRPr="00DE0AD3" w:rsidRDefault="00940555" w:rsidP="00940555">
      <w:r w:rsidRPr="00DE0AD3">
        <w:t>1</w:t>
      </w:r>
      <w:r w:rsidRPr="00DE0AD3">
        <w:tab/>
        <w:t xml:space="preserve">to support Member States, in particular the developing countries, in adopting </w:t>
      </w:r>
      <w:proofErr w:type="spellStart"/>
      <w:r w:rsidRPr="00DE0AD3">
        <w:t>IoT</w:t>
      </w:r>
      <w:proofErr w:type="spellEnd"/>
      <w:r w:rsidRPr="00DE0AD3">
        <w:t xml:space="preserve"> applications and services through capacity building which aims to facilitate the development of enabling environments and infrastructure;</w:t>
      </w:r>
    </w:p>
    <w:p w:rsidR="00940555" w:rsidRPr="00DE0AD3" w:rsidRDefault="00940555" w:rsidP="00940555">
      <w:r w:rsidRPr="00DE0AD3">
        <w:t>2</w:t>
      </w:r>
      <w:r w:rsidRPr="00DE0AD3">
        <w:tab/>
        <w:t xml:space="preserve">to facilitate discussions and exchange of best practices through the organization of workshops and training programmes on </w:t>
      </w:r>
      <w:proofErr w:type="spellStart"/>
      <w:r w:rsidRPr="00DE0AD3">
        <w:t>IoT</w:t>
      </w:r>
      <w:proofErr w:type="spellEnd"/>
      <w:r w:rsidRPr="00DE0AD3">
        <w:t xml:space="preserve"> platforms, applications and services;</w:t>
      </w:r>
    </w:p>
    <w:p w:rsidR="00940555" w:rsidRDefault="00940555" w:rsidP="00940555">
      <w:r w:rsidRPr="00DE0AD3">
        <w:t>3</w:t>
      </w:r>
      <w:r w:rsidRPr="00DE0AD3">
        <w:tab/>
        <w:t xml:space="preserve">to strengthen cooperation with relevant organisations and stakeholders, including the industry, to encourage the development and adoption of </w:t>
      </w:r>
      <w:proofErr w:type="spellStart"/>
      <w:r w:rsidRPr="00DE0AD3">
        <w:t>IoT</w:t>
      </w:r>
      <w:proofErr w:type="spellEnd"/>
      <w:r w:rsidRPr="00DE0AD3">
        <w:t xml:space="preserve"> </w:t>
      </w:r>
      <w:r>
        <w:t xml:space="preserve">platforms, </w:t>
      </w:r>
      <w:r w:rsidRPr="00DE0AD3">
        <w:t xml:space="preserve">applications and services; </w:t>
      </w:r>
    </w:p>
    <w:p w:rsidR="00940555" w:rsidRDefault="00940555" w:rsidP="00940555">
      <w:r w:rsidRPr="00DE0AD3">
        <w:t>4</w:t>
      </w:r>
      <w:r w:rsidRPr="00DE0AD3">
        <w:tab/>
        <w:t xml:space="preserve">to work closely with the Directors of the </w:t>
      </w:r>
      <w:proofErr w:type="spellStart"/>
      <w:r w:rsidRPr="00DE0AD3">
        <w:t>Radiocommunication</w:t>
      </w:r>
      <w:proofErr w:type="spellEnd"/>
      <w:r w:rsidRPr="00DE0AD3">
        <w:t xml:space="preserve"> Bureau (BR) and the Telecommunication Standardization Bureau (TSB) to provide assistance to Member States on the use and interp</w:t>
      </w:r>
      <w:r>
        <w:t>retation of ITU Recommendations</w:t>
      </w:r>
      <w:r w:rsidRPr="00DE0AD3">
        <w:t>;</w:t>
      </w:r>
    </w:p>
    <w:p w:rsidR="00940555" w:rsidRPr="00DE0AD3" w:rsidRDefault="00940555" w:rsidP="00940555">
      <w:r w:rsidRPr="00DE0AD3">
        <w:t>5</w:t>
      </w:r>
      <w:r w:rsidRPr="00DE0AD3">
        <w:tab/>
        <w:t xml:space="preserve">to consolidate the work done within the ITU relating to </w:t>
      </w:r>
      <w:proofErr w:type="spellStart"/>
      <w:r w:rsidRPr="00DE0AD3">
        <w:t>IoT</w:t>
      </w:r>
      <w:proofErr w:type="spellEnd"/>
      <w:r w:rsidRPr="00DE0AD3">
        <w:t xml:space="preserve">, including studies conducted on technology and standards as well as recommendations on policy and regulation, so as to facilitate the development and adoption of </w:t>
      </w:r>
      <w:proofErr w:type="spellStart"/>
      <w:r w:rsidRPr="00DE0AD3">
        <w:t>IoT</w:t>
      </w:r>
      <w:proofErr w:type="spellEnd"/>
      <w:r w:rsidRPr="00DE0AD3">
        <w:t xml:space="preserve"> platforms, applications and services; </w:t>
      </w:r>
    </w:p>
    <w:p w:rsidR="00940555" w:rsidRPr="00DA7171" w:rsidRDefault="00940555" w:rsidP="00940555">
      <w:pPr>
        <w:rPr>
          <w:strike/>
        </w:rPr>
      </w:pPr>
      <w:r w:rsidRPr="00DE0AD3">
        <w:t>6</w:t>
      </w:r>
      <w:r w:rsidRPr="00DE0AD3">
        <w:tab/>
        <w:t>to disseminate recommendations, guidelines and outcomes from r</w:t>
      </w:r>
      <w:r>
        <w:t>elated studies to Member States,</w:t>
      </w:r>
    </w:p>
    <w:p w:rsidR="00940555" w:rsidRPr="007135A6" w:rsidRDefault="00940555" w:rsidP="00940555">
      <w:pPr>
        <w:pStyle w:val="Call"/>
      </w:pPr>
      <w:proofErr w:type="gramStart"/>
      <w:r w:rsidRPr="00FE408C">
        <w:t>invites</w:t>
      </w:r>
      <w:proofErr w:type="gramEnd"/>
      <w:r w:rsidRPr="00FE408C">
        <w:t xml:space="preserve"> Member States</w:t>
      </w:r>
    </w:p>
    <w:p w:rsidR="00940555" w:rsidRPr="00DE0AD3" w:rsidRDefault="00940555" w:rsidP="00940555">
      <w:r w:rsidRPr="00DE0AD3">
        <w:t>1</w:t>
      </w:r>
      <w:r w:rsidRPr="00DE0AD3">
        <w:tab/>
        <w:t xml:space="preserve">to undertake efforts to develop and implement appropriate policies, regulations, standards that would foster an enabling environment for the development and adoption of </w:t>
      </w:r>
      <w:proofErr w:type="spellStart"/>
      <w:r w:rsidRPr="00DE0AD3">
        <w:t>IoT</w:t>
      </w:r>
      <w:proofErr w:type="spellEnd"/>
      <w:r w:rsidRPr="00DE0AD3">
        <w:t xml:space="preserve"> platforms, applications and services;</w:t>
      </w:r>
    </w:p>
    <w:p w:rsidR="00940555" w:rsidRDefault="00940555" w:rsidP="00940555">
      <w:r w:rsidRPr="00DE0AD3">
        <w:t>2</w:t>
      </w:r>
      <w:r w:rsidRPr="00DE0AD3">
        <w:tab/>
        <w:t xml:space="preserve">to participate actively in regional and global programmes and fora relating to </w:t>
      </w:r>
      <w:proofErr w:type="spellStart"/>
      <w:r w:rsidRPr="00DE0AD3">
        <w:t>IoT</w:t>
      </w:r>
      <w:proofErr w:type="spellEnd"/>
      <w:r w:rsidRPr="00DE0AD3">
        <w:t>.</w:t>
      </w:r>
    </w:p>
    <w:p w:rsidR="00940555" w:rsidRDefault="00D12DF0" w:rsidP="00F31BFB">
      <w:pPr>
        <w:pStyle w:val="Reasons"/>
      </w:pPr>
      <w:r w:rsidRPr="003E39D9">
        <w:rPr>
          <w:b/>
          <w:bCs/>
        </w:rPr>
        <w:lastRenderedPageBreak/>
        <w:t>Reasons:</w:t>
      </w:r>
      <w:r w:rsidRPr="003E39D9">
        <w:rPr>
          <w:b/>
          <w:bCs/>
        </w:rPr>
        <w:tab/>
      </w:r>
      <w:r w:rsidR="00940555" w:rsidRPr="00CD579D">
        <w:t>The Internet of Things (</w:t>
      </w:r>
      <w:proofErr w:type="spellStart"/>
      <w:r w:rsidR="00940555" w:rsidRPr="00CD579D">
        <w:t>IoT</w:t>
      </w:r>
      <w:proofErr w:type="spellEnd"/>
      <w:r w:rsidR="00940555" w:rsidRPr="00CD579D">
        <w:t xml:space="preserve">) is a key enabler of the Information Society which offers an opportunity to transform city infrastructure, from intelligent buildings and transportation systems to smart energy and water </w:t>
      </w:r>
      <w:r w:rsidR="00940555" w:rsidRPr="000A3A97">
        <w:t xml:space="preserve">networks.  A 2016 report </w:t>
      </w:r>
      <w:r w:rsidR="00940555" w:rsidRPr="00CD579D">
        <w:t xml:space="preserve">estimated that up to 50 billion devices could be connected by 2020, impacting nearly every aspect of our daily lives.  Furthermore, the ITU-T has also convened a Study Group on </w:t>
      </w:r>
      <w:proofErr w:type="spellStart"/>
      <w:r w:rsidR="00940555" w:rsidRPr="00CD579D">
        <w:t>IoT</w:t>
      </w:r>
      <w:proofErr w:type="spellEnd"/>
      <w:r w:rsidR="00940555" w:rsidRPr="00CD579D">
        <w:t xml:space="preserve"> and its applications including smart cities and communities (SG20) to work on standardisation requirements of the </w:t>
      </w:r>
      <w:proofErr w:type="spellStart"/>
      <w:r w:rsidR="00940555" w:rsidRPr="00CD579D">
        <w:t>IoT</w:t>
      </w:r>
      <w:proofErr w:type="spellEnd"/>
      <w:r w:rsidR="00940555" w:rsidRPr="00CD579D">
        <w:t xml:space="preserve"> technologies.</w:t>
      </w:r>
    </w:p>
    <w:p w:rsidR="00940555" w:rsidRDefault="00940555" w:rsidP="00D12DF0">
      <w:r w:rsidRPr="00997051">
        <w:rPr>
          <w:lang w:val="en-SG"/>
        </w:rPr>
        <w:t>There is currently no existing WTDC r</w:t>
      </w:r>
      <w:r>
        <w:rPr>
          <w:lang w:val="en-SG"/>
        </w:rPr>
        <w:t xml:space="preserve">esolutions which focuses on </w:t>
      </w:r>
      <w:proofErr w:type="spellStart"/>
      <w:r>
        <w:rPr>
          <w:lang w:val="en-SG"/>
        </w:rPr>
        <w:t>IoT</w:t>
      </w:r>
      <w:proofErr w:type="spellEnd"/>
      <w:r>
        <w:rPr>
          <w:lang w:val="en-SG"/>
        </w:rPr>
        <w:t>. APT Members note that p</w:t>
      </w:r>
      <w:r w:rsidRPr="00997051">
        <w:rPr>
          <w:lang w:val="en-SG"/>
        </w:rPr>
        <w:t>ossible related resolutions such as Res</w:t>
      </w:r>
      <w:r>
        <w:rPr>
          <w:lang w:val="en-SG"/>
        </w:rPr>
        <w:t>.</w:t>
      </w:r>
      <w:r w:rsidRPr="00997051">
        <w:rPr>
          <w:lang w:val="en-SG"/>
        </w:rPr>
        <w:t xml:space="preserve"> 50 (</w:t>
      </w:r>
      <w:r w:rsidRPr="00997051">
        <w:t xml:space="preserve">Optimal Integration of information and communication technologies) </w:t>
      </w:r>
      <w:r w:rsidRPr="00997051">
        <w:rPr>
          <w:lang w:val="en-SG"/>
        </w:rPr>
        <w:t>and Res</w:t>
      </w:r>
      <w:r>
        <w:rPr>
          <w:lang w:val="en-SG"/>
        </w:rPr>
        <w:t>.</w:t>
      </w:r>
      <w:r w:rsidRPr="00997051">
        <w:rPr>
          <w:lang w:val="en-SG"/>
        </w:rPr>
        <w:t xml:space="preserve"> 77 (</w:t>
      </w:r>
      <w:r w:rsidRPr="00997051">
        <w:t>Broadband technology and applications for greater growth and development of telecommunications/information and communication services and broadband connectiv</w:t>
      </w:r>
      <w:r w:rsidR="00D12DF0">
        <w:t xml:space="preserve">ity) do not address </w:t>
      </w:r>
      <w:proofErr w:type="spellStart"/>
      <w:r w:rsidR="00D12DF0">
        <w:t>IoT</w:t>
      </w:r>
      <w:proofErr w:type="spellEnd"/>
      <w:r w:rsidR="00D12DF0">
        <w:t xml:space="preserve"> issue. </w:t>
      </w:r>
    </w:p>
    <w:p w:rsidR="00940555" w:rsidRDefault="00940555" w:rsidP="00940555">
      <w:pPr>
        <w:rPr>
          <w:lang w:val="en-SG"/>
        </w:rPr>
      </w:pPr>
      <w:r w:rsidRPr="00997051">
        <w:t xml:space="preserve">Given the development of </w:t>
      </w:r>
      <w:proofErr w:type="spellStart"/>
      <w:r w:rsidRPr="00997051">
        <w:t>IoT</w:t>
      </w:r>
      <w:proofErr w:type="spellEnd"/>
      <w:r w:rsidRPr="00997051">
        <w:t xml:space="preserve">, and that ITU-R and ITU-T have their own resolutions on </w:t>
      </w:r>
      <w:proofErr w:type="spellStart"/>
      <w:r w:rsidRPr="00997051">
        <w:t>IoT</w:t>
      </w:r>
      <w:proofErr w:type="spellEnd"/>
      <w:r w:rsidRPr="00997051">
        <w:t>, this i</w:t>
      </w:r>
      <w:r>
        <w:t xml:space="preserve">s an important topic which the </w:t>
      </w:r>
      <w:r w:rsidRPr="00997051">
        <w:t>ITU-D needs to look at from a capacity building and policy development point of view, in close collaboration with ITU-R and ITU-T.</w:t>
      </w:r>
      <w:r>
        <w:t xml:space="preserve">  APT Members further note that </w:t>
      </w:r>
      <w:r w:rsidRPr="00997051">
        <w:rPr>
          <w:lang w:val="en-SG"/>
        </w:rPr>
        <w:t>PP Res</w:t>
      </w:r>
      <w:r>
        <w:rPr>
          <w:lang w:val="en-SG"/>
        </w:rPr>
        <w:t>.</w:t>
      </w:r>
      <w:r w:rsidRPr="00997051">
        <w:rPr>
          <w:lang w:val="en-SG"/>
        </w:rPr>
        <w:t xml:space="preserve"> 197 on “Facilitating the </w:t>
      </w:r>
      <w:proofErr w:type="spellStart"/>
      <w:r w:rsidRPr="00997051">
        <w:rPr>
          <w:lang w:val="en-SG"/>
        </w:rPr>
        <w:t>IoT</w:t>
      </w:r>
      <w:proofErr w:type="spellEnd"/>
      <w:r w:rsidRPr="00997051">
        <w:rPr>
          <w:lang w:val="en-SG"/>
        </w:rPr>
        <w:t xml:space="preserve"> to prepare for a globally connected world” has one paragraph which instructed Dir</w:t>
      </w:r>
      <w:r>
        <w:rPr>
          <w:lang w:val="en-SG"/>
        </w:rPr>
        <w:t>ector of</w:t>
      </w:r>
      <w:r w:rsidRPr="00997051">
        <w:rPr>
          <w:lang w:val="en-SG"/>
        </w:rPr>
        <w:t xml:space="preserve"> BDT to “encourage and assist countries which need support in adopting </w:t>
      </w:r>
      <w:proofErr w:type="spellStart"/>
      <w:r w:rsidRPr="00997051">
        <w:rPr>
          <w:lang w:val="en-SG"/>
        </w:rPr>
        <w:t>IoT</w:t>
      </w:r>
      <w:proofErr w:type="spellEnd"/>
      <w:r w:rsidRPr="00997051">
        <w:rPr>
          <w:lang w:val="en-SG"/>
        </w:rPr>
        <w:t xml:space="preserve"> and </w:t>
      </w:r>
      <w:proofErr w:type="spellStart"/>
      <w:r w:rsidRPr="00997051">
        <w:rPr>
          <w:lang w:val="en-SG"/>
        </w:rPr>
        <w:t>IoT</w:t>
      </w:r>
      <w:proofErr w:type="spellEnd"/>
      <w:r w:rsidRPr="00997051">
        <w:rPr>
          <w:lang w:val="en-SG"/>
        </w:rPr>
        <w:t xml:space="preserve"> service, by providing relevant information, capacity building and best practi</w:t>
      </w:r>
      <w:r w:rsidR="00D12DF0">
        <w:rPr>
          <w:lang w:val="en-SG"/>
        </w:rPr>
        <w:t xml:space="preserve">ces to enable adoption of </w:t>
      </w:r>
      <w:proofErr w:type="spellStart"/>
      <w:r w:rsidR="00D12DF0">
        <w:rPr>
          <w:lang w:val="en-SG"/>
        </w:rPr>
        <w:t>IoT</w:t>
      </w:r>
      <w:proofErr w:type="spellEnd"/>
      <w:r w:rsidR="00D12DF0">
        <w:rPr>
          <w:lang w:val="en-SG"/>
        </w:rPr>
        <w:t>”.</w:t>
      </w:r>
    </w:p>
    <w:p w:rsidR="00940555" w:rsidRDefault="00940555" w:rsidP="00940555">
      <w:pPr>
        <w:rPr>
          <w:lang w:val="en-SG"/>
        </w:rPr>
      </w:pPr>
      <w:r>
        <w:rPr>
          <w:lang w:val="en-SG"/>
        </w:rPr>
        <w:t xml:space="preserve">APT Member Administrations therefore propose a new resolution, which </w:t>
      </w:r>
      <w:r w:rsidRPr="00997051">
        <w:rPr>
          <w:lang w:val="en-SG"/>
        </w:rPr>
        <w:t xml:space="preserve">aims to get the BDT: </w:t>
      </w:r>
    </w:p>
    <w:p w:rsidR="00940555" w:rsidRPr="00BD40DA" w:rsidRDefault="006435A2" w:rsidP="006435A2">
      <w:pPr>
        <w:pStyle w:val="enumlev1"/>
        <w:rPr>
          <w:lang w:val="en-SG"/>
        </w:rPr>
      </w:pPr>
      <w:proofErr w:type="spellStart"/>
      <w:r>
        <w:rPr>
          <w:lang w:val="en-SG"/>
        </w:rPr>
        <w:t>i</w:t>
      </w:r>
      <w:proofErr w:type="spellEnd"/>
      <w:r>
        <w:rPr>
          <w:lang w:val="en-SG"/>
        </w:rPr>
        <w:t>)</w:t>
      </w:r>
      <w:r>
        <w:rPr>
          <w:lang w:val="en-SG"/>
        </w:rPr>
        <w:tab/>
      </w:r>
      <w:proofErr w:type="gramStart"/>
      <w:r w:rsidR="00940555" w:rsidRPr="00BD40DA">
        <w:rPr>
          <w:lang w:val="en-SG"/>
        </w:rPr>
        <w:t>to</w:t>
      </w:r>
      <w:proofErr w:type="gramEnd"/>
      <w:r w:rsidR="00940555" w:rsidRPr="00BD40DA">
        <w:rPr>
          <w:lang w:val="en-SG"/>
        </w:rPr>
        <w:t xml:space="preserve"> consolidate all work done within ITU to help developing countries come up with best practices, </w:t>
      </w:r>
    </w:p>
    <w:p w:rsidR="00940555" w:rsidRPr="006435A2" w:rsidRDefault="006435A2" w:rsidP="006435A2">
      <w:pPr>
        <w:pStyle w:val="enumlev1"/>
        <w:rPr>
          <w:lang w:val="en-SG"/>
        </w:rPr>
      </w:pPr>
      <w:r>
        <w:rPr>
          <w:lang w:val="en-SG"/>
        </w:rPr>
        <w:t>ii)</w:t>
      </w:r>
      <w:r>
        <w:rPr>
          <w:lang w:val="en-SG"/>
        </w:rPr>
        <w:tab/>
      </w:r>
      <w:proofErr w:type="gramStart"/>
      <w:r w:rsidR="00940555" w:rsidRPr="006435A2">
        <w:rPr>
          <w:lang w:val="en-SG"/>
        </w:rPr>
        <w:t>to</w:t>
      </w:r>
      <w:proofErr w:type="gramEnd"/>
      <w:r w:rsidR="00940555" w:rsidRPr="006435A2">
        <w:rPr>
          <w:lang w:val="en-SG"/>
        </w:rPr>
        <w:t xml:space="preserve"> disseminate guidelines, outcomes and Recommendations from ITU studies, </w:t>
      </w:r>
    </w:p>
    <w:p w:rsidR="00940555" w:rsidRDefault="006435A2" w:rsidP="006435A2">
      <w:pPr>
        <w:pStyle w:val="enumlev1"/>
        <w:rPr>
          <w:lang w:val="en-SG"/>
        </w:rPr>
      </w:pPr>
      <w:r>
        <w:rPr>
          <w:lang w:val="en-SG"/>
        </w:rPr>
        <w:t>iii)</w:t>
      </w:r>
      <w:r>
        <w:rPr>
          <w:lang w:val="en-SG"/>
        </w:rPr>
        <w:tab/>
      </w:r>
      <w:proofErr w:type="gramStart"/>
      <w:r w:rsidR="00940555" w:rsidRPr="00BD40DA">
        <w:rPr>
          <w:lang w:val="en-SG"/>
        </w:rPr>
        <w:t>to</w:t>
      </w:r>
      <w:proofErr w:type="gramEnd"/>
      <w:r w:rsidR="00940555" w:rsidRPr="00BD40DA">
        <w:rPr>
          <w:lang w:val="en-SG"/>
        </w:rPr>
        <w:t xml:space="preserve"> </w:t>
      </w:r>
      <w:r w:rsidR="00940555">
        <w:rPr>
          <w:lang w:val="en-SG"/>
        </w:rPr>
        <w:t>strengthen cooperation</w:t>
      </w:r>
      <w:r w:rsidR="00940555" w:rsidRPr="00BD40DA">
        <w:rPr>
          <w:lang w:val="en-SG"/>
        </w:rPr>
        <w:t xml:space="preserve"> with relevant stakeholders to facilitate the development and adoption o</w:t>
      </w:r>
      <w:r w:rsidR="00940555">
        <w:rPr>
          <w:lang w:val="en-SG"/>
        </w:rPr>
        <w:t xml:space="preserve">f </w:t>
      </w:r>
      <w:proofErr w:type="spellStart"/>
      <w:r w:rsidR="00940555">
        <w:rPr>
          <w:lang w:val="en-SG"/>
        </w:rPr>
        <w:t>IoT</w:t>
      </w:r>
      <w:proofErr w:type="spellEnd"/>
      <w:r w:rsidR="00940555">
        <w:rPr>
          <w:lang w:val="en-SG"/>
        </w:rPr>
        <w:t xml:space="preserve"> applications and services</w:t>
      </w:r>
      <w:r w:rsidR="00940555" w:rsidRPr="00BD40DA">
        <w:rPr>
          <w:lang w:val="en-SG"/>
        </w:rPr>
        <w:t xml:space="preserve">, </w:t>
      </w:r>
    </w:p>
    <w:p w:rsidR="00940555" w:rsidRPr="00BD40DA" w:rsidRDefault="006435A2" w:rsidP="006435A2">
      <w:pPr>
        <w:pStyle w:val="enumlev1"/>
        <w:rPr>
          <w:lang w:val="en-SG"/>
        </w:rPr>
      </w:pPr>
      <w:r>
        <w:rPr>
          <w:lang w:val="en-SG"/>
        </w:rPr>
        <w:t>iv)</w:t>
      </w:r>
      <w:r>
        <w:rPr>
          <w:lang w:val="en-SG"/>
        </w:rPr>
        <w:tab/>
      </w:r>
      <w:proofErr w:type="gramStart"/>
      <w:r w:rsidR="00940555">
        <w:rPr>
          <w:lang w:val="en-SG"/>
        </w:rPr>
        <w:t>to</w:t>
      </w:r>
      <w:proofErr w:type="gramEnd"/>
      <w:r w:rsidR="00940555">
        <w:rPr>
          <w:lang w:val="en-SG"/>
        </w:rPr>
        <w:t xml:space="preserve"> collaborate</w:t>
      </w:r>
      <w:r w:rsidR="00940555" w:rsidRPr="00BD40DA">
        <w:rPr>
          <w:lang w:val="en-SG"/>
        </w:rPr>
        <w:t xml:space="preserve"> </w:t>
      </w:r>
      <w:r w:rsidR="00940555">
        <w:rPr>
          <w:lang w:val="en-SG"/>
        </w:rPr>
        <w:t>with ITU-T and ITU-R</w:t>
      </w:r>
      <w:r w:rsidR="00940555" w:rsidRPr="00BD40DA">
        <w:rPr>
          <w:lang w:val="en-SG"/>
        </w:rPr>
        <w:t xml:space="preserve"> </w:t>
      </w:r>
      <w:r w:rsidR="00940555">
        <w:rPr>
          <w:lang w:val="en-SG"/>
        </w:rPr>
        <w:t xml:space="preserve">to further study various aspects of </w:t>
      </w:r>
      <w:proofErr w:type="spellStart"/>
      <w:r w:rsidR="00940555">
        <w:rPr>
          <w:lang w:val="en-SG"/>
        </w:rPr>
        <w:t>IoT</w:t>
      </w:r>
      <w:proofErr w:type="spellEnd"/>
      <w:r w:rsidR="00940555">
        <w:rPr>
          <w:lang w:val="en-SG"/>
        </w:rPr>
        <w:t>.</w:t>
      </w:r>
    </w:p>
    <w:p w:rsidR="00940555" w:rsidRPr="00C85F37" w:rsidRDefault="00940555" w:rsidP="00C85F37">
      <w:pPr>
        <w:pStyle w:val="Reasons"/>
        <w:jc w:val="center"/>
      </w:pPr>
      <w:r w:rsidRPr="00C85F37">
        <w:t>_____________</w:t>
      </w:r>
    </w:p>
    <w:sectPr w:rsidR="00940555" w:rsidRPr="00C85F37" w:rsidSect="0039169B">
      <w:headerReference w:type="default" r:id="rId14"/>
      <w:footerReference w:type="even"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48442D">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8B663E" w:rsidTr="008B61EA">
      <w:tc>
        <w:tcPr>
          <w:tcW w:w="1526" w:type="dxa"/>
          <w:tcBorders>
            <w:top w:val="single" w:sz="4" w:space="0" w:color="000000"/>
          </w:tcBorders>
          <w:shd w:val="clear" w:color="auto" w:fill="auto"/>
        </w:tcPr>
        <w:p w:rsidR="00D83BF5" w:rsidRPr="008B663E" w:rsidRDefault="00D83BF5" w:rsidP="00D83BF5">
          <w:pPr>
            <w:pStyle w:val="FirstFooter"/>
            <w:tabs>
              <w:tab w:val="left" w:pos="1559"/>
              <w:tab w:val="left" w:pos="3828"/>
            </w:tabs>
            <w:rPr>
              <w:sz w:val="18"/>
              <w:szCs w:val="18"/>
            </w:rPr>
          </w:pPr>
          <w:r w:rsidRPr="008B663E">
            <w:rPr>
              <w:sz w:val="18"/>
              <w:szCs w:val="18"/>
              <w:lang w:val="en-US"/>
            </w:rPr>
            <w:t>Contact:</w:t>
          </w:r>
        </w:p>
      </w:tc>
      <w:tc>
        <w:tcPr>
          <w:tcW w:w="2410" w:type="dxa"/>
          <w:tcBorders>
            <w:top w:val="single" w:sz="4" w:space="0" w:color="000000"/>
          </w:tcBorders>
          <w:shd w:val="clear" w:color="auto" w:fill="auto"/>
        </w:tcPr>
        <w:p w:rsidR="00D83BF5" w:rsidRPr="008B663E" w:rsidRDefault="00D83BF5" w:rsidP="00D83BF5">
          <w:pPr>
            <w:pStyle w:val="FirstFooter"/>
            <w:tabs>
              <w:tab w:val="left" w:pos="2302"/>
            </w:tabs>
            <w:ind w:left="2302" w:hanging="2302"/>
            <w:rPr>
              <w:sz w:val="18"/>
              <w:szCs w:val="18"/>
              <w:lang w:val="en-US"/>
            </w:rPr>
          </w:pPr>
          <w:r w:rsidRPr="008B663E">
            <w:rPr>
              <w:sz w:val="18"/>
              <w:szCs w:val="18"/>
              <w:lang w:val="en-US"/>
            </w:rPr>
            <w:t>Name/Organization/Entity:</w:t>
          </w:r>
        </w:p>
      </w:tc>
      <w:tc>
        <w:tcPr>
          <w:tcW w:w="5987" w:type="dxa"/>
          <w:tcBorders>
            <w:top w:val="single" w:sz="4" w:space="0" w:color="000000"/>
          </w:tcBorders>
          <w:shd w:val="clear" w:color="auto" w:fill="auto"/>
        </w:tcPr>
        <w:p w:rsidR="00D83BF5" w:rsidRPr="008B663E" w:rsidRDefault="008B663E" w:rsidP="008B663E">
          <w:pPr>
            <w:pStyle w:val="FirstFooter"/>
            <w:tabs>
              <w:tab w:val="left" w:pos="2302"/>
            </w:tabs>
            <w:ind w:left="2302" w:hanging="2302"/>
            <w:rPr>
              <w:sz w:val="18"/>
              <w:szCs w:val="18"/>
              <w:lang w:val="en-US"/>
            </w:rPr>
          </w:pPr>
          <w:bookmarkStart w:id="12" w:name="OrgName"/>
          <w:bookmarkEnd w:id="12"/>
          <w:r w:rsidRPr="008B663E">
            <w:rPr>
              <w:sz w:val="18"/>
              <w:szCs w:val="18"/>
              <w:lang w:val="en-US"/>
            </w:rPr>
            <w:t>Mr. Mike Ong, Singapore</w:t>
          </w:r>
        </w:p>
      </w:tc>
    </w:tr>
    <w:tr w:rsidR="00D83BF5" w:rsidRPr="008B663E" w:rsidTr="008B61EA">
      <w:tc>
        <w:tcPr>
          <w:tcW w:w="1526" w:type="dxa"/>
          <w:shd w:val="clear" w:color="auto" w:fill="auto"/>
        </w:tcPr>
        <w:p w:rsidR="00D83BF5" w:rsidRPr="008B663E" w:rsidRDefault="00D83BF5" w:rsidP="00D83BF5">
          <w:pPr>
            <w:pStyle w:val="FirstFooter"/>
            <w:tabs>
              <w:tab w:val="left" w:pos="1559"/>
              <w:tab w:val="left" w:pos="3828"/>
            </w:tabs>
            <w:rPr>
              <w:sz w:val="20"/>
              <w:lang w:val="en-US"/>
            </w:rPr>
          </w:pPr>
        </w:p>
      </w:tc>
      <w:tc>
        <w:tcPr>
          <w:tcW w:w="2410" w:type="dxa"/>
          <w:shd w:val="clear" w:color="auto" w:fill="auto"/>
        </w:tcPr>
        <w:p w:rsidR="00D83BF5" w:rsidRPr="008B663E" w:rsidRDefault="00D83BF5" w:rsidP="00D83BF5">
          <w:pPr>
            <w:pStyle w:val="FirstFooter"/>
            <w:tabs>
              <w:tab w:val="left" w:pos="2302"/>
            </w:tabs>
            <w:rPr>
              <w:sz w:val="18"/>
              <w:szCs w:val="18"/>
              <w:lang w:val="en-US"/>
            </w:rPr>
          </w:pPr>
          <w:r w:rsidRPr="008B663E">
            <w:rPr>
              <w:sz w:val="18"/>
              <w:szCs w:val="18"/>
              <w:lang w:val="en-US"/>
            </w:rPr>
            <w:t>E-mail:</w:t>
          </w:r>
        </w:p>
      </w:tc>
      <w:bookmarkStart w:id="13" w:name="Email"/>
      <w:bookmarkEnd w:id="13"/>
      <w:tc>
        <w:tcPr>
          <w:tcW w:w="5987" w:type="dxa"/>
          <w:shd w:val="clear" w:color="auto" w:fill="auto"/>
        </w:tcPr>
        <w:p w:rsidR="00D83BF5" w:rsidRPr="008B663E" w:rsidRDefault="008B663E" w:rsidP="008B663E">
          <w:pPr>
            <w:pStyle w:val="FirstFooter"/>
            <w:tabs>
              <w:tab w:val="left" w:pos="2302"/>
            </w:tabs>
            <w:rPr>
              <w:sz w:val="18"/>
              <w:szCs w:val="18"/>
              <w:lang w:val="en-US"/>
            </w:rPr>
          </w:pPr>
          <w:r w:rsidRPr="008B663E">
            <w:rPr>
              <w:sz w:val="18"/>
              <w:szCs w:val="18"/>
              <w:lang w:val="en-US"/>
            </w:rPr>
            <w:fldChar w:fldCharType="begin"/>
          </w:r>
          <w:r w:rsidRPr="008B663E">
            <w:rPr>
              <w:sz w:val="18"/>
              <w:szCs w:val="18"/>
              <w:lang w:val="en-US"/>
            </w:rPr>
            <w:instrText xml:space="preserve"> HYPERLINK "mailto:mike_ong@imda.gov.sg" </w:instrText>
          </w:r>
          <w:r w:rsidRPr="008B663E">
            <w:rPr>
              <w:sz w:val="18"/>
              <w:szCs w:val="18"/>
              <w:lang w:val="en-US"/>
            </w:rPr>
            <w:fldChar w:fldCharType="separate"/>
          </w:r>
          <w:r w:rsidRPr="008B663E">
            <w:rPr>
              <w:rStyle w:val="Hyperlink"/>
              <w:sz w:val="18"/>
              <w:szCs w:val="18"/>
              <w:lang w:val="en-US"/>
            </w:rPr>
            <w:t>mike_ong@imda.gov.sg</w:t>
          </w:r>
          <w:r w:rsidRPr="008B663E">
            <w:rPr>
              <w:sz w:val="18"/>
              <w:szCs w:val="18"/>
              <w:lang w:val="en-US"/>
            </w:rPr>
            <w:fldChar w:fldCharType="end"/>
          </w:r>
        </w:p>
      </w:tc>
    </w:tr>
  </w:tbl>
  <w:p w:rsidR="00D83BF5" w:rsidRPr="00784E03" w:rsidRDefault="0048442D"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22(Add.12)</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8442D">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A382A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C5A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848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8BD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9249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CA5C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944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869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C87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72A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32472CB"/>
    <w:multiLevelType w:val="hybridMultilevel"/>
    <w:tmpl w:val="5A7476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78066A"/>
    <w:multiLevelType w:val="hybridMultilevel"/>
    <w:tmpl w:val="A956B2CE"/>
    <w:lvl w:ilvl="0" w:tplc="15A0F5FC">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D5C7E"/>
    <w:multiLevelType w:val="hybridMultilevel"/>
    <w:tmpl w:val="11765BA6"/>
    <w:lvl w:ilvl="0" w:tplc="08609D74">
      <w:numFmt w:val="bullet"/>
      <w:lvlText w:val="-"/>
      <w:lvlJc w:val="left"/>
      <w:pPr>
        <w:ind w:left="720" w:hanging="360"/>
      </w:pPr>
      <w:rPr>
        <w:rFonts w:ascii="Times New Roman" w:eastAsia="MS Mincho"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E000D8B"/>
    <w:multiLevelType w:val="hybridMultilevel"/>
    <w:tmpl w:val="5BA2E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2EE1ED0"/>
    <w:multiLevelType w:val="hybridMultilevel"/>
    <w:tmpl w:val="9340A768"/>
    <w:lvl w:ilvl="0" w:tplc="08609D7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ED022F"/>
    <w:multiLevelType w:val="hybridMultilevel"/>
    <w:tmpl w:val="04325F22"/>
    <w:lvl w:ilvl="0" w:tplc="9D3EF0D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17"/>
  </w:num>
  <w:num w:numId="18">
    <w:abstractNumId w:val="1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033C"/>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2755C"/>
    <w:rsid w:val="00360D96"/>
    <w:rsid w:val="0037069D"/>
    <w:rsid w:val="0037527B"/>
    <w:rsid w:val="00377BD3"/>
    <w:rsid w:val="00384088"/>
    <w:rsid w:val="0038489B"/>
    <w:rsid w:val="0039169B"/>
    <w:rsid w:val="003A7F8C"/>
    <w:rsid w:val="003B532E"/>
    <w:rsid w:val="003B6F14"/>
    <w:rsid w:val="003D0F8B"/>
    <w:rsid w:val="003E39D9"/>
    <w:rsid w:val="004131D4"/>
    <w:rsid w:val="0041348E"/>
    <w:rsid w:val="00447308"/>
    <w:rsid w:val="0046657C"/>
    <w:rsid w:val="004765FF"/>
    <w:rsid w:val="0048040C"/>
    <w:rsid w:val="0048292A"/>
    <w:rsid w:val="0048442D"/>
    <w:rsid w:val="00492075"/>
    <w:rsid w:val="004969AD"/>
    <w:rsid w:val="004B13CB"/>
    <w:rsid w:val="004B4FDF"/>
    <w:rsid w:val="004C0E17"/>
    <w:rsid w:val="004D30BE"/>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435A2"/>
    <w:rsid w:val="00655E58"/>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431"/>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63E"/>
    <w:rsid w:val="008B6CFF"/>
    <w:rsid w:val="008C65C7"/>
    <w:rsid w:val="008D15D9"/>
    <w:rsid w:val="00910B26"/>
    <w:rsid w:val="009274B4"/>
    <w:rsid w:val="00934EA2"/>
    <w:rsid w:val="00940555"/>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478F6"/>
    <w:rsid w:val="00A538A6"/>
    <w:rsid w:val="00A54C25"/>
    <w:rsid w:val="00A61139"/>
    <w:rsid w:val="00A710E7"/>
    <w:rsid w:val="00A7372E"/>
    <w:rsid w:val="00A74B99"/>
    <w:rsid w:val="00A93B85"/>
    <w:rsid w:val="00AA0B18"/>
    <w:rsid w:val="00AA3F20"/>
    <w:rsid w:val="00AA666F"/>
    <w:rsid w:val="00AB4927"/>
    <w:rsid w:val="00AF36F2"/>
    <w:rsid w:val="00B004E5"/>
    <w:rsid w:val="00B14CAB"/>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85F37"/>
    <w:rsid w:val="00C9709C"/>
    <w:rsid w:val="00C97C68"/>
    <w:rsid w:val="00CA1A47"/>
    <w:rsid w:val="00CC247A"/>
    <w:rsid w:val="00CD45EB"/>
    <w:rsid w:val="00CE5E47"/>
    <w:rsid w:val="00CF020F"/>
    <w:rsid w:val="00CF2B5B"/>
    <w:rsid w:val="00D0080C"/>
    <w:rsid w:val="00D12DF0"/>
    <w:rsid w:val="00D14CE0"/>
    <w:rsid w:val="00D36333"/>
    <w:rsid w:val="00D408A9"/>
    <w:rsid w:val="00D5651D"/>
    <w:rsid w:val="00D608D1"/>
    <w:rsid w:val="00D74898"/>
    <w:rsid w:val="00D801ED"/>
    <w:rsid w:val="00D83BF5"/>
    <w:rsid w:val="00D91CF6"/>
    <w:rsid w:val="00D920B3"/>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185D"/>
    <w:rsid w:val="00E03C94"/>
    <w:rsid w:val="00E07105"/>
    <w:rsid w:val="00E26226"/>
    <w:rsid w:val="00E4165C"/>
    <w:rsid w:val="00E45D05"/>
    <w:rsid w:val="00E55816"/>
    <w:rsid w:val="00E55AEF"/>
    <w:rsid w:val="00E73CC1"/>
    <w:rsid w:val="00E77344"/>
    <w:rsid w:val="00E93C53"/>
    <w:rsid w:val="00E976C1"/>
    <w:rsid w:val="00EA12E5"/>
    <w:rsid w:val="00ED2D36"/>
    <w:rsid w:val="00ED5132"/>
    <w:rsid w:val="00F00C71"/>
    <w:rsid w:val="00F02766"/>
    <w:rsid w:val="00F04067"/>
    <w:rsid w:val="00F05BD4"/>
    <w:rsid w:val="00F11A98"/>
    <w:rsid w:val="00F21A1D"/>
    <w:rsid w:val="00F31BFB"/>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CallChar">
    <w:name w:val="Call Char"/>
    <w:basedOn w:val="DefaultParagraphFont"/>
    <w:link w:val="Call"/>
    <w:locked/>
    <w:rsid w:val="00940555"/>
    <w:rPr>
      <w:rFonts w:asciiTheme="minorHAnsi" w:hAnsiTheme="minorHAnsi"/>
      <w:i/>
      <w:sz w:val="24"/>
      <w:lang w:val="en-GB" w:eastAsia="en-US"/>
    </w:rPr>
  </w:style>
  <w:style w:type="character" w:styleId="LineNumber">
    <w:name w:val="line number"/>
    <w:rsid w:val="00940555"/>
  </w:style>
  <w:style w:type="character" w:customStyle="1" w:styleId="CEONormalChar">
    <w:name w:val="CEO_Normal Char"/>
    <w:link w:val="CEONormal"/>
    <w:locked/>
    <w:rsid w:val="00940555"/>
    <w:rPr>
      <w:rFonts w:ascii="Verdana" w:hAnsi="Verdana"/>
      <w:sz w:val="19"/>
      <w:szCs w:val="19"/>
    </w:rPr>
  </w:style>
  <w:style w:type="paragraph" w:customStyle="1" w:styleId="CEONormal">
    <w:name w:val="CEO_Normal"/>
    <w:link w:val="CEONormalChar"/>
    <w:rsid w:val="00940555"/>
    <w:pPr>
      <w:spacing w:before="120" w:after="120"/>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D14-WTDC17-C-0022!A12!MSW-E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0DB71272-71C4-4E6C-8C1E-472F30DA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4A64-A010-4493-BC6A-A6DA553B4186}">
  <ds:schemaRefs>
    <ds:schemaRef ds:uri="http://schemas.microsoft.com/sharepoint/events"/>
  </ds:schemaRefs>
</ds:datastoreItem>
</file>

<file path=customXml/itemProps4.xml><?xml version="1.0" encoding="utf-8"?>
<ds:datastoreItem xmlns:ds="http://schemas.openxmlformats.org/officeDocument/2006/customXml" ds:itemID="{97338DFA-D1AE-4BBF-BC38-7CD170A4311E}">
  <ds:schemaRef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32a1a8c5-2265-4ebc-b7a0-2071e2c5c9bb"/>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1557E3A0-E3DA-4825-B214-28BBDCE2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1370</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D14-WTDC17-C-0022!A12!MSW-E</vt:lpstr>
    </vt:vector>
  </TitlesOfParts>
  <Manager>General Secretariat - Pool</Manager>
  <Company>International Telecommunication Union (ITU)</Company>
  <LinksUpToDate>false</LinksUpToDate>
  <CharactersWithSpaces>9306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D14-WTDC17-C-0022!A12!MSW-E</dc:title>
  <dc:subject/>
  <dc:creator>Documents Proposals Manager (DPM)</dc:creator>
  <cp:keywords>DPM_v2017.7.28.1_prod</cp:keywords>
  <dc:description/>
  <cp:lastModifiedBy>BDT - mcb</cp:lastModifiedBy>
  <cp:revision>4</cp:revision>
  <cp:lastPrinted>2011-08-24T07:41:00Z</cp:lastPrinted>
  <dcterms:created xsi:type="dcterms:W3CDTF">2017-09-29T14:12:00Z</dcterms:created>
  <dcterms:modified xsi:type="dcterms:W3CDTF">2017-10-02T08:17:00Z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