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9888" w:type="dxa"/>
        <w:tblLayout w:type="fixed"/>
        <w:tblCellMar>
          <w:left w:w="107" w:type="dxa"/>
          <w:right w:w="107" w:type="dxa"/>
        </w:tblCellMar>
        <w:tblLook w:val="0000" w:firstRow="0" w:lastRow="0" w:firstColumn="0" w:lastColumn="0" w:noHBand="0" w:noVBand="0"/>
      </w:tblPr>
      <w:tblGrid>
        <w:gridCol w:w="1087"/>
        <w:gridCol w:w="5447"/>
        <w:gridCol w:w="3354"/>
      </w:tblGrid>
      <w:tr w:rsidR="00D42EE8" w:rsidRPr="00617EDA" w:rsidTr="00D42EE8">
        <w:trPr>
          <w:cantSplit/>
        </w:trPr>
        <w:tc>
          <w:tcPr>
            <w:tcW w:w="1100" w:type="dxa"/>
            <w:tcBorders>
              <w:bottom w:val="single" w:sz="12" w:space="0" w:color="auto"/>
            </w:tcBorders>
          </w:tcPr>
          <w:p w:rsidR="00D42EE8" w:rsidRPr="00617EDA" w:rsidRDefault="00D42EE8" w:rsidP="008B15CB">
            <w:pPr>
              <w:spacing w:before="240"/>
            </w:pPr>
            <w:r w:rsidRPr="00617EDA">
              <w:rPr>
                <w:noProof/>
                <w:color w:val="3399FF"/>
                <w:lang w:val="fr-CH" w:eastAsia="zh-CN"/>
              </w:rPr>
              <w:drawing>
                <wp:anchor distT="0" distB="0" distL="114300" distR="114300" simplePos="0" relativeHeight="251658240"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28" w:type="dxa"/>
            <w:tcBorders>
              <w:bottom w:val="single" w:sz="12" w:space="0" w:color="auto"/>
            </w:tcBorders>
          </w:tcPr>
          <w:p w:rsidR="00D42EE8" w:rsidRPr="00617EDA" w:rsidRDefault="00D42EE8" w:rsidP="008B15CB">
            <w:pPr>
              <w:tabs>
                <w:tab w:val="clear" w:pos="794"/>
                <w:tab w:val="clear" w:pos="1191"/>
                <w:tab w:val="clear" w:pos="1588"/>
                <w:tab w:val="clear" w:pos="1985"/>
                <w:tab w:val="left" w:pos="1871"/>
              </w:tabs>
              <w:spacing w:before="20" w:after="48"/>
              <w:ind w:left="34"/>
              <w:rPr>
                <w:b/>
                <w:sz w:val="28"/>
                <w:szCs w:val="28"/>
              </w:rPr>
            </w:pPr>
            <w:r w:rsidRPr="00617EDA">
              <w:rPr>
                <w:b/>
                <w:bCs/>
                <w:sz w:val="28"/>
                <w:szCs w:val="28"/>
              </w:rPr>
              <w:t>Conférence</w:t>
            </w:r>
            <w:r w:rsidRPr="00617EDA">
              <w:rPr>
                <w:b/>
                <w:sz w:val="28"/>
                <w:szCs w:val="28"/>
              </w:rPr>
              <w:t xml:space="preserve"> mondiale de développement des télécommunications</w:t>
            </w:r>
            <w:r w:rsidR="00A87DA9" w:rsidRPr="00617EDA">
              <w:rPr>
                <w:b/>
                <w:sz w:val="28"/>
                <w:szCs w:val="28"/>
              </w:rPr>
              <w:t xml:space="preserve"> de 2017</w:t>
            </w:r>
            <w:r w:rsidRPr="00617EDA">
              <w:rPr>
                <w:b/>
                <w:sz w:val="28"/>
                <w:szCs w:val="28"/>
              </w:rPr>
              <w:t xml:space="preserve"> (CMDT-17)</w:t>
            </w:r>
          </w:p>
          <w:p w:rsidR="00D42EE8" w:rsidRPr="00617EDA" w:rsidRDefault="00D42EE8" w:rsidP="008B15CB">
            <w:pPr>
              <w:tabs>
                <w:tab w:val="clear" w:pos="794"/>
                <w:tab w:val="clear" w:pos="1191"/>
                <w:tab w:val="clear" w:pos="1588"/>
                <w:tab w:val="clear" w:pos="1985"/>
                <w:tab w:val="left" w:pos="1871"/>
              </w:tabs>
              <w:spacing w:after="48"/>
              <w:ind w:left="34"/>
            </w:pPr>
            <w:r w:rsidRPr="00617EDA">
              <w:rPr>
                <w:b/>
                <w:bCs/>
                <w:sz w:val="26"/>
                <w:szCs w:val="26"/>
              </w:rPr>
              <w:t>Buenos Aires, Argentine, 9</w:t>
            </w:r>
            <w:r w:rsidR="0056763F" w:rsidRPr="00617EDA">
              <w:rPr>
                <w:b/>
                <w:bCs/>
                <w:sz w:val="26"/>
                <w:szCs w:val="26"/>
              </w:rPr>
              <w:t>-</w:t>
            </w:r>
            <w:r w:rsidRPr="00617EDA">
              <w:rPr>
                <w:b/>
                <w:bCs/>
                <w:sz w:val="26"/>
                <w:szCs w:val="26"/>
              </w:rPr>
              <w:t>20 octobre 2017</w:t>
            </w:r>
          </w:p>
        </w:tc>
        <w:tc>
          <w:tcPr>
            <w:tcW w:w="3260" w:type="dxa"/>
            <w:tcBorders>
              <w:bottom w:val="single" w:sz="12" w:space="0" w:color="auto"/>
            </w:tcBorders>
          </w:tcPr>
          <w:p w:rsidR="00D42EE8" w:rsidRPr="00617EDA" w:rsidRDefault="00515188" w:rsidP="008B15CB">
            <w:pPr>
              <w:spacing w:before="0" w:after="80"/>
            </w:pPr>
            <w:bookmarkStart w:id="0" w:name="dlogo"/>
            <w:bookmarkEnd w:id="0"/>
            <w:r w:rsidRPr="00617EDA">
              <w:rPr>
                <w:noProof/>
                <w:lang w:val="fr-CH" w:eastAsia="zh-CN"/>
              </w:rPr>
              <w:drawing>
                <wp:anchor distT="0" distB="0" distL="114300" distR="114300" simplePos="0" relativeHeight="251660288" behindDoc="0" locked="0" layoutInCell="1" allowOverlap="1">
                  <wp:simplePos x="0" y="0"/>
                  <wp:positionH relativeFrom="column">
                    <wp:posOffset>155786</wp:posOffset>
                  </wp:positionH>
                  <wp:positionV relativeFrom="paragraph">
                    <wp:posOffset>-19899</wp:posOffset>
                  </wp:positionV>
                  <wp:extent cx="1783544" cy="762935"/>
                  <wp:effectExtent l="0" t="0" r="7620" b="0"/>
                  <wp:wrapNone/>
                  <wp:docPr id="3" name="Picture 3" descr="C:\Users\murphy\AppData\Local\Microsoft\Windows\Temporary Internet Files\Content.Outlook\PQ94T9LJ\bd_F_25Years_Horizontal-41195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phy\AppData\Local\Microsoft\Windows\Temporary Internet Files\Content.Outlook\PQ94T9LJ\bd_F_25Years_Horizontal-411959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544"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830A1" w:rsidRPr="00617EDA" w:rsidTr="00D42EE8">
        <w:trPr>
          <w:cantSplit/>
        </w:trPr>
        <w:tc>
          <w:tcPr>
            <w:tcW w:w="6628" w:type="dxa"/>
            <w:gridSpan w:val="2"/>
            <w:tcBorders>
              <w:top w:val="single" w:sz="12" w:space="0" w:color="auto"/>
            </w:tcBorders>
          </w:tcPr>
          <w:p w:rsidR="008830A1" w:rsidRPr="00617EDA" w:rsidRDefault="008830A1" w:rsidP="008B15CB">
            <w:pPr>
              <w:spacing w:before="0"/>
              <w:rPr>
                <w:rFonts w:cs="Arial"/>
                <w:b/>
                <w:bCs/>
                <w:sz w:val="22"/>
                <w:szCs w:val="22"/>
              </w:rPr>
            </w:pPr>
            <w:bookmarkStart w:id="1" w:name="dspace" w:colFirst="0" w:colLast="1"/>
          </w:p>
        </w:tc>
        <w:tc>
          <w:tcPr>
            <w:tcW w:w="3260" w:type="dxa"/>
            <w:tcBorders>
              <w:top w:val="single" w:sz="12" w:space="0" w:color="auto"/>
            </w:tcBorders>
          </w:tcPr>
          <w:p w:rsidR="008830A1" w:rsidRPr="00617EDA" w:rsidRDefault="008830A1" w:rsidP="008B15CB">
            <w:pPr>
              <w:spacing w:before="0"/>
              <w:rPr>
                <w:b/>
                <w:bCs/>
                <w:sz w:val="22"/>
                <w:szCs w:val="22"/>
              </w:rPr>
            </w:pPr>
          </w:p>
        </w:tc>
      </w:tr>
      <w:tr w:rsidR="00D42EE8" w:rsidRPr="00617EDA" w:rsidTr="00403E92">
        <w:trPr>
          <w:cantSplit/>
        </w:trPr>
        <w:tc>
          <w:tcPr>
            <w:tcW w:w="6628" w:type="dxa"/>
            <w:gridSpan w:val="2"/>
          </w:tcPr>
          <w:p w:rsidR="00D42EE8" w:rsidRPr="00617EDA" w:rsidRDefault="00000B37" w:rsidP="00D53AED">
            <w:pPr>
              <w:pStyle w:val="Committee"/>
              <w:spacing w:before="0"/>
              <w:rPr>
                <w:szCs w:val="24"/>
              </w:rPr>
            </w:pPr>
            <w:bookmarkStart w:id="2" w:name="dnum" w:colFirst="1" w:colLast="1"/>
            <w:bookmarkEnd w:id="1"/>
            <w:r w:rsidRPr="00617EDA">
              <w:rPr>
                <w:szCs w:val="24"/>
              </w:rPr>
              <w:t>S</w:t>
            </w:r>
            <w:r w:rsidR="00D53AED">
              <w:rPr>
                <w:szCs w:val="24"/>
              </w:rPr>
              <w:t>é</w:t>
            </w:r>
            <w:r w:rsidRPr="00617EDA">
              <w:rPr>
                <w:szCs w:val="24"/>
              </w:rPr>
              <w:t>ANCE PL</w:t>
            </w:r>
            <w:r w:rsidR="00223E19" w:rsidRPr="00617EDA">
              <w:rPr>
                <w:szCs w:val="24"/>
              </w:rPr>
              <w:t>E</w:t>
            </w:r>
            <w:r w:rsidRPr="00617EDA">
              <w:rPr>
                <w:szCs w:val="24"/>
              </w:rPr>
              <w:t>NIÈRE</w:t>
            </w:r>
          </w:p>
        </w:tc>
        <w:tc>
          <w:tcPr>
            <w:tcW w:w="3260" w:type="dxa"/>
          </w:tcPr>
          <w:p w:rsidR="00D42EE8" w:rsidRPr="00617EDA" w:rsidRDefault="00000B37" w:rsidP="008B15CB">
            <w:pPr>
              <w:spacing w:before="0"/>
              <w:rPr>
                <w:bCs/>
                <w:szCs w:val="24"/>
              </w:rPr>
            </w:pPr>
            <w:r w:rsidRPr="00617EDA">
              <w:rPr>
                <w:b/>
                <w:szCs w:val="24"/>
              </w:rPr>
              <w:t>Addendum 33 au</w:t>
            </w:r>
            <w:r w:rsidRPr="00617EDA">
              <w:rPr>
                <w:b/>
                <w:szCs w:val="24"/>
              </w:rPr>
              <w:br/>
              <w:t>Document WTDC-17/21</w:t>
            </w:r>
            <w:r w:rsidR="00700D0A" w:rsidRPr="00617EDA">
              <w:rPr>
                <w:b/>
                <w:szCs w:val="24"/>
              </w:rPr>
              <w:t>-</w:t>
            </w:r>
            <w:r w:rsidRPr="00617EDA">
              <w:rPr>
                <w:b/>
                <w:szCs w:val="24"/>
              </w:rPr>
              <w:t>F</w:t>
            </w:r>
          </w:p>
        </w:tc>
      </w:tr>
      <w:tr w:rsidR="00D42EE8" w:rsidRPr="00617EDA" w:rsidTr="00403E92">
        <w:trPr>
          <w:cantSplit/>
        </w:trPr>
        <w:tc>
          <w:tcPr>
            <w:tcW w:w="6628" w:type="dxa"/>
            <w:gridSpan w:val="2"/>
          </w:tcPr>
          <w:p w:rsidR="00D42EE8" w:rsidRPr="00617EDA" w:rsidRDefault="00D42EE8" w:rsidP="008B15CB">
            <w:pPr>
              <w:spacing w:before="0"/>
              <w:rPr>
                <w:b/>
                <w:bCs/>
                <w:smallCaps/>
                <w:szCs w:val="24"/>
              </w:rPr>
            </w:pPr>
            <w:bookmarkStart w:id="3" w:name="ddate" w:colFirst="1" w:colLast="1"/>
            <w:bookmarkEnd w:id="2"/>
          </w:p>
        </w:tc>
        <w:tc>
          <w:tcPr>
            <w:tcW w:w="3260" w:type="dxa"/>
          </w:tcPr>
          <w:p w:rsidR="00D42EE8" w:rsidRPr="00617EDA" w:rsidRDefault="00000B37" w:rsidP="008B15CB">
            <w:pPr>
              <w:spacing w:before="0"/>
              <w:rPr>
                <w:bCs/>
                <w:szCs w:val="24"/>
              </w:rPr>
            </w:pPr>
            <w:r w:rsidRPr="00617EDA">
              <w:rPr>
                <w:b/>
                <w:szCs w:val="24"/>
              </w:rPr>
              <w:t>8 septembre 2017</w:t>
            </w:r>
          </w:p>
        </w:tc>
      </w:tr>
      <w:tr w:rsidR="00D42EE8" w:rsidRPr="00617EDA" w:rsidTr="00403E92">
        <w:trPr>
          <w:cantSplit/>
        </w:trPr>
        <w:tc>
          <w:tcPr>
            <w:tcW w:w="6628" w:type="dxa"/>
            <w:gridSpan w:val="2"/>
          </w:tcPr>
          <w:p w:rsidR="00D42EE8" w:rsidRPr="00617EDA" w:rsidRDefault="00D42EE8" w:rsidP="008B15CB">
            <w:pPr>
              <w:spacing w:before="0"/>
              <w:rPr>
                <w:b/>
                <w:bCs/>
                <w:smallCaps/>
                <w:szCs w:val="24"/>
              </w:rPr>
            </w:pPr>
            <w:bookmarkStart w:id="4" w:name="dorlang" w:colFirst="1" w:colLast="1"/>
            <w:bookmarkEnd w:id="3"/>
          </w:p>
        </w:tc>
        <w:tc>
          <w:tcPr>
            <w:tcW w:w="3260" w:type="dxa"/>
          </w:tcPr>
          <w:p w:rsidR="00D42EE8" w:rsidRPr="00617EDA" w:rsidRDefault="00000B37" w:rsidP="008B15CB">
            <w:pPr>
              <w:spacing w:before="0"/>
              <w:rPr>
                <w:b/>
                <w:bCs/>
                <w:szCs w:val="24"/>
              </w:rPr>
            </w:pPr>
            <w:r w:rsidRPr="00617EDA">
              <w:rPr>
                <w:b/>
                <w:szCs w:val="24"/>
              </w:rPr>
              <w:t>Original: arabe</w:t>
            </w:r>
          </w:p>
        </w:tc>
      </w:tr>
      <w:tr w:rsidR="00D42EE8" w:rsidRPr="00617EDA" w:rsidTr="00CD6715">
        <w:trPr>
          <w:cantSplit/>
        </w:trPr>
        <w:tc>
          <w:tcPr>
            <w:tcW w:w="9888" w:type="dxa"/>
            <w:gridSpan w:val="3"/>
          </w:tcPr>
          <w:p w:rsidR="00D42EE8" w:rsidRPr="00617EDA" w:rsidRDefault="005B6CE3" w:rsidP="008B15CB">
            <w:pPr>
              <w:pStyle w:val="Source"/>
              <w:tabs>
                <w:tab w:val="clear" w:pos="794"/>
                <w:tab w:val="clear" w:pos="1191"/>
                <w:tab w:val="clear" w:pos="1588"/>
                <w:tab w:val="clear" w:pos="1985"/>
                <w:tab w:val="left" w:pos="1134"/>
                <w:tab w:val="left" w:pos="1871"/>
              </w:tabs>
              <w:spacing w:before="240" w:after="240" w:afterAutospacing="0"/>
            </w:pPr>
            <w:bookmarkStart w:id="5" w:name="dsource" w:colFirst="1" w:colLast="1"/>
            <w:bookmarkEnd w:id="4"/>
            <w:r w:rsidRPr="00617EDA">
              <w:t>Etats arabes</w:t>
            </w:r>
          </w:p>
        </w:tc>
      </w:tr>
      <w:tr w:rsidR="00D42EE8" w:rsidRPr="00617EDA" w:rsidTr="007934DB">
        <w:trPr>
          <w:cantSplit/>
        </w:trPr>
        <w:tc>
          <w:tcPr>
            <w:tcW w:w="9888" w:type="dxa"/>
            <w:gridSpan w:val="3"/>
          </w:tcPr>
          <w:p w:rsidR="00D42EE8" w:rsidRPr="00617EDA" w:rsidRDefault="008B15CB" w:rsidP="008B15CB">
            <w:pPr>
              <w:pStyle w:val="Title1"/>
              <w:tabs>
                <w:tab w:val="clear" w:pos="567"/>
                <w:tab w:val="clear" w:pos="1701"/>
                <w:tab w:val="clear" w:pos="2835"/>
                <w:tab w:val="left" w:pos="1871"/>
              </w:tabs>
            </w:pPr>
            <w:bookmarkStart w:id="6" w:name="dtitle1" w:colFirst="1" w:colLast="1"/>
            <w:bookmarkEnd w:id="5"/>
            <w:r w:rsidRPr="00617EDA">
              <w:t>R</w:t>
            </w:r>
            <w:r w:rsidR="00617EDA">
              <w:t>É</w:t>
            </w:r>
            <w:r w:rsidRPr="00617EDA">
              <w:t>VISION DE LA R</w:t>
            </w:r>
            <w:r w:rsidR="00617EDA">
              <w:t>É</w:t>
            </w:r>
            <w:r w:rsidRPr="00617EDA">
              <w:t>SOLUTION 18</w:t>
            </w:r>
          </w:p>
        </w:tc>
      </w:tr>
      <w:tr w:rsidR="00D42EE8" w:rsidRPr="00617EDA" w:rsidTr="007934DB">
        <w:trPr>
          <w:cantSplit/>
        </w:trPr>
        <w:tc>
          <w:tcPr>
            <w:tcW w:w="9888" w:type="dxa"/>
            <w:gridSpan w:val="3"/>
          </w:tcPr>
          <w:p w:rsidR="00D42EE8" w:rsidRPr="00617EDA" w:rsidRDefault="008B15CB" w:rsidP="008B15CB">
            <w:pPr>
              <w:pStyle w:val="Title2"/>
              <w:tabs>
                <w:tab w:val="clear" w:pos="567"/>
                <w:tab w:val="clear" w:pos="1701"/>
                <w:tab w:val="clear" w:pos="2835"/>
                <w:tab w:val="left" w:pos="1871"/>
              </w:tabs>
              <w:overflowPunct/>
              <w:autoSpaceDE/>
              <w:autoSpaceDN/>
              <w:adjustRightInd/>
              <w:textAlignment w:val="auto"/>
            </w:pPr>
            <w:r w:rsidRPr="00617EDA">
              <w:t>INITIATIVES RéGIONALES POUR LES ETATS ARABES</w:t>
            </w:r>
          </w:p>
        </w:tc>
      </w:tr>
      <w:tr w:rsidR="00863463" w:rsidRPr="00617EDA" w:rsidTr="007934DB">
        <w:trPr>
          <w:cantSplit/>
        </w:trPr>
        <w:tc>
          <w:tcPr>
            <w:tcW w:w="9888" w:type="dxa"/>
            <w:gridSpan w:val="3"/>
          </w:tcPr>
          <w:p w:rsidR="00863463" w:rsidRPr="00617EDA" w:rsidRDefault="00863463" w:rsidP="008B15CB">
            <w:pPr>
              <w:jc w:val="center"/>
            </w:pPr>
          </w:p>
        </w:tc>
      </w:tr>
      <w:tr w:rsidR="00D7287E" w:rsidRPr="00617EDA">
        <w:tc>
          <w:tcPr>
            <w:tcW w:w="10031" w:type="dxa"/>
            <w:gridSpan w:val="3"/>
            <w:tcBorders>
              <w:top w:val="single" w:sz="4" w:space="0" w:color="auto"/>
              <w:left w:val="single" w:sz="4" w:space="0" w:color="auto"/>
              <w:bottom w:val="single" w:sz="4" w:space="0" w:color="auto"/>
              <w:right w:val="single" w:sz="4" w:space="0" w:color="auto"/>
            </w:tcBorders>
          </w:tcPr>
          <w:p w:rsidR="00D7287E" w:rsidRPr="00617EDA" w:rsidRDefault="0011778C" w:rsidP="008B15CB">
            <w:r w:rsidRPr="00617EDA">
              <w:rPr>
                <w:rFonts w:ascii="Calibri" w:eastAsia="SimSun" w:hAnsi="Calibri" w:cs="Traditional Arabic"/>
                <w:b/>
                <w:bCs/>
                <w:szCs w:val="24"/>
              </w:rPr>
              <w:t>Domaine prioritaire:</w:t>
            </w:r>
          </w:p>
          <w:p w:rsidR="00D7287E" w:rsidRPr="00617EDA" w:rsidRDefault="003768A5" w:rsidP="008B15CB">
            <w:pPr>
              <w:rPr>
                <w:szCs w:val="24"/>
              </w:rPr>
            </w:pPr>
            <w:r w:rsidRPr="00617EDA">
              <w:rPr>
                <w:rFonts w:ascii="Calibri" w:eastAsia="SimSun" w:hAnsi="Calibri" w:cs="Traditional Arabic"/>
                <w:bCs/>
                <w:szCs w:val="24"/>
              </w:rPr>
              <w:t>Initiatives régionales</w:t>
            </w:r>
          </w:p>
          <w:p w:rsidR="00D7287E" w:rsidRPr="00617EDA" w:rsidRDefault="0011778C" w:rsidP="008B15CB">
            <w:r w:rsidRPr="00617EDA">
              <w:rPr>
                <w:rFonts w:ascii="Calibri" w:eastAsia="SimSun" w:hAnsi="Calibri" w:cs="Traditional Arabic"/>
                <w:b/>
                <w:bCs/>
                <w:szCs w:val="24"/>
              </w:rPr>
              <w:t>Résumé:</w:t>
            </w:r>
          </w:p>
          <w:p w:rsidR="00D7287E" w:rsidRPr="00617EDA" w:rsidRDefault="003768A5" w:rsidP="008B15CB">
            <w:pPr>
              <w:rPr>
                <w:szCs w:val="24"/>
              </w:rPr>
            </w:pPr>
            <w:r w:rsidRPr="00617EDA">
              <w:rPr>
                <w:szCs w:val="24"/>
              </w:rPr>
              <w:t>–</w:t>
            </w:r>
          </w:p>
          <w:p w:rsidR="00D7287E" w:rsidRPr="00617EDA" w:rsidRDefault="0011778C" w:rsidP="008B15CB">
            <w:r w:rsidRPr="00617EDA">
              <w:rPr>
                <w:rFonts w:ascii="Calibri" w:eastAsia="SimSun" w:hAnsi="Calibri" w:cs="Traditional Arabic"/>
                <w:b/>
                <w:bCs/>
                <w:szCs w:val="24"/>
              </w:rPr>
              <w:t>Résultats attendus:</w:t>
            </w:r>
          </w:p>
          <w:p w:rsidR="00D7287E" w:rsidRPr="00617EDA" w:rsidRDefault="003768A5" w:rsidP="008B15CB">
            <w:pPr>
              <w:rPr>
                <w:szCs w:val="24"/>
              </w:rPr>
            </w:pPr>
            <w:r w:rsidRPr="00617EDA">
              <w:rPr>
                <w:szCs w:val="24"/>
              </w:rPr>
              <w:t>–</w:t>
            </w:r>
          </w:p>
          <w:p w:rsidR="00D7287E" w:rsidRPr="00617EDA" w:rsidRDefault="0011778C" w:rsidP="008B15CB">
            <w:r w:rsidRPr="00617EDA">
              <w:rPr>
                <w:rFonts w:ascii="Calibri" w:eastAsia="SimSun" w:hAnsi="Calibri" w:cs="Traditional Arabic"/>
                <w:b/>
                <w:bCs/>
                <w:szCs w:val="24"/>
              </w:rPr>
              <w:t>Références:</w:t>
            </w:r>
          </w:p>
          <w:p w:rsidR="00D7287E" w:rsidRPr="00617EDA" w:rsidRDefault="003768A5" w:rsidP="008B15CB">
            <w:pPr>
              <w:rPr>
                <w:szCs w:val="24"/>
              </w:rPr>
            </w:pPr>
            <w:r w:rsidRPr="00617EDA">
              <w:rPr>
                <w:szCs w:val="24"/>
              </w:rPr>
              <w:t>–</w:t>
            </w:r>
          </w:p>
        </w:tc>
      </w:tr>
    </w:tbl>
    <w:p w:rsidR="00E71FC7" w:rsidRPr="00617EDA" w:rsidRDefault="00E71FC7" w:rsidP="008B15CB">
      <w:bookmarkStart w:id="7" w:name="dbreak"/>
      <w:bookmarkEnd w:id="6"/>
      <w:bookmarkEnd w:id="7"/>
    </w:p>
    <w:p w:rsidR="00E71FC7" w:rsidRPr="00617EDA" w:rsidRDefault="00E71FC7" w:rsidP="008B15CB">
      <w:pPr>
        <w:tabs>
          <w:tab w:val="clear" w:pos="794"/>
          <w:tab w:val="clear" w:pos="1191"/>
          <w:tab w:val="clear" w:pos="1588"/>
          <w:tab w:val="clear" w:pos="1985"/>
          <w:tab w:val="clear" w:pos="2268"/>
          <w:tab w:val="clear" w:pos="2552"/>
        </w:tabs>
        <w:overflowPunct/>
        <w:autoSpaceDE/>
        <w:autoSpaceDN/>
        <w:adjustRightInd/>
        <w:spacing w:before="0"/>
        <w:textAlignment w:val="auto"/>
      </w:pPr>
      <w:r w:rsidRPr="00617EDA">
        <w:br w:type="page"/>
      </w:r>
    </w:p>
    <w:p w:rsidR="00AD4E1C" w:rsidRPr="00617EDA" w:rsidRDefault="0011778C" w:rsidP="008B15CB">
      <w:pPr>
        <w:pStyle w:val="Title1"/>
      </w:pPr>
      <w:r w:rsidRPr="00617EDA">
        <w:rPr>
          <w:b/>
          <w:caps w:val="0"/>
        </w:rPr>
        <w:lastRenderedPageBreak/>
        <w:t>INITIATIVES R</w:t>
      </w:r>
      <w:r w:rsidR="00617EDA">
        <w:rPr>
          <w:b/>
          <w:caps w:val="0"/>
        </w:rPr>
        <w:t>É</w:t>
      </w:r>
      <w:r w:rsidRPr="00617EDA">
        <w:rPr>
          <w:b/>
          <w:caps w:val="0"/>
        </w:rPr>
        <w:t>GIONALES</w:t>
      </w:r>
    </w:p>
    <w:p w:rsidR="004C3123" w:rsidRPr="00617EDA" w:rsidRDefault="0011778C" w:rsidP="008B15CB">
      <w:pPr>
        <w:pStyle w:val="Section1"/>
      </w:pPr>
      <w:bookmarkStart w:id="8" w:name="_Toc394060807"/>
      <w:bookmarkStart w:id="9" w:name="_Toc401906692"/>
      <w:r w:rsidRPr="00617EDA">
        <w:t>INITIATIVES R</w:t>
      </w:r>
      <w:r w:rsidR="00617EDA">
        <w:t>É</w:t>
      </w:r>
      <w:r w:rsidRPr="00617EDA">
        <w:t xml:space="preserve">GIONALES POUR LES </w:t>
      </w:r>
      <w:r w:rsidR="00223E19" w:rsidRPr="00617EDA">
        <w:t>E</w:t>
      </w:r>
      <w:r w:rsidRPr="00617EDA">
        <w:t>TATS ARABES</w:t>
      </w:r>
      <w:bookmarkEnd w:id="8"/>
      <w:bookmarkEnd w:id="9"/>
    </w:p>
    <w:p w:rsidR="008B15CB" w:rsidRPr="00617EDA" w:rsidRDefault="008B15CB" w:rsidP="008B15CB">
      <w:pPr>
        <w:pStyle w:val="Proposal"/>
        <w:rPr>
          <w:lang w:val="fr-FR"/>
        </w:rPr>
      </w:pPr>
      <w:r w:rsidRPr="00617EDA">
        <w:rPr>
          <w:b/>
          <w:lang w:val="fr-FR"/>
        </w:rPr>
        <w:t>SUP</w:t>
      </w:r>
      <w:r w:rsidRPr="00617EDA">
        <w:rPr>
          <w:lang w:val="fr-FR"/>
        </w:rPr>
        <w:tab/>
        <w:t>ARB/21A33/1</w:t>
      </w:r>
    </w:p>
    <w:p w:rsidR="008B15CB" w:rsidRPr="00617EDA" w:rsidRDefault="008B15CB" w:rsidP="008B15CB">
      <w:pPr>
        <w:pStyle w:val="Heading1"/>
        <w:ind w:left="1134" w:hanging="1134"/>
        <w:rPr>
          <w:lang w:eastAsia="ja-JP"/>
        </w:rPr>
      </w:pPr>
      <w:bookmarkStart w:id="10" w:name="_Toc268858467"/>
      <w:bookmarkStart w:id="11" w:name="_Toc271023428"/>
      <w:r w:rsidRPr="00617EDA">
        <w:rPr>
          <w:lang w:eastAsia="ja-JP"/>
        </w:rPr>
        <w:t>ARB1:</w:t>
      </w:r>
      <w:bookmarkEnd w:id="10"/>
      <w:r w:rsidRPr="00617EDA">
        <w:rPr>
          <w:lang w:eastAsia="ja-JP"/>
        </w:rPr>
        <w:t xml:space="preserve"> Développement de l'accès au large bande</w:t>
      </w:r>
      <w:bookmarkEnd w:id="11"/>
      <w:r w:rsidRPr="00617EDA">
        <w:rPr>
          <w:lang w:eastAsia="ja-JP"/>
        </w:rPr>
        <w:t xml:space="preserve"> et adoption du large bande</w:t>
      </w:r>
    </w:p>
    <w:p w:rsidR="008B15CB" w:rsidRPr="00617EDA" w:rsidRDefault="008B15CB" w:rsidP="008B15CB">
      <w:pPr>
        <w:pStyle w:val="Reasons"/>
        <w:rPr>
          <w:lang w:val="fr-FR"/>
        </w:rPr>
      </w:pPr>
    </w:p>
    <w:p w:rsidR="008B15CB" w:rsidRPr="00617EDA" w:rsidRDefault="008B15CB" w:rsidP="008B15CB">
      <w:pPr>
        <w:pStyle w:val="Proposal"/>
        <w:rPr>
          <w:lang w:val="fr-FR"/>
        </w:rPr>
      </w:pPr>
      <w:r w:rsidRPr="00617EDA">
        <w:rPr>
          <w:b/>
          <w:lang w:val="fr-FR"/>
        </w:rPr>
        <w:t>ADD</w:t>
      </w:r>
      <w:r w:rsidRPr="00617EDA">
        <w:rPr>
          <w:lang w:val="fr-FR"/>
        </w:rPr>
        <w:tab/>
        <w:t>ARB/21A33/2</w:t>
      </w:r>
    </w:p>
    <w:p w:rsidR="008B15CB" w:rsidRPr="00617EDA" w:rsidRDefault="008B15CB" w:rsidP="008B15CB">
      <w:pPr>
        <w:pStyle w:val="Heading1"/>
      </w:pPr>
      <w:r w:rsidRPr="00617EDA">
        <w:rPr>
          <w:rFonts w:ascii="Calibri"/>
        </w:rPr>
        <w:t>ARB1:</w:t>
      </w:r>
      <w:r w:rsidRPr="00617EDA">
        <w:tab/>
        <w:t>Environnement, changements climatiques et télécommunications d'urgence</w:t>
      </w:r>
    </w:p>
    <w:p w:rsidR="008B15CB" w:rsidRPr="00617EDA" w:rsidRDefault="008B15CB" w:rsidP="008B15CB">
      <w:pPr>
        <w:rPr>
          <w:szCs w:val="24"/>
        </w:rPr>
      </w:pPr>
      <w:r w:rsidRPr="00617EDA">
        <w:rPr>
          <w:b/>
          <w:bCs/>
          <w:szCs w:val="24"/>
        </w:rPr>
        <w:t>Objectif</w:t>
      </w:r>
      <w:r w:rsidRPr="00617EDA">
        <w:rPr>
          <w:szCs w:val="24"/>
        </w:rPr>
        <w:t>: Sensibiliser davantage l'opinion et fournir un appui concernant les principaux problèmes qui se posent dans les domaines de l'environnement, des changements climatiques et des télécommunications d'urgence; définir des cadres réglementaires et prendre les mesures nécessaires pour relever les défis dans ce domaine.</w:t>
      </w:r>
    </w:p>
    <w:p w:rsidR="008B15CB" w:rsidRPr="00617EDA" w:rsidRDefault="008B15CB" w:rsidP="00D53AED">
      <w:pPr>
        <w:pStyle w:val="Headingb"/>
      </w:pPr>
      <w:r w:rsidRPr="00617EDA">
        <w:t>Résultats attendus</w:t>
      </w:r>
    </w:p>
    <w:p w:rsidR="008B15CB" w:rsidRPr="00617EDA" w:rsidRDefault="008B15CB" w:rsidP="008B15CB">
      <w:pPr>
        <w:rPr>
          <w:rFonts w:cstheme="minorHAnsi"/>
        </w:rPr>
      </w:pPr>
      <w:r w:rsidRPr="00617EDA">
        <w:rPr>
          <w:rFonts w:cstheme="minorHAnsi"/>
        </w:rPr>
        <w:t>Aider les pays à:</w:t>
      </w:r>
    </w:p>
    <w:p w:rsidR="008B15CB" w:rsidRPr="00617EDA" w:rsidRDefault="008B15CB" w:rsidP="008B15CB">
      <w:pPr>
        <w:pStyle w:val="enumlev1"/>
        <w:rPr>
          <w:lang w:eastAsia="zh-CN"/>
        </w:rPr>
      </w:pPr>
      <w:r w:rsidRPr="00617EDA">
        <w:rPr>
          <w:lang w:eastAsia="zh-CN"/>
        </w:rPr>
        <w:t>1)</w:t>
      </w:r>
      <w:r w:rsidRPr="00617EDA">
        <w:rPr>
          <w:lang w:eastAsia="zh-CN"/>
        </w:rPr>
        <w:tab/>
        <w:t>élaborer des lignes directrices en matière de politique ainsi que des cadres techniques et réglementaires, prendre les mesures nécessaires et fournir des informations pour répondre aux besoins des pays concernés par cette initiative, en particulier dans les domaines de l'exposition aux champs électromagnétiques, des télécommunications d'urgence et de la gestion des déchets d'équipements électriques et électroniques</w:t>
      </w:r>
      <w:r w:rsidR="00617EDA">
        <w:rPr>
          <w:lang w:eastAsia="zh-CN"/>
        </w:rPr>
        <w:t>;</w:t>
      </w:r>
    </w:p>
    <w:p w:rsidR="008B15CB" w:rsidRPr="00617EDA" w:rsidRDefault="008B15CB" w:rsidP="008B15CB">
      <w:pPr>
        <w:pStyle w:val="enumlev1"/>
        <w:rPr>
          <w:lang w:eastAsia="zh-CN"/>
        </w:rPr>
      </w:pPr>
      <w:r w:rsidRPr="00617EDA">
        <w:rPr>
          <w:lang w:eastAsia="zh-CN"/>
        </w:rPr>
        <w:t>2)</w:t>
      </w:r>
      <w:r w:rsidRPr="00617EDA">
        <w:rPr>
          <w:lang w:eastAsia="zh-CN"/>
        </w:rPr>
        <w:tab/>
        <w:t xml:space="preserve">organiser des formations sur les télécommunications d'urgence et sur les effets néfastes de l'exposition aux champs électromagnétiques ainsi que des déchets d'équipements électriques et électroniques, trouver des solutions appropriées pour résoudre ces problèmes et élaborer un modèle </w:t>
      </w:r>
      <w:r w:rsidR="00FA7071">
        <w:rPr>
          <w:lang w:eastAsia="zh-CN"/>
        </w:rPr>
        <w:t xml:space="preserve">permettant </w:t>
      </w:r>
      <w:r w:rsidRPr="00617EDA">
        <w:rPr>
          <w:lang w:eastAsia="zh-CN"/>
        </w:rPr>
        <w:t>d'utiliser les déchets d'équipements électriques et électroniques d'une manière propice au développement;</w:t>
      </w:r>
    </w:p>
    <w:p w:rsidR="008B15CB" w:rsidRPr="00617EDA" w:rsidRDefault="008B15CB" w:rsidP="008B15CB">
      <w:pPr>
        <w:pStyle w:val="enumlev1"/>
        <w:rPr>
          <w:lang w:eastAsia="zh-CN"/>
        </w:rPr>
      </w:pPr>
      <w:r w:rsidRPr="00617EDA">
        <w:rPr>
          <w:lang w:eastAsia="zh-CN"/>
        </w:rPr>
        <w:t>3)</w:t>
      </w:r>
      <w:r w:rsidRPr="00617EDA">
        <w:rPr>
          <w:lang w:eastAsia="zh-CN"/>
        </w:rPr>
        <w:tab/>
        <w:t xml:space="preserve">mettre au point des applications TIC à partir desquelles </w:t>
      </w:r>
      <w:r w:rsidR="00FA7071">
        <w:rPr>
          <w:lang w:eastAsia="zh-CN"/>
        </w:rPr>
        <w:t>pourront être</w:t>
      </w:r>
      <w:r w:rsidRPr="00617EDA">
        <w:rPr>
          <w:lang w:eastAsia="zh-CN"/>
        </w:rPr>
        <w:t xml:space="preserve"> organisés des campagnes et des programmes de sensibilisation concernant les risques liés à l'exposition aux champs électromagnétiques ainsi qu'au recyclage et au traitement des déchets d'équipements électriques et électroniques.</w:t>
      </w:r>
    </w:p>
    <w:p w:rsidR="008B15CB" w:rsidRPr="00617EDA" w:rsidRDefault="008B15CB" w:rsidP="008B15CB">
      <w:pPr>
        <w:pStyle w:val="Reasons"/>
        <w:rPr>
          <w:lang w:val="fr-FR"/>
        </w:rPr>
      </w:pPr>
      <w:r w:rsidRPr="00617EDA">
        <w:rPr>
          <w:b/>
          <w:lang w:val="fr-FR"/>
        </w:rPr>
        <w:t>Motifs:</w:t>
      </w:r>
      <w:r w:rsidRPr="00617EDA">
        <w:rPr>
          <w:lang w:val="fr-FR"/>
        </w:rPr>
        <w:tab/>
      </w:r>
      <w:r w:rsidRPr="00617EDA">
        <w:rPr>
          <w:rFonts w:cstheme="minorHAnsi"/>
          <w:szCs w:val="24"/>
          <w:lang w:val="fr-FR"/>
        </w:rPr>
        <w:t>Elaborer des lignes directrices et des recommandations relatives à l'informatique en nuage au niveau régional, en tenant compte des cadres réglementaires.</w:t>
      </w:r>
    </w:p>
    <w:p w:rsidR="008B15CB" w:rsidRPr="00617EDA" w:rsidRDefault="008B15CB" w:rsidP="008B15CB">
      <w:pPr>
        <w:pStyle w:val="Proposal"/>
        <w:rPr>
          <w:lang w:val="fr-FR"/>
        </w:rPr>
      </w:pPr>
      <w:r w:rsidRPr="00617EDA">
        <w:rPr>
          <w:b/>
          <w:lang w:val="fr-FR"/>
        </w:rPr>
        <w:t>SUP</w:t>
      </w:r>
      <w:r w:rsidRPr="00617EDA">
        <w:rPr>
          <w:lang w:val="fr-FR"/>
        </w:rPr>
        <w:tab/>
        <w:t>ARB/21A33/3</w:t>
      </w:r>
    </w:p>
    <w:p w:rsidR="008B15CB" w:rsidRPr="00617EDA" w:rsidRDefault="008B15CB" w:rsidP="008B15CB">
      <w:pPr>
        <w:pStyle w:val="Heading1"/>
        <w:ind w:left="0" w:firstLine="0"/>
        <w:rPr>
          <w:lang w:eastAsia="ja-JP"/>
        </w:rPr>
      </w:pPr>
      <w:r w:rsidRPr="00617EDA">
        <w:rPr>
          <w:lang w:eastAsia="ja-JP"/>
        </w:rPr>
        <w:t>ARB2: Instauration de la confiance et de la sécurité dans l'utilisation des télécommunications/TIC</w:t>
      </w:r>
    </w:p>
    <w:p w:rsidR="008B15CB" w:rsidRPr="00617EDA" w:rsidRDefault="008B15CB" w:rsidP="008B15CB">
      <w:pPr>
        <w:pStyle w:val="Reasons"/>
        <w:rPr>
          <w:lang w:val="fr-FR"/>
        </w:rPr>
      </w:pPr>
    </w:p>
    <w:p w:rsidR="008B15CB" w:rsidRPr="00617EDA" w:rsidRDefault="008B15CB" w:rsidP="008B15CB">
      <w:pPr>
        <w:pStyle w:val="Proposal"/>
        <w:rPr>
          <w:lang w:val="fr-FR"/>
        </w:rPr>
      </w:pPr>
      <w:r w:rsidRPr="00617EDA">
        <w:rPr>
          <w:b/>
          <w:lang w:val="fr-FR"/>
        </w:rPr>
        <w:lastRenderedPageBreak/>
        <w:t>ADD</w:t>
      </w:r>
      <w:r w:rsidRPr="00617EDA">
        <w:rPr>
          <w:lang w:val="fr-FR"/>
        </w:rPr>
        <w:tab/>
        <w:t>ARB/21A33/4</w:t>
      </w:r>
    </w:p>
    <w:p w:rsidR="008B15CB" w:rsidRPr="00617EDA" w:rsidRDefault="008B15CB" w:rsidP="008B15CB">
      <w:pPr>
        <w:pStyle w:val="Heading1"/>
      </w:pPr>
      <w:r w:rsidRPr="00617EDA">
        <w:rPr>
          <w:rFonts w:ascii="Calibri"/>
        </w:rPr>
        <w:t>ARB2:</w:t>
      </w:r>
      <w:r w:rsidRPr="00617EDA">
        <w:tab/>
      </w:r>
      <w:r w:rsidRPr="00617EDA">
        <w:rPr>
          <w:lang w:eastAsia="ja-JP"/>
        </w:rPr>
        <w:t>Instauration de la confiance et de la sécurité dans l'utilisation des télécommunications/TIC</w:t>
      </w:r>
    </w:p>
    <w:p w:rsidR="008B15CB" w:rsidRPr="00617EDA" w:rsidRDefault="008B15CB" w:rsidP="008B15CB">
      <w:pPr>
        <w:rPr>
          <w:rFonts w:cstheme="minorHAnsi"/>
        </w:rPr>
      </w:pPr>
      <w:r w:rsidRPr="00617EDA">
        <w:rPr>
          <w:rFonts w:cstheme="minorHAnsi"/>
          <w:b/>
        </w:rPr>
        <w:t>Objectif</w:t>
      </w:r>
      <w:r w:rsidR="00B74395" w:rsidRPr="00B74395">
        <w:rPr>
          <w:rFonts w:cstheme="minorHAnsi"/>
          <w:bCs/>
        </w:rPr>
        <w:t>:</w:t>
      </w:r>
      <w:r w:rsidR="00B74395">
        <w:rPr>
          <w:rFonts w:cstheme="minorHAnsi"/>
          <w:b/>
        </w:rPr>
        <w:t xml:space="preserve"> </w:t>
      </w:r>
      <w:r w:rsidRPr="00617EDA">
        <w:rPr>
          <w:rFonts w:cstheme="minorHAnsi"/>
        </w:rPr>
        <w:t>Instaurer la confiance et la sécurité dans l'utilisation des télécommunications/TIC et du cybercommerce dans la région des Etats arabes et lutter contre toutes les formes de cybermenaces, y compris l'utilisation abusive des TIC.</w:t>
      </w:r>
    </w:p>
    <w:p w:rsidR="008B15CB" w:rsidRPr="00617EDA" w:rsidRDefault="008B15CB" w:rsidP="00D53AED">
      <w:pPr>
        <w:pStyle w:val="Headingb"/>
        <w:rPr>
          <w:rFonts w:cstheme="minorHAnsi"/>
        </w:rPr>
      </w:pPr>
      <w:r w:rsidRPr="00617EDA">
        <w:t>Résultats attendus</w:t>
      </w:r>
    </w:p>
    <w:p w:rsidR="008B15CB" w:rsidRPr="00617EDA" w:rsidRDefault="008B15CB" w:rsidP="008B15CB">
      <w:pPr>
        <w:rPr>
          <w:lang w:eastAsia="zh-CN"/>
        </w:rPr>
      </w:pPr>
      <w:r w:rsidRPr="00617EDA">
        <w:rPr>
          <w:rFonts w:cstheme="minorHAnsi"/>
        </w:rPr>
        <w:t>Aider les pays à:</w:t>
      </w:r>
    </w:p>
    <w:p w:rsidR="008B15CB" w:rsidRPr="00617EDA" w:rsidRDefault="008B15CB" w:rsidP="008B15CB">
      <w:pPr>
        <w:pStyle w:val="enumlev1"/>
        <w:rPr>
          <w:rFonts w:ascii="Calibri" w:hAnsi="Calibri"/>
        </w:rPr>
      </w:pPr>
      <w:r w:rsidRPr="00617EDA">
        <w:rPr>
          <w:rFonts w:ascii="Calibri" w:hAnsi="Calibri"/>
        </w:rPr>
        <w:t>1)</w:t>
      </w:r>
      <w:r w:rsidRPr="00617EDA">
        <w:rPr>
          <w:rFonts w:ascii="Calibri" w:hAnsi="Calibri"/>
        </w:rPr>
        <w:tab/>
      </w:r>
      <w:r w:rsidRPr="00617EDA">
        <w:rPr>
          <w:lang w:eastAsia="zh-CN"/>
        </w:rPr>
        <w:t>élaborer des lignes directrices en matière de politique ainsi que des cadres techniques et réglementaires, prendre les mesures nécessaires et fournir des informations pour répondre aux besoins des pays concernés par cette initiative, en particulier dans le domaine de la protection en ligne des enfants et de la lutte contre les cybermenaces sous toutes leurs formes</w:t>
      </w:r>
      <w:r w:rsidRPr="00617EDA">
        <w:rPr>
          <w:rFonts w:ascii="Calibri" w:hAnsi="Calibri"/>
        </w:rPr>
        <w:t>;</w:t>
      </w:r>
    </w:p>
    <w:p w:rsidR="008B15CB" w:rsidRPr="00617EDA" w:rsidRDefault="008B15CB" w:rsidP="008B15CB">
      <w:pPr>
        <w:pStyle w:val="enumlev1"/>
        <w:rPr>
          <w:rFonts w:ascii="Calibri" w:hAnsi="Calibri"/>
        </w:rPr>
      </w:pPr>
      <w:r w:rsidRPr="00617EDA">
        <w:rPr>
          <w:rFonts w:ascii="Calibri" w:hAnsi="Calibri"/>
        </w:rPr>
        <w:t>2)</w:t>
      </w:r>
      <w:r w:rsidRPr="00617EDA">
        <w:rPr>
          <w:rFonts w:ascii="Calibri" w:hAnsi="Calibri"/>
        </w:rPr>
        <w:tab/>
        <w:t>continuer de mieux faire connaître les stratégies à suivre en ce qui concerne les outils pédagogiques de nature technique et les outils de recherche qui devront être fournis aux étudiants des universités arabes et maîtrisés par ces étudiants afin d'instaurer la confiance et la sécurité dans l'utilisation des TIC;</w:t>
      </w:r>
    </w:p>
    <w:p w:rsidR="008B15CB" w:rsidRPr="00617EDA" w:rsidRDefault="008B15CB" w:rsidP="008B15CB">
      <w:pPr>
        <w:pStyle w:val="enumlev1"/>
        <w:rPr>
          <w:rFonts w:ascii="Calibri" w:hAnsi="Calibri"/>
        </w:rPr>
      </w:pPr>
      <w:r w:rsidRPr="00617EDA">
        <w:rPr>
          <w:rFonts w:ascii="Calibri" w:hAnsi="Calibri"/>
        </w:rPr>
        <w:t>3)</w:t>
      </w:r>
      <w:r w:rsidRPr="00617EDA">
        <w:rPr>
          <w:rFonts w:ascii="Calibri" w:hAnsi="Calibri"/>
        </w:rPr>
        <w:tab/>
        <w:t xml:space="preserve">protéger les enfants et les jeunes des pays arabes contre les contenus choquants et préjudiciables sur l'Internet, notamment en facilitant la promulgation de lois et de législations ainsi que l'élaboration de stratégies dans ce domaine et sensibiliser les enfants et les jeunes aux risques par le biais de campagnes de sensibilisation, d'ateliers et de formations et de l'utilisation du </w:t>
      </w:r>
      <w:r w:rsidRPr="00617EDA">
        <w:rPr>
          <w:color w:val="000000"/>
        </w:rPr>
        <w:t>Centre régional de cybersécurité pour la région des Etats arabes</w:t>
      </w:r>
      <w:r w:rsidRPr="00617EDA">
        <w:rPr>
          <w:rFonts w:ascii="Calibri" w:hAnsi="Calibri"/>
        </w:rPr>
        <w:t>;</w:t>
      </w:r>
    </w:p>
    <w:p w:rsidR="008B15CB" w:rsidRPr="00617EDA" w:rsidRDefault="008B15CB" w:rsidP="008B15CB">
      <w:pPr>
        <w:pStyle w:val="enumlev1"/>
        <w:rPr>
          <w:rFonts w:ascii="Calibri" w:hAnsi="Calibri"/>
        </w:rPr>
      </w:pPr>
      <w:r w:rsidRPr="00617EDA">
        <w:rPr>
          <w:rFonts w:ascii="Calibri" w:hAnsi="Calibri"/>
        </w:rPr>
        <w:t>4)</w:t>
      </w:r>
      <w:r w:rsidRPr="00617EDA">
        <w:rPr>
          <w:rFonts w:ascii="Calibri" w:hAnsi="Calibri"/>
        </w:rPr>
        <w:tab/>
        <w:t>mettre au point des applications des TIC pour contribuer à la protection en ligne des enfants e</w:t>
      </w:r>
      <w:bookmarkStart w:id="12" w:name="_GoBack"/>
      <w:bookmarkEnd w:id="12"/>
      <w:r w:rsidRPr="00617EDA">
        <w:rPr>
          <w:rFonts w:ascii="Calibri" w:hAnsi="Calibri"/>
        </w:rPr>
        <w:t>t à la lutte contre les cybermenaces sous toutes leurs formes, en collaboration avec les organismes compétents;</w:t>
      </w:r>
    </w:p>
    <w:p w:rsidR="008B15CB" w:rsidRPr="00617EDA" w:rsidRDefault="008B15CB" w:rsidP="008B15CB">
      <w:pPr>
        <w:pStyle w:val="enumlev1"/>
        <w:rPr>
          <w:rFonts w:ascii="Calibri" w:hAnsi="Calibri"/>
        </w:rPr>
      </w:pPr>
      <w:r w:rsidRPr="00617EDA">
        <w:rPr>
          <w:rFonts w:ascii="Calibri" w:hAnsi="Calibri"/>
        </w:rPr>
        <w:t>5)</w:t>
      </w:r>
      <w:r w:rsidRPr="00617EDA">
        <w:rPr>
          <w:rFonts w:ascii="Calibri" w:hAnsi="Calibri"/>
        </w:rPr>
        <w:tab/>
        <w:t>organiser des cours de formation et des séminaires sur la protection des infrastructures essentielles des télécommunications/TIC;</w:t>
      </w:r>
    </w:p>
    <w:p w:rsidR="008B15CB" w:rsidRPr="00617EDA" w:rsidRDefault="008B15CB" w:rsidP="008B15CB">
      <w:pPr>
        <w:pStyle w:val="enumlev1"/>
      </w:pPr>
      <w:r w:rsidRPr="00617EDA">
        <w:t>6)</w:t>
      </w:r>
      <w:r w:rsidRPr="00617EDA">
        <w:tab/>
        <w:t>élaborer des programmes de formation et mettre à disposition des experts pour les établissements universitaires spécialisés afin de former les étudiants et les milieux universitaires en ce qui concerne l'instauration de la confiance dans l'utilisation des TIC; échanger des informations à cet égard;</w:t>
      </w:r>
    </w:p>
    <w:p w:rsidR="008B15CB" w:rsidRPr="00617EDA" w:rsidRDefault="008B15CB" w:rsidP="008B15CB">
      <w:pPr>
        <w:pStyle w:val="enumlev1"/>
      </w:pPr>
      <w:r w:rsidRPr="00617EDA">
        <w:t>7)</w:t>
      </w:r>
      <w:r w:rsidRPr="00617EDA">
        <w:tab/>
      </w:r>
      <w:r w:rsidRPr="00617EDA">
        <w:rPr>
          <w:rFonts w:cstheme="minorHAnsi"/>
          <w:szCs w:val="24"/>
        </w:rPr>
        <w:t>créer des équipes nationales d'intervention en cas d'incident informatique (CIRT) dans la région des Etats arabes et assurer une coordination optimale entre ces équipes d'une part, et entre ces équipes et les équipes CIRT des autres régions d'autre part.</w:t>
      </w:r>
    </w:p>
    <w:p w:rsidR="008B15CB" w:rsidRPr="00617EDA" w:rsidRDefault="008B15CB" w:rsidP="008B15CB">
      <w:pPr>
        <w:pStyle w:val="Reasons"/>
        <w:rPr>
          <w:lang w:val="fr-FR"/>
        </w:rPr>
      </w:pPr>
    </w:p>
    <w:p w:rsidR="008B15CB" w:rsidRPr="00617EDA" w:rsidRDefault="008B15CB" w:rsidP="008B15CB">
      <w:pPr>
        <w:pStyle w:val="Proposal"/>
        <w:rPr>
          <w:lang w:val="fr-FR"/>
        </w:rPr>
      </w:pPr>
      <w:r w:rsidRPr="00617EDA">
        <w:rPr>
          <w:b/>
          <w:lang w:val="fr-FR"/>
        </w:rPr>
        <w:t>SUP</w:t>
      </w:r>
      <w:r w:rsidRPr="00617EDA">
        <w:rPr>
          <w:lang w:val="fr-FR"/>
        </w:rPr>
        <w:tab/>
        <w:t>ARB/21A33/5</w:t>
      </w:r>
    </w:p>
    <w:p w:rsidR="008B15CB" w:rsidRPr="00617EDA" w:rsidRDefault="008B15CB" w:rsidP="008B15CB">
      <w:pPr>
        <w:pStyle w:val="Heading1"/>
        <w:ind w:left="0" w:firstLine="0"/>
        <w:rPr>
          <w:lang w:eastAsia="ja-JP"/>
        </w:rPr>
      </w:pPr>
      <w:r w:rsidRPr="00617EDA">
        <w:rPr>
          <w:lang w:eastAsia="ja-JP"/>
        </w:rPr>
        <w:t>ARB3: Utilisation des télécommunications/TIC au service d'un développement intelligent et durable et de la protection de l'environnement</w:t>
      </w:r>
    </w:p>
    <w:p w:rsidR="008B15CB" w:rsidRPr="00617EDA" w:rsidRDefault="008B15CB" w:rsidP="008B15CB">
      <w:pPr>
        <w:pStyle w:val="Reasons"/>
        <w:rPr>
          <w:lang w:val="fr-FR"/>
        </w:rPr>
      </w:pPr>
    </w:p>
    <w:p w:rsidR="008B15CB" w:rsidRPr="00617EDA" w:rsidRDefault="008B15CB" w:rsidP="008B15CB">
      <w:pPr>
        <w:pStyle w:val="Proposal"/>
        <w:rPr>
          <w:lang w:val="fr-FR"/>
        </w:rPr>
      </w:pPr>
      <w:r w:rsidRPr="00617EDA">
        <w:rPr>
          <w:b/>
          <w:lang w:val="fr-FR"/>
        </w:rPr>
        <w:lastRenderedPageBreak/>
        <w:t>ADD</w:t>
      </w:r>
      <w:r w:rsidRPr="00617EDA">
        <w:rPr>
          <w:lang w:val="fr-FR"/>
        </w:rPr>
        <w:tab/>
        <w:t>ARB/21A33/6</w:t>
      </w:r>
    </w:p>
    <w:p w:rsidR="008B15CB" w:rsidRPr="00617EDA" w:rsidRDefault="008B15CB" w:rsidP="008B15CB">
      <w:pPr>
        <w:rPr>
          <w:b/>
          <w:sz w:val="28"/>
          <w:lang w:eastAsia="ja-JP"/>
        </w:rPr>
      </w:pPr>
      <w:r w:rsidRPr="00617EDA">
        <w:rPr>
          <w:rFonts w:ascii="Calibri"/>
          <w:b/>
        </w:rPr>
        <w:t>ARB3:</w:t>
      </w:r>
      <w:r w:rsidRPr="00617EDA">
        <w:tab/>
      </w:r>
      <w:r w:rsidRPr="00617EDA">
        <w:rPr>
          <w:b/>
          <w:sz w:val="28"/>
          <w:lang w:eastAsia="ja-JP"/>
        </w:rPr>
        <w:t>Inclusion financière numérique</w:t>
      </w:r>
    </w:p>
    <w:p w:rsidR="008B15CB" w:rsidRPr="00617EDA" w:rsidRDefault="008B15CB" w:rsidP="008B15CB">
      <w:r w:rsidRPr="00617EDA">
        <w:rPr>
          <w:b/>
          <w:bCs/>
          <w:szCs w:val="24"/>
        </w:rPr>
        <w:t>Objectif</w:t>
      </w:r>
      <w:r w:rsidRPr="00617EDA">
        <w:rPr>
          <w:szCs w:val="24"/>
        </w:rPr>
        <w:t>: Favoriser et permettre l'accès aux services financiers numériques et l'utilisation de ces services grâce à l'utilisation des télécommunications et des technologies de l'information et assurer des niveaux élevés d'inclusion financière numérique.</w:t>
      </w:r>
    </w:p>
    <w:p w:rsidR="008B15CB" w:rsidRPr="00617EDA" w:rsidRDefault="008B15CB" w:rsidP="00905C2C">
      <w:pPr>
        <w:pStyle w:val="Headingb"/>
      </w:pPr>
      <w:r w:rsidRPr="00617EDA">
        <w:t>Résultats attendus</w:t>
      </w:r>
    </w:p>
    <w:p w:rsidR="008B15CB" w:rsidRPr="00617EDA" w:rsidRDefault="008B15CB" w:rsidP="008B15CB">
      <w:r w:rsidRPr="00617EDA">
        <w:t>Aider les pays à:</w:t>
      </w:r>
    </w:p>
    <w:p w:rsidR="008B15CB" w:rsidRPr="00905C2C" w:rsidRDefault="008B15CB" w:rsidP="00905C2C">
      <w:pPr>
        <w:pStyle w:val="enumlev1"/>
      </w:pPr>
      <w:r w:rsidRPr="00905C2C">
        <w:t>1)</w:t>
      </w:r>
      <w:r w:rsidRPr="00905C2C">
        <w:tab/>
        <w:t>réaliser des études afin de faire le point en matière d'inclusion financière numérique, de recenser les besoins aux niveaux national et régional et de tirer parti de l'expérience acquise et des bonnes pratiques suivies au niveau international, tout en précisant le lien qui existe entre inclusion financière, stabilité financière, intégration financière et protection des consommateurs;</w:t>
      </w:r>
    </w:p>
    <w:p w:rsidR="008B15CB" w:rsidRPr="00905C2C" w:rsidRDefault="008B15CB" w:rsidP="00905C2C">
      <w:pPr>
        <w:pStyle w:val="enumlev1"/>
      </w:pPr>
      <w:r w:rsidRPr="00905C2C">
        <w:t>2)</w:t>
      </w:r>
      <w:r w:rsidRPr="00905C2C">
        <w:tab/>
        <w:t>mieux faire connaître la notion d'inclusion financière numérique, les avantages qui en découlent et les pratiques suivies en la matière, présenter les dimensions des services d'inclusion financière, en d'autres termes la garantie d'un accès plus facile à tous les services financiers, les modalités d'utilisation de ces services ainsi que la qualité, la sécurité et la fiabilité de ces services et la confiance qu'ils inspirent;</w:t>
      </w:r>
    </w:p>
    <w:p w:rsidR="008B15CB" w:rsidRPr="00905C2C" w:rsidRDefault="008B15CB" w:rsidP="00905C2C">
      <w:pPr>
        <w:pStyle w:val="enumlev1"/>
      </w:pPr>
      <w:r w:rsidRPr="00905C2C">
        <w:t>3)</w:t>
      </w:r>
      <w:r w:rsidRPr="00905C2C">
        <w:tab/>
        <w:t>fournir un appui consultatif et technique et dispenser les formations nécessaires pour encourager la coordination entre les régulateurs et les fournisseurs de services TIC d'une part et les régulateurs et les fournisseurs de services financiers d'autre part, de manière à parvenir à l'intégration et à la convergence entre les deux secteurs;</w:t>
      </w:r>
    </w:p>
    <w:p w:rsidR="008B15CB" w:rsidRPr="00905C2C" w:rsidRDefault="008B15CB" w:rsidP="00905C2C">
      <w:pPr>
        <w:pStyle w:val="enumlev1"/>
      </w:pPr>
      <w:r w:rsidRPr="00905C2C">
        <w:t>4)</w:t>
      </w:r>
      <w:r w:rsidRPr="00905C2C">
        <w:tab/>
        <w:t>élaborer des cadres réglementaires et juridiques destinés à servir de guide afin de stimuler et d'encourager l'adoption de l'inclusion financière numérique et nouer des partenariats entre le secteur public et le secteur privé afin de garantir la protection de la vie privée des utilisateurs et la confidentialité des données et de promouvoir la confiance et la sécurité dans l'utilisation des services financiers numériques;</w:t>
      </w:r>
    </w:p>
    <w:p w:rsidR="008B15CB" w:rsidRPr="00905C2C" w:rsidRDefault="008B15CB" w:rsidP="00905C2C">
      <w:pPr>
        <w:pStyle w:val="enumlev1"/>
      </w:pPr>
      <w:r w:rsidRPr="00905C2C">
        <w:t>5)</w:t>
      </w:r>
      <w:r w:rsidRPr="00905C2C">
        <w:tab/>
        <w:t>solliciter un appui financier et technique auprès de donateurs, d'institutions de financement ainsi que de parties prenantes aux niveaux régional et international</w:t>
      </w:r>
      <w:r w:rsidR="00B27954" w:rsidRPr="00905C2C">
        <w:t>,</w:t>
      </w:r>
      <w:r w:rsidRPr="00905C2C">
        <w:t xml:space="preserve"> afin d'atteindre l'objectif recherché et d'obtenir les résultats attendus dans le cadre de cette initiative, à la demande des Etats arabes qui le souhaitent.</w:t>
      </w:r>
    </w:p>
    <w:p w:rsidR="00337DFB" w:rsidRPr="00617EDA" w:rsidRDefault="00337DFB" w:rsidP="00B27954">
      <w:pPr>
        <w:pStyle w:val="Reasons"/>
        <w:rPr>
          <w:lang w:val="fr-FR"/>
        </w:rPr>
      </w:pPr>
    </w:p>
    <w:p w:rsidR="003768A5" w:rsidRPr="00617EDA" w:rsidRDefault="003768A5" w:rsidP="008B15CB">
      <w:pPr>
        <w:pStyle w:val="Proposal"/>
        <w:rPr>
          <w:lang w:val="fr-FR"/>
        </w:rPr>
      </w:pPr>
      <w:r w:rsidRPr="00617EDA">
        <w:rPr>
          <w:b/>
          <w:lang w:val="fr-FR"/>
        </w:rPr>
        <w:t>SUP</w:t>
      </w:r>
      <w:r w:rsidRPr="00617EDA">
        <w:rPr>
          <w:lang w:val="fr-FR"/>
        </w:rPr>
        <w:tab/>
        <w:t>ARB/21A33/7</w:t>
      </w:r>
    </w:p>
    <w:p w:rsidR="003768A5" w:rsidRPr="00617EDA" w:rsidRDefault="003768A5" w:rsidP="008B15CB">
      <w:pPr>
        <w:pStyle w:val="Heading1"/>
        <w:rPr>
          <w:lang w:eastAsia="ja-JP"/>
        </w:rPr>
      </w:pPr>
      <w:r w:rsidRPr="00617EDA">
        <w:rPr>
          <w:lang w:eastAsia="ja-JP"/>
        </w:rPr>
        <w:t>ARB4: Apprentissage intelligent</w:t>
      </w:r>
    </w:p>
    <w:p w:rsidR="003768A5" w:rsidRPr="00617EDA" w:rsidRDefault="003768A5" w:rsidP="008B15CB">
      <w:pPr>
        <w:pStyle w:val="Reasons"/>
        <w:rPr>
          <w:lang w:val="fr-FR"/>
        </w:rPr>
      </w:pPr>
    </w:p>
    <w:p w:rsidR="003768A5" w:rsidRPr="00617EDA" w:rsidRDefault="003768A5" w:rsidP="008B15CB">
      <w:pPr>
        <w:pStyle w:val="Proposal"/>
        <w:rPr>
          <w:lang w:val="fr-FR"/>
        </w:rPr>
      </w:pPr>
      <w:r w:rsidRPr="00617EDA">
        <w:rPr>
          <w:b/>
          <w:lang w:val="fr-FR"/>
        </w:rPr>
        <w:t>ADD</w:t>
      </w:r>
      <w:r w:rsidRPr="00617EDA">
        <w:rPr>
          <w:lang w:val="fr-FR"/>
        </w:rPr>
        <w:tab/>
        <w:t>ARB/21A33/8</w:t>
      </w:r>
    </w:p>
    <w:p w:rsidR="003768A5" w:rsidRPr="00617EDA" w:rsidRDefault="003768A5" w:rsidP="008B15CB">
      <w:r w:rsidRPr="00617EDA">
        <w:rPr>
          <w:b/>
          <w:sz w:val="28"/>
          <w:lang w:eastAsia="ja-JP"/>
        </w:rPr>
        <w:t>ARB4:</w:t>
      </w:r>
      <w:r w:rsidRPr="00617EDA">
        <w:rPr>
          <w:b/>
          <w:sz w:val="28"/>
          <w:lang w:eastAsia="ja-JP"/>
        </w:rPr>
        <w:tab/>
        <w:t>Internet des objets, villes intelligentes et mégadonnées</w:t>
      </w:r>
    </w:p>
    <w:p w:rsidR="003768A5" w:rsidRPr="00617EDA" w:rsidRDefault="003768A5" w:rsidP="00617EDA">
      <w:pPr>
        <w:keepNext/>
        <w:keepLines/>
        <w:rPr>
          <w:szCs w:val="24"/>
        </w:rPr>
      </w:pPr>
      <w:r w:rsidRPr="00617EDA">
        <w:rPr>
          <w:b/>
          <w:bCs/>
          <w:szCs w:val="24"/>
        </w:rPr>
        <w:lastRenderedPageBreak/>
        <w:t>Objectif</w:t>
      </w:r>
      <w:r w:rsidRPr="00617EDA">
        <w:rPr>
          <w:szCs w:val="24"/>
        </w:rPr>
        <w:t xml:space="preserve">: Sensibiliser davantage l'opinion et mieux faire connaitre l'importance des défis à venir à l'ère de l'Internet des objets et des mégadonnées ainsi que la manière de relever ces défis; élaborer des cadres réglementaires, prendre des mesures qui permettront de suivre le rythme de l'évolution rapide du secteur des télécommunications et des technologies de l'information et </w:t>
      </w:r>
      <w:r w:rsidR="007E4D13" w:rsidRPr="00617EDA">
        <w:rPr>
          <w:szCs w:val="24"/>
        </w:rPr>
        <w:t>oe</w:t>
      </w:r>
      <w:r w:rsidRPr="00617EDA">
        <w:rPr>
          <w:szCs w:val="24"/>
        </w:rPr>
        <w:t>uvrer pour instaurer des villes et communautés intelligentes.</w:t>
      </w:r>
    </w:p>
    <w:p w:rsidR="003768A5" w:rsidRPr="00617EDA" w:rsidRDefault="003768A5" w:rsidP="008B15CB">
      <w:pPr>
        <w:rPr>
          <w:b/>
          <w:bCs/>
        </w:rPr>
      </w:pPr>
      <w:r w:rsidRPr="00617EDA">
        <w:rPr>
          <w:b/>
          <w:bCs/>
        </w:rPr>
        <w:t>Résultats attendus</w:t>
      </w:r>
    </w:p>
    <w:p w:rsidR="003768A5" w:rsidRPr="00617EDA" w:rsidRDefault="003768A5" w:rsidP="008B15CB">
      <w:r w:rsidRPr="00617EDA">
        <w:t>Aider les pays à:</w:t>
      </w:r>
    </w:p>
    <w:p w:rsidR="003768A5" w:rsidRPr="00617EDA" w:rsidRDefault="003768A5" w:rsidP="008B15CB">
      <w:pPr>
        <w:pStyle w:val="enumlev1"/>
      </w:pPr>
      <w:r w:rsidRPr="00617EDA">
        <w:t>1)</w:t>
      </w:r>
      <w:r w:rsidRPr="00617EDA">
        <w:tab/>
        <w:t xml:space="preserve">élaborer des plans stratégiques et opérationnels et des cadres réglementaires pour s'adapter aux technologies de l'Internet des objets et </w:t>
      </w:r>
      <w:r w:rsidR="00223E19" w:rsidRPr="00617EDA">
        <w:t>des</w:t>
      </w:r>
      <w:r w:rsidRPr="00617EDA">
        <w:t xml:space="preserve"> mégadonnées et établir une feuille de route pour la région des Etats arabes en vue de l'instauration de villes et de communautés intelligentes moyennant le développement des infrastructures de télécommunication pour fournir les services large bande nécessaires pour prendre en charge les différents services et applications;</w:t>
      </w:r>
    </w:p>
    <w:p w:rsidR="003768A5" w:rsidRPr="00617EDA" w:rsidRDefault="003768A5" w:rsidP="008B15CB">
      <w:pPr>
        <w:pStyle w:val="enumlev1"/>
      </w:pPr>
      <w:r w:rsidRPr="00617EDA">
        <w:t>2)</w:t>
      </w:r>
      <w:r w:rsidRPr="00617EDA">
        <w:tab/>
        <w:t>promouvoir la coopération technique et l'échange de compétences spécialisées entre les pays arabes dans le domaine de l'Internet des objets, des mégadonnées et des villes et communautés intelligentes, en étudier les incidences, qu'elles soient positives ou négatives, et tirer parti de l'expérience à l'échelle mondiale;</w:t>
      </w:r>
    </w:p>
    <w:p w:rsidR="003768A5" w:rsidRPr="00617EDA" w:rsidRDefault="003768A5" w:rsidP="008B15CB">
      <w:pPr>
        <w:pStyle w:val="enumlev1"/>
      </w:pPr>
      <w:r w:rsidRPr="00617EDA">
        <w:t>3)</w:t>
      </w:r>
      <w:r w:rsidRPr="00617EDA">
        <w:tab/>
        <w:t>organiser un forum de haut niveau sur l'Internet des objets et les mégadonnées pour examiner les principaux problèmes, notamment en ce qui concerne la sécurité, la vie privée et la compatibilité des systèmes ainsi que les solutions les plus remarquables, y compris l'architecture des objets numériques; inviter des experts du secteur à prendre la parole lors du forum et organiser une réunion parallèle en marge du forum avec les professionnels et les représentants du secteur privé;</w:t>
      </w:r>
    </w:p>
    <w:p w:rsidR="003768A5" w:rsidRPr="00617EDA" w:rsidRDefault="003768A5" w:rsidP="008B15CB">
      <w:pPr>
        <w:pStyle w:val="enumlev1"/>
      </w:pPr>
      <w:r w:rsidRPr="00617EDA">
        <w:t>4)</w:t>
      </w:r>
      <w:r w:rsidRPr="00617EDA">
        <w:tab/>
        <w:t xml:space="preserve">avoir accès à des études, des travaux de recherche et des connaissances spécialisées de premier plan sur l'Internet des objets et les villes intelligentes, y compris les mégadonnées pour les </w:t>
      </w:r>
      <w:r w:rsidR="00223E19" w:rsidRPr="00617EDA">
        <w:t>E</w:t>
      </w:r>
      <w:r w:rsidRPr="00617EDA">
        <w:t xml:space="preserve">tats arabes, sur une page consacrée à l'Initiative sur le site web du Bureau régional pour les Etats arabes, et aider les </w:t>
      </w:r>
      <w:r w:rsidR="00223E19" w:rsidRPr="00617EDA">
        <w:t>E</w:t>
      </w:r>
      <w:r w:rsidRPr="00617EDA">
        <w:t>tats arabes qui le souhaitent à obtenir des conseils dans ce domaine;</w:t>
      </w:r>
    </w:p>
    <w:p w:rsidR="003768A5" w:rsidRPr="00617EDA" w:rsidRDefault="003768A5" w:rsidP="008B15CB">
      <w:pPr>
        <w:pStyle w:val="enumlev1"/>
      </w:pPr>
      <w:r w:rsidRPr="00617EDA">
        <w:t>5)</w:t>
      </w:r>
      <w:r w:rsidRPr="00617EDA">
        <w:tab/>
        <w:t xml:space="preserve">renforcer les capacités des pays arabes concernant l'utilisation des mégadonnées en tant que méthode complémentaire ou de remplacement et ressource peu onéreuse pour mesurer les indicateurs relatifs aux objectifs de développement durable, tout en renforçant les capacités des parties prenantes à mettre en </w:t>
      </w:r>
      <w:r w:rsidR="007E4D13" w:rsidRPr="00617EDA">
        <w:t>oe</w:t>
      </w:r>
      <w:r w:rsidRPr="00617EDA">
        <w:t>uvre et à analyser les mégadonnées pour mesurer les principaux indicateurs de développement;</w:t>
      </w:r>
    </w:p>
    <w:p w:rsidR="003768A5" w:rsidRPr="00617EDA" w:rsidRDefault="003768A5" w:rsidP="008B15CB">
      <w:pPr>
        <w:pStyle w:val="enumlev1"/>
      </w:pPr>
      <w:r w:rsidRPr="00617EDA">
        <w:t>6)</w:t>
      </w:r>
      <w:r w:rsidRPr="00617EDA">
        <w:tab/>
        <w:t>construire des infrastructures sécurisées pour stocker les énormes quantités de données nécessaires pour créer un environnement intelligent;</w:t>
      </w:r>
    </w:p>
    <w:p w:rsidR="003768A5" w:rsidRPr="00617EDA" w:rsidRDefault="003768A5" w:rsidP="008B15CB">
      <w:pPr>
        <w:pStyle w:val="enumlev1"/>
      </w:pPr>
      <w:r w:rsidRPr="00617EDA">
        <w:t>7)</w:t>
      </w:r>
      <w:r w:rsidRPr="00617EDA">
        <w:tab/>
        <w:t xml:space="preserve">recenser les centres d'excellence et les centres de recherche et d'étude existants dans les </w:t>
      </w:r>
      <w:r w:rsidR="00223E19" w:rsidRPr="00617EDA">
        <w:t>E</w:t>
      </w:r>
      <w:r w:rsidRPr="00617EDA">
        <w:t xml:space="preserve">tats arabes et faire appel à ces centres pour fournir des experts et offrir des compétences spécialisées dans les domaines de l'initiative; conclure des partenariats et des accords de coopération pour contribuer à améliorer la disponibilité des services large bande dans les </w:t>
      </w:r>
      <w:r w:rsidR="00223E19" w:rsidRPr="00617EDA">
        <w:t>E</w:t>
      </w:r>
      <w:r w:rsidRPr="00617EDA">
        <w:t>tats arabes; et utiliser l'Internet des objets et les mégadonnées au service du développement, élaborer des indicateurs relatifs aux villes intelligentes et mesurer les progrès régulièrement.</w:t>
      </w:r>
    </w:p>
    <w:p w:rsidR="003768A5" w:rsidRPr="00617EDA" w:rsidRDefault="003768A5" w:rsidP="008B15CB">
      <w:pPr>
        <w:pStyle w:val="Reasons"/>
        <w:rPr>
          <w:lang w:val="fr-FR"/>
        </w:rPr>
      </w:pPr>
    </w:p>
    <w:p w:rsidR="003768A5" w:rsidRPr="00617EDA" w:rsidRDefault="003768A5" w:rsidP="008B15CB">
      <w:pPr>
        <w:pStyle w:val="Proposal"/>
        <w:rPr>
          <w:lang w:val="fr-FR"/>
        </w:rPr>
      </w:pPr>
      <w:r w:rsidRPr="00617EDA">
        <w:rPr>
          <w:b/>
          <w:lang w:val="fr-FR"/>
        </w:rPr>
        <w:lastRenderedPageBreak/>
        <w:t>SUP</w:t>
      </w:r>
      <w:r w:rsidRPr="00617EDA">
        <w:rPr>
          <w:lang w:val="fr-FR"/>
        </w:rPr>
        <w:tab/>
        <w:t>ARB/21A33/9</w:t>
      </w:r>
    </w:p>
    <w:p w:rsidR="003768A5" w:rsidRPr="00617EDA" w:rsidRDefault="00866F1E" w:rsidP="008B15CB">
      <w:pPr>
        <w:pStyle w:val="Heading1"/>
        <w:ind w:left="0" w:firstLine="0"/>
        <w:rPr>
          <w:lang w:eastAsia="ja-JP"/>
        </w:rPr>
      </w:pPr>
      <w:r>
        <w:rPr>
          <w:lang w:eastAsia="ja-JP"/>
        </w:rPr>
        <w:t xml:space="preserve">ARB5: </w:t>
      </w:r>
      <w:r w:rsidR="003768A5" w:rsidRPr="00617EDA">
        <w:rPr>
          <w:lang w:eastAsia="ja-JP"/>
        </w:rPr>
        <w:t>Fourniture d'un accès aux télécommunications/TIC, en particulier pour les personnes handicapées</w:t>
      </w:r>
    </w:p>
    <w:p w:rsidR="003768A5" w:rsidRPr="00617EDA" w:rsidRDefault="003768A5" w:rsidP="008B15CB">
      <w:pPr>
        <w:pStyle w:val="Reasons"/>
        <w:rPr>
          <w:lang w:val="fr-FR" w:eastAsia="ja-JP"/>
        </w:rPr>
      </w:pPr>
    </w:p>
    <w:p w:rsidR="003768A5" w:rsidRPr="00617EDA" w:rsidRDefault="003768A5" w:rsidP="008B15CB">
      <w:pPr>
        <w:pStyle w:val="Proposal"/>
        <w:rPr>
          <w:lang w:val="fr-FR"/>
        </w:rPr>
      </w:pPr>
      <w:r w:rsidRPr="00617EDA">
        <w:rPr>
          <w:b/>
          <w:lang w:val="fr-FR"/>
        </w:rPr>
        <w:t>ADD</w:t>
      </w:r>
      <w:r w:rsidRPr="00617EDA">
        <w:rPr>
          <w:lang w:val="fr-FR"/>
        </w:rPr>
        <w:tab/>
        <w:t>ARB/21A33/10</w:t>
      </w:r>
    </w:p>
    <w:p w:rsidR="003768A5" w:rsidRPr="00617EDA" w:rsidRDefault="003768A5" w:rsidP="008B15CB">
      <w:pPr>
        <w:pStyle w:val="Heading1"/>
      </w:pPr>
      <w:r w:rsidRPr="00617EDA">
        <w:rPr>
          <w:rFonts w:ascii="Calibri"/>
        </w:rPr>
        <w:t>ARB5:</w:t>
      </w:r>
      <w:r w:rsidRPr="00617EDA">
        <w:tab/>
        <w:t>Innovation et esprit d'entreprise</w:t>
      </w:r>
    </w:p>
    <w:p w:rsidR="003768A5" w:rsidRPr="00617EDA" w:rsidRDefault="003768A5" w:rsidP="008B15CB">
      <w:pPr>
        <w:rPr>
          <w:szCs w:val="24"/>
        </w:rPr>
      </w:pPr>
      <w:r w:rsidRPr="00617EDA">
        <w:rPr>
          <w:b/>
          <w:bCs/>
          <w:szCs w:val="24"/>
        </w:rPr>
        <w:t>Objectif</w:t>
      </w:r>
      <w:r w:rsidRPr="00617EDA">
        <w:rPr>
          <w:szCs w:val="24"/>
        </w:rPr>
        <w:t xml:space="preserve">: Renforcer les capacités et sensibiliser l'opinion à la culture de l'innovation et de l'esprit d'entreprise, en particulier pour autonomiser les jeunes et les femmes, afin que les outils TIC soient exploités pour lancer des projets et entreprendre des activités économiques privilégiant la création d'emplois. </w:t>
      </w:r>
    </w:p>
    <w:p w:rsidR="003768A5" w:rsidRPr="00617EDA" w:rsidRDefault="003768A5" w:rsidP="008B15CB">
      <w:pPr>
        <w:rPr>
          <w:b/>
          <w:bCs/>
        </w:rPr>
      </w:pPr>
      <w:r w:rsidRPr="00617EDA">
        <w:rPr>
          <w:b/>
          <w:bCs/>
        </w:rPr>
        <w:t>Résultats attendus</w:t>
      </w:r>
    </w:p>
    <w:p w:rsidR="003768A5" w:rsidRPr="00617EDA" w:rsidRDefault="003768A5" w:rsidP="008B15CB">
      <w:r w:rsidRPr="00617EDA">
        <w:t>Aider les pays à:</w:t>
      </w:r>
    </w:p>
    <w:p w:rsidR="003768A5" w:rsidRPr="00617EDA" w:rsidRDefault="003768A5" w:rsidP="008B15CB">
      <w:pPr>
        <w:pStyle w:val="enumlev1"/>
      </w:pPr>
      <w:r w:rsidRPr="00617EDA">
        <w:t>1)</w:t>
      </w:r>
      <w:r w:rsidRPr="00617EDA">
        <w:tab/>
        <w:t>élaborer des mécanismes et des stratégies aux niveaux national et régional pour stimuler et enrichir la culture de l'innovation en matière de télécommunications/TIC dans la région, y compris les bonnes pratiques correspondantes;</w:t>
      </w:r>
    </w:p>
    <w:p w:rsidR="003768A5" w:rsidRPr="00617EDA" w:rsidRDefault="003768A5" w:rsidP="008B15CB">
      <w:pPr>
        <w:pStyle w:val="enumlev1"/>
      </w:pPr>
      <w:r w:rsidRPr="00617EDA">
        <w:t>2)</w:t>
      </w:r>
      <w:r w:rsidRPr="00617EDA">
        <w:tab/>
        <w:t>tout en créant des centres de créativité et de nouveaux établissements, encourager et développer le rôle des établissements existants et des programmes relatifs aux pépinières d'entreprises qui soutiennent les micro, petites et moyennes entreprises dans le domaine des télécommunications/TIC pour permettre aux jeunes de fonder leurs propres entreprises; tirer parti des bonnes pratiques dans ce domaine;</w:t>
      </w:r>
    </w:p>
    <w:p w:rsidR="003768A5" w:rsidRPr="00617EDA" w:rsidRDefault="003768A5" w:rsidP="008B15CB">
      <w:pPr>
        <w:pStyle w:val="enumlev1"/>
      </w:pPr>
      <w:r w:rsidRPr="00617EDA">
        <w:t>3)</w:t>
      </w:r>
      <w:r w:rsidRPr="00617EDA">
        <w:tab/>
        <w:t>former les jeunes des deux sexes à tirer parti des TIC pour promouvoir la culture de l'innovation et de l'esprit d'entreprise;</w:t>
      </w:r>
    </w:p>
    <w:p w:rsidR="003768A5" w:rsidRPr="00617EDA" w:rsidRDefault="003768A5" w:rsidP="008B15CB">
      <w:pPr>
        <w:pStyle w:val="enumlev1"/>
      </w:pPr>
      <w:r w:rsidRPr="00617EDA">
        <w:t>4)</w:t>
      </w:r>
      <w:r w:rsidRPr="00617EDA">
        <w:tab/>
        <w:t>encourager les jeunes et les étudiants à faire preuve de créativité et d'innovation dans le développement d'applications en langue arabe;</w:t>
      </w:r>
    </w:p>
    <w:p w:rsidR="003768A5" w:rsidRPr="00617EDA" w:rsidRDefault="003768A5" w:rsidP="008B15CB">
      <w:pPr>
        <w:pStyle w:val="enumlev1"/>
      </w:pPr>
      <w:r w:rsidRPr="00617EDA">
        <w:t>5)</w:t>
      </w:r>
      <w:r w:rsidRPr="00617EDA">
        <w:tab/>
        <w:t>développer des moyens novateurs de tenir des réunions, des conférences et des ateliers régionaux sous forme électronique;</w:t>
      </w:r>
    </w:p>
    <w:p w:rsidR="003768A5" w:rsidRPr="00617EDA" w:rsidRDefault="003768A5" w:rsidP="008B15CB">
      <w:pPr>
        <w:pStyle w:val="enumlev1"/>
      </w:pPr>
      <w:r w:rsidRPr="00617EDA">
        <w:t>6)</w:t>
      </w:r>
      <w:r w:rsidRPr="00617EDA">
        <w:tab/>
        <w:t>créer et renforcer un groupe restreint de personnes pour faciliter la coordination entre les centres de formation, les centres de recherche, les pépinières d'entreprises, les établissements et les instituts, tout en encourageant l'échange de compétences spécialisées aux niveaux régional et international.</w:t>
      </w:r>
    </w:p>
    <w:p w:rsidR="003768A5" w:rsidRPr="00617EDA" w:rsidRDefault="003768A5" w:rsidP="008B15CB">
      <w:pPr>
        <w:pStyle w:val="Reasons"/>
        <w:spacing w:before="0"/>
        <w:rPr>
          <w:lang w:val="fr-FR"/>
        </w:rPr>
      </w:pPr>
    </w:p>
    <w:p w:rsidR="00D7287E" w:rsidRPr="00617EDA" w:rsidRDefault="003768A5" w:rsidP="008B15CB">
      <w:pPr>
        <w:spacing w:before="0"/>
        <w:jc w:val="center"/>
      </w:pPr>
      <w:r w:rsidRPr="00617EDA">
        <w:t>______________</w:t>
      </w:r>
    </w:p>
    <w:sectPr w:rsidR="00D7287E" w:rsidRPr="00617EDA">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D3" w:rsidRDefault="00615DD3">
      <w:r>
        <w:separator/>
      </w:r>
    </w:p>
  </w:endnote>
  <w:endnote w:type="continuationSeparator" w:id="0">
    <w:p w:rsidR="00615DD3" w:rsidRDefault="0061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E8" w:rsidRPr="005D3705" w:rsidRDefault="005D3705" w:rsidP="0056763F">
    <w:pPr>
      <w:pStyle w:val="Footer"/>
      <w:tabs>
        <w:tab w:val="clear" w:pos="9639"/>
        <w:tab w:val="left" w:pos="6935"/>
      </w:tabs>
      <w:rPr>
        <w:lang w:val="en-US"/>
      </w:rPr>
    </w:pPr>
    <w:r>
      <w:fldChar w:fldCharType="begin"/>
    </w:r>
    <w:r w:rsidRPr="005D3705">
      <w:rPr>
        <w:lang w:val="en-US"/>
      </w:rPr>
      <w:instrText xml:space="preserve"> FILENAME \p  \* MERGEFORMAT </w:instrText>
    </w:r>
    <w:r>
      <w:fldChar w:fldCharType="separate"/>
    </w:r>
    <w:r w:rsidR="007E4D13">
      <w:rPr>
        <w:lang w:val="en-US"/>
      </w:rPr>
      <w:t>P:\FRA\ITU-D\CONF-D\WTDC17\000\021ADD33F.docx</w:t>
    </w:r>
    <w:r>
      <w:fldChar w:fldCharType="end"/>
    </w:r>
    <w:r w:rsidRPr="005D3705">
      <w:rPr>
        <w:lang w:val="en-US"/>
      </w:rPr>
      <w:t xml:space="preserve"> (</w:t>
    </w:r>
    <w:r w:rsidR="0011778C">
      <w:rPr>
        <w:lang w:val="en-US"/>
      </w:rPr>
      <w:t>424325</w:t>
    </w:r>
    <w:r w:rsidRPr="005D3705">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ordonnées de la personne de contact pour le document"/>
      <w:tblDescription w:val="Coordonnées de la personne de contact pour le document"/>
    </w:tblPr>
    <w:tblGrid>
      <w:gridCol w:w="1526"/>
      <w:gridCol w:w="2268"/>
      <w:gridCol w:w="6237"/>
    </w:tblGrid>
    <w:tr w:rsidR="00D42EE8" w:rsidRPr="008B15CB" w:rsidTr="00D42EE8">
      <w:tc>
        <w:tcPr>
          <w:tcW w:w="1526" w:type="dxa"/>
          <w:tcBorders>
            <w:top w:val="single" w:sz="4" w:space="0" w:color="000000" w:themeColor="text1"/>
          </w:tcBorders>
        </w:tcPr>
        <w:p w:rsidR="00D42EE8" w:rsidRPr="00C100BE" w:rsidRDefault="00D42EE8" w:rsidP="00D42EE8">
          <w:pPr>
            <w:pStyle w:val="FirstFooter"/>
            <w:tabs>
              <w:tab w:val="left" w:pos="1559"/>
              <w:tab w:val="left" w:pos="3828"/>
            </w:tabs>
            <w:rPr>
              <w:sz w:val="18"/>
              <w:szCs w:val="18"/>
            </w:rPr>
          </w:pPr>
          <w:bookmarkStart w:id="16" w:name="Email"/>
          <w:bookmarkEnd w:id="16"/>
          <w:r w:rsidRPr="00C100BE">
            <w:rPr>
              <w:sz w:val="18"/>
              <w:szCs w:val="18"/>
            </w:rPr>
            <w:t>Contact:</w:t>
          </w:r>
        </w:p>
      </w:tc>
      <w:tc>
        <w:tcPr>
          <w:tcW w:w="2268" w:type="dxa"/>
          <w:tcBorders>
            <w:top w:val="single" w:sz="4" w:space="0" w:color="000000" w:themeColor="text1"/>
          </w:tcBorders>
        </w:tcPr>
        <w:p w:rsidR="00D42EE8" w:rsidRPr="00C100BE" w:rsidRDefault="00D42EE8" w:rsidP="00D42EE8">
          <w:pPr>
            <w:pStyle w:val="FirstFooter"/>
            <w:ind w:left="2160" w:hanging="2160"/>
            <w:rPr>
              <w:sz w:val="18"/>
              <w:szCs w:val="18"/>
              <w:lang w:val="en-US"/>
            </w:rPr>
          </w:pPr>
          <w:r w:rsidRPr="00C100BE">
            <w:rPr>
              <w:sz w:val="18"/>
              <w:szCs w:val="18"/>
              <w:lang w:val="fr-CH"/>
            </w:rPr>
            <w:t>Nom/Organisation/Entité:</w:t>
          </w:r>
        </w:p>
      </w:tc>
      <w:tc>
        <w:tcPr>
          <w:tcW w:w="6237" w:type="dxa"/>
          <w:tcBorders>
            <w:top w:val="single" w:sz="4" w:space="0" w:color="000000" w:themeColor="text1"/>
          </w:tcBorders>
        </w:tcPr>
        <w:p w:rsidR="00D42EE8" w:rsidRPr="00B04B5E" w:rsidRDefault="00B04B5E" w:rsidP="008B15CB">
          <w:pPr>
            <w:pStyle w:val="FirstFooter"/>
            <w:ind w:left="2160" w:hanging="2160"/>
            <w:rPr>
              <w:sz w:val="18"/>
              <w:szCs w:val="18"/>
              <w:lang w:val="es-ES_tradnl"/>
            </w:rPr>
          </w:pPr>
          <w:r w:rsidRPr="00FF5795">
            <w:rPr>
              <w:sz w:val="18"/>
              <w:szCs w:val="18"/>
              <w:lang w:val="it-IT"/>
              <w:rPrChange w:id="17" w:author="Bilani, Joumana" w:date="2017-10-06T09:15:00Z">
                <w:rPr>
                  <w:sz w:val="18"/>
                  <w:szCs w:val="18"/>
                  <w:highlight w:val="magenta"/>
                  <w:lang w:val="it-IT"/>
                </w:rPr>
              </w:rPrChange>
            </w:rPr>
            <w:t>M</w:t>
          </w:r>
          <w:r w:rsidR="003768A5">
            <w:rPr>
              <w:sz w:val="18"/>
              <w:szCs w:val="18"/>
              <w:lang w:val="it-IT"/>
            </w:rPr>
            <w:t>.</w:t>
          </w:r>
          <w:r w:rsidRPr="00FF5795">
            <w:rPr>
              <w:sz w:val="18"/>
              <w:szCs w:val="18"/>
              <w:lang w:val="it-IT"/>
            </w:rPr>
            <w:t xml:space="preserve"> Nasser Saleh Al Marzouqi, TRA, </w:t>
          </w:r>
          <w:r w:rsidR="008B15CB">
            <w:rPr>
              <w:sz w:val="18"/>
              <w:szCs w:val="18"/>
              <w:lang w:val="it-IT"/>
            </w:rPr>
            <w:t>Emirats arabes unis</w:t>
          </w:r>
        </w:p>
      </w:tc>
    </w:tr>
    <w:tr w:rsidR="00D42EE8" w:rsidRPr="00C100BE" w:rsidTr="00D42EE8">
      <w:tc>
        <w:tcPr>
          <w:tcW w:w="1526" w:type="dxa"/>
        </w:tcPr>
        <w:p w:rsidR="00D42EE8" w:rsidRPr="00B04B5E" w:rsidRDefault="00D42EE8" w:rsidP="00D42EE8">
          <w:pPr>
            <w:pStyle w:val="FirstFooter"/>
            <w:tabs>
              <w:tab w:val="left" w:pos="1559"/>
              <w:tab w:val="left" w:pos="3828"/>
            </w:tabs>
            <w:rPr>
              <w:sz w:val="20"/>
              <w:lang w:val="es-ES_tradnl"/>
            </w:rPr>
          </w:pPr>
        </w:p>
      </w:tc>
      <w:tc>
        <w:tcPr>
          <w:tcW w:w="2268" w:type="dxa"/>
        </w:tcPr>
        <w:p w:rsidR="00D42EE8" w:rsidRPr="00C100BE" w:rsidRDefault="00D42EE8" w:rsidP="00D42EE8">
          <w:pPr>
            <w:pStyle w:val="FirstFooter"/>
            <w:ind w:left="2160" w:hanging="2160"/>
            <w:rPr>
              <w:sz w:val="18"/>
              <w:szCs w:val="18"/>
              <w:lang w:val="en-US"/>
            </w:rPr>
          </w:pPr>
          <w:r w:rsidRPr="00C100BE">
            <w:rPr>
              <w:sz w:val="18"/>
              <w:szCs w:val="18"/>
              <w:lang w:val="fr-CH"/>
            </w:rPr>
            <w:t>Numéro de téléphone:</w:t>
          </w:r>
        </w:p>
      </w:tc>
      <w:tc>
        <w:tcPr>
          <w:tcW w:w="6237" w:type="dxa"/>
        </w:tcPr>
        <w:p w:rsidR="00D42EE8" w:rsidRPr="00C100BE" w:rsidRDefault="00B04B5E" w:rsidP="00B04B5E">
          <w:pPr>
            <w:pStyle w:val="FirstFooter"/>
            <w:ind w:left="2160" w:hanging="2160"/>
            <w:rPr>
              <w:sz w:val="18"/>
              <w:szCs w:val="18"/>
              <w:lang w:val="en-US"/>
            </w:rPr>
          </w:pPr>
          <w:r w:rsidRPr="00FF5795">
            <w:rPr>
              <w:sz w:val="18"/>
              <w:szCs w:val="18"/>
              <w:lang w:val="en-US"/>
            </w:rPr>
            <w:t>+971 509 007 177</w:t>
          </w:r>
        </w:p>
      </w:tc>
    </w:tr>
    <w:tr w:rsidR="00D42EE8" w:rsidRPr="00B74395" w:rsidTr="00D42EE8">
      <w:tc>
        <w:tcPr>
          <w:tcW w:w="1526" w:type="dxa"/>
        </w:tcPr>
        <w:p w:rsidR="00D42EE8" w:rsidRPr="00C100BE" w:rsidRDefault="00D42EE8" w:rsidP="00D42EE8">
          <w:pPr>
            <w:pStyle w:val="FirstFooter"/>
            <w:tabs>
              <w:tab w:val="left" w:pos="1559"/>
              <w:tab w:val="left" w:pos="3828"/>
            </w:tabs>
            <w:rPr>
              <w:sz w:val="20"/>
              <w:lang w:val="en-US"/>
            </w:rPr>
          </w:pPr>
        </w:p>
      </w:tc>
      <w:tc>
        <w:tcPr>
          <w:tcW w:w="2268" w:type="dxa"/>
        </w:tcPr>
        <w:p w:rsidR="00D42EE8" w:rsidRPr="00C100BE" w:rsidRDefault="00D42EE8" w:rsidP="00D42EE8">
          <w:pPr>
            <w:pStyle w:val="FirstFooter"/>
            <w:ind w:left="2160" w:hanging="2160"/>
            <w:rPr>
              <w:sz w:val="18"/>
              <w:szCs w:val="18"/>
              <w:lang w:val="en-US"/>
            </w:rPr>
          </w:pPr>
          <w:r w:rsidRPr="00C100BE">
            <w:rPr>
              <w:sz w:val="18"/>
              <w:szCs w:val="18"/>
              <w:lang w:val="fr-CH"/>
            </w:rPr>
            <w:t>Courriel</w:t>
          </w:r>
          <w:r w:rsidRPr="00C100BE">
            <w:rPr>
              <w:sz w:val="18"/>
              <w:szCs w:val="18"/>
              <w:lang w:val="en-US"/>
            </w:rPr>
            <w:t>:</w:t>
          </w:r>
        </w:p>
      </w:tc>
      <w:tc>
        <w:tcPr>
          <w:tcW w:w="6237" w:type="dxa"/>
        </w:tcPr>
        <w:p w:rsidR="00D42EE8" w:rsidRPr="00C100BE" w:rsidRDefault="00B04B5E" w:rsidP="00B04B5E">
          <w:pPr>
            <w:pStyle w:val="FirstFooter"/>
            <w:ind w:left="2160" w:hanging="2160"/>
            <w:rPr>
              <w:sz w:val="18"/>
              <w:szCs w:val="18"/>
              <w:lang w:val="en-US"/>
            </w:rPr>
          </w:pPr>
          <w:r w:rsidRPr="00FF5795">
            <w:rPr>
              <w:rPrChange w:id="18" w:author="Bilani, Joumana" w:date="2017-10-06T09:15:00Z">
                <w:rPr/>
              </w:rPrChange>
            </w:rPr>
            <w:fldChar w:fldCharType="begin"/>
          </w:r>
          <w:r w:rsidRPr="00B04B5E">
            <w:rPr>
              <w:lang w:val="en-US"/>
            </w:rPr>
            <w:instrText xml:space="preserve"> HYPERLINK "mailto:Nasser.almarzouqi@tra.gov.ae" </w:instrText>
          </w:r>
          <w:r w:rsidRPr="00FF5795">
            <w:rPr>
              <w:rPrChange w:id="19" w:author="Bilani, Joumana" w:date="2017-10-06T09:15:00Z">
                <w:rPr>
                  <w:rStyle w:val="Hyperlink"/>
                  <w:rFonts w:ascii="Calibri" w:hAnsi="Calibri"/>
                  <w:sz w:val="20"/>
                  <w:szCs w:val="26"/>
                </w:rPr>
              </w:rPrChange>
            </w:rPr>
            <w:fldChar w:fldCharType="separate"/>
          </w:r>
          <w:r w:rsidRPr="00B04B5E">
            <w:rPr>
              <w:rStyle w:val="Hyperlink"/>
              <w:rFonts w:ascii="Calibri" w:hAnsi="Calibri"/>
              <w:sz w:val="20"/>
              <w:szCs w:val="26"/>
              <w:lang w:val="en-US"/>
            </w:rPr>
            <w:t>Nasser.almarzouqi@tra.gov.ae</w:t>
          </w:r>
          <w:r w:rsidRPr="00FF5795">
            <w:rPr>
              <w:rStyle w:val="Hyperlink"/>
              <w:rFonts w:ascii="Calibri" w:hAnsi="Calibri"/>
              <w:sz w:val="20"/>
              <w:szCs w:val="26"/>
              <w:rPrChange w:id="20" w:author="Bilani, Joumana" w:date="2017-10-06T09:15:00Z">
                <w:rPr>
                  <w:rStyle w:val="Hyperlink"/>
                  <w:rFonts w:ascii="Calibri" w:hAnsi="Calibri"/>
                  <w:sz w:val="20"/>
                  <w:szCs w:val="26"/>
                </w:rPr>
              </w:rPrChange>
            </w:rPr>
            <w:fldChar w:fldCharType="end"/>
          </w:r>
        </w:p>
      </w:tc>
    </w:tr>
  </w:tbl>
  <w:p w:rsidR="00000B37" w:rsidRPr="00784E03" w:rsidRDefault="00866F1E" w:rsidP="00000B37">
    <w:pPr>
      <w:jc w:val="center"/>
      <w:rPr>
        <w:sz w:val="20"/>
      </w:rPr>
    </w:pPr>
    <w:hyperlink r:id="rId1" w:history="1">
      <w:r w:rsidR="007934DB">
        <w:rPr>
          <w:rStyle w:val="Hyperlink"/>
          <w:sz w:val="20"/>
        </w:rPr>
        <w:t>CMDT-17</w:t>
      </w:r>
    </w:hyperlink>
  </w:p>
  <w:p w:rsidR="00D42EE8" w:rsidRPr="00410D3C" w:rsidRDefault="00D42EE8" w:rsidP="00D42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D3" w:rsidRDefault="00615DD3">
      <w:r>
        <w:t>____________________</w:t>
      </w:r>
    </w:p>
  </w:footnote>
  <w:footnote w:type="continuationSeparator" w:id="0">
    <w:p w:rsidR="00615DD3" w:rsidRDefault="00615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E8" w:rsidRPr="00FB312D" w:rsidRDefault="00D42EE8" w:rsidP="00E47882">
    <w:pPr>
      <w:tabs>
        <w:tab w:val="clear" w:pos="794"/>
        <w:tab w:val="clear" w:pos="1191"/>
        <w:tab w:val="clear" w:pos="1588"/>
        <w:tab w:val="clear" w:pos="1985"/>
        <w:tab w:val="clear" w:pos="2268"/>
        <w:tab w:val="clear" w:pos="2552"/>
        <w:tab w:val="center" w:pos="4820"/>
        <w:tab w:val="right" w:pos="10206"/>
      </w:tabs>
      <w:ind w:right="1"/>
      <w:rPr>
        <w:sz w:val="22"/>
        <w:szCs w:val="22"/>
        <w:lang w:val="en-GB"/>
      </w:rPr>
    </w:pPr>
    <w:r w:rsidRPr="00FB312D">
      <w:rPr>
        <w:sz w:val="22"/>
        <w:szCs w:val="22"/>
        <w:lang w:val="en-GB"/>
      </w:rPr>
      <w:tab/>
    </w:r>
    <w:r w:rsidR="00E47882">
      <w:rPr>
        <w:sz w:val="22"/>
        <w:szCs w:val="22"/>
        <w:lang w:val="de-CH"/>
      </w:rPr>
      <w:t>WTDC</w:t>
    </w:r>
    <w:r w:rsidR="007934DB" w:rsidRPr="00A74B99">
      <w:rPr>
        <w:sz w:val="22"/>
        <w:szCs w:val="22"/>
        <w:lang w:val="de-CH"/>
      </w:rPr>
      <w:t>-17/</w:t>
    </w:r>
    <w:bookmarkStart w:id="13" w:name="OLE_LINK3"/>
    <w:bookmarkStart w:id="14" w:name="OLE_LINK2"/>
    <w:bookmarkStart w:id="15" w:name="OLE_LINK1"/>
    <w:r w:rsidR="007934DB" w:rsidRPr="00A74B99">
      <w:rPr>
        <w:sz w:val="22"/>
        <w:szCs w:val="22"/>
      </w:rPr>
      <w:t>21(Add.33)</w:t>
    </w:r>
    <w:bookmarkEnd w:id="13"/>
    <w:bookmarkEnd w:id="14"/>
    <w:bookmarkEnd w:id="15"/>
    <w:r w:rsidR="007934DB" w:rsidRPr="00A74B99">
      <w:rPr>
        <w:sz w:val="22"/>
        <w:szCs w:val="22"/>
      </w:rPr>
      <w:t>-</w:t>
    </w:r>
    <w:r w:rsidR="007934DB" w:rsidRPr="00C26DD5">
      <w:rPr>
        <w:sz w:val="22"/>
        <w:szCs w:val="22"/>
      </w:rPr>
      <w:t>F</w:t>
    </w:r>
    <w:r w:rsidRPr="00FB312D">
      <w:rPr>
        <w:sz w:val="22"/>
        <w:szCs w:val="22"/>
        <w:lang w:val="en-GB"/>
      </w:rPr>
      <w:tab/>
      <w:t xml:space="preserve">Page </w:t>
    </w:r>
    <w:r w:rsidRPr="00FB312D">
      <w:rPr>
        <w:sz w:val="22"/>
        <w:szCs w:val="22"/>
        <w:lang w:val="en-GB"/>
      </w:rPr>
      <w:fldChar w:fldCharType="begin"/>
    </w:r>
    <w:r w:rsidRPr="00FB312D">
      <w:rPr>
        <w:sz w:val="22"/>
        <w:szCs w:val="22"/>
        <w:lang w:val="en-GB"/>
      </w:rPr>
      <w:instrText xml:space="preserve"> PAGE </w:instrText>
    </w:r>
    <w:r w:rsidRPr="00FB312D">
      <w:rPr>
        <w:sz w:val="22"/>
        <w:szCs w:val="22"/>
        <w:lang w:val="en-GB"/>
      </w:rPr>
      <w:fldChar w:fldCharType="separate"/>
    </w:r>
    <w:r w:rsidR="00866F1E">
      <w:rPr>
        <w:noProof/>
        <w:sz w:val="22"/>
        <w:szCs w:val="22"/>
        <w:lang w:val="en-GB"/>
      </w:rPr>
      <w:t>6</w:t>
    </w:r>
    <w:r w:rsidRPr="00FB312D">
      <w:rPr>
        <w:sz w:val="22"/>
        <w:szCs w:val="22"/>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2020F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8A1A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EE7C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10B8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A062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DCDD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FE76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C64A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3A18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7C69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ani, Joumana">
    <w15:presenceInfo w15:providerId="AD" w15:userId="S-1-5-21-8740799-900759487-1415713722-36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FE"/>
    <w:rsid w:val="00000B37"/>
    <w:rsid w:val="00001215"/>
    <w:rsid w:val="000067EB"/>
    <w:rsid w:val="00010F71"/>
    <w:rsid w:val="00013358"/>
    <w:rsid w:val="00034E34"/>
    <w:rsid w:val="00051E92"/>
    <w:rsid w:val="00053EF2"/>
    <w:rsid w:val="000559CC"/>
    <w:rsid w:val="00067970"/>
    <w:rsid w:val="000766DA"/>
    <w:rsid w:val="000D06F1"/>
    <w:rsid w:val="000E7659"/>
    <w:rsid w:val="000F02B8"/>
    <w:rsid w:val="0010289F"/>
    <w:rsid w:val="0011778C"/>
    <w:rsid w:val="00133BF6"/>
    <w:rsid w:val="00135DDB"/>
    <w:rsid w:val="00176A8B"/>
    <w:rsid w:val="00180706"/>
    <w:rsid w:val="00184F7B"/>
    <w:rsid w:val="0019149F"/>
    <w:rsid w:val="00193BAB"/>
    <w:rsid w:val="00194FDD"/>
    <w:rsid w:val="001A5EE2"/>
    <w:rsid w:val="001D264E"/>
    <w:rsid w:val="001E5AA3"/>
    <w:rsid w:val="001E6D58"/>
    <w:rsid w:val="00200C7F"/>
    <w:rsid w:val="00201540"/>
    <w:rsid w:val="00212DA6"/>
    <w:rsid w:val="0021388F"/>
    <w:rsid w:val="00223E19"/>
    <w:rsid w:val="00231120"/>
    <w:rsid w:val="002451C0"/>
    <w:rsid w:val="0026716A"/>
    <w:rsid w:val="00294005"/>
    <w:rsid w:val="00297118"/>
    <w:rsid w:val="002A5F44"/>
    <w:rsid w:val="002C14C1"/>
    <w:rsid w:val="002C496A"/>
    <w:rsid w:val="002C53DC"/>
    <w:rsid w:val="002E1D00"/>
    <w:rsid w:val="00300AC8"/>
    <w:rsid w:val="00301454"/>
    <w:rsid w:val="003174F6"/>
    <w:rsid w:val="00327758"/>
    <w:rsid w:val="0033558B"/>
    <w:rsid w:val="00335864"/>
    <w:rsid w:val="00337DFB"/>
    <w:rsid w:val="00342BE1"/>
    <w:rsid w:val="003554A4"/>
    <w:rsid w:val="003707D1"/>
    <w:rsid w:val="00374E7A"/>
    <w:rsid w:val="003768A5"/>
    <w:rsid w:val="00380220"/>
    <w:rsid w:val="003827F1"/>
    <w:rsid w:val="003A5EB6"/>
    <w:rsid w:val="003B7567"/>
    <w:rsid w:val="003E1A0D"/>
    <w:rsid w:val="00403E92"/>
    <w:rsid w:val="00410AE2"/>
    <w:rsid w:val="00442985"/>
    <w:rsid w:val="00452BAB"/>
    <w:rsid w:val="0048151B"/>
    <w:rsid w:val="004839BA"/>
    <w:rsid w:val="004915E8"/>
    <w:rsid w:val="004A0D10"/>
    <w:rsid w:val="004A2F80"/>
    <w:rsid w:val="004C4C20"/>
    <w:rsid w:val="004D1F51"/>
    <w:rsid w:val="004E31C8"/>
    <w:rsid w:val="004F44EC"/>
    <w:rsid w:val="005063A3"/>
    <w:rsid w:val="0051261A"/>
    <w:rsid w:val="00515188"/>
    <w:rsid w:val="005161E7"/>
    <w:rsid w:val="00523937"/>
    <w:rsid w:val="005340B1"/>
    <w:rsid w:val="00535617"/>
    <w:rsid w:val="0056621F"/>
    <w:rsid w:val="0056763F"/>
    <w:rsid w:val="00572685"/>
    <w:rsid w:val="005860FF"/>
    <w:rsid w:val="00586DCD"/>
    <w:rsid w:val="005A0607"/>
    <w:rsid w:val="005B5E2D"/>
    <w:rsid w:val="005B6CE3"/>
    <w:rsid w:val="005C03FC"/>
    <w:rsid w:val="005D30D5"/>
    <w:rsid w:val="005D3705"/>
    <w:rsid w:val="005D53D2"/>
    <w:rsid w:val="005D59E4"/>
    <w:rsid w:val="005F0CD9"/>
    <w:rsid w:val="00602668"/>
    <w:rsid w:val="00605A83"/>
    <w:rsid w:val="006126E9"/>
    <w:rsid w:val="006136D6"/>
    <w:rsid w:val="00614873"/>
    <w:rsid w:val="006153D3"/>
    <w:rsid w:val="00615927"/>
    <w:rsid w:val="00615DD3"/>
    <w:rsid w:val="00617EDA"/>
    <w:rsid w:val="0062386E"/>
    <w:rsid w:val="00663A56"/>
    <w:rsid w:val="00680B7C"/>
    <w:rsid w:val="00695438"/>
    <w:rsid w:val="006A1325"/>
    <w:rsid w:val="006A23C2"/>
    <w:rsid w:val="006A3AA9"/>
    <w:rsid w:val="006E5096"/>
    <w:rsid w:val="006F2CB3"/>
    <w:rsid w:val="00700D0A"/>
    <w:rsid w:val="00706AFE"/>
    <w:rsid w:val="00725BB4"/>
    <w:rsid w:val="00726ADF"/>
    <w:rsid w:val="007547E3"/>
    <w:rsid w:val="0076554A"/>
    <w:rsid w:val="00772137"/>
    <w:rsid w:val="00783838"/>
    <w:rsid w:val="00790A74"/>
    <w:rsid w:val="007934DB"/>
    <w:rsid w:val="00794165"/>
    <w:rsid w:val="007A553A"/>
    <w:rsid w:val="007B013A"/>
    <w:rsid w:val="007C09B2"/>
    <w:rsid w:val="007E4D13"/>
    <w:rsid w:val="007F5ACF"/>
    <w:rsid w:val="008150E2"/>
    <w:rsid w:val="00821623"/>
    <w:rsid w:val="00821978"/>
    <w:rsid w:val="00824420"/>
    <w:rsid w:val="008471EF"/>
    <w:rsid w:val="008534D0"/>
    <w:rsid w:val="00863463"/>
    <w:rsid w:val="00866F1E"/>
    <w:rsid w:val="008830A1"/>
    <w:rsid w:val="008B15CB"/>
    <w:rsid w:val="008B199F"/>
    <w:rsid w:val="008B269A"/>
    <w:rsid w:val="008C7600"/>
    <w:rsid w:val="008E63F7"/>
    <w:rsid w:val="008E7B6B"/>
    <w:rsid w:val="00903C75"/>
    <w:rsid w:val="0090522B"/>
    <w:rsid w:val="00905C2C"/>
    <w:rsid w:val="0090736A"/>
    <w:rsid w:val="00950E3C"/>
    <w:rsid w:val="00967BAA"/>
    <w:rsid w:val="00967D26"/>
    <w:rsid w:val="00973401"/>
    <w:rsid w:val="00983EB9"/>
    <w:rsid w:val="00994F61"/>
    <w:rsid w:val="009A1EEC"/>
    <w:rsid w:val="009A223D"/>
    <w:rsid w:val="009A4D09"/>
    <w:rsid w:val="009B2C12"/>
    <w:rsid w:val="009B4C86"/>
    <w:rsid w:val="009B75F6"/>
    <w:rsid w:val="009B7FDF"/>
    <w:rsid w:val="009E4FA5"/>
    <w:rsid w:val="009E50E9"/>
    <w:rsid w:val="009F65FE"/>
    <w:rsid w:val="00A12CC5"/>
    <w:rsid w:val="00A14C77"/>
    <w:rsid w:val="00A2458F"/>
    <w:rsid w:val="00A5304F"/>
    <w:rsid w:val="00A547B7"/>
    <w:rsid w:val="00A737BC"/>
    <w:rsid w:val="00A87DA9"/>
    <w:rsid w:val="00A90394"/>
    <w:rsid w:val="00A944FF"/>
    <w:rsid w:val="00A94B33"/>
    <w:rsid w:val="00A961F4"/>
    <w:rsid w:val="00A964CA"/>
    <w:rsid w:val="00A96D89"/>
    <w:rsid w:val="00AA0BB3"/>
    <w:rsid w:val="00AD4E1C"/>
    <w:rsid w:val="00AD7EE5"/>
    <w:rsid w:val="00B04B5E"/>
    <w:rsid w:val="00B27954"/>
    <w:rsid w:val="00B35807"/>
    <w:rsid w:val="00B518D0"/>
    <w:rsid w:val="00B535D0"/>
    <w:rsid w:val="00B74395"/>
    <w:rsid w:val="00B83148"/>
    <w:rsid w:val="00B91403"/>
    <w:rsid w:val="00BB1859"/>
    <w:rsid w:val="00BB5BA7"/>
    <w:rsid w:val="00BC1488"/>
    <w:rsid w:val="00BC3079"/>
    <w:rsid w:val="00BC3CB1"/>
    <w:rsid w:val="00BD45A5"/>
    <w:rsid w:val="00BD7089"/>
    <w:rsid w:val="00BE524D"/>
    <w:rsid w:val="00BF66CB"/>
    <w:rsid w:val="00C11F0F"/>
    <w:rsid w:val="00C27DE2"/>
    <w:rsid w:val="00C30AF4"/>
    <w:rsid w:val="00C7163B"/>
    <w:rsid w:val="00CA5220"/>
    <w:rsid w:val="00CD587D"/>
    <w:rsid w:val="00CE1CDA"/>
    <w:rsid w:val="00D01E14"/>
    <w:rsid w:val="00D223FA"/>
    <w:rsid w:val="00D27257"/>
    <w:rsid w:val="00D27E66"/>
    <w:rsid w:val="00D42EE8"/>
    <w:rsid w:val="00D52838"/>
    <w:rsid w:val="00D53AED"/>
    <w:rsid w:val="00D57988"/>
    <w:rsid w:val="00D63778"/>
    <w:rsid w:val="00D7287E"/>
    <w:rsid w:val="00D72C57"/>
    <w:rsid w:val="00DD16B5"/>
    <w:rsid w:val="00DF6743"/>
    <w:rsid w:val="00E15468"/>
    <w:rsid w:val="00E23F4B"/>
    <w:rsid w:val="00E256D7"/>
    <w:rsid w:val="00E46146"/>
    <w:rsid w:val="00E47882"/>
    <w:rsid w:val="00E50A67"/>
    <w:rsid w:val="00E54997"/>
    <w:rsid w:val="00E71FC7"/>
    <w:rsid w:val="00E930C4"/>
    <w:rsid w:val="00E94B57"/>
    <w:rsid w:val="00EB44F8"/>
    <w:rsid w:val="00EB68B5"/>
    <w:rsid w:val="00EC595E"/>
    <w:rsid w:val="00EC7377"/>
    <w:rsid w:val="00ED7520"/>
    <w:rsid w:val="00EF30AD"/>
    <w:rsid w:val="00F26055"/>
    <w:rsid w:val="00F328B4"/>
    <w:rsid w:val="00F32C61"/>
    <w:rsid w:val="00F3588D"/>
    <w:rsid w:val="00F42ADD"/>
    <w:rsid w:val="00F522AB"/>
    <w:rsid w:val="00F77469"/>
    <w:rsid w:val="00F8243C"/>
    <w:rsid w:val="00F8726A"/>
    <w:rsid w:val="00F930D2"/>
    <w:rsid w:val="00F94D40"/>
    <w:rsid w:val="00FA02C3"/>
    <w:rsid w:val="00FA7071"/>
    <w:rsid w:val="00FB312D"/>
    <w:rsid w:val="00FB4F37"/>
    <w:rsid w:val="00FB5291"/>
    <w:rsid w:val="00FB7A73"/>
    <w:rsid w:val="00FC6870"/>
    <w:rsid w:val="00FD2CA6"/>
    <w:rsid w:val="00FD70EF"/>
    <w:rsid w:val="00FF4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CE69FE8-82D1-40D5-AF9B-2FA741BA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57"/>
    <w:pPr>
      <w:tabs>
        <w:tab w:val="left" w:pos="794"/>
        <w:tab w:val="left" w:pos="1191"/>
        <w:tab w:val="left" w:pos="1588"/>
        <w:tab w:val="left" w:pos="1985"/>
        <w:tab w:val="left" w:pos="2268"/>
        <w:tab w:val="left" w:pos="2552"/>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rsid w:val="006F2CB3"/>
    <w:pPr>
      <w:keepNext/>
      <w:keepLines/>
      <w:spacing w:before="280"/>
      <w:ind w:left="794" w:hanging="794"/>
      <w:outlineLvl w:val="0"/>
    </w:pPr>
    <w:rPr>
      <w:b/>
      <w:sz w:val="28"/>
    </w:rPr>
  </w:style>
  <w:style w:type="paragraph" w:styleId="Heading2">
    <w:name w:val="heading 2"/>
    <w:basedOn w:val="Heading1"/>
    <w:next w:val="Normal"/>
    <w:qFormat/>
    <w:rsid w:val="006F2CB3"/>
    <w:pPr>
      <w:spacing w:before="200"/>
      <w:outlineLvl w:val="1"/>
    </w:pPr>
    <w:rPr>
      <w:sz w:val="24"/>
    </w:rPr>
  </w:style>
  <w:style w:type="paragraph" w:styleId="Heading3">
    <w:name w:val="heading 3"/>
    <w:basedOn w:val="Heading1"/>
    <w:next w:val="Normal"/>
    <w:qFormat/>
    <w:rsid w:val="006F2CB3"/>
    <w:pPr>
      <w:spacing w:before="200"/>
      <w:outlineLvl w:val="2"/>
    </w:pPr>
    <w:rPr>
      <w:sz w:val="24"/>
    </w:rPr>
  </w:style>
  <w:style w:type="paragraph" w:styleId="Heading4">
    <w:name w:val="heading 4"/>
    <w:basedOn w:val="Heading3"/>
    <w:next w:val="Normal"/>
    <w:qFormat/>
    <w:rsid w:val="006F2CB3"/>
    <w:pPr>
      <w:tabs>
        <w:tab w:val="clear" w:pos="794"/>
        <w:tab w:val="left" w:pos="992"/>
      </w:tabs>
      <w:ind w:left="992" w:hanging="992"/>
      <w:outlineLvl w:val="3"/>
    </w:pPr>
  </w:style>
  <w:style w:type="paragraph" w:styleId="Heading5">
    <w:name w:val="heading 5"/>
    <w:basedOn w:val="Heading4"/>
    <w:next w:val="Normal"/>
    <w:qFormat/>
    <w:rsid w:val="006F2CB3"/>
    <w:pPr>
      <w:outlineLvl w:val="4"/>
    </w:pPr>
  </w:style>
  <w:style w:type="paragraph" w:styleId="Heading6">
    <w:name w:val="heading 6"/>
    <w:basedOn w:val="Heading4"/>
    <w:next w:val="Normal"/>
    <w:qFormat/>
    <w:rsid w:val="006F2CB3"/>
    <w:pPr>
      <w:tabs>
        <w:tab w:val="clear" w:pos="992"/>
        <w:tab w:val="clear" w:pos="1191"/>
      </w:tabs>
      <w:ind w:left="1588" w:hanging="1588"/>
      <w:outlineLvl w:val="5"/>
    </w:pPr>
  </w:style>
  <w:style w:type="paragraph" w:styleId="Heading7">
    <w:name w:val="heading 7"/>
    <w:basedOn w:val="Heading6"/>
    <w:next w:val="Normal"/>
    <w:qFormat/>
    <w:rsid w:val="006F2CB3"/>
    <w:pPr>
      <w:outlineLvl w:val="6"/>
    </w:pPr>
  </w:style>
  <w:style w:type="paragraph" w:styleId="Heading8">
    <w:name w:val="heading 8"/>
    <w:basedOn w:val="Heading6"/>
    <w:next w:val="Normal"/>
    <w:qFormat/>
    <w:rsid w:val="006F2CB3"/>
    <w:pPr>
      <w:outlineLvl w:val="7"/>
    </w:pPr>
  </w:style>
  <w:style w:type="paragraph" w:styleId="Heading9">
    <w:name w:val="heading 9"/>
    <w:basedOn w:val="Heading6"/>
    <w:next w:val="Normal"/>
    <w:qFormat/>
    <w:rsid w:val="006F2C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2CB3"/>
  </w:style>
  <w:style w:type="paragraph" w:styleId="TOC4">
    <w:name w:val="toc 4"/>
    <w:basedOn w:val="TOC3"/>
    <w:semiHidden/>
    <w:rsid w:val="006F2CB3"/>
  </w:style>
  <w:style w:type="paragraph" w:styleId="TOC3">
    <w:name w:val="toc 3"/>
    <w:basedOn w:val="TOC2"/>
    <w:rsid w:val="006F2CB3"/>
  </w:style>
  <w:style w:type="paragraph" w:styleId="TOC2">
    <w:name w:val="toc 2"/>
    <w:basedOn w:val="TOC1"/>
    <w:rsid w:val="006F2CB3"/>
    <w:pPr>
      <w:spacing w:before="120"/>
    </w:pPr>
  </w:style>
  <w:style w:type="paragraph" w:styleId="TOC1">
    <w:name w:val="toc 1"/>
    <w:basedOn w:val="Normal"/>
    <w:rsid w:val="006F2CB3"/>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6F2CB3"/>
  </w:style>
  <w:style w:type="paragraph" w:styleId="TOC6">
    <w:name w:val="toc 6"/>
    <w:basedOn w:val="TOC4"/>
    <w:semiHidden/>
    <w:rsid w:val="006F2CB3"/>
  </w:style>
  <w:style w:type="paragraph" w:styleId="TOC5">
    <w:name w:val="toc 5"/>
    <w:basedOn w:val="TOC4"/>
    <w:semiHidden/>
    <w:rsid w:val="006F2CB3"/>
  </w:style>
  <w:style w:type="paragraph" w:styleId="Index7">
    <w:name w:val="index 7"/>
    <w:basedOn w:val="Normal"/>
    <w:next w:val="Normal"/>
    <w:semiHidden/>
    <w:rsid w:val="006F2CB3"/>
    <w:pPr>
      <w:ind w:left="1698"/>
    </w:pPr>
  </w:style>
  <w:style w:type="paragraph" w:styleId="Index6">
    <w:name w:val="index 6"/>
    <w:basedOn w:val="Normal"/>
    <w:next w:val="Normal"/>
    <w:semiHidden/>
    <w:rsid w:val="006F2CB3"/>
    <w:pPr>
      <w:ind w:left="1415"/>
    </w:pPr>
  </w:style>
  <w:style w:type="paragraph" w:styleId="Index5">
    <w:name w:val="index 5"/>
    <w:basedOn w:val="Normal"/>
    <w:next w:val="Normal"/>
    <w:semiHidden/>
    <w:rsid w:val="006F2CB3"/>
    <w:pPr>
      <w:ind w:left="1132"/>
    </w:pPr>
  </w:style>
  <w:style w:type="paragraph" w:styleId="Index4">
    <w:name w:val="index 4"/>
    <w:basedOn w:val="Normal"/>
    <w:next w:val="Normal"/>
    <w:semiHidden/>
    <w:rsid w:val="006F2CB3"/>
    <w:pPr>
      <w:ind w:left="849"/>
    </w:pPr>
  </w:style>
  <w:style w:type="paragraph" w:styleId="Index3">
    <w:name w:val="index 3"/>
    <w:basedOn w:val="Normal"/>
    <w:next w:val="Normal"/>
    <w:semiHidden/>
    <w:rsid w:val="006F2CB3"/>
    <w:pPr>
      <w:ind w:left="566"/>
    </w:pPr>
  </w:style>
  <w:style w:type="paragraph" w:styleId="Index2">
    <w:name w:val="index 2"/>
    <w:basedOn w:val="Normal"/>
    <w:next w:val="Normal"/>
    <w:semiHidden/>
    <w:rsid w:val="006F2CB3"/>
    <w:pPr>
      <w:ind w:left="283"/>
    </w:pPr>
  </w:style>
  <w:style w:type="paragraph" w:styleId="Index1">
    <w:name w:val="index 1"/>
    <w:basedOn w:val="Normal"/>
    <w:next w:val="Normal"/>
    <w:semiHidden/>
    <w:rsid w:val="006F2CB3"/>
  </w:style>
  <w:style w:type="character" w:styleId="LineNumber">
    <w:name w:val="line number"/>
    <w:rsid w:val="00A94B33"/>
    <w:rPr>
      <w:rFonts w:asciiTheme="minorHAnsi" w:hAnsiTheme="minorHAnsi"/>
    </w:rPr>
  </w:style>
  <w:style w:type="paragraph" w:styleId="IndexHeading">
    <w:name w:val="index heading"/>
    <w:basedOn w:val="Normal"/>
    <w:next w:val="Index1"/>
    <w:semiHidden/>
    <w:rsid w:val="006F2CB3"/>
  </w:style>
  <w:style w:type="paragraph" w:styleId="Footer">
    <w:name w:val="footer"/>
    <w:basedOn w:val="Normal"/>
    <w:link w:val="FooterChar"/>
    <w:rsid w:val="006F2CB3"/>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6F2CB3"/>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rsid w:val="001A5EE2"/>
    <w:rPr>
      <w:rFonts w:asciiTheme="minorHAnsi" w:hAnsiTheme="minorHAnsi"/>
      <w:position w:val="6"/>
      <w:sz w:val="18"/>
    </w:rPr>
  </w:style>
  <w:style w:type="paragraph" w:styleId="FootnoteText">
    <w:name w:val="footnote text"/>
    <w:basedOn w:val="Normal"/>
    <w:rsid w:val="006F2CB3"/>
    <w:pPr>
      <w:keepLines/>
      <w:tabs>
        <w:tab w:val="left" w:pos="255"/>
      </w:tabs>
      <w:ind w:left="255" w:hanging="255"/>
    </w:pPr>
  </w:style>
  <w:style w:type="paragraph" w:styleId="NormalIndent">
    <w:name w:val="Normal Indent"/>
    <w:basedOn w:val="Normal"/>
    <w:rsid w:val="006F2CB3"/>
    <w:pPr>
      <w:ind w:left="794"/>
    </w:pPr>
  </w:style>
  <w:style w:type="paragraph" w:customStyle="1" w:styleId="enumlev1">
    <w:name w:val="enumlev1"/>
    <w:basedOn w:val="Normal"/>
    <w:rsid w:val="006F2CB3"/>
    <w:pPr>
      <w:spacing w:before="80"/>
      <w:ind w:left="794" w:hanging="794"/>
    </w:pPr>
  </w:style>
  <w:style w:type="paragraph" w:customStyle="1" w:styleId="enumlev2">
    <w:name w:val="enumlev2"/>
    <w:basedOn w:val="enumlev1"/>
    <w:rsid w:val="006F2CB3"/>
    <w:pPr>
      <w:ind w:left="1191" w:hanging="397"/>
    </w:pPr>
  </w:style>
  <w:style w:type="paragraph" w:customStyle="1" w:styleId="enumlev3">
    <w:name w:val="enumlev3"/>
    <w:basedOn w:val="enumlev2"/>
    <w:rsid w:val="006F2CB3"/>
    <w:pPr>
      <w:ind w:left="1588"/>
    </w:pPr>
  </w:style>
  <w:style w:type="paragraph" w:customStyle="1" w:styleId="Equation">
    <w:name w:val="Equation"/>
    <w:basedOn w:val="Normal"/>
    <w:rsid w:val="006F2CB3"/>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6F2CB3"/>
    <w:pPr>
      <w:spacing w:before="280"/>
    </w:pPr>
  </w:style>
  <w:style w:type="paragraph" w:customStyle="1" w:styleId="toc0">
    <w:name w:val="toc 0"/>
    <w:basedOn w:val="Normal"/>
    <w:next w:val="TOC1"/>
    <w:rsid w:val="006F2CB3"/>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6F2CB3"/>
    <w:pPr>
      <w:keepNext/>
      <w:keepLines/>
      <w:spacing w:before="480" w:after="80"/>
      <w:jc w:val="center"/>
    </w:pPr>
    <w:rPr>
      <w:caps/>
      <w:sz w:val="28"/>
    </w:rPr>
  </w:style>
  <w:style w:type="paragraph" w:customStyle="1" w:styleId="Annexref">
    <w:name w:val="Annex_ref"/>
    <w:basedOn w:val="Normal"/>
    <w:next w:val="Annextitle"/>
    <w:rsid w:val="006F2CB3"/>
    <w:pPr>
      <w:keepNext/>
      <w:keepLines/>
      <w:spacing w:after="280"/>
      <w:jc w:val="center"/>
    </w:pPr>
  </w:style>
  <w:style w:type="paragraph" w:customStyle="1" w:styleId="Annextitle">
    <w:name w:val="Annex_title"/>
    <w:basedOn w:val="Normal"/>
    <w:next w:val="Normalaftertitle"/>
    <w:rsid w:val="001A5EE2"/>
    <w:pPr>
      <w:keepNext/>
      <w:keepLines/>
      <w:spacing w:before="240" w:after="280"/>
      <w:jc w:val="center"/>
    </w:pPr>
    <w:rPr>
      <w:b/>
      <w:sz w:val="28"/>
    </w:rPr>
  </w:style>
  <w:style w:type="paragraph" w:customStyle="1" w:styleId="ASN1">
    <w:name w:val="ASN.1"/>
    <w:basedOn w:val="Normal"/>
    <w:rsid w:val="006F2CB3"/>
    <w:pPr>
      <w:tabs>
        <w:tab w:val="clear" w:pos="794"/>
        <w:tab w:val="clear" w:pos="1191"/>
        <w:tab w:val="clear" w:pos="1588"/>
        <w:tab w:val="clear" w:pos="1985"/>
        <w:tab w:val="left" w:pos="567"/>
        <w:tab w:val="left" w:pos="1134"/>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D42EE8"/>
    <w:pPr>
      <w:spacing w:before="840" w:after="100" w:afterAutospacing="1"/>
      <w:jc w:val="center"/>
    </w:pPr>
    <w:rPr>
      <w:b/>
      <w:sz w:val="28"/>
    </w:rPr>
  </w:style>
  <w:style w:type="paragraph" w:customStyle="1" w:styleId="Note">
    <w:name w:val="Note"/>
    <w:basedOn w:val="Normal"/>
    <w:rsid w:val="006F2CB3"/>
    <w:pPr>
      <w:spacing w:before="80"/>
    </w:pPr>
  </w:style>
  <w:style w:type="paragraph" w:styleId="TOC9">
    <w:name w:val="toc 9"/>
    <w:basedOn w:val="TOC3"/>
    <w:semiHidden/>
    <w:rsid w:val="006F2CB3"/>
  </w:style>
  <w:style w:type="paragraph" w:customStyle="1" w:styleId="Title1">
    <w:name w:val="Title 1"/>
    <w:basedOn w:val="Source"/>
    <w:next w:val="Title2"/>
    <w:rsid w:val="006A3AA9"/>
    <w:pPr>
      <w:tabs>
        <w:tab w:val="clear" w:pos="794"/>
        <w:tab w:val="clear" w:pos="1191"/>
        <w:tab w:val="clear" w:pos="1588"/>
        <w:tab w:val="clear" w:pos="1985"/>
        <w:tab w:val="left" w:pos="567"/>
        <w:tab w:val="left" w:pos="1134"/>
        <w:tab w:val="left" w:pos="1701"/>
        <w:tab w:val="left" w:pos="2835"/>
      </w:tabs>
      <w:spacing w:before="120" w:after="120" w:afterAutospacing="0"/>
    </w:pPr>
    <w:rPr>
      <w:b w:val="0"/>
      <w:caps/>
    </w:rPr>
  </w:style>
  <w:style w:type="paragraph" w:customStyle="1" w:styleId="Title2">
    <w:name w:val="Title 2"/>
    <w:basedOn w:val="Title1"/>
    <w:next w:val="Title3"/>
    <w:rsid w:val="000D06F1"/>
    <w:pPr>
      <w:spacing w:before="240" w:after="0"/>
    </w:pPr>
  </w:style>
  <w:style w:type="paragraph" w:customStyle="1" w:styleId="Title3">
    <w:name w:val="Title 3"/>
    <w:basedOn w:val="Title2"/>
    <w:next w:val="Title4"/>
    <w:rsid w:val="006F2CB3"/>
    <w:rPr>
      <w:caps w:val="0"/>
    </w:rPr>
  </w:style>
  <w:style w:type="paragraph" w:customStyle="1" w:styleId="Title4">
    <w:name w:val="Title 4"/>
    <w:basedOn w:val="Title3"/>
    <w:next w:val="Heading1"/>
    <w:rsid w:val="006F2CB3"/>
    <w:rPr>
      <w:b/>
    </w:rPr>
  </w:style>
  <w:style w:type="paragraph" w:customStyle="1" w:styleId="FirstFooter">
    <w:name w:val="FirstFooter"/>
    <w:basedOn w:val="Footer"/>
    <w:rsid w:val="006F2CB3"/>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1A5EE2"/>
    <w:rPr>
      <w:rFonts w:asciiTheme="minorHAnsi" w:hAnsiTheme="minorHAnsi"/>
      <w:b/>
    </w:rPr>
  </w:style>
  <w:style w:type="character" w:customStyle="1" w:styleId="Appref">
    <w:name w:val="App_ref"/>
    <w:basedOn w:val="DefaultParagraphFont"/>
    <w:rsid w:val="001A5EE2"/>
    <w:rPr>
      <w:rFonts w:asciiTheme="minorHAnsi" w:hAnsiTheme="minorHAnsi"/>
    </w:rPr>
  </w:style>
  <w:style w:type="paragraph" w:customStyle="1" w:styleId="AppendixNo">
    <w:name w:val="Appendix_No"/>
    <w:basedOn w:val="AnnexNo"/>
    <w:next w:val="Annexref"/>
    <w:rsid w:val="006F2CB3"/>
  </w:style>
  <w:style w:type="paragraph" w:customStyle="1" w:styleId="Appendixref">
    <w:name w:val="Appendix_ref"/>
    <w:basedOn w:val="Annexref"/>
    <w:next w:val="Annextitle"/>
    <w:rsid w:val="006F2CB3"/>
  </w:style>
  <w:style w:type="paragraph" w:customStyle="1" w:styleId="Appendixtitle">
    <w:name w:val="Appendix_title"/>
    <w:basedOn w:val="Annextitle"/>
    <w:next w:val="Normalaftertitle"/>
    <w:rsid w:val="006F2CB3"/>
  </w:style>
  <w:style w:type="character" w:customStyle="1" w:styleId="Artdef">
    <w:name w:val="Art_def"/>
    <w:basedOn w:val="DefaultParagraphFont"/>
    <w:rsid w:val="001A5EE2"/>
    <w:rPr>
      <w:rFonts w:asciiTheme="minorHAnsi" w:hAnsiTheme="minorHAnsi"/>
      <w:b/>
    </w:rPr>
  </w:style>
  <w:style w:type="paragraph" w:customStyle="1" w:styleId="Artheading">
    <w:name w:val="Art_heading"/>
    <w:basedOn w:val="Normal"/>
    <w:next w:val="Normalaftertitle"/>
    <w:rsid w:val="001A5EE2"/>
    <w:pPr>
      <w:spacing w:before="480"/>
      <w:jc w:val="center"/>
    </w:pPr>
    <w:rPr>
      <w:b/>
      <w:sz w:val="28"/>
    </w:rPr>
  </w:style>
  <w:style w:type="paragraph" w:customStyle="1" w:styleId="ArtNo">
    <w:name w:val="Art_No"/>
    <w:basedOn w:val="Normal"/>
    <w:next w:val="Arttitle"/>
    <w:rsid w:val="006F2CB3"/>
    <w:pPr>
      <w:keepNext/>
      <w:keepLines/>
      <w:spacing w:before="480"/>
      <w:jc w:val="center"/>
    </w:pPr>
    <w:rPr>
      <w:caps/>
      <w:sz w:val="28"/>
    </w:rPr>
  </w:style>
  <w:style w:type="paragraph" w:customStyle="1" w:styleId="Arttitle">
    <w:name w:val="Art_title"/>
    <w:basedOn w:val="Normal"/>
    <w:next w:val="Normalaftertitle"/>
    <w:rsid w:val="006F2CB3"/>
    <w:pPr>
      <w:keepNext/>
      <w:keepLines/>
      <w:spacing w:before="240"/>
      <w:jc w:val="center"/>
    </w:pPr>
    <w:rPr>
      <w:b/>
      <w:sz w:val="28"/>
    </w:rPr>
  </w:style>
  <w:style w:type="character" w:customStyle="1" w:styleId="Artref">
    <w:name w:val="Art_ref"/>
    <w:basedOn w:val="DefaultParagraphFont"/>
    <w:rsid w:val="001A5EE2"/>
    <w:rPr>
      <w:rFonts w:asciiTheme="minorHAnsi" w:hAnsiTheme="minorHAnsi"/>
    </w:rPr>
  </w:style>
  <w:style w:type="paragraph" w:customStyle="1" w:styleId="Call">
    <w:name w:val="Call"/>
    <w:basedOn w:val="Normal"/>
    <w:next w:val="Normal"/>
    <w:rsid w:val="006F2CB3"/>
    <w:pPr>
      <w:keepNext/>
      <w:keepLines/>
      <w:spacing w:before="160"/>
      <w:ind w:left="794"/>
    </w:pPr>
    <w:rPr>
      <w:i/>
    </w:rPr>
  </w:style>
  <w:style w:type="paragraph" w:customStyle="1" w:styleId="ChapNo">
    <w:name w:val="Chap_No"/>
    <w:basedOn w:val="ArtNo"/>
    <w:next w:val="Chaptitle"/>
    <w:rsid w:val="00A94B33"/>
    <w:rPr>
      <w:b/>
    </w:rPr>
  </w:style>
  <w:style w:type="paragraph" w:customStyle="1" w:styleId="Chaptitle">
    <w:name w:val="Chap_title"/>
    <w:basedOn w:val="Arttitle"/>
    <w:next w:val="Normalaftertitle"/>
    <w:rsid w:val="006F2CB3"/>
  </w:style>
  <w:style w:type="paragraph" w:customStyle="1" w:styleId="ddate">
    <w:name w:val="ddate"/>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paragraph" w:customStyle="1" w:styleId="dnum">
    <w:name w:val="dnum"/>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pPr>
    <w:rPr>
      <w:b/>
      <w:bCs/>
    </w:rPr>
  </w:style>
  <w:style w:type="paragraph" w:customStyle="1" w:styleId="dorlang">
    <w:name w:val="dorlang"/>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character" w:styleId="EndnoteReference">
    <w:name w:val="endnote reference"/>
    <w:basedOn w:val="DefaultParagraphFont"/>
    <w:semiHidden/>
    <w:rsid w:val="006F2CB3"/>
    <w:rPr>
      <w:vertAlign w:val="superscript"/>
    </w:rPr>
  </w:style>
  <w:style w:type="paragraph" w:customStyle="1" w:styleId="Equationlegend">
    <w:name w:val="Equation_legend"/>
    <w:basedOn w:val="Normal"/>
    <w:rsid w:val="006F2CB3"/>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2CB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F2CB3"/>
    <w:pPr>
      <w:keepNext/>
      <w:keepLines/>
      <w:spacing w:before="480" w:after="120"/>
      <w:jc w:val="center"/>
    </w:pPr>
    <w:rPr>
      <w:caps/>
      <w:lang w:val="en-GB"/>
    </w:rPr>
  </w:style>
  <w:style w:type="paragraph" w:customStyle="1" w:styleId="Figuretitle">
    <w:name w:val="Figure_title"/>
    <w:basedOn w:val="Tabletitle"/>
    <w:next w:val="Normal"/>
    <w:rsid w:val="001A5EE2"/>
    <w:pPr>
      <w:keepNext w:val="0"/>
      <w:spacing w:after="480"/>
    </w:pPr>
  </w:style>
  <w:style w:type="paragraph" w:customStyle="1" w:styleId="Tabletitle">
    <w:name w:val="Table_title"/>
    <w:basedOn w:val="Normal"/>
    <w:next w:val="Tabletext"/>
    <w:rsid w:val="00A94B33"/>
    <w:pPr>
      <w:keepNext/>
      <w:keepLines/>
      <w:spacing w:before="0" w:after="120"/>
      <w:jc w:val="center"/>
    </w:pPr>
    <w:rPr>
      <w:b/>
      <w:lang w:val="en-GB"/>
    </w:rPr>
  </w:style>
  <w:style w:type="paragraph" w:customStyle="1" w:styleId="Tabletext">
    <w:name w:val="Table_text"/>
    <w:basedOn w:val="Normal"/>
    <w:rsid w:val="006F2CB3"/>
    <w:pPr>
      <w:tabs>
        <w:tab w:val="clear" w:pos="794"/>
        <w:tab w:val="clear" w:pos="1191"/>
        <w:tab w:val="clear" w:pos="1588"/>
        <w:tab w:val="left" w:pos="284"/>
        <w:tab w:val="left" w:pos="567"/>
        <w:tab w:val="left" w:pos="851"/>
        <w:tab w:val="left" w:pos="1134"/>
        <w:tab w:val="left" w:pos="1418"/>
        <w:tab w:val="left" w:pos="1701"/>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6F2CB3"/>
    <w:pPr>
      <w:keepNext w:val="0"/>
    </w:pPr>
  </w:style>
  <w:style w:type="paragraph" w:customStyle="1" w:styleId="Headingb">
    <w:name w:val="Heading_b"/>
    <w:basedOn w:val="Normal"/>
    <w:next w:val="Normal"/>
    <w:rsid w:val="00A94B33"/>
    <w:pPr>
      <w:keepNext/>
      <w:spacing w:before="160"/>
    </w:pPr>
    <w:rPr>
      <w:b/>
    </w:rPr>
  </w:style>
  <w:style w:type="paragraph" w:customStyle="1" w:styleId="Headingi">
    <w:name w:val="Heading_i"/>
    <w:basedOn w:val="Normal"/>
    <w:next w:val="Normal"/>
    <w:rsid w:val="00A94B33"/>
    <w:pPr>
      <w:keepNext/>
      <w:spacing w:before="160"/>
    </w:pPr>
    <w:rPr>
      <w:i/>
    </w:rPr>
  </w:style>
  <w:style w:type="paragraph" w:customStyle="1" w:styleId="PartNo">
    <w:name w:val="Part_No"/>
    <w:basedOn w:val="AnnexNo"/>
    <w:next w:val="Partref"/>
    <w:rsid w:val="006F2CB3"/>
  </w:style>
  <w:style w:type="paragraph" w:customStyle="1" w:styleId="Partref">
    <w:name w:val="Part_ref"/>
    <w:basedOn w:val="Annexref"/>
    <w:next w:val="Parttitle"/>
    <w:rsid w:val="006F2CB3"/>
  </w:style>
  <w:style w:type="paragraph" w:customStyle="1" w:styleId="Parttitle">
    <w:name w:val="Part_title"/>
    <w:basedOn w:val="Annextitle"/>
    <w:next w:val="Normalaftertitle"/>
    <w:rsid w:val="006F2CB3"/>
  </w:style>
  <w:style w:type="paragraph" w:customStyle="1" w:styleId="RecNo">
    <w:name w:val="Rec_No"/>
    <w:basedOn w:val="Normal"/>
    <w:next w:val="Rectitle"/>
    <w:rsid w:val="006F2CB3"/>
    <w:pPr>
      <w:keepNext/>
      <w:keepLines/>
      <w:spacing w:before="480"/>
      <w:jc w:val="center"/>
    </w:pPr>
    <w:rPr>
      <w:caps/>
      <w:sz w:val="28"/>
    </w:rPr>
  </w:style>
  <w:style w:type="paragraph" w:customStyle="1" w:styleId="Rectitle">
    <w:name w:val="Rec_title"/>
    <w:basedOn w:val="RecNo"/>
    <w:next w:val="Recref"/>
    <w:rsid w:val="00A94B33"/>
    <w:pPr>
      <w:spacing w:before="240"/>
    </w:pPr>
    <w:rPr>
      <w:b/>
      <w:caps w:val="0"/>
    </w:rPr>
  </w:style>
  <w:style w:type="paragraph" w:customStyle="1" w:styleId="Recref">
    <w:name w:val="Rec_ref"/>
    <w:basedOn w:val="Rectitle"/>
    <w:next w:val="Recdate"/>
    <w:rsid w:val="00A94B33"/>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2CB3"/>
    <w:pPr>
      <w:jc w:val="right"/>
    </w:pPr>
    <w:rPr>
      <w:sz w:val="22"/>
    </w:rPr>
  </w:style>
  <w:style w:type="paragraph" w:customStyle="1" w:styleId="Questiondate">
    <w:name w:val="Question_date"/>
    <w:basedOn w:val="Recdate"/>
    <w:next w:val="Normalaftertitle"/>
    <w:rsid w:val="00A94B33"/>
  </w:style>
  <w:style w:type="paragraph" w:customStyle="1" w:styleId="QuestionNo">
    <w:name w:val="Question_No"/>
    <w:basedOn w:val="RecNo"/>
    <w:next w:val="Questiontitle"/>
    <w:rsid w:val="006F2CB3"/>
  </w:style>
  <w:style w:type="paragraph" w:customStyle="1" w:styleId="Questiontitle">
    <w:name w:val="Question_title"/>
    <w:basedOn w:val="Rectitle"/>
    <w:next w:val="Questionref"/>
    <w:rsid w:val="00A94B33"/>
  </w:style>
  <w:style w:type="paragraph" w:customStyle="1" w:styleId="Questionref">
    <w:name w:val="Question_ref"/>
    <w:basedOn w:val="Normal"/>
    <w:next w:val="Questiondate"/>
    <w:rsid w:val="00A94B33"/>
  </w:style>
  <w:style w:type="character" w:customStyle="1" w:styleId="Recdef">
    <w:name w:val="Rec_def"/>
    <w:basedOn w:val="DefaultParagraphFont"/>
    <w:rsid w:val="00A94B33"/>
    <w:rPr>
      <w:rFonts w:asciiTheme="minorHAnsi" w:hAnsiTheme="minorHAnsi"/>
      <w:b/>
    </w:rPr>
  </w:style>
  <w:style w:type="paragraph" w:customStyle="1" w:styleId="Reftext">
    <w:name w:val="Ref_text"/>
    <w:basedOn w:val="Normal"/>
    <w:rsid w:val="006F2CB3"/>
    <w:pPr>
      <w:ind w:left="794" w:hanging="794"/>
    </w:pPr>
  </w:style>
  <w:style w:type="paragraph" w:customStyle="1" w:styleId="Reftitle">
    <w:name w:val="Ref_title"/>
    <w:basedOn w:val="Normal"/>
    <w:next w:val="Reftext"/>
    <w:rsid w:val="006F2CB3"/>
    <w:pPr>
      <w:spacing w:before="480"/>
      <w:jc w:val="center"/>
    </w:pPr>
    <w:rPr>
      <w:caps/>
    </w:rPr>
  </w:style>
  <w:style w:type="paragraph" w:customStyle="1" w:styleId="Repdate">
    <w:name w:val="Rep_date"/>
    <w:basedOn w:val="Recdate"/>
    <w:next w:val="Normalaftertitle"/>
    <w:rsid w:val="006F2CB3"/>
  </w:style>
  <w:style w:type="paragraph" w:customStyle="1" w:styleId="RepNo">
    <w:name w:val="Rep_No"/>
    <w:basedOn w:val="RecNo"/>
    <w:next w:val="Reptitle"/>
    <w:rsid w:val="006F2CB3"/>
  </w:style>
  <w:style w:type="paragraph" w:customStyle="1" w:styleId="Reptitle">
    <w:name w:val="Rep_title"/>
    <w:basedOn w:val="Rectitle"/>
    <w:next w:val="Repref"/>
    <w:rsid w:val="00A94B33"/>
  </w:style>
  <w:style w:type="paragraph" w:customStyle="1" w:styleId="Repref">
    <w:name w:val="Rep_ref"/>
    <w:basedOn w:val="Recref"/>
    <w:next w:val="Repdate"/>
    <w:rsid w:val="006F2CB3"/>
  </w:style>
  <w:style w:type="paragraph" w:customStyle="1" w:styleId="Resdate">
    <w:name w:val="Res_date"/>
    <w:basedOn w:val="Recdate"/>
    <w:next w:val="Normalaftertitle"/>
    <w:rsid w:val="006F2CB3"/>
  </w:style>
  <w:style w:type="character" w:customStyle="1" w:styleId="Resdef">
    <w:name w:val="Res_def"/>
    <w:basedOn w:val="DefaultParagraphFont"/>
    <w:rsid w:val="00A94B33"/>
    <w:rPr>
      <w:rFonts w:asciiTheme="minorHAnsi" w:hAnsiTheme="minorHAnsi"/>
      <w:b/>
    </w:rPr>
  </w:style>
  <w:style w:type="paragraph" w:customStyle="1" w:styleId="ResNo">
    <w:name w:val="Res_No"/>
    <w:basedOn w:val="RecNo"/>
    <w:next w:val="Restitle"/>
    <w:rsid w:val="006F2CB3"/>
  </w:style>
  <w:style w:type="paragraph" w:customStyle="1" w:styleId="Restitle">
    <w:name w:val="Res_title"/>
    <w:basedOn w:val="Rectitle"/>
    <w:next w:val="Resref"/>
    <w:rsid w:val="00A94B33"/>
  </w:style>
  <w:style w:type="paragraph" w:customStyle="1" w:styleId="Resref">
    <w:name w:val="Res_ref"/>
    <w:basedOn w:val="Recref"/>
    <w:next w:val="Resdate"/>
    <w:rsid w:val="006F2CB3"/>
  </w:style>
  <w:style w:type="paragraph" w:customStyle="1" w:styleId="SectionNo">
    <w:name w:val="Section_No"/>
    <w:basedOn w:val="AnnexNo"/>
    <w:next w:val="Sectiontitle"/>
    <w:rsid w:val="006F2CB3"/>
  </w:style>
  <w:style w:type="paragraph" w:customStyle="1" w:styleId="Sectiontitle">
    <w:name w:val="Section_title"/>
    <w:basedOn w:val="Annextitle"/>
    <w:next w:val="Normalaftertitle"/>
    <w:rsid w:val="006F2CB3"/>
  </w:style>
  <w:style w:type="paragraph" w:customStyle="1" w:styleId="SpecialFooter">
    <w:name w:val="Special Footer"/>
    <w:basedOn w:val="Normal"/>
    <w:rsid w:val="006F2CB3"/>
    <w:pPr>
      <w:tabs>
        <w:tab w:val="left" w:pos="567"/>
        <w:tab w:val="left" w:pos="1134"/>
        <w:tab w:val="left" w:pos="1701"/>
        <w:tab w:val="left" w:pos="2835"/>
      </w:tabs>
      <w:jc w:val="both"/>
    </w:pPr>
    <w:rPr>
      <w:caps/>
    </w:rPr>
  </w:style>
  <w:style w:type="character" w:customStyle="1" w:styleId="Tablefreq">
    <w:name w:val="Table_freq"/>
    <w:basedOn w:val="DefaultParagraphFont"/>
    <w:rsid w:val="00A94B33"/>
    <w:rPr>
      <w:rFonts w:asciiTheme="minorHAnsi" w:hAnsiTheme="minorHAnsi"/>
      <w:b/>
      <w:color w:val="auto"/>
    </w:rPr>
  </w:style>
  <w:style w:type="paragraph" w:customStyle="1" w:styleId="Tablehead">
    <w:name w:val="Table_head"/>
    <w:basedOn w:val="Tabletext"/>
    <w:next w:val="Tabletext"/>
    <w:rsid w:val="006F2CB3"/>
    <w:pPr>
      <w:keepNext/>
      <w:spacing w:before="80" w:after="80"/>
      <w:jc w:val="center"/>
    </w:pPr>
    <w:rPr>
      <w:b/>
    </w:rPr>
  </w:style>
  <w:style w:type="paragraph" w:customStyle="1" w:styleId="Tablelegend">
    <w:name w:val="Table_legend"/>
    <w:basedOn w:val="Tabletext"/>
    <w:rsid w:val="006F2CB3"/>
    <w:pPr>
      <w:spacing w:before="120"/>
    </w:pPr>
  </w:style>
  <w:style w:type="paragraph" w:customStyle="1" w:styleId="TableNo">
    <w:name w:val="Table_No"/>
    <w:basedOn w:val="Normal"/>
    <w:next w:val="Tabletitle"/>
    <w:rsid w:val="006F2CB3"/>
    <w:pPr>
      <w:keepNext/>
      <w:spacing w:before="560" w:after="120"/>
      <w:jc w:val="center"/>
    </w:pPr>
    <w:rPr>
      <w:caps/>
      <w:lang w:val="en-GB"/>
    </w:rPr>
  </w:style>
  <w:style w:type="paragraph" w:customStyle="1" w:styleId="Tableref">
    <w:name w:val="Table_ref"/>
    <w:basedOn w:val="Normal"/>
    <w:next w:val="Tabletitle"/>
    <w:rsid w:val="006F2CB3"/>
    <w:pPr>
      <w:keepNext/>
      <w:spacing w:before="0" w:after="120"/>
      <w:jc w:val="center"/>
    </w:pPr>
    <w:rPr>
      <w:lang w:val="en-GB"/>
    </w:rPr>
  </w:style>
  <w:style w:type="character" w:styleId="PageNumber">
    <w:name w:val="page number"/>
    <w:basedOn w:val="DefaultParagraphFont"/>
    <w:rsid w:val="00A94B33"/>
    <w:rPr>
      <w:rFonts w:asciiTheme="minorHAnsi" w:hAnsiTheme="minorHAnsi"/>
    </w:rPr>
  </w:style>
  <w:style w:type="table" w:styleId="TableGrid">
    <w:name w:val="Table Grid"/>
    <w:basedOn w:val="TableNormal"/>
    <w:rsid w:val="00A903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90394"/>
    <w:rPr>
      <w:rFonts w:ascii="Times New Roman" w:hAnsi="Times New Roman"/>
      <w:sz w:val="18"/>
      <w:lang w:val="fr-FR" w:eastAsia="en-US"/>
    </w:rPr>
  </w:style>
  <w:style w:type="character" w:customStyle="1" w:styleId="FooterChar">
    <w:name w:val="Footer Char"/>
    <w:basedOn w:val="DefaultParagraphFont"/>
    <w:link w:val="Footer"/>
    <w:rsid w:val="00CA5220"/>
    <w:rPr>
      <w:rFonts w:ascii="Times New Roman" w:hAnsi="Times New Roman"/>
      <w:caps/>
      <w:noProof/>
      <w:sz w:val="16"/>
      <w:lang w:val="fr-FR" w:eastAsia="en-US"/>
    </w:rPr>
  </w:style>
  <w:style w:type="paragraph" w:customStyle="1" w:styleId="Committee">
    <w:name w:val="Committee"/>
    <w:basedOn w:val="Normal"/>
    <w:qFormat/>
    <w:rsid w:val="00A944FF"/>
    <w:rPr>
      <w:rFonts w:cs="Times New Roman Bold"/>
      <w:b/>
      <w:caps/>
    </w:rPr>
  </w:style>
  <w:style w:type="character" w:styleId="Hyperlink">
    <w:name w:val="Hyperlink"/>
    <w:basedOn w:val="DefaultParagraphFont"/>
    <w:rsid w:val="005C03FC"/>
    <w:rPr>
      <w:color w:val="0000FF" w:themeColor="hyperlink"/>
      <w:u w:val="single"/>
    </w:rPr>
  </w:style>
  <w:style w:type="paragraph" w:styleId="ListParagraph">
    <w:name w:val="List Paragraph"/>
    <w:basedOn w:val="Normal"/>
    <w:uiPriority w:val="34"/>
    <w:qFormat/>
    <w:rsid w:val="006A3AA9"/>
    <w:pPr>
      <w:tabs>
        <w:tab w:val="clear" w:pos="794"/>
        <w:tab w:val="clear" w:pos="1191"/>
        <w:tab w:val="clear" w:pos="1588"/>
      </w:tabs>
      <w:contextualSpacing/>
    </w:pPr>
    <w:rPr>
      <w:lang w:val="en-GB"/>
    </w:rPr>
  </w:style>
  <w:style w:type="paragraph" w:customStyle="1" w:styleId="Volumetitle">
    <w:name w:val="Volume_title"/>
    <w:basedOn w:val="Normal"/>
    <w:qFormat/>
    <w:rsid w:val="00442985"/>
    <w:pPr>
      <w:tabs>
        <w:tab w:val="clear" w:pos="794"/>
        <w:tab w:val="clear" w:pos="1191"/>
        <w:tab w:val="clear" w:pos="1588"/>
        <w:tab w:val="clear" w:pos="1985"/>
        <w:tab w:val="left" w:pos="1134"/>
        <w:tab w:val="left" w:pos="1871"/>
      </w:tabs>
      <w:jc w:val="center"/>
    </w:pPr>
    <w:rPr>
      <w:rFonts w:ascii="Times New Roman" w:eastAsia="SimSun" w:hAnsi="Times New Roman"/>
      <w:b/>
      <w:bCs/>
      <w:sz w:val="28"/>
      <w:szCs w:val="28"/>
      <w:lang w:val="en-GB"/>
    </w:rPr>
  </w:style>
  <w:style w:type="character" w:styleId="FollowedHyperlink">
    <w:name w:val="FollowedHyperlink"/>
    <w:basedOn w:val="DefaultParagraphFont"/>
    <w:semiHidden/>
    <w:unhideWhenUsed/>
    <w:rsid w:val="00000B37"/>
    <w:rPr>
      <w:color w:val="800080" w:themeColor="followedHyperlink"/>
      <w:u w:val="single"/>
    </w:rPr>
  </w:style>
  <w:style w:type="paragraph" w:customStyle="1" w:styleId="Proposal">
    <w:name w:val="Proposal"/>
    <w:basedOn w:val="Normal"/>
    <w:next w:val="Normal"/>
    <w:rsid w:val="00300AC8"/>
    <w:pPr>
      <w:keepNext/>
      <w:tabs>
        <w:tab w:val="clear" w:pos="794"/>
        <w:tab w:val="clear" w:pos="1191"/>
        <w:tab w:val="clear" w:pos="1588"/>
        <w:tab w:val="clear" w:pos="1985"/>
        <w:tab w:val="left" w:pos="1134"/>
        <w:tab w:val="left" w:pos="1871"/>
      </w:tabs>
      <w:spacing w:before="240"/>
    </w:pPr>
    <w:rPr>
      <w:rFonts w:hAnsi="Times New Roman Bold"/>
      <w:lang w:val="fr-CH"/>
    </w:rPr>
  </w:style>
  <w:style w:type="paragraph" w:customStyle="1" w:styleId="Reasons">
    <w:name w:val="Reasons"/>
    <w:basedOn w:val="Normal"/>
    <w:qFormat/>
    <w:rsid w:val="00300AC8"/>
    <w:pPr>
      <w:tabs>
        <w:tab w:val="clear" w:pos="794"/>
        <w:tab w:val="clear" w:pos="1191"/>
        <w:tab w:val="left" w:pos="1134"/>
        <w:tab w:val="left" w:pos="1871"/>
      </w:tabs>
    </w:pPr>
    <w:rPr>
      <w:lang w:val="fr-CH"/>
    </w:rPr>
  </w:style>
  <w:style w:type="paragraph" w:customStyle="1" w:styleId="Priorityarea">
    <w:name w:val="Priorityarea"/>
    <w:basedOn w:val="Normal"/>
    <w:qFormat/>
    <w:rsid w:val="00D57988"/>
    <w:pPr>
      <w:tabs>
        <w:tab w:val="clear" w:pos="794"/>
        <w:tab w:val="clear" w:pos="1191"/>
        <w:tab w:val="clear" w:pos="1588"/>
        <w:tab w:val="clear" w:pos="1985"/>
      </w:tabs>
      <w:spacing w:before="20"/>
    </w:pPr>
    <w:rPr>
      <w:lang w:val="fr-CH"/>
    </w:rPr>
  </w:style>
  <w:style w:type="paragraph" w:customStyle="1" w:styleId="Section1">
    <w:name w:val="Section 1"/>
    <w:basedOn w:val="Normal"/>
    <w:rsid w:val="008B4CC9"/>
    <w:pPr>
      <w:tabs>
        <w:tab w:val="clear" w:pos="794"/>
        <w:tab w:val="clear" w:pos="1191"/>
        <w:tab w:val="clear" w:pos="1588"/>
        <w:tab w:val="clear" w:pos="1985"/>
        <w:tab w:val="left" w:pos="1871"/>
        <w:tab w:val="center" w:pos="4820"/>
      </w:tabs>
      <w:spacing w:before="36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b3ec13b4-0278-4547-a39f-d6f7b8225934">DPM</DPM_x0020_Author>
    <DPM_x0020_File_x0020_name xmlns="b3ec13b4-0278-4547-a39f-d6f7b8225934">D14-WTDC17-C-0021!A33!MSW-F</DPM_x0020_File_x0020_name>
    <DPM_x0020_Version xmlns="b3ec13b4-0278-4547-a39f-d6f7b8225934">DPM_2017.10.03.1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3ec13b4-0278-4547-a39f-d6f7b8225934" targetNamespace="http://schemas.microsoft.com/office/2006/metadata/properties" ma:root="true" ma:fieldsID="d41af5c836d734370eb92e7ee5f83852" ns2:_="" ns3:_="">
    <xsd:import namespace="996b2e75-67fd-4955-a3b0-5ab9934cb50b"/>
    <xsd:import namespace="b3ec13b4-0278-4547-a39f-d6f7b822593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3ec13b4-0278-4547-a39f-d6f7b822593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www.w3.org/XML/1998/namespace"/>
    <ds:schemaRef ds:uri="http://purl.org/dc/dcmitype/"/>
    <ds:schemaRef ds:uri="http://purl.org/dc/elements/1.1/"/>
    <ds:schemaRef ds:uri="http://schemas.microsoft.com/office/2006/documentManagement/types"/>
    <ds:schemaRef ds:uri="http://purl.org/dc/terms/"/>
    <ds:schemaRef ds:uri="996b2e75-67fd-4955-a3b0-5ab9934cb50b"/>
    <ds:schemaRef ds:uri="http://schemas.microsoft.com/office/2006/metadata/properties"/>
    <ds:schemaRef ds:uri="http://schemas.microsoft.com/office/infopath/2007/PartnerControls"/>
    <ds:schemaRef ds:uri="http://schemas.openxmlformats.org/package/2006/metadata/core-properties"/>
    <ds:schemaRef ds:uri="b3ec13b4-0278-4547-a39f-d6f7b8225934"/>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3ec13b4-0278-4547-a39f-d6f7b8225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8A20D-CE8A-4B17-A0D4-0CFCD032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1792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D14-WTDC17-C-0021!A33!MSW-F</vt:lpstr>
    </vt:vector>
  </TitlesOfParts>
  <Manager>General Secretariat - Pool</Manager>
  <Company>International Telecommunication Union (ITU)</Company>
  <LinksUpToDate>false</LinksUpToDate>
  <CharactersWithSpaces>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D14-WTDC17-C-0021!A33!MSW-F</dc:title>
  <dc:creator>Documents Proposals Manager (DPM)</dc:creator>
  <cp:keywords>DPM_v2017.10.3.1_prod</cp:keywords>
  <dc:description/>
  <cp:lastModifiedBy>Royer, Veronique</cp:lastModifiedBy>
  <cp:revision>14</cp:revision>
  <cp:lastPrinted>2006-02-14T19:11:00Z</cp:lastPrinted>
  <dcterms:created xsi:type="dcterms:W3CDTF">2017-10-06T12:45:00Z</dcterms:created>
  <dcterms:modified xsi:type="dcterms:W3CDTF">2017-10-06T14:01:00Z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WTDC14/-F</vt:lpwstr>
  </property>
  <property fmtid="{D5CDD505-2E9C-101B-9397-08002B2CF9AE}" pid="3" name="Docdate">
    <vt:lpwstr>10 mars 2017</vt:lpwstr>
  </property>
  <property fmtid="{D5CDD505-2E9C-101B-9397-08002B2CF9AE}" pid="4" name="Docorlang">
    <vt:lpwstr>Original: anglais</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