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0634C1" w:rsidRDefault="00130081" w:rsidP="008B5657">
            <w:pPr>
              <w:tabs>
                <w:tab w:val="left" w:pos="851"/>
              </w:tabs>
              <w:spacing w:before="0" w:line="240" w:lineRule="atLeast"/>
              <w:rPr>
                <w:rFonts w:cstheme="minorHAnsi"/>
                <w:szCs w:val="24"/>
              </w:rPr>
            </w:pPr>
            <w:r>
              <w:rPr>
                <w:rFonts w:ascii="Verdana" w:hAnsi="Verdana"/>
                <w:b/>
                <w:sz w:val="20"/>
              </w:rPr>
              <w:t>Addendum 3 to</w:t>
            </w:r>
            <w:r>
              <w:rPr>
                <w:rFonts w:ascii="Verdana" w:hAnsi="Verdana"/>
                <w:b/>
                <w:sz w:val="20"/>
              </w:rPr>
              <w:br/>
              <w:t>Document WTDC-17/19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0634C1"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16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of the African Telecommunications Union</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New regional initiatives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EA0D37">
        <w:tc>
          <w:tcPr>
            <w:tcW w:w="10031" w:type="dxa"/>
            <w:gridSpan w:val="3"/>
            <w:tcBorders>
              <w:top w:val="single" w:sz="4" w:space="0" w:color="auto"/>
              <w:left w:val="single" w:sz="4" w:space="0" w:color="auto"/>
              <w:bottom w:val="single" w:sz="4" w:space="0" w:color="auto"/>
              <w:right w:val="single" w:sz="4" w:space="0" w:color="auto"/>
            </w:tcBorders>
          </w:tcPr>
          <w:p w:rsidR="00EA0D37" w:rsidRDefault="00400892">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Regional Initiatives, related projects and financing mechanisms</w:t>
            </w:r>
          </w:p>
          <w:p w:rsidR="000634C1" w:rsidRDefault="000634C1" w:rsidP="000634C1">
            <w:r>
              <w:rPr>
                <w:rFonts w:ascii="Calibri" w:eastAsia="SimSun" w:hAnsi="Calibri" w:cs="Traditional Arabic"/>
                <w:b/>
                <w:bCs/>
                <w:szCs w:val="24"/>
              </w:rPr>
              <w:t>Summary:</w:t>
            </w:r>
          </w:p>
          <w:p w:rsidR="000634C1" w:rsidRPr="00AA7EEE" w:rsidRDefault="000634C1" w:rsidP="000634C1">
            <w:pPr>
              <w:rPr>
                <w:szCs w:val="24"/>
              </w:rPr>
            </w:pPr>
            <w:r w:rsidRPr="00AA7EEE">
              <w:rPr>
                <w:szCs w:val="24"/>
              </w:rPr>
              <w:t>RPM-2 consolidated the new regional initia</w:t>
            </w:r>
            <w:bookmarkStart w:id="8" w:name="_GoBack"/>
            <w:bookmarkEnd w:id="8"/>
            <w:r w:rsidRPr="00AA7EEE">
              <w:rPr>
                <w:szCs w:val="24"/>
              </w:rPr>
              <w:t>tive proposals considering the following principles/inputs:</w:t>
            </w:r>
          </w:p>
          <w:p w:rsidR="000634C1" w:rsidRPr="00AA7EEE" w:rsidRDefault="000634C1" w:rsidP="00F37047">
            <w:pPr>
              <w:tabs>
                <w:tab w:val="clear" w:pos="794"/>
                <w:tab w:val="clear" w:pos="1191"/>
                <w:tab w:val="clear" w:pos="1588"/>
                <w:tab w:val="clear" w:pos="1985"/>
                <w:tab w:val="left" w:pos="567"/>
              </w:tabs>
              <w:rPr>
                <w:szCs w:val="24"/>
              </w:rPr>
            </w:pPr>
            <w:r w:rsidRPr="00AA7EEE">
              <w:rPr>
                <w:szCs w:val="24"/>
              </w:rPr>
              <w:t>1.</w:t>
            </w:r>
            <w:r w:rsidRPr="00AA7EEE">
              <w:rPr>
                <w:szCs w:val="24"/>
              </w:rPr>
              <w:tab/>
              <w:t xml:space="preserve">ITU Guidelines on development of regional initiatives </w:t>
            </w:r>
          </w:p>
          <w:p w:rsidR="000634C1" w:rsidRPr="00AA7EEE" w:rsidRDefault="000634C1" w:rsidP="00F37047">
            <w:pPr>
              <w:tabs>
                <w:tab w:val="clear" w:pos="794"/>
                <w:tab w:val="clear" w:pos="1191"/>
                <w:tab w:val="clear" w:pos="1588"/>
                <w:tab w:val="clear" w:pos="1985"/>
                <w:tab w:val="left" w:pos="567"/>
              </w:tabs>
              <w:rPr>
                <w:szCs w:val="24"/>
              </w:rPr>
            </w:pPr>
            <w:r w:rsidRPr="00AA7EEE">
              <w:rPr>
                <w:szCs w:val="24"/>
              </w:rPr>
              <w:t>2.</w:t>
            </w:r>
            <w:r w:rsidRPr="00AA7EEE">
              <w:rPr>
                <w:szCs w:val="24"/>
              </w:rPr>
              <w:tab/>
              <w:t xml:space="preserve">The outcome of the first Africa RPM in Kigali </w:t>
            </w:r>
          </w:p>
          <w:p w:rsidR="000634C1" w:rsidRPr="00AA7EEE" w:rsidRDefault="000634C1" w:rsidP="00F37047">
            <w:pPr>
              <w:tabs>
                <w:tab w:val="clear" w:pos="794"/>
                <w:tab w:val="clear" w:pos="1191"/>
                <w:tab w:val="clear" w:pos="1588"/>
                <w:tab w:val="clear" w:pos="1985"/>
                <w:tab w:val="left" w:pos="567"/>
              </w:tabs>
              <w:rPr>
                <w:szCs w:val="24"/>
              </w:rPr>
            </w:pPr>
            <w:r w:rsidRPr="00AA7EEE">
              <w:rPr>
                <w:szCs w:val="24"/>
              </w:rPr>
              <w:t>3.</w:t>
            </w:r>
            <w:r w:rsidRPr="00AA7EEE">
              <w:rPr>
                <w:szCs w:val="24"/>
              </w:rPr>
              <w:tab/>
              <w:t xml:space="preserve">Inputs from African Member States and Associate Members at this meeting </w:t>
            </w:r>
          </w:p>
          <w:p w:rsidR="000634C1" w:rsidRPr="00AA7EEE" w:rsidRDefault="000634C1" w:rsidP="00F37047">
            <w:pPr>
              <w:tabs>
                <w:tab w:val="clear" w:pos="794"/>
                <w:tab w:val="clear" w:pos="1191"/>
                <w:tab w:val="clear" w:pos="1588"/>
                <w:tab w:val="clear" w:pos="1985"/>
                <w:tab w:val="left" w:pos="567"/>
              </w:tabs>
              <w:rPr>
                <w:szCs w:val="24"/>
              </w:rPr>
            </w:pPr>
            <w:r w:rsidRPr="00AA7EEE">
              <w:rPr>
                <w:szCs w:val="24"/>
              </w:rPr>
              <w:t>4.</w:t>
            </w:r>
            <w:r w:rsidRPr="00AA7EEE">
              <w:rPr>
                <w:szCs w:val="24"/>
              </w:rPr>
              <w:tab/>
              <w:t xml:space="preserve">Compression of seven to five initiatives </w:t>
            </w:r>
          </w:p>
          <w:p w:rsidR="000634C1" w:rsidRDefault="000634C1" w:rsidP="000634C1">
            <w:pPr>
              <w:rPr>
                <w:szCs w:val="24"/>
              </w:rPr>
            </w:pPr>
            <w:r w:rsidRPr="00AA7EEE">
              <w:rPr>
                <w:szCs w:val="24"/>
              </w:rPr>
              <w:t>This document presents the Africa regional initiatives.</w:t>
            </w:r>
          </w:p>
          <w:p w:rsidR="000634C1" w:rsidRDefault="000634C1" w:rsidP="000634C1">
            <w:r>
              <w:rPr>
                <w:rFonts w:ascii="Calibri" w:eastAsia="SimSun" w:hAnsi="Calibri" w:cs="Traditional Arabic"/>
                <w:b/>
                <w:bCs/>
                <w:szCs w:val="24"/>
              </w:rPr>
              <w:t>Expected results:</w:t>
            </w:r>
          </w:p>
          <w:p w:rsidR="000634C1" w:rsidRDefault="000634C1" w:rsidP="000634C1">
            <w:pPr>
              <w:rPr>
                <w:szCs w:val="24"/>
              </w:rPr>
            </w:pPr>
            <w:r w:rsidRPr="00242900">
              <w:rPr>
                <w:szCs w:val="24"/>
              </w:rPr>
              <w:t>WTDC-17 is invited to consider and approve the attached Africa common proposal.</w:t>
            </w:r>
          </w:p>
          <w:p w:rsidR="00EA0D37" w:rsidRDefault="000634C1" w:rsidP="000634C1">
            <w:pPr>
              <w:spacing w:after="200"/>
              <w:rPr>
                <w:szCs w:val="24"/>
              </w:rPr>
            </w:pPr>
            <w:r>
              <w:rPr>
                <w:rFonts w:ascii="Calibri" w:eastAsia="SimSun" w:hAnsi="Calibri" w:cs="Traditional Arabic"/>
                <w:b/>
                <w:bCs/>
                <w:szCs w:val="24"/>
              </w:rPr>
              <w:t>References:</w:t>
            </w:r>
            <w:r>
              <w:rPr>
                <w:color w:val="000000"/>
                <w:szCs w:val="24"/>
              </w:rPr>
              <w:t xml:space="preserve"> Documents TDAG17-22/73 (Rev.1)</w:t>
            </w:r>
            <w:proofErr w:type="gramStart"/>
            <w:r>
              <w:rPr>
                <w:color w:val="000000"/>
                <w:szCs w:val="24"/>
              </w:rPr>
              <w:t>,</w:t>
            </w:r>
            <w:r w:rsidRPr="001757B9">
              <w:rPr>
                <w:bCs/>
                <w:szCs w:val="24"/>
                <w:lang w:val="es-ES_tradnl"/>
              </w:rPr>
              <w:t>RPM</w:t>
            </w:r>
            <w:proofErr w:type="gramEnd"/>
            <w:r w:rsidRPr="001757B9">
              <w:rPr>
                <w:bCs/>
                <w:szCs w:val="24"/>
                <w:lang w:val="es-ES_tradnl"/>
              </w:rPr>
              <w:t>-AFR16/9</w:t>
            </w:r>
            <w:r>
              <w:rPr>
                <w:bCs/>
                <w:szCs w:val="24"/>
                <w:lang w:val="es-ES_tradnl"/>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13AAF" w:rsidRDefault="00400892" w:rsidP="003E6149">
      <w:pPr>
        <w:pStyle w:val="Volumetitle"/>
      </w:pPr>
      <w:r>
        <w:lastRenderedPageBreak/>
        <w:t>REGIONAL INITIATIVES</w:t>
      </w:r>
    </w:p>
    <w:p w:rsidR="00C413F7" w:rsidRPr="002D492B" w:rsidRDefault="00400892" w:rsidP="00DB657C">
      <w:pPr>
        <w:pStyle w:val="Section1"/>
      </w:pPr>
      <w:bookmarkStart w:id="9" w:name="_Toc393980028"/>
      <w:r w:rsidRPr="002D492B">
        <w:t>AFRICA REGIONAL INITIATIVES</w:t>
      </w:r>
      <w:bookmarkEnd w:id="9"/>
    </w:p>
    <w:p w:rsidR="00EA0D37" w:rsidRDefault="00400892">
      <w:pPr>
        <w:pStyle w:val="Proposal"/>
      </w:pPr>
      <w:r>
        <w:rPr>
          <w:b/>
        </w:rPr>
        <w:t>SUP</w:t>
      </w:r>
      <w:r>
        <w:tab/>
        <w:t>AFCP/19A3/1</w:t>
      </w:r>
    </w:p>
    <w:p w:rsidR="00C413F7" w:rsidRPr="000634C1" w:rsidRDefault="00400892" w:rsidP="00C413F7">
      <w:pPr>
        <w:pStyle w:val="Heading1"/>
        <w:rPr>
          <w:sz w:val="24"/>
          <w:szCs w:val="18"/>
        </w:rPr>
      </w:pPr>
      <w:bookmarkStart w:id="10" w:name="_Toc393980029"/>
      <w:r w:rsidRPr="000634C1">
        <w:rPr>
          <w:sz w:val="24"/>
          <w:szCs w:val="18"/>
        </w:rPr>
        <w:t>AFR1: Strengthening human and institutional capacity building</w:t>
      </w:r>
      <w:bookmarkEnd w:id="10"/>
    </w:p>
    <w:p w:rsidR="00EA0D37" w:rsidRDefault="00EA0D37">
      <w:pPr>
        <w:pStyle w:val="Reasons"/>
      </w:pPr>
    </w:p>
    <w:p w:rsidR="00EA0D37" w:rsidRDefault="00400892">
      <w:pPr>
        <w:pStyle w:val="Proposal"/>
      </w:pPr>
      <w:r>
        <w:rPr>
          <w:b/>
        </w:rPr>
        <w:t>ADD</w:t>
      </w:r>
      <w:r>
        <w:tab/>
        <w:t>AFCP/19A3/2</w:t>
      </w:r>
    </w:p>
    <w:p w:rsidR="000634C1" w:rsidRDefault="00400892" w:rsidP="000634C1">
      <w:pPr>
        <w:rPr>
          <w:rFonts w:ascii="Calibri"/>
          <w:b/>
        </w:rPr>
      </w:pPr>
      <w:r>
        <w:rPr>
          <w:rFonts w:ascii="Calibri"/>
          <w:b/>
        </w:rPr>
        <w:t>AFR1: Building digital economies and fostering innovation in Africa</w:t>
      </w:r>
    </w:p>
    <w:p w:rsidR="000634C1" w:rsidRPr="007D6E7A" w:rsidRDefault="000634C1" w:rsidP="000634C1">
      <w:pPr>
        <w:jc w:val="both"/>
        <w:rPr>
          <w:szCs w:val="24"/>
        </w:rPr>
      </w:pPr>
      <w:r w:rsidRPr="00CC7385">
        <w:rPr>
          <w:rFonts w:eastAsia="Malgun Gothic"/>
          <w:b/>
          <w:bCs/>
        </w:rPr>
        <w:t>Objective:</w:t>
      </w:r>
      <w:r w:rsidRPr="00543E06">
        <w:rPr>
          <w:rFonts w:cs="Arial"/>
          <w:szCs w:val="24"/>
        </w:rPr>
        <w:t xml:space="preserve"> </w:t>
      </w:r>
      <w:r w:rsidRPr="007D6E7A">
        <w:rPr>
          <w:rFonts w:cs="Arial"/>
          <w:szCs w:val="24"/>
        </w:rPr>
        <w:t xml:space="preserve">Countries in the African region are in need of interventions that would help them transform into digital economies. It is necessary that ITU assists Member States in the Africa region to reap the full benefits of the digital economy by addressing the </w:t>
      </w:r>
      <w:r>
        <w:rPr>
          <w:rFonts w:cs="Arial"/>
          <w:szCs w:val="24"/>
        </w:rPr>
        <w:t>emerging</w:t>
      </w:r>
      <w:r w:rsidRPr="007D6E7A">
        <w:rPr>
          <w:rFonts w:cs="Arial"/>
          <w:szCs w:val="24"/>
        </w:rPr>
        <w:t xml:space="preserve"> policy and regulatory challenges. In line with the growing digital economies, </w:t>
      </w:r>
      <w:r w:rsidRPr="007D6E7A">
        <w:rPr>
          <w:szCs w:val="24"/>
        </w:rPr>
        <w:t xml:space="preserve">ICT-based </w:t>
      </w:r>
      <w:proofErr w:type="spellStart"/>
      <w:r w:rsidRPr="007D6E7A">
        <w:rPr>
          <w:szCs w:val="24"/>
        </w:rPr>
        <w:t>innovations</w:t>
      </w:r>
      <w:proofErr w:type="gramStart"/>
      <w:r w:rsidRPr="007D6E7A">
        <w:rPr>
          <w:szCs w:val="24"/>
        </w:rPr>
        <w:t>,that</w:t>
      </w:r>
      <w:proofErr w:type="spellEnd"/>
      <w:proofErr w:type="gramEnd"/>
      <w:r w:rsidRPr="007D6E7A">
        <w:rPr>
          <w:szCs w:val="24"/>
        </w:rPr>
        <w:t xml:space="preserve"> have demonstrated their potential to contribute to the socio-economic development of countries, are also growing. ITU is called upon to support Member States in the African region to build more effective ICT-based innovation ecosystems. </w:t>
      </w:r>
    </w:p>
    <w:p w:rsidR="000634C1" w:rsidRPr="00B40411" w:rsidRDefault="000634C1" w:rsidP="000634C1">
      <w:pPr>
        <w:rPr>
          <w:b/>
          <w:bCs/>
        </w:rPr>
      </w:pPr>
      <w:r w:rsidRPr="00B40411">
        <w:rPr>
          <w:b/>
          <w:bCs/>
        </w:rPr>
        <w:t>Expected results</w:t>
      </w:r>
    </w:p>
    <w:p w:rsidR="000634C1" w:rsidRDefault="000634C1" w:rsidP="000634C1">
      <w:pPr>
        <w:pStyle w:val="enumlev1"/>
      </w:pPr>
      <w:r>
        <w:t>1</w:t>
      </w:r>
      <w:r>
        <w:tab/>
        <w:t>Assistance in the development of national Digital Economy strategies focusing on enabling policies and regulations that can enhance the use of digital technologies</w:t>
      </w:r>
    </w:p>
    <w:p w:rsidR="000634C1" w:rsidRDefault="000634C1" w:rsidP="000634C1">
      <w:pPr>
        <w:pStyle w:val="enumlev1"/>
      </w:pPr>
      <w:r>
        <w:t>2</w:t>
      </w:r>
      <w:r>
        <w:tab/>
        <w:t xml:space="preserve">Assistance in the development of digital inclusion, strategies, policies, regulatory frameworks and guidelines specifically targeted at achieving social and financial inclusion through improving digital </w:t>
      </w:r>
      <w:proofErr w:type="spellStart"/>
      <w:r>
        <w:t>literacyand</w:t>
      </w:r>
      <w:proofErr w:type="spellEnd"/>
      <w:r>
        <w:t xml:space="preserve"> access</w:t>
      </w:r>
    </w:p>
    <w:p w:rsidR="000634C1" w:rsidRDefault="000634C1" w:rsidP="000634C1">
      <w:pPr>
        <w:pStyle w:val="enumlev1"/>
      </w:pPr>
      <w:r>
        <w:t>3</w:t>
      </w:r>
      <w:r>
        <w:tab/>
        <w:t>Assistance in developing Action Plans with digital KPIs encompassing adoption of sustainable development oriented e-applications in various aspects of African economies</w:t>
      </w:r>
    </w:p>
    <w:p w:rsidR="000634C1" w:rsidRDefault="000634C1" w:rsidP="000634C1">
      <w:pPr>
        <w:pStyle w:val="enumlev1"/>
      </w:pPr>
      <w:r>
        <w:t>4</w:t>
      </w:r>
      <w:r>
        <w:tab/>
        <w:t>Assist in the adoption and implementation of relevant standards that are targeted at addressing challenges of interoperability stemming from the disruptive and transformative spread of digital innovation</w:t>
      </w:r>
    </w:p>
    <w:p w:rsidR="000634C1" w:rsidRDefault="000634C1" w:rsidP="000634C1">
      <w:pPr>
        <w:pStyle w:val="enumlev1"/>
      </w:pPr>
      <w:r>
        <w:t>5</w:t>
      </w:r>
      <w:r>
        <w:tab/>
        <w:t>Support for the improvement of the capability of Member States in creating effective innovation policy interventions in all stages of innovation</w:t>
      </w:r>
    </w:p>
    <w:p w:rsidR="000634C1" w:rsidRDefault="000634C1" w:rsidP="000634C1">
      <w:pPr>
        <w:pStyle w:val="enumlev1"/>
      </w:pPr>
      <w:r>
        <w:t>6</w:t>
      </w:r>
      <w:r>
        <w:tab/>
        <w:t>Help design models of financing the ICT ecosystem in Africa, and identification of partnership opportunities to establish sustainable innovation frameworks</w:t>
      </w:r>
    </w:p>
    <w:p w:rsidR="000634C1" w:rsidRDefault="000634C1" w:rsidP="000634C1">
      <w:pPr>
        <w:pStyle w:val="enumlev1"/>
      </w:pPr>
      <w:r>
        <w:t>7</w:t>
      </w:r>
      <w:r>
        <w:tab/>
        <w:t>Support capacity building, especially in the area of Intellectual Property Protection as a fundamental pillar for innovation</w:t>
      </w:r>
    </w:p>
    <w:p w:rsidR="000634C1" w:rsidRPr="002D492B" w:rsidRDefault="000634C1" w:rsidP="000634C1">
      <w:pPr>
        <w:pStyle w:val="enumlev1"/>
      </w:pPr>
      <w:r>
        <w:t>8</w:t>
      </w:r>
      <w:r>
        <w:tab/>
        <w:t>Assistance in development and operationalization of frameworks for manufacturing of ICT goods in Africa resulting from innovative works</w:t>
      </w:r>
    </w:p>
    <w:p w:rsidR="00EA0D37" w:rsidRDefault="00EA0D37">
      <w:pPr>
        <w:pStyle w:val="Reasons"/>
      </w:pPr>
    </w:p>
    <w:p w:rsidR="000634C1" w:rsidRPr="000634C1" w:rsidRDefault="00400892" w:rsidP="000634C1">
      <w:pPr>
        <w:pStyle w:val="Proposal"/>
      </w:pPr>
      <w:r>
        <w:rPr>
          <w:b/>
        </w:rPr>
        <w:lastRenderedPageBreak/>
        <w:t>SUP</w:t>
      </w:r>
      <w:r>
        <w:tab/>
        <w:t>AFCP/19A3/3</w:t>
      </w:r>
    </w:p>
    <w:p w:rsidR="00C413F7" w:rsidRPr="000634C1" w:rsidRDefault="00400892" w:rsidP="00C413F7">
      <w:pPr>
        <w:pStyle w:val="Heading1"/>
        <w:rPr>
          <w:sz w:val="24"/>
          <w:szCs w:val="24"/>
        </w:rPr>
      </w:pPr>
      <w:bookmarkStart w:id="11" w:name="_Toc393980030"/>
      <w:r w:rsidRPr="000634C1">
        <w:rPr>
          <w:sz w:val="24"/>
          <w:szCs w:val="24"/>
        </w:rPr>
        <w:t>AFR2: Strengthening and harmonizing policy and regulatory frameworks for the integration of African telecommunication/ICT markets</w:t>
      </w:r>
      <w:bookmarkEnd w:id="11"/>
    </w:p>
    <w:p w:rsidR="00EA0D37" w:rsidRPr="000634C1" w:rsidRDefault="00EA0D37">
      <w:pPr>
        <w:pStyle w:val="Reasons"/>
        <w:rPr>
          <w:szCs w:val="24"/>
        </w:rPr>
      </w:pPr>
    </w:p>
    <w:p w:rsidR="00EA0D37" w:rsidRDefault="00400892">
      <w:pPr>
        <w:pStyle w:val="Proposal"/>
      </w:pPr>
      <w:r>
        <w:rPr>
          <w:b/>
        </w:rPr>
        <w:t>ADD</w:t>
      </w:r>
      <w:r>
        <w:tab/>
        <w:t>AFCP/19A3/4</w:t>
      </w:r>
    </w:p>
    <w:p w:rsidR="00EA0D37" w:rsidRDefault="00400892" w:rsidP="000634C1">
      <w:r>
        <w:rPr>
          <w:rFonts w:ascii="Calibri"/>
          <w:b/>
        </w:rPr>
        <w:t>AFR2: Promotion of Emerging Broadband Technologies</w:t>
      </w:r>
    </w:p>
    <w:p w:rsidR="000634C1" w:rsidRPr="0075581B" w:rsidRDefault="000634C1" w:rsidP="000634C1">
      <w:pPr>
        <w:rPr>
          <w:b/>
        </w:rPr>
      </w:pPr>
      <w:r w:rsidRPr="0075581B">
        <w:rPr>
          <w:b/>
        </w:rPr>
        <w:t xml:space="preserve">Objective: </w:t>
      </w:r>
      <w:r w:rsidRPr="0075581B">
        <w:t xml:space="preserve">Promoting the creation of emerging technologies to assist the African region to get the full benefits of high-speed, high-quality broadband. </w:t>
      </w:r>
    </w:p>
    <w:p w:rsidR="000634C1" w:rsidRPr="00015C36" w:rsidRDefault="000634C1" w:rsidP="000634C1">
      <w:pPr>
        <w:rPr>
          <w:b/>
          <w:bCs/>
        </w:rPr>
      </w:pPr>
      <w:r w:rsidRPr="00015C36">
        <w:rPr>
          <w:b/>
          <w:bCs/>
        </w:rPr>
        <w:t>Expected results</w:t>
      </w:r>
    </w:p>
    <w:p w:rsidR="000634C1" w:rsidRPr="0075581B" w:rsidRDefault="000634C1" w:rsidP="000634C1">
      <w:r>
        <w:t>1</w:t>
      </w:r>
      <w:r>
        <w:tab/>
      </w:r>
      <w:r w:rsidRPr="0075581B">
        <w:t>Assistance in the development of National and Regional strategic plans, focusing on enabling policies and regulations addressing high-quality, high-speed broadband networks in the region</w:t>
      </w:r>
    </w:p>
    <w:p w:rsidR="000634C1" w:rsidRPr="0075581B" w:rsidRDefault="000634C1" w:rsidP="000634C1">
      <w:r>
        <w:t>2</w:t>
      </w:r>
      <w:r>
        <w:tab/>
      </w:r>
      <w:r w:rsidRPr="0075581B">
        <w:t>Provide support that will enable the sharing of best</w:t>
      </w:r>
      <w:r>
        <w:t xml:space="preserve"> practices on financing models </w:t>
      </w:r>
      <w:r w:rsidRPr="0075581B">
        <w:t>as well as the identification of partnership opportunities to enhance high speed high quality broadband</w:t>
      </w:r>
    </w:p>
    <w:p w:rsidR="000634C1" w:rsidRPr="0075581B" w:rsidRDefault="000634C1" w:rsidP="000634C1">
      <w:r>
        <w:t>3</w:t>
      </w:r>
      <w:r>
        <w:tab/>
      </w:r>
      <w:r w:rsidRPr="0075581B">
        <w:t>Assistance in the promotion of harmonization of sub-regional broadband plans so as to ensure equitable access to high-speed quality broadband by all</w:t>
      </w:r>
    </w:p>
    <w:p w:rsidR="000634C1" w:rsidRPr="0075581B" w:rsidRDefault="000634C1" w:rsidP="000634C1">
      <w:r>
        <w:rPr>
          <w:color w:val="231F20"/>
        </w:rPr>
        <w:t>4</w:t>
      </w:r>
      <w:r>
        <w:rPr>
          <w:color w:val="231F20"/>
        </w:rPr>
        <w:tab/>
      </w:r>
      <w:r w:rsidRPr="0075581B">
        <w:rPr>
          <w:color w:val="231F20"/>
        </w:rPr>
        <w:t>Assistance with human capacity development resources, through training programs, workshops and so forth to exchange expertise</w:t>
      </w:r>
      <w:r>
        <w:rPr>
          <w:color w:val="231F20"/>
        </w:rPr>
        <w:t xml:space="preserve"> </w:t>
      </w:r>
      <w:r w:rsidRPr="0075581B">
        <w:rPr>
          <w:color w:val="231F20"/>
        </w:rPr>
        <w:t>and to afford people with disabilities with the platform to participate and benefit from the emergence of new broadband technologies</w:t>
      </w:r>
    </w:p>
    <w:p w:rsidR="000634C1" w:rsidRPr="0075581B" w:rsidRDefault="000634C1" w:rsidP="000634C1">
      <w:pPr>
        <w:rPr>
          <w:color w:val="231F20"/>
        </w:rPr>
      </w:pPr>
      <w:r>
        <w:rPr>
          <w:color w:val="231F20"/>
        </w:rPr>
        <w:t>5</w:t>
      </w:r>
      <w:r>
        <w:rPr>
          <w:color w:val="231F20"/>
        </w:rPr>
        <w:tab/>
      </w:r>
      <w:r w:rsidRPr="0075581B">
        <w:rPr>
          <w:color w:val="231F20"/>
        </w:rPr>
        <w:t>Provide support that will enable the promotion, coordination and establishment of IXPs at the national, sub-regional and regional leve</w:t>
      </w:r>
      <w:r>
        <w:rPr>
          <w:color w:val="231F20"/>
        </w:rPr>
        <w:t>ls for better bandwidth control</w:t>
      </w:r>
    </w:p>
    <w:p w:rsidR="000634C1" w:rsidRDefault="000634C1" w:rsidP="000634C1">
      <w:r>
        <w:rPr>
          <w:color w:val="231F20"/>
        </w:rPr>
        <w:t>6</w:t>
      </w:r>
      <w:r>
        <w:rPr>
          <w:color w:val="231F20"/>
        </w:rPr>
        <w:tab/>
      </w:r>
      <w:r w:rsidRPr="0075581B">
        <w:rPr>
          <w:color w:val="231F20"/>
        </w:rPr>
        <w:t xml:space="preserve">Assistance with the extension of the initiative of the regional and </w:t>
      </w:r>
      <w:r w:rsidRPr="0075581B">
        <w:t>continental backbone</w:t>
      </w:r>
      <w:r>
        <w:t xml:space="preserve"> </w:t>
      </w:r>
      <w:r w:rsidRPr="0075581B">
        <w:t>to ensure</w:t>
      </w:r>
      <w:r>
        <w:t xml:space="preserve"> resilience to submarine cables</w:t>
      </w:r>
    </w:p>
    <w:p w:rsidR="000634C1" w:rsidRDefault="000634C1" w:rsidP="000634C1"/>
    <w:p w:rsidR="00EA0D37" w:rsidRDefault="00400892">
      <w:pPr>
        <w:pStyle w:val="Proposal"/>
      </w:pPr>
      <w:r>
        <w:rPr>
          <w:b/>
        </w:rPr>
        <w:t>SUP</w:t>
      </w:r>
      <w:r>
        <w:tab/>
        <w:t>AFCP/19A3/5</w:t>
      </w:r>
    </w:p>
    <w:p w:rsidR="00C413F7" w:rsidRPr="000634C1" w:rsidRDefault="00400892" w:rsidP="00C413F7">
      <w:pPr>
        <w:pStyle w:val="Heading1"/>
        <w:rPr>
          <w:sz w:val="24"/>
          <w:szCs w:val="24"/>
        </w:rPr>
      </w:pPr>
      <w:bookmarkStart w:id="12" w:name="_Toc393980031"/>
      <w:r w:rsidRPr="000634C1">
        <w:rPr>
          <w:sz w:val="24"/>
          <w:szCs w:val="24"/>
        </w:rPr>
        <w:t>AFR3: Development of broadband access and adoption of broadband</w:t>
      </w:r>
      <w:bookmarkEnd w:id="12"/>
    </w:p>
    <w:p w:rsidR="00EA0D37" w:rsidRDefault="00EA0D37">
      <w:pPr>
        <w:pStyle w:val="Reasons"/>
      </w:pPr>
    </w:p>
    <w:p w:rsidR="00EA0D37" w:rsidRDefault="00400892">
      <w:pPr>
        <w:pStyle w:val="Proposal"/>
      </w:pPr>
      <w:r>
        <w:rPr>
          <w:b/>
        </w:rPr>
        <w:t>ADD</w:t>
      </w:r>
      <w:r>
        <w:tab/>
        <w:t>AFCP/19A3/6</w:t>
      </w:r>
    </w:p>
    <w:p w:rsidR="00EA0D37" w:rsidRDefault="00400892" w:rsidP="004205A0">
      <w:r>
        <w:rPr>
          <w:rFonts w:ascii="Calibri"/>
          <w:b/>
        </w:rPr>
        <w:t>AFR3: Building Trust and Security in the Use of Telecommunications / ICT</w:t>
      </w:r>
    </w:p>
    <w:p w:rsidR="000634C1" w:rsidRPr="00446BCA" w:rsidRDefault="000634C1" w:rsidP="000634C1">
      <w:pPr>
        <w:rPr>
          <w:rFonts w:eastAsia="Batang"/>
        </w:rPr>
      </w:pPr>
      <w:r w:rsidRPr="00446BCA">
        <w:rPr>
          <w:rFonts w:eastAsia="Batang"/>
          <w:b/>
        </w:rPr>
        <w:t>Objective:</w:t>
      </w:r>
      <w:r w:rsidRPr="00446BCA">
        <w:rPr>
          <w:rFonts w:eastAsia="Batang"/>
        </w:rPr>
        <w:t xml:space="preserve"> To assist Member States in developing and implementing policies and strategies, standards and mechanisms to enhance the security of information systems and networks, ensure interoperability of digital technologies, protect data and people and guaranteeing digital trust. To protect the ICT infrastructure and build confidence in the use of ICT and its applications.</w:t>
      </w:r>
    </w:p>
    <w:p w:rsidR="000634C1" w:rsidRPr="00446BCA" w:rsidRDefault="000634C1" w:rsidP="000634C1">
      <w:pPr>
        <w:rPr>
          <w:rFonts w:eastAsia="Batang"/>
          <w:b/>
        </w:rPr>
      </w:pPr>
      <w:r w:rsidRPr="00446BCA">
        <w:rPr>
          <w:rFonts w:eastAsia="Batang"/>
          <w:b/>
        </w:rPr>
        <w:t>Expected results</w:t>
      </w:r>
    </w:p>
    <w:p w:rsidR="000634C1" w:rsidRPr="00446BCA" w:rsidRDefault="000634C1" w:rsidP="000634C1">
      <w:pPr>
        <w:rPr>
          <w:rFonts w:eastAsia="Batang"/>
        </w:rPr>
      </w:pPr>
      <w:r>
        <w:rPr>
          <w:rFonts w:eastAsia="Batang"/>
        </w:rPr>
        <w:t>1</w:t>
      </w:r>
      <w:r>
        <w:rPr>
          <w:rFonts w:eastAsia="Batang"/>
        </w:rPr>
        <w:tab/>
      </w:r>
      <w:r w:rsidRPr="00446BCA">
        <w:rPr>
          <w:rFonts w:eastAsia="Batang"/>
        </w:rPr>
        <w:t>Ensure that the goal of the Connect 2020 Program to achieve cyberse</w:t>
      </w:r>
      <w:r>
        <w:rPr>
          <w:rFonts w:eastAsia="Batang"/>
        </w:rPr>
        <w:t>curity readiness by 40% by 2020</w:t>
      </w:r>
    </w:p>
    <w:p w:rsidR="000634C1" w:rsidRPr="00446BCA" w:rsidRDefault="000634C1" w:rsidP="000634C1">
      <w:pPr>
        <w:rPr>
          <w:rFonts w:eastAsia="Batang"/>
        </w:rPr>
      </w:pPr>
      <w:r>
        <w:rPr>
          <w:rFonts w:eastAsia="Batang"/>
        </w:rPr>
        <w:lastRenderedPageBreak/>
        <w:t>2</w:t>
      </w:r>
      <w:r>
        <w:rPr>
          <w:rFonts w:eastAsia="Batang"/>
        </w:rPr>
        <w:tab/>
      </w:r>
      <w:r w:rsidRPr="00446BCA">
        <w:rPr>
          <w:rFonts w:eastAsia="Batang"/>
        </w:rPr>
        <w:t xml:space="preserve">Assist Member States in assessing and adapting legislative and regulatory frameworks on the basis of better use of the report on the ITU </w:t>
      </w:r>
      <w:r>
        <w:rPr>
          <w:rFonts w:eastAsia="Batang"/>
        </w:rPr>
        <w:t>World Cybersecurity Index (GCI)</w:t>
      </w:r>
    </w:p>
    <w:p w:rsidR="000634C1" w:rsidRPr="00446BCA" w:rsidRDefault="000634C1" w:rsidP="000634C1">
      <w:pPr>
        <w:rPr>
          <w:rFonts w:eastAsia="Batang"/>
        </w:rPr>
      </w:pPr>
      <w:r>
        <w:rPr>
          <w:rFonts w:eastAsia="Batang"/>
        </w:rPr>
        <w:t>3</w:t>
      </w:r>
      <w:r>
        <w:rPr>
          <w:rFonts w:eastAsia="Batang"/>
        </w:rPr>
        <w:tab/>
      </w:r>
      <w:r w:rsidRPr="00446BCA">
        <w:rPr>
          <w:rFonts w:eastAsia="Batang"/>
        </w:rPr>
        <w:t>Encourage the development of a global framework for collaboration and awareness at regional and sub-regional levels for the development of a global culture of cybersecurity and to help consumers bett</w:t>
      </w:r>
      <w:r>
        <w:rPr>
          <w:rFonts w:eastAsia="Batang"/>
        </w:rPr>
        <w:t>er understand and protect risks</w:t>
      </w:r>
    </w:p>
    <w:p w:rsidR="000634C1" w:rsidRPr="00446BCA" w:rsidRDefault="000634C1" w:rsidP="000634C1">
      <w:pPr>
        <w:rPr>
          <w:rFonts w:eastAsia="Batang"/>
        </w:rPr>
      </w:pPr>
      <w:r>
        <w:rPr>
          <w:rFonts w:eastAsia="Batang"/>
        </w:rPr>
        <w:t>4</w:t>
      </w:r>
      <w:r>
        <w:rPr>
          <w:rFonts w:eastAsia="Batang"/>
        </w:rPr>
        <w:tab/>
      </w:r>
      <w:r w:rsidRPr="00446BCA">
        <w:rPr>
          <w:rFonts w:eastAsia="Batang"/>
        </w:rPr>
        <w:t>Assist in educating consumers on e-commerce and mobile transactions and inform them about the financial legislation of electronic transactions and mobile p</w:t>
      </w:r>
      <w:r>
        <w:rPr>
          <w:rFonts w:eastAsia="Batang"/>
        </w:rPr>
        <w:t>ayment systems</w:t>
      </w:r>
    </w:p>
    <w:p w:rsidR="000634C1" w:rsidRPr="00446BCA" w:rsidRDefault="000634C1" w:rsidP="000634C1">
      <w:pPr>
        <w:rPr>
          <w:rFonts w:eastAsia="Batang"/>
        </w:rPr>
      </w:pPr>
      <w:r>
        <w:rPr>
          <w:rFonts w:eastAsia="Batang"/>
        </w:rPr>
        <w:t>5</w:t>
      </w:r>
      <w:r>
        <w:rPr>
          <w:rFonts w:eastAsia="Batang"/>
        </w:rPr>
        <w:tab/>
      </w:r>
      <w:r w:rsidRPr="00446BCA">
        <w:rPr>
          <w:rFonts w:eastAsia="Batang"/>
        </w:rPr>
        <w:t>Promote the establishment of institutional and organizational mechanisms at the national and regional levels to facilitate the effective implementat</w:t>
      </w:r>
      <w:r>
        <w:rPr>
          <w:rFonts w:eastAsia="Batang"/>
        </w:rPr>
        <w:t>ion of cybersecurity strategies</w:t>
      </w:r>
    </w:p>
    <w:p w:rsidR="000634C1" w:rsidRPr="00446BCA" w:rsidRDefault="000634C1" w:rsidP="000634C1">
      <w:pPr>
        <w:rPr>
          <w:rFonts w:eastAsia="Batang"/>
        </w:rPr>
      </w:pPr>
      <w:r>
        <w:rPr>
          <w:rFonts w:eastAsia="Batang"/>
        </w:rPr>
        <w:t>6</w:t>
      </w:r>
      <w:r>
        <w:rPr>
          <w:rFonts w:eastAsia="Batang"/>
        </w:rPr>
        <w:tab/>
      </w:r>
      <w:r w:rsidRPr="00446BCA">
        <w:rPr>
          <w:rFonts w:eastAsia="Batang"/>
        </w:rPr>
        <w:t>Develop measures to protect consumers, children and other vul</w:t>
      </w:r>
      <w:r>
        <w:rPr>
          <w:rFonts w:eastAsia="Batang"/>
        </w:rPr>
        <w:t>nerable persons when using ICTs</w:t>
      </w:r>
    </w:p>
    <w:p w:rsidR="000634C1" w:rsidRPr="00446BCA" w:rsidRDefault="000634C1" w:rsidP="000634C1">
      <w:pPr>
        <w:rPr>
          <w:rFonts w:eastAsia="Batang"/>
        </w:rPr>
      </w:pPr>
      <w:r>
        <w:rPr>
          <w:rFonts w:eastAsia="Batang"/>
        </w:rPr>
        <w:t>7</w:t>
      </w:r>
      <w:r>
        <w:rPr>
          <w:rFonts w:eastAsia="Batang"/>
        </w:rPr>
        <w:tab/>
      </w:r>
      <w:r w:rsidRPr="00446BCA">
        <w:rPr>
          <w:rFonts w:eastAsia="Batang"/>
        </w:rPr>
        <w:t>Raise awareness of cyber threats, cybersecurity measures and qualit</w:t>
      </w:r>
      <w:r>
        <w:rPr>
          <w:rFonts w:eastAsia="Batang"/>
        </w:rPr>
        <w:t>y of service in the use of ICTs</w:t>
      </w:r>
    </w:p>
    <w:p w:rsidR="000634C1" w:rsidRPr="00446BCA" w:rsidRDefault="000634C1" w:rsidP="000634C1">
      <w:pPr>
        <w:rPr>
          <w:rFonts w:eastAsia="Batang"/>
        </w:rPr>
      </w:pPr>
      <w:r>
        <w:rPr>
          <w:rFonts w:eastAsia="Batang"/>
        </w:rPr>
        <w:t>8</w:t>
      </w:r>
      <w:r>
        <w:rPr>
          <w:rFonts w:eastAsia="Batang"/>
        </w:rPr>
        <w:tab/>
      </w:r>
      <w:r w:rsidRPr="00446BCA">
        <w:rPr>
          <w:rFonts w:eastAsia="Batang"/>
        </w:rPr>
        <w:t>Adoption of measures for the protection of privacy and personal data</w:t>
      </w:r>
    </w:p>
    <w:p w:rsidR="000634C1" w:rsidRPr="00446BCA" w:rsidRDefault="000634C1" w:rsidP="000634C1">
      <w:pPr>
        <w:rPr>
          <w:rFonts w:eastAsia="Batang"/>
        </w:rPr>
      </w:pPr>
      <w:r>
        <w:rPr>
          <w:rFonts w:eastAsia="Batang"/>
        </w:rPr>
        <w:t>9</w:t>
      </w:r>
      <w:r>
        <w:rPr>
          <w:rFonts w:eastAsia="Batang"/>
        </w:rPr>
        <w:tab/>
      </w:r>
      <w:r w:rsidRPr="00446BCA">
        <w:rPr>
          <w:rFonts w:eastAsia="Batang"/>
        </w:rPr>
        <w:t xml:space="preserve">Assist in the establishment of appropriate structures (data </w:t>
      </w:r>
      <w:proofErr w:type="spellStart"/>
      <w:r w:rsidRPr="00446BCA">
        <w:rPr>
          <w:rFonts w:eastAsia="Batang"/>
        </w:rPr>
        <w:t>centers</w:t>
      </w:r>
      <w:proofErr w:type="spellEnd"/>
      <w:r w:rsidRPr="00446BCA">
        <w:rPr>
          <w:rFonts w:eastAsia="Batang"/>
        </w:rPr>
        <w:t xml:space="preserve">, IXP, </w:t>
      </w:r>
      <w:proofErr w:type="spellStart"/>
      <w:r w:rsidRPr="00446BCA">
        <w:rPr>
          <w:rFonts w:eastAsia="Batang"/>
        </w:rPr>
        <w:t>etc</w:t>
      </w:r>
      <w:proofErr w:type="spellEnd"/>
      <w:r w:rsidRPr="00446BCA">
        <w:rPr>
          <w:rFonts w:eastAsia="Batang"/>
        </w:rPr>
        <w:t xml:space="preserve">) for the development of cybersecurity and the fight against cybercrime and to promote the setting up of teams of intervention in case of computer incident (CIRT) at the national and regional </w:t>
      </w:r>
      <w:r>
        <w:rPr>
          <w:rFonts w:eastAsia="Batang"/>
        </w:rPr>
        <w:t>levels</w:t>
      </w:r>
    </w:p>
    <w:p w:rsidR="000634C1" w:rsidRPr="00446BCA" w:rsidRDefault="000634C1" w:rsidP="000634C1">
      <w:pPr>
        <w:rPr>
          <w:rFonts w:eastAsia="Batang"/>
        </w:rPr>
      </w:pPr>
      <w:r>
        <w:rPr>
          <w:rFonts w:eastAsia="Batang"/>
        </w:rPr>
        <w:t>10</w:t>
      </w:r>
      <w:r>
        <w:rPr>
          <w:rFonts w:eastAsia="Batang"/>
        </w:rPr>
        <w:tab/>
      </w:r>
      <w:r w:rsidRPr="00446BCA">
        <w:rPr>
          <w:rFonts w:eastAsia="Batang"/>
        </w:rPr>
        <w:t>Develop a harmonized strategy to enhance information security and combat spam and cyber threats</w:t>
      </w:r>
    </w:p>
    <w:p w:rsidR="00EA0D37" w:rsidRDefault="00EA0D37">
      <w:pPr>
        <w:pStyle w:val="Reasons"/>
      </w:pPr>
    </w:p>
    <w:p w:rsidR="00EA0D37" w:rsidRDefault="00400892">
      <w:pPr>
        <w:pStyle w:val="Proposal"/>
      </w:pPr>
      <w:r>
        <w:rPr>
          <w:b/>
        </w:rPr>
        <w:t>SUP</w:t>
      </w:r>
      <w:r>
        <w:tab/>
        <w:t>AFCP/19A3/7</w:t>
      </w:r>
    </w:p>
    <w:p w:rsidR="00C413F7" w:rsidRPr="000634C1" w:rsidRDefault="00400892" w:rsidP="00C413F7">
      <w:pPr>
        <w:pStyle w:val="Heading1"/>
        <w:rPr>
          <w:sz w:val="24"/>
          <w:szCs w:val="24"/>
        </w:rPr>
      </w:pPr>
      <w:bookmarkStart w:id="13" w:name="_Toc393980032"/>
      <w:r w:rsidRPr="000634C1">
        <w:rPr>
          <w:sz w:val="24"/>
          <w:szCs w:val="24"/>
        </w:rPr>
        <w:t>AFR4: Spectrum management and transition to digital broadcasting</w:t>
      </w:r>
      <w:bookmarkEnd w:id="13"/>
      <w:r w:rsidRPr="000634C1">
        <w:rPr>
          <w:sz w:val="24"/>
          <w:szCs w:val="24"/>
        </w:rPr>
        <w:t xml:space="preserve"> </w:t>
      </w:r>
    </w:p>
    <w:p w:rsidR="00EA0D37" w:rsidRDefault="00EA0D37">
      <w:pPr>
        <w:pStyle w:val="Reasons"/>
      </w:pPr>
    </w:p>
    <w:p w:rsidR="00EA0D37" w:rsidRDefault="00400892">
      <w:pPr>
        <w:pStyle w:val="Proposal"/>
      </w:pPr>
      <w:r>
        <w:rPr>
          <w:b/>
        </w:rPr>
        <w:t>ADD</w:t>
      </w:r>
      <w:r>
        <w:tab/>
        <w:t>AFCP/19A3/8</w:t>
      </w:r>
    </w:p>
    <w:p w:rsidR="000634C1" w:rsidRDefault="00400892">
      <w:pPr>
        <w:rPr>
          <w:rFonts w:ascii="Calibri"/>
          <w:b/>
        </w:rPr>
      </w:pPr>
      <w:r>
        <w:rPr>
          <w:rFonts w:ascii="Calibri"/>
          <w:b/>
        </w:rPr>
        <w:t>AFR4: Strengthening human and institutional capacity building</w:t>
      </w:r>
    </w:p>
    <w:p w:rsidR="000634C1" w:rsidRPr="00BC38DF" w:rsidRDefault="000634C1" w:rsidP="000634C1">
      <w:r w:rsidRPr="005D37F9">
        <w:rPr>
          <w:b/>
          <w:bCs/>
        </w:rPr>
        <w:t>Objective:</w:t>
      </w:r>
      <w:r>
        <w:rPr>
          <w:b/>
          <w:bCs/>
        </w:rPr>
        <w:t xml:space="preserve"> </w:t>
      </w:r>
      <w:r w:rsidRPr="00BC38DF">
        <w:t>Countries in the African Region are in dire need of human and institutional capacity interventions that would help them transform the entire society in preparation of the emerging digital socio-economic environment. The African Region is therefore desirous of ITU’s assistance in enhancing the capacity of the region in this transformation.</w:t>
      </w:r>
    </w:p>
    <w:p w:rsidR="000634C1" w:rsidRPr="00BC38DF" w:rsidRDefault="000634C1" w:rsidP="000634C1">
      <w:r w:rsidRPr="00BC38DF">
        <w:t>Whereas there are presently some training institutions in Africa that provide ICT related training and capacity building to its membership, the said institutions may require their capacities to be enhanced.</w:t>
      </w:r>
    </w:p>
    <w:p w:rsidR="000634C1" w:rsidRPr="005D37F9" w:rsidRDefault="000634C1" w:rsidP="000634C1">
      <w:pPr>
        <w:rPr>
          <w:b/>
          <w:bCs/>
          <w:lang w:eastAsia="fr-FR"/>
        </w:rPr>
      </w:pPr>
      <w:r w:rsidRPr="005D37F9">
        <w:rPr>
          <w:b/>
          <w:bCs/>
        </w:rPr>
        <w:t>Expected results</w:t>
      </w:r>
    </w:p>
    <w:p w:rsidR="000634C1" w:rsidRPr="005D37F9" w:rsidRDefault="000634C1" w:rsidP="000634C1">
      <w:r>
        <w:t>1</w:t>
      </w:r>
      <w:r>
        <w:tab/>
      </w:r>
      <w:r w:rsidRPr="005D37F9">
        <w:t xml:space="preserve">Assistance in the undertaking of </w:t>
      </w:r>
      <w:proofErr w:type="spellStart"/>
      <w:r w:rsidRPr="005D37F9">
        <w:t>acomprehensiveassessment</w:t>
      </w:r>
      <w:proofErr w:type="spellEnd"/>
      <w:r w:rsidRPr="005D37F9">
        <w:t xml:space="preserve"> on the institutional and human capacity development environment in the African Region</w:t>
      </w:r>
    </w:p>
    <w:p w:rsidR="000634C1" w:rsidRPr="005D37F9" w:rsidRDefault="000634C1" w:rsidP="000634C1">
      <w:r>
        <w:t>2</w:t>
      </w:r>
      <w:r>
        <w:tab/>
      </w:r>
      <w:r w:rsidRPr="005D37F9">
        <w:t>Assist in the establishment of a long-term</w:t>
      </w:r>
      <w:r>
        <w:t xml:space="preserve"> </w:t>
      </w:r>
      <w:r w:rsidRPr="005D37F9">
        <w:t xml:space="preserve">and responsive </w:t>
      </w:r>
      <w:proofErr w:type="spellStart"/>
      <w:r w:rsidRPr="005D37F9">
        <w:t>regionalinstitutional</w:t>
      </w:r>
      <w:proofErr w:type="spellEnd"/>
      <w:r w:rsidRPr="005D37F9">
        <w:t xml:space="preserve"> and </w:t>
      </w:r>
      <w:proofErr w:type="spellStart"/>
      <w:r w:rsidRPr="005D37F9">
        <w:t>humancapacity</w:t>
      </w:r>
      <w:proofErr w:type="spellEnd"/>
      <w:r w:rsidRPr="005D37F9">
        <w:t xml:space="preserve"> development strategy that takes into account relevant SDGs in respect of such areas as inclusiveness, emerging ICT issues, </w:t>
      </w:r>
      <w:proofErr w:type="spellStart"/>
      <w:r w:rsidRPr="005D37F9">
        <w:t>etc</w:t>
      </w:r>
      <w:proofErr w:type="spellEnd"/>
    </w:p>
    <w:p w:rsidR="000634C1" w:rsidRPr="005D37F9" w:rsidRDefault="000634C1" w:rsidP="000634C1">
      <w:r>
        <w:lastRenderedPageBreak/>
        <w:t>3</w:t>
      </w:r>
      <w:r>
        <w:tab/>
      </w:r>
      <w:r w:rsidRPr="005D37F9">
        <w:t xml:space="preserve">Possible assistance to </w:t>
      </w:r>
      <w:proofErr w:type="spellStart"/>
      <w:r w:rsidRPr="005D37F9">
        <w:t>enhancevariousinstitutional</w:t>
      </w:r>
      <w:proofErr w:type="spellEnd"/>
      <w:r w:rsidRPr="005D37F9">
        <w:t xml:space="preserve"> and human </w:t>
      </w:r>
      <w:proofErr w:type="spellStart"/>
      <w:r w:rsidRPr="005D37F9">
        <w:t>capacitydevelopment</w:t>
      </w:r>
      <w:proofErr w:type="spellEnd"/>
      <w:r w:rsidRPr="005D37F9">
        <w:t xml:space="preserve"> aspects including:</w:t>
      </w:r>
    </w:p>
    <w:p w:rsidR="000634C1" w:rsidRDefault="000634C1" w:rsidP="000634C1">
      <w:pPr>
        <w:pStyle w:val="Nromal"/>
        <w:ind w:left="720"/>
      </w:pPr>
      <w:r w:rsidRPr="005D37F9">
        <w:rPr>
          <w:i/>
          <w:iCs/>
        </w:rPr>
        <w:t>a)</w:t>
      </w:r>
      <w:r>
        <w:tab/>
      </w:r>
      <w:r w:rsidRPr="005D37F9">
        <w:t>Enhancement of the existing Centres of Excellence and other capacity building centres in the region</w:t>
      </w:r>
    </w:p>
    <w:p w:rsidR="000634C1" w:rsidRPr="005D37F9" w:rsidRDefault="000634C1" w:rsidP="000634C1">
      <w:pPr>
        <w:pStyle w:val="Nromal"/>
        <w:ind w:left="720"/>
      </w:pPr>
      <w:r w:rsidRPr="005D37F9">
        <w:rPr>
          <w:i/>
          <w:iCs/>
        </w:rPr>
        <w:t>b)</w:t>
      </w:r>
      <w:r>
        <w:tab/>
      </w:r>
      <w:r w:rsidRPr="005D37F9">
        <w:t>Development of capacities of member states to promote</w:t>
      </w:r>
      <w:r>
        <w:t xml:space="preserve"> </w:t>
      </w:r>
      <w:r w:rsidRPr="005D37F9">
        <w:t>accessibility</w:t>
      </w:r>
      <w:r>
        <w:t xml:space="preserve"> </w:t>
      </w:r>
      <w:r w:rsidRPr="005D37F9">
        <w:t>to ensure improved specialized skills development to meet the ICT needs of persons with disabilities to enhance their usage of Internet applications</w:t>
      </w:r>
    </w:p>
    <w:p w:rsidR="000634C1" w:rsidRPr="00446BCA" w:rsidRDefault="000634C1" w:rsidP="000634C1">
      <w:pPr>
        <w:jc w:val="both"/>
        <w:rPr>
          <w:rFonts w:ascii="Calibri" w:hAnsi="Calibri" w:cs="Calibri"/>
          <w:szCs w:val="24"/>
        </w:rPr>
      </w:pPr>
      <w:r>
        <w:rPr>
          <w:rFonts w:ascii="Calibri" w:hAnsi="Calibri"/>
          <w:szCs w:val="24"/>
        </w:rPr>
        <w:t>4</w:t>
      </w:r>
      <w:r>
        <w:rPr>
          <w:rFonts w:ascii="Calibri" w:hAnsi="Calibri"/>
          <w:szCs w:val="24"/>
        </w:rPr>
        <w:tab/>
      </w:r>
      <w:r w:rsidRPr="00BC38DF">
        <w:rPr>
          <w:rFonts w:ascii="Calibri" w:hAnsi="Calibri"/>
          <w:szCs w:val="24"/>
        </w:rPr>
        <w:t>Continued provision and increased access to training resources within ITU, to member states in the African region</w:t>
      </w:r>
    </w:p>
    <w:p w:rsidR="00EA0D37" w:rsidRDefault="00EA0D37">
      <w:pPr>
        <w:pStyle w:val="Reasons"/>
      </w:pPr>
    </w:p>
    <w:p w:rsidR="00EA0D37" w:rsidRDefault="00400892">
      <w:pPr>
        <w:pStyle w:val="Proposal"/>
      </w:pPr>
      <w:r>
        <w:rPr>
          <w:b/>
        </w:rPr>
        <w:t>SUP</w:t>
      </w:r>
      <w:r>
        <w:tab/>
        <w:t>AFCP/19A3/9</w:t>
      </w:r>
    </w:p>
    <w:p w:rsidR="00C413F7" w:rsidRPr="007F5C92" w:rsidRDefault="00400892" w:rsidP="00C413F7">
      <w:pPr>
        <w:pStyle w:val="Heading1"/>
        <w:rPr>
          <w:sz w:val="24"/>
          <w:szCs w:val="24"/>
        </w:rPr>
      </w:pPr>
      <w:r w:rsidRPr="007F5C92">
        <w:rPr>
          <w:sz w:val="24"/>
          <w:szCs w:val="24"/>
        </w:rPr>
        <w:t xml:space="preserve">AFR5: Building confidence and security in the use of telecommunications/ICTs </w:t>
      </w:r>
    </w:p>
    <w:p w:rsidR="00EA0D37" w:rsidRDefault="00EA0D37">
      <w:pPr>
        <w:pStyle w:val="Reasons"/>
      </w:pPr>
    </w:p>
    <w:p w:rsidR="00EA0D37" w:rsidRDefault="00400892">
      <w:pPr>
        <w:pStyle w:val="Proposal"/>
      </w:pPr>
      <w:r>
        <w:rPr>
          <w:b/>
        </w:rPr>
        <w:t>ADD</w:t>
      </w:r>
      <w:r>
        <w:tab/>
        <w:t>AFCP/19A3/10</w:t>
      </w:r>
    </w:p>
    <w:p w:rsidR="00F37018" w:rsidRDefault="00F37018" w:rsidP="007F5C92">
      <w:pPr>
        <w:rPr>
          <w:rFonts w:eastAsia="Batang"/>
          <w:b/>
          <w:bCs/>
        </w:rPr>
      </w:pPr>
      <w:r>
        <w:rPr>
          <w:rFonts w:ascii="Calibri"/>
          <w:b/>
        </w:rPr>
        <w:t>AFR5: Management and monitoring of the radio frequency spectrum and transition to digital broadcasting</w:t>
      </w:r>
    </w:p>
    <w:p w:rsidR="007F5C92" w:rsidRPr="00741AB7" w:rsidRDefault="007F5C92" w:rsidP="007F5C92">
      <w:pPr>
        <w:rPr>
          <w:rFonts w:eastAsia="Batang"/>
        </w:rPr>
      </w:pPr>
      <w:r w:rsidRPr="00741AB7">
        <w:rPr>
          <w:rFonts w:eastAsia="Batang"/>
          <w:b/>
          <w:bCs/>
        </w:rPr>
        <w:t>Objective</w:t>
      </w:r>
      <w:r w:rsidRPr="00741AB7">
        <w:rPr>
          <w:b/>
          <w:bCs/>
        </w:rPr>
        <w:t>:</w:t>
      </w:r>
      <w:r w:rsidRPr="00741AB7">
        <w:rPr>
          <w:rFonts w:eastAsia="Batang"/>
        </w:rPr>
        <w:t xml:space="preserve"> To </w:t>
      </w:r>
      <w:r w:rsidRPr="00741AB7">
        <w:t xml:space="preserve">assist Member States in </w:t>
      </w:r>
      <w:r w:rsidRPr="00741AB7">
        <w:rPr>
          <w:rFonts w:eastAsia="Batang"/>
        </w:rPr>
        <w:t xml:space="preserve">ensuring </w:t>
      </w:r>
      <w:r w:rsidRPr="00741AB7">
        <w:t xml:space="preserve">the transition to digital broadcasting and </w:t>
      </w:r>
      <w:r w:rsidRPr="00741AB7">
        <w:rPr>
          <w:rFonts w:eastAsia="Batang"/>
        </w:rPr>
        <w:t>the efficient and economical management of the radio spectrum and orbital resources.</w:t>
      </w:r>
    </w:p>
    <w:p w:rsidR="007F5C92" w:rsidRPr="00741AB7" w:rsidRDefault="007F5C92" w:rsidP="007F5C92">
      <w:pPr>
        <w:rPr>
          <w:rFonts w:eastAsia="Batang"/>
          <w:b/>
          <w:bCs/>
        </w:rPr>
      </w:pPr>
      <w:r w:rsidRPr="00741AB7">
        <w:rPr>
          <w:rFonts w:eastAsia="Batang"/>
          <w:b/>
        </w:rPr>
        <w:t>Expected results</w:t>
      </w:r>
    </w:p>
    <w:p w:rsidR="007F5C92" w:rsidRPr="00741AB7" w:rsidRDefault="007F5C92" w:rsidP="007F5C92">
      <w:pPr>
        <w:rPr>
          <w:rFonts w:eastAsia="Batang"/>
        </w:rPr>
      </w:pPr>
      <w:r>
        <w:rPr>
          <w:rFonts w:eastAsia="Batang"/>
        </w:rPr>
        <w:t>1</w:t>
      </w:r>
      <w:r>
        <w:rPr>
          <w:rFonts w:eastAsia="Batang"/>
        </w:rPr>
        <w:tab/>
      </w:r>
      <w:r w:rsidRPr="00741AB7">
        <w:rPr>
          <w:rFonts w:eastAsia="Batang"/>
        </w:rPr>
        <w:t>Assistance in the implementation of a post-migration action plan</w:t>
      </w:r>
      <w:r>
        <w:rPr>
          <w:rFonts w:eastAsia="Batang"/>
        </w:rPr>
        <w:t xml:space="preserve"> </w:t>
      </w:r>
      <w:r w:rsidRPr="00741AB7">
        <w:rPr>
          <w:rFonts w:eastAsia="Batang"/>
        </w:rPr>
        <w:t>to allow the development of new services with the best technical and economic conditions of accessibility,</w:t>
      </w:r>
      <w:r>
        <w:rPr>
          <w:rFonts w:eastAsia="Batang"/>
        </w:rPr>
        <w:t xml:space="preserve"> </w:t>
      </w:r>
      <w:r w:rsidRPr="00741AB7">
        <w:rPr>
          <w:rFonts w:eastAsia="Batang"/>
        </w:rPr>
        <w:t xml:space="preserve">the definition of the conditions for allocation and use of the "digital dividend" to support the development of broadband services and capacity building including </w:t>
      </w:r>
      <w:r w:rsidRPr="00741AB7">
        <w:rPr>
          <w:rFonts w:eastAsia="Batang"/>
          <w:bCs/>
        </w:rPr>
        <w:t>sharing knowledge and experiences; in satellite service regulation, with emphasis on satellite filing and coordination</w:t>
      </w:r>
    </w:p>
    <w:p w:rsidR="007F5C92" w:rsidRPr="00741AB7" w:rsidRDefault="007F5C92" w:rsidP="007F5C92">
      <w:pPr>
        <w:rPr>
          <w:rFonts w:eastAsia="Batang"/>
        </w:rPr>
      </w:pPr>
      <w:r>
        <w:rPr>
          <w:rFonts w:eastAsia="Batang"/>
        </w:rPr>
        <w:t>2</w:t>
      </w:r>
      <w:r>
        <w:rPr>
          <w:rFonts w:eastAsia="Batang"/>
        </w:rPr>
        <w:tab/>
      </w:r>
      <w:r w:rsidRPr="00741AB7">
        <w:rPr>
          <w:rFonts w:eastAsia="Batang"/>
        </w:rPr>
        <w:t>Assistance in setting up financing models to ensure the necessary investments for the transition from analogue to digi</w:t>
      </w:r>
      <w:r>
        <w:rPr>
          <w:rFonts w:eastAsia="Batang"/>
        </w:rPr>
        <w:t>tal</w:t>
      </w:r>
    </w:p>
    <w:p w:rsidR="007F5C92" w:rsidRPr="00741AB7" w:rsidRDefault="007F5C92" w:rsidP="007F5C92">
      <w:pPr>
        <w:rPr>
          <w:rFonts w:eastAsia="Batang"/>
        </w:rPr>
      </w:pPr>
      <w:r>
        <w:rPr>
          <w:rFonts w:eastAsia="Batang"/>
        </w:rPr>
        <w:t>3</w:t>
      </w:r>
      <w:r>
        <w:rPr>
          <w:rFonts w:eastAsia="Batang"/>
        </w:rPr>
        <w:tab/>
      </w:r>
      <w:r w:rsidRPr="00741AB7">
        <w:rPr>
          <w:rFonts w:eastAsia="Batang"/>
        </w:rPr>
        <w:t>Assistance to countries for the establishment of a sustainable ecosystem for the production and monetizatio</w:t>
      </w:r>
      <w:r>
        <w:rPr>
          <w:rFonts w:eastAsia="Batang"/>
        </w:rPr>
        <w:t>n of local content and channels</w:t>
      </w:r>
    </w:p>
    <w:p w:rsidR="007F5C92" w:rsidRPr="00741AB7" w:rsidRDefault="007F5C92" w:rsidP="007F5C92">
      <w:pPr>
        <w:rPr>
          <w:rFonts w:eastAsia="Batang"/>
        </w:rPr>
      </w:pPr>
      <w:r>
        <w:rPr>
          <w:rFonts w:eastAsia="Batang"/>
        </w:rPr>
        <w:t>4</w:t>
      </w:r>
      <w:r>
        <w:rPr>
          <w:rFonts w:eastAsia="Batang"/>
        </w:rPr>
        <w:tab/>
      </w:r>
      <w:r w:rsidRPr="00741AB7">
        <w:rPr>
          <w:rFonts w:eastAsia="Batang"/>
        </w:rPr>
        <w:t>Support for the development of spectrum management plans at national, regional and global levels, including for the tra</w:t>
      </w:r>
      <w:r>
        <w:rPr>
          <w:rFonts w:eastAsia="Batang"/>
        </w:rPr>
        <w:t>nsition to digital broadcasting</w:t>
      </w:r>
    </w:p>
    <w:p w:rsidR="007F5C92" w:rsidRPr="00741AB7" w:rsidRDefault="007F5C92" w:rsidP="007F5C92">
      <w:pPr>
        <w:rPr>
          <w:rFonts w:eastAsia="Batang"/>
        </w:rPr>
      </w:pPr>
      <w:r>
        <w:rPr>
          <w:rFonts w:eastAsia="Batang"/>
        </w:rPr>
        <w:t>5</w:t>
      </w:r>
      <w:r>
        <w:rPr>
          <w:rFonts w:eastAsia="Batang"/>
        </w:rPr>
        <w:tab/>
      </w:r>
      <w:r w:rsidRPr="00741AB7">
        <w:rPr>
          <w:rFonts w:eastAsia="Batang"/>
        </w:rPr>
        <w:t>Assistance in the use of tools to assist developing countries in improving international frequency coordination of terre</w:t>
      </w:r>
      <w:r>
        <w:rPr>
          <w:rFonts w:eastAsia="Batang"/>
        </w:rPr>
        <w:t>strial services in border areas</w:t>
      </w:r>
    </w:p>
    <w:p w:rsidR="007F5C92" w:rsidRDefault="007F5C92" w:rsidP="007F5C92">
      <w:pPr>
        <w:rPr>
          <w:rFonts w:eastAsia="Batang"/>
        </w:rPr>
      </w:pPr>
      <w:r>
        <w:rPr>
          <w:rFonts w:eastAsia="Batang"/>
        </w:rPr>
        <w:t>6</w:t>
      </w:r>
      <w:r>
        <w:rPr>
          <w:rFonts w:eastAsia="Batang"/>
        </w:rPr>
        <w:tab/>
      </w:r>
      <w:r w:rsidRPr="00741AB7">
        <w:rPr>
          <w:rFonts w:eastAsia="Batang"/>
        </w:rPr>
        <w:t>Conducting studies and developing comparative criteria and guidelines on the political and economic aspects of the assignment and use of the radio spectrum, taking into account Resolution</w:t>
      </w:r>
      <w:r>
        <w:rPr>
          <w:rFonts w:eastAsia="Batang"/>
        </w:rPr>
        <w:t> </w:t>
      </w:r>
      <w:r w:rsidRPr="00741AB7">
        <w:rPr>
          <w:rFonts w:eastAsia="Batang"/>
        </w:rPr>
        <w:t>9 (Rev. Hyderabad, 2010) of the World Telecommu</w:t>
      </w:r>
      <w:r>
        <w:rPr>
          <w:rFonts w:eastAsia="Batang"/>
        </w:rPr>
        <w:t>nication Development Conference.</w:t>
      </w:r>
    </w:p>
    <w:p w:rsidR="00EA0D37" w:rsidRDefault="007F5C92" w:rsidP="007F5C92">
      <w:pPr>
        <w:jc w:val="center"/>
      </w:pPr>
      <w:r>
        <w:t>_____________________</w:t>
      </w:r>
    </w:p>
    <w:sectPr w:rsidR="00EA0D37">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DCD" w:rsidRDefault="00853DCD">
      <w:r>
        <w:separator/>
      </w:r>
    </w:p>
  </w:endnote>
  <w:endnote w:type="continuationSeparator" w:id="0">
    <w:p w:rsidR="00853DCD" w:rsidRDefault="00853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250603">
      <w:rPr>
        <w:noProof/>
      </w:rPr>
      <w:t>30.08.17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634C1" w:rsidRPr="004D495C" w:rsidTr="00AF6253">
      <w:tc>
        <w:tcPr>
          <w:tcW w:w="1526" w:type="dxa"/>
          <w:tcBorders>
            <w:top w:val="single" w:sz="4" w:space="0" w:color="000000"/>
          </w:tcBorders>
          <w:shd w:val="clear" w:color="auto" w:fill="auto"/>
        </w:tcPr>
        <w:p w:rsidR="000634C1" w:rsidRPr="004D495C" w:rsidRDefault="000634C1" w:rsidP="000634C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634C1" w:rsidRPr="004D495C" w:rsidRDefault="000634C1" w:rsidP="000634C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0634C1" w:rsidRPr="004D495C" w:rsidRDefault="000634C1" w:rsidP="000634C1">
          <w:pPr>
            <w:pStyle w:val="FirstFooter"/>
            <w:tabs>
              <w:tab w:val="left" w:pos="2302"/>
            </w:tabs>
            <w:rPr>
              <w:sz w:val="18"/>
              <w:szCs w:val="18"/>
              <w:highlight w:val="yellow"/>
              <w:lang w:val="en-US"/>
            </w:rPr>
          </w:pPr>
          <w:bookmarkStart w:id="17" w:name="OrgName"/>
          <w:bookmarkEnd w:id="17"/>
          <w:proofErr w:type="spellStart"/>
          <w:r w:rsidRPr="00BD116B">
            <w:rPr>
              <w:sz w:val="18"/>
              <w:szCs w:val="18"/>
              <w:lang w:val="en-US"/>
            </w:rPr>
            <w:t>Mr</w:t>
          </w:r>
          <w:proofErr w:type="spellEnd"/>
          <w:r w:rsidRPr="00BD116B">
            <w:rPr>
              <w:sz w:val="18"/>
              <w:szCs w:val="18"/>
              <w:lang w:val="en-US"/>
            </w:rPr>
            <w:t xml:space="preserve"> </w:t>
          </w:r>
          <w:proofErr w:type="spellStart"/>
          <w:r w:rsidRPr="00BD116B">
            <w:rPr>
              <w:sz w:val="18"/>
              <w:szCs w:val="18"/>
              <w:lang w:val="en-US"/>
            </w:rPr>
            <w:t>Soumaila</w:t>
          </w:r>
          <w:proofErr w:type="spellEnd"/>
          <w:r w:rsidRPr="00BD116B">
            <w:rPr>
              <w:sz w:val="18"/>
              <w:szCs w:val="18"/>
              <w:lang w:val="en-US"/>
            </w:rPr>
            <w:t xml:space="preserve"> </w:t>
          </w:r>
          <w:proofErr w:type="spellStart"/>
          <w:r w:rsidRPr="00BD116B">
            <w:rPr>
              <w:sz w:val="18"/>
              <w:szCs w:val="18"/>
              <w:lang w:val="en-US"/>
            </w:rPr>
            <w:t>Abdoulkarim</w:t>
          </w:r>
          <w:proofErr w:type="spellEnd"/>
          <w:r>
            <w:rPr>
              <w:sz w:val="18"/>
              <w:szCs w:val="18"/>
              <w:lang w:val="en-US"/>
            </w:rPr>
            <w:t xml:space="preserve">, </w:t>
          </w:r>
          <w:r w:rsidRPr="00BD116B">
            <w:rPr>
              <w:sz w:val="18"/>
              <w:szCs w:val="18"/>
              <w:lang w:val="en-US"/>
            </w:rPr>
            <w:t>Secretary General</w:t>
          </w:r>
          <w:r>
            <w:rPr>
              <w:sz w:val="18"/>
              <w:szCs w:val="18"/>
              <w:lang w:val="en-US"/>
            </w:rPr>
            <w:t xml:space="preserve">, </w:t>
          </w:r>
          <w:r w:rsidRPr="00BD116B">
            <w:rPr>
              <w:sz w:val="18"/>
              <w:szCs w:val="18"/>
              <w:lang w:val="en-US"/>
            </w:rPr>
            <w:t>African Telecommunications Union</w:t>
          </w:r>
        </w:p>
      </w:tc>
    </w:tr>
    <w:tr w:rsidR="000634C1" w:rsidRPr="004D495C" w:rsidTr="00AF6253">
      <w:tc>
        <w:tcPr>
          <w:tcW w:w="1526" w:type="dxa"/>
          <w:shd w:val="clear" w:color="auto" w:fill="auto"/>
        </w:tcPr>
        <w:p w:rsidR="000634C1" w:rsidRPr="004D495C" w:rsidRDefault="000634C1" w:rsidP="000634C1">
          <w:pPr>
            <w:pStyle w:val="FirstFooter"/>
            <w:tabs>
              <w:tab w:val="left" w:pos="1559"/>
              <w:tab w:val="left" w:pos="3828"/>
            </w:tabs>
            <w:rPr>
              <w:sz w:val="20"/>
              <w:lang w:val="en-US"/>
            </w:rPr>
          </w:pPr>
        </w:p>
      </w:tc>
      <w:tc>
        <w:tcPr>
          <w:tcW w:w="2410" w:type="dxa"/>
          <w:shd w:val="clear" w:color="auto" w:fill="auto"/>
        </w:tcPr>
        <w:p w:rsidR="000634C1" w:rsidRPr="004D495C" w:rsidRDefault="000634C1" w:rsidP="000634C1">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0634C1" w:rsidRPr="004D495C" w:rsidRDefault="000634C1" w:rsidP="000634C1">
          <w:pPr>
            <w:pStyle w:val="FirstFooter"/>
            <w:tabs>
              <w:tab w:val="left" w:pos="2302"/>
            </w:tabs>
            <w:rPr>
              <w:sz w:val="18"/>
              <w:szCs w:val="18"/>
              <w:highlight w:val="yellow"/>
              <w:lang w:val="en-US"/>
            </w:rPr>
          </w:pPr>
          <w:bookmarkStart w:id="18" w:name="PhoneNo"/>
          <w:bookmarkEnd w:id="18"/>
          <w:r w:rsidRPr="00BD116B">
            <w:rPr>
              <w:sz w:val="18"/>
              <w:szCs w:val="18"/>
              <w:lang w:val="en-US"/>
            </w:rPr>
            <w:t>+254</w:t>
          </w:r>
          <w:r>
            <w:rPr>
              <w:sz w:val="18"/>
              <w:szCs w:val="18"/>
              <w:lang w:val="en-US"/>
            </w:rPr>
            <w:t xml:space="preserve"> 722 </w:t>
          </w:r>
          <w:r w:rsidRPr="00BD116B">
            <w:rPr>
              <w:sz w:val="18"/>
              <w:szCs w:val="18"/>
              <w:lang w:val="en-US"/>
            </w:rPr>
            <w:t>203132</w:t>
          </w:r>
        </w:p>
      </w:tc>
    </w:tr>
    <w:tr w:rsidR="000634C1" w:rsidRPr="004D495C" w:rsidTr="00AF6253">
      <w:tc>
        <w:tcPr>
          <w:tcW w:w="1526" w:type="dxa"/>
          <w:shd w:val="clear" w:color="auto" w:fill="auto"/>
        </w:tcPr>
        <w:p w:rsidR="000634C1" w:rsidRPr="004D495C" w:rsidRDefault="000634C1" w:rsidP="000634C1">
          <w:pPr>
            <w:pStyle w:val="FirstFooter"/>
            <w:tabs>
              <w:tab w:val="left" w:pos="1559"/>
              <w:tab w:val="left" w:pos="3828"/>
            </w:tabs>
            <w:rPr>
              <w:sz w:val="20"/>
              <w:lang w:val="en-US"/>
            </w:rPr>
          </w:pPr>
        </w:p>
      </w:tc>
      <w:tc>
        <w:tcPr>
          <w:tcW w:w="2410" w:type="dxa"/>
          <w:shd w:val="clear" w:color="auto" w:fill="auto"/>
        </w:tcPr>
        <w:p w:rsidR="000634C1" w:rsidRPr="004D495C" w:rsidRDefault="000634C1" w:rsidP="000634C1">
          <w:pPr>
            <w:pStyle w:val="FirstFooter"/>
            <w:tabs>
              <w:tab w:val="left" w:pos="2302"/>
            </w:tabs>
            <w:rPr>
              <w:sz w:val="18"/>
              <w:szCs w:val="18"/>
              <w:lang w:val="en-US"/>
            </w:rPr>
          </w:pPr>
          <w:r w:rsidRPr="004D495C">
            <w:rPr>
              <w:sz w:val="18"/>
              <w:szCs w:val="18"/>
              <w:lang w:val="en-US"/>
            </w:rPr>
            <w:t>E-mail:</w:t>
          </w:r>
        </w:p>
      </w:tc>
      <w:bookmarkStart w:id="19" w:name="Email"/>
      <w:bookmarkEnd w:id="19"/>
      <w:tc>
        <w:tcPr>
          <w:tcW w:w="5987" w:type="dxa"/>
          <w:shd w:val="clear" w:color="auto" w:fill="auto"/>
        </w:tcPr>
        <w:p w:rsidR="000634C1" w:rsidRPr="004D495C" w:rsidRDefault="000634C1" w:rsidP="000634C1">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BD116B">
            <w:rPr>
              <w:sz w:val="18"/>
              <w:szCs w:val="18"/>
              <w:lang w:val="en-US"/>
            </w:rPr>
            <w:instrText>sg@atu-uat.org</w:instrText>
          </w:r>
          <w:r>
            <w:rPr>
              <w:sz w:val="18"/>
              <w:szCs w:val="18"/>
              <w:lang w:val="en-US"/>
            </w:rPr>
            <w:instrText xml:space="preserve">" </w:instrText>
          </w:r>
          <w:r>
            <w:rPr>
              <w:sz w:val="18"/>
              <w:szCs w:val="18"/>
              <w:lang w:val="en-US"/>
            </w:rPr>
            <w:fldChar w:fldCharType="separate"/>
          </w:r>
          <w:r w:rsidRPr="00F07D54">
            <w:rPr>
              <w:rStyle w:val="Hyperlink"/>
              <w:sz w:val="18"/>
              <w:szCs w:val="18"/>
              <w:lang w:val="en-US"/>
            </w:rPr>
            <w:t>sg@atu-uat.org</w:t>
          </w:r>
          <w:r>
            <w:rPr>
              <w:sz w:val="18"/>
              <w:szCs w:val="18"/>
              <w:lang w:val="en-US"/>
            </w:rPr>
            <w:fldChar w:fldCharType="end"/>
          </w:r>
          <w:r>
            <w:rPr>
              <w:sz w:val="18"/>
              <w:szCs w:val="18"/>
              <w:lang w:val="en-US"/>
            </w:rPr>
            <w:t xml:space="preserve"> </w:t>
          </w:r>
        </w:p>
      </w:tc>
    </w:tr>
  </w:tbl>
  <w:p w:rsidR="00D83BF5" w:rsidRPr="00784E03" w:rsidRDefault="00250603" w:rsidP="008B61EA">
    <w:pPr>
      <w:jc w:val="center"/>
      <w:rPr>
        <w:sz w:val="20"/>
      </w:rP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DCD" w:rsidRDefault="00853DCD">
      <w:r>
        <w:rPr>
          <w:b/>
        </w:rPr>
        <w:t>_______________</w:t>
      </w:r>
    </w:p>
  </w:footnote>
  <w:footnote w:type="continuationSeparator" w:id="0">
    <w:p w:rsidR="00853DCD" w:rsidRDefault="00853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4" w:name="OLE_LINK3"/>
    <w:bookmarkStart w:id="15" w:name="OLE_LINK2"/>
    <w:bookmarkStart w:id="16" w:name="OLE_LINK1"/>
    <w:r w:rsidRPr="00A74B99">
      <w:rPr>
        <w:sz w:val="22"/>
        <w:szCs w:val="22"/>
      </w:rPr>
      <w:t>19(Add.3)</w:t>
    </w:r>
    <w:bookmarkEnd w:id="14"/>
    <w:bookmarkEnd w:id="15"/>
    <w:bookmarkEnd w:id="16"/>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250603">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4CC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C807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9CD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6C2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AB6F9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483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9474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DE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7A3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A6CC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34C1"/>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50603"/>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00892"/>
    <w:rsid w:val="004131D4"/>
    <w:rsid w:val="0041348E"/>
    <w:rsid w:val="004205A0"/>
    <w:rsid w:val="00447308"/>
    <w:rsid w:val="0046657C"/>
    <w:rsid w:val="004765FF"/>
    <w:rsid w:val="0048040C"/>
    <w:rsid w:val="0048292A"/>
    <w:rsid w:val="00492075"/>
    <w:rsid w:val="004969AD"/>
    <w:rsid w:val="004B13CB"/>
    <w:rsid w:val="004B4FDF"/>
    <w:rsid w:val="004C0E17"/>
    <w:rsid w:val="004D5D5C"/>
    <w:rsid w:val="004F45BA"/>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037C"/>
    <w:rsid w:val="0074582C"/>
    <w:rsid w:val="00745AEE"/>
    <w:rsid w:val="007479EA"/>
    <w:rsid w:val="00750F10"/>
    <w:rsid w:val="007742CA"/>
    <w:rsid w:val="007D06F0"/>
    <w:rsid w:val="007D45E3"/>
    <w:rsid w:val="007D5320"/>
    <w:rsid w:val="007E6A33"/>
    <w:rsid w:val="007F28CC"/>
    <w:rsid w:val="007F5C92"/>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170ED"/>
    <w:rsid w:val="00A20E5E"/>
    <w:rsid w:val="00A30305"/>
    <w:rsid w:val="00A31D2D"/>
    <w:rsid w:val="00A4600A"/>
    <w:rsid w:val="00A538A6"/>
    <w:rsid w:val="00A54C25"/>
    <w:rsid w:val="00A61139"/>
    <w:rsid w:val="00A710E7"/>
    <w:rsid w:val="00A7372E"/>
    <w:rsid w:val="00A74B99"/>
    <w:rsid w:val="00A93B85"/>
    <w:rsid w:val="00A967B1"/>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C247A"/>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976C1"/>
    <w:rsid w:val="00EA0D37"/>
    <w:rsid w:val="00EA12E5"/>
    <w:rsid w:val="00ED2D36"/>
    <w:rsid w:val="00ED5132"/>
    <w:rsid w:val="00F00C71"/>
    <w:rsid w:val="00F02766"/>
    <w:rsid w:val="00F04067"/>
    <w:rsid w:val="00F05BD4"/>
    <w:rsid w:val="00F11A98"/>
    <w:rsid w:val="00F21A1D"/>
    <w:rsid w:val="00F37018"/>
    <w:rsid w:val="00F37047"/>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Nromal">
    <w:name w:val="Nromal"/>
    <w:basedOn w:val="Normal"/>
    <w:rsid w:val="000634C1"/>
    <w:pPr>
      <w:keepNext/>
      <w:suppressAutoHyphens/>
      <w:autoSpaceDE/>
      <w:adjustRightInd/>
      <w:spacing w:after="160"/>
      <w:jc w:val="both"/>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D14-WTDC17-C-0019!A3!MSW-E</DPM_x0020_File_x0020_name>
    <DPM_x0020_Author xmlns="32a1a8c5-2265-4ebc-b7a0-2071e2c5c9bb" xsi:nil="false">DPM</DPM_x0020_Author>
    <DPM_x0020_Version xmlns="32a1a8c5-2265-4ebc-b7a0-2071e2c5c9bb" xsi:nil="false">DPM_2017.07.10.1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46914-3D1B-4035-9C6C-B15E7C4FD319}">
  <ds:schemaRefs>
    <ds:schemaRef ds:uri="http://purl.org/dc/terms/"/>
    <ds:schemaRef ds:uri="http://schemas.microsoft.com/office/2006/documentManagement/types"/>
    <ds:schemaRef ds:uri="32a1a8c5-2265-4ebc-b7a0-2071e2c5c9bb"/>
    <ds:schemaRef ds:uri="996b2e75-67fd-4955-a3b0-5ab9934cb50b"/>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273B318-7402-4E85-9BEF-560576E72947}">
  <ds:schemaRefs>
    <ds:schemaRef ds:uri="http://schemas.microsoft.com/sharepoint/events"/>
  </ds:schemaRefs>
</ds:datastoreItem>
</file>

<file path=customXml/itemProps3.xml><?xml version="1.0" encoding="utf-8"?>
<ds:datastoreItem xmlns:ds="http://schemas.openxmlformats.org/officeDocument/2006/customXml" ds:itemID="{F2FD5B36-CDE9-47D4-89C8-997395EF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F34FF7-A115-4A3C-B1AB-BC2550EA4D5A}">
  <ds:schemaRefs>
    <ds:schemaRef ds:uri="http://schemas.microsoft.com/sharepoint/v3/contenttype/forms"/>
  </ds:schemaRefs>
</ds:datastoreItem>
</file>

<file path=customXml/itemProps5.xml><?xml version="1.0" encoding="utf-8"?>
<ds:datastoreItem xmlns:ds="http://schemas.openxmlformats.org/officeDocument/2006/customXml" ds:itemID="{55ED3CC3-7F74-4038-B2EE-03FD7F64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1405</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D14-WTDC17-C-0019!A3!MSW-E</vt:lpstr>
    </vt:vector>
  </TitlesOfParts>
  <Manager>General Secretariat - Pool</Manager>
  <Company>International Telecommunication Union (ITU)</Company>
  <LinksUpToDate>false</LinksUpToDate>
  <CharactersWithSpaces>10007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D14-WTDC17-C-0019!A3!MSW-E</dc:title>
  <dc:subject/>
  <dc:creator>Documents Proposals Manager (DPM)</dc:creator>
  <cp:keywords>DPM_v2017.7.28.1_prod</cp:keywords>
  <dc:description/>
  <cp:lastModifiedBy>BDT - mcb</cp:lastModifiedBy>
  <cp:revision>4</cp:revision>
  <cp:lastPrinted>2011-08-24T07:41:00Z</cp:lastPrinted>
  <dcterms:created xsi:type="dcterms:W3CDTF">2017-08-30T09:01:00Z</dcterms:created>
  <dcterms:modified xsi:type="dcterms:W3CDTF">2017-08-31T07:58:00Z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