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7C46CF" w:rsidTr="005E1050">
        <w:trPr>
          <w:cantSplit/>
          <w:trHeight w:val="1134"/>
        </w:trPr>
        <w:tc>
          <w:tcPr>
            <w:tcW w:w="1276" w:type="dxa"/>
          </w:tcPr>
          <w:p w:rsidR="00B951D0" w:rsidRPr="000B1248" w:rsidRDefault="00B951D0" w:rsidP="00B951D0">
            <w:pPr>
              <w:spacing w:before="180"/>
              <w:ind w:left="1168"/>
              <w:rPr>
                <w:b/>
                <w:bCs/>
                <w:sz w:val="28"/>
                <w:szCs w:val="28"/>
                <w:lang w:val="es-ES"/>
              </w:rPr>
            </w:pPr>
            <w:r w:rsidRPr="000B124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248">
              <w:rPr>
                <w:b/>
                <w:bCs/>
                <w:sz w:val="28"/>
                <w:szCs w:val="28"/>
                <w:lang w:val="es-ES"/>
              </w:rPr>
              <w:t xml:space="preserve"> </w:t>
            </w:r>
          </w:p>
        </w:tc>
        <w:tc>
          <w:tcPr>
            <w:tcW w:w="5670" w:type="dxa"/>
          </w:tcPr>
          <w:p w:rsidR="00B951D0" w:rsidRPr="000B1248" w:rsidRDefault="000B1248" w:rsidP="005E1050">
            <w:pPr>
              <w:spacing w:before="20" w:after="48" w:line="240" w:lineRule="atLeast"/>
              <w:ind w:left="34"/>
              <w:rPr>
                <w:b/>
                <w:bCs/>
                <w:sz w:val="28"/>
                <w:szCs w:val="28"/>
                <w:lang w:val="es-ES"/>
              </w:rPr>
            </w:pPr>
            <w:r>
              <w:rPr>
                <w:b/>
                <w:bCs/>
                <w:sz w:val="28"/>
                <w:szCs w:val="28"/>
                <w:lang w:val="es-ES"/>
              </w:rPr>
              <w:t>Conferencia Mundial de Desarrollo de las Telecomunicaciones</w:t>
            </w:r>
            <w:r w:rsidR="00B951D0" w:rsidRPr="000B1248">
              <w:rPr>
                <w:b/>
                <w:bCs/>
                <w:sz w:val="28"/>
                <w:szCs w:val="28"/>
                <w:lang w:val="es-ES"/>
              </w:rPr>
              <w:t xml:space="preserve"> 2017 (</w:t>
            </w:r>
            <w:r w:rsidR="005E1050">
              <w:rPr>
                <w:b/>
                <w:bCs/>
                <w:sz w:val="28"/>
                <w:szCs w:val="28"/>
                <w:lang w:val="es-ES"/>
              </w:rPr>
              <w:t>CMDT</w:t>
            </w:r>
            <w:r w:rsidR="00B951D0" w:rsidRPr="000B1248">
              <w:rPr>
                <w:b/>
                <w:bCs/>
                <w:sz w:val="28"/>
                <w:szCs w:val="28"/>
                <w:lang w:val="es-ES"/>
              </w:rPr>
              <w:t>-17)</w:t>
            </w:r>
          </w:p>
          <w:p w:rsidR="00BC0382" w:rsidRPr="000B1248" w:rsidRDefault="00BC0382" w:rsidP="000B1248">
            <w:pPr>
              <w:spacing w:after="48" w:line="240" w:lineRule="atLeast"/>
              <w:ind w:left="34"/>
              <w:rPr>
                <w:b/>
                <w:bCs/>
                <w:sz w:val="28"/>
                <w:szCs w:val="28"/>
                <w:lang w:val="es-ES"/>
              </w:rPr>
            </w:pPr>
            <w:r w:rsidRPr="000B1248">
              <w:rPr>
                <w:b/>
                <w:bCs/>
                <w:sz w:val="26"/>
                <w:szCs w:val="26"/>
                <w:lang w:val="es-ES"/>
              </w:rPr>
              <w:t xml:space="preserve">Buenos Aires, Argentina, 9-20 </w:t>
            </w:r>
            <w:r w:rsidR="000B1248">
              <w:rPr>
                <w:b/>
                <w:bCs/>
                <w:sz w:val="26"/>
                <w:szCs w:val="26"/>
                <w:lang w:val="es-ES"/>
              </w:rPr>
              <w:t>de octubre de</w:t>
            </w:r>
            <w:r w:rsidRPr="000B1248">
              <w:rPr>
                <w:b/>
                <w:bCs/>
                <w:sz w:val="26"/>
                <w:szCs w:val="26"/>
                <w:lang w:val="es-ES"/>
              </w:rPr>
              <w:t xml:space="preserve"> 2017</w:t>
            </w:r>
          </w:p>
        </w:tc>
        <w:tc>
          <w:tcPr>
            <w:tcW w:w="3085" w:type="dxa"/>
          </w:tcPr>
          <w:p w:rsidR="00B951D0" w:rsidRPr="000B1248" w:rsidRDefault="00012949" w:rsidP="00B951D0">
            <w:pPr>
              <w:spacing w:before="0" w:line="240" w:lineRule="atLeast"/>
              <w:jc w:val="right"/>
              <w:rPr>
                <w:rFonts w:cstheme="minorHAnsi"/>
                <w:lang w:val="es-ES"/>
              </w:rPr>
            </w:pPr>
            <w:bookmarkStart w:id="0" w:name="ditulogo"/>
            <w:bookmarkEnd w:id="0"/>
            <w:r w:rsidRPr="00746B65">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7C46CF" w:rsidTr="005E1050">
        <w:trPr>
          <w:cantSplit/>
        </w:trPr>
        <w:tc>
          <w:tcPr>
            <w:tcW w:w="6946" w:type="dxa"/>
            <w:gridSpan w:val="2"/>
            <w:tcBorders>
              <w:top w:val="single" w:sz="12" w:space="0" w:color="auto"/>
            </w:tcBorders>
          </w:tcPr>
          <w:p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rsidR="00D83BF5" w:rsidRPr="000B1248" w:rsidRDefault="00D83BF5" w:rsidP="00B951D0">
            <w:pPr>
              <w:spacing w:before="0" w:line="240" w:lineRule="atLeast"/>
              <w:rPr>
                <w:rFonts w:cstheme="minorHAnsi"/>
                <w:sz w:val="20"/>
                <w:lang w:val="es-ES"/>
              </w:rPr>
            </w:pPr>
          </w:p>
        </w:tc>
      </w:tr>
      <w:tr w:rsidR="00D83BF5" w:rsidRPr="000B1248" w:rsidTr="005E1050">
        <w:trPr>
          <w:cantSplit/>
          <w:trHeight w:val="23"/>
        </w:trPr>
        <w:tc>
          <w:tcPr>
            <w:tcW w:w="6946" w:type="dxa"/>
            <w:gridSpan w:val="2"/>
            <w:shd w:val="clear" w:color="auto" w:fill="auto"/>
          </w:tcPr>
          <w:p w:rsidR="00D83BF5" w:rsidRPr="000B1248" w:rsidRDefault="00D83BF5" w:rsidP="00CB2BB6">
            <w:pPr>
              <w:pStyle w:val="Committee"/>
              <w:framePr w:hSpace="0" w:wrap="auto" w:hAnchor="text" w:yAlign="inline"/>
              <w:rPr>
                <w:lang w:val="es-ES"/>
              </w:rPr>
            </w:pPr>
            <w:bookmarkStart w:id="2" w:name="dnum" w:colFirst="1" w:colLast="1"/>
            <w:bookmarkStart w:id="3" w:name="dmeeting" w:colFirst="0" w:colLast="0"/>
            <w:bookmarkEnd w:id="1"/>
          </w:p>
        </w:tc>
        <w:tc>
          <w:tcPr>
            <w:tcW w:w="3085" w:type="dxa"/>
          </w:tcPr>
          <w:p w:rsidR="00D83BF5" w:rsidRPr="000B1248" w:rsidRDefault="00D83BF5" w:rsidP="00CD456D">
            <w:pPr>
              <w:tabs>
                <w:tab w:val="left" w:pos="851"/>
              </w:tabs>
              <w:spacing w:before="0" w:line="240" w:lineRule="atLeast"/>
              <w:rPr>
                <w:rFonts w:cstheme="minorHAnsi"/>
                <w:szCs w:val="24"/>
                <w:lang w:val="es-ES"/>
              </w:rPr>
            </w:pPr>
            <w:r w:rsidRPr="000B1248">
              <w:rPr>
                <w:b/>
                <w:bCs/>
                <w:szCs w:val="24"/>
                <w:lang w:val="es-ES"/>
              </w:rPr>
              <w:t>Document</w:t>
            </w:r>
            <w:r w:rsidR="000B1248">
              <w:rPr>
                <w:b/>
                <w:bCs/>
                <w:szCs w:val="24"/>
                <w:lang w:val="es-ES"/>
              </w:rPr>
              <w:t>o</w:t>
            </w:r>
            <w:r w:rsidRPr="000B1248">
              <w:rPr>
                <w:b/>
                <w:bCs/>
                <w:szCs w:val="24"/>
                <w:lang w:val="es-ES"/>
              </w:rPr>
              <w:t xml:space="preserve"> </w:t>
            </w:r>
            <w:bookmarkStart w:id="4" w:name="DocRef1"/>
            <w:bookmarkEnd w:id="4"/>
            <w:r w:rsidR="0038489B" w:rsidRPr="000B1248">
              <w:rPr>
                <w:b/>
                <w:bCs/>
                <w:szCs w:val="24"/>
                <w:lang w:val="es-ES"/>
              </w:rPr>
              <w:t>WTDC17</w:t>
            </w:r>
            <w:r w:rsidRPr="000B1248">
              <w:rPr>
                <w:b/>
                <w:bCs/>
                <w:szCs w:val="24"/>
                <w:lang w:val="es-ES"/>
              </w:rPr>
              <w:t>/</w:t>
            </w:r>
            <w:r w:rsidR="00CD456D">
              <w:rPr>
                <w:b/>
                <w:bCs/>
                <w:szCs w:val="24"/>
                <w:lang w:val="es-ES"/>
              </w:rPr>
              <w:t>18</w:t>
            </w:r>
            <w:r w:rsidRPr="000B1248">
              <w:rPr>
                <w:b/>
                <w:bCs/>
                <w:szCs w:val="24"/>
                <w:lang w:val="es-ES"/>
              </w:rPr>
              <w:t>-</w:t>
            </w:r>
            <w:r w:rsidR="005E1050">
              <w:rPr>
                <w:b/>
                <w:bCs/>
                <w:szCs w:val="24"/>
                <w:lang w:val="es-ES"/>
              </w:rPr>
              <w:t>S</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085" w:type="dxa"/>
          </w:tcPr>
          <w:p w:rsidR="00D83BF5" w:rsidRPr="000B1248" w:rsidRDefault="00CD456D" w:rsidP="00CD456D">
            <w:pPr>
              <w:spacing w:before="0" w:line="240" w:lineRule="atLeast"/>
              <w:rPr>
                <w:rFonts w:cstheme="minorHAnsi"/>
                <w:szCs w:val="24"/>
                <w:lang w:val="es-ES"/>
              </w:rPr>
            </w:pPr>
            <w:r w:rsidRPr="00CD456D">
              <w:rPr>
                <w:b/>
                <w:bCs/>
                <w:szCs w:val="28"/>
                <w:lang w:val="es-ES_tradnl"/>
              </w:rPr>
              <w:t>28 de junio de 2017</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5"/>
            <w:bookmarkEnd w:id="6"/>
          </w:p>
        </w:tc>
        <w:tc>
          <w:tcPr>
            <w:tcW w:w="3085" w:type="dxa"/>
          </w:tcPr>
          <w:p w:rsidR="00D83BF5" w:rsidRPr="000B1248" w:rsidRDefault="00CD456D" w:rsidP="00252ACF">
            <w:pPr>
              <w:tabs>
                <w:tab w:val="left" w:pos="993"/>
              </w:tabs>
              <w:spacing w:before="0"/>
              <w:rPr>
                <w:rFonts w:cstheme="minorHAnsi"/>
                <w:b/>
                <w:szCs w:val="24"/>
                <w:lang w:val="es-ES"/>
              </w:rPr>
            </w:pPr>
            <w:r w:rsidRPr="00CD456D">
              <w:rPr>
                <w:b/>
                <w:bCs/>
                <w:szCs w:val="24"/>
                <w:lang w:val="es-ES"/>
              </w:rPr>
              <w:t>Original: inglés</w:t>
            </w:r>
          </w:p>
        </w:tc>
      </w:tr>
      <w:tr w:rsidR="00D83BF5" w:rsidRPr="007C46CF" w:rsidTr="007F735C">
        <w:trPr>
          <w:cantSplit/>
          <w:trHeight w:val="23"/>
        </w:trPr>
        <w:tc>
          <w:tcPr>
            <w:tcW w:w="10031" w:type="dxa"/>
            <w:gridSpan w:val="3"/>
            <w:shd w:val="clear" w:color="auto" w:fill="auto"/>
          </w:tcPr>
          <w:p w:rsidR="00D83BF5" w:rsidRPr="000B1248" w:rsidRDefault="00CD456D" w:rsidP="000B1248">
            <w:pPr>
              <w:pStyle w:val="Source"/>
              <w:spacing w:before="240" w:after="240"/>
              <w:rPr>
                <w:lang w:val="es-ES"/>
              </w:rPr>
            </w:pPr>
            <w:r w:rsidRPr="00CD456D">
              <w:rPr>
                <w:lang w:val="es-ES"/>
              </w:rPr>
              <w:t>Director de la Oficina de Desarrollo de las Telecomunicaciones</w:t>
            </w:r>
          </w:p>
        </w:tc>
      </w:tr>
      <w:tr w:rsidR="00D83BF5" w:rsidRPr="007C46CF" w:rsidTr="007F735C">
        <w:trPr>
          <w:cantSplit/>
          <w:trHeight w:val="23"/>
        </w:trPr>
        <w:tc>
          <w:tcPr>
            <w:tcW w:w="10031" w:type="dxa"/>
            <w:gridSpan w:val="3"/>
            <w:shd w:val="clear" w:color="auto" w:fill="auto"/>
            <w:vAlign w:val="center"/>
          </w:tcPr>
          <w:p w:rsidR="00D83BF5" w:rsidRPr="000B1248" w:rsidRDefault="00CD456D" w:rsidP="000B1248">
            <w:pPr>
              <w:pStyle w:val="Title1"/>
              <w:spacing w:before="120" w:after="120"/>
              <w:rPr>
                <w:lang w:val="es-ES"/>
              </w:rPr>
            </w:pPr>
            <w:r w:rsidRPr="00CD456D">
              <w:rPr>
                <w:szCs w:val="28"/>
                <w:lang w:val="es-ES"/>
              </w:rPr>
              <w:t>INFORME SOBRE LAS CELEBRACIONES DEL 25º ANIVERSARIO DEL UIT-D</w:t>
            </w:r>
          </w:p>
        </w:tc>
      </w:tr>
      <w:tr w:rsidR="00D83BF5" w:rsidRPr="007C46CF" w:rsidTr="00B951D0">
        <w:trPr>
          <w:cantSplit/>
          <w:trHeight w:val="23"/>
        </w:trPr>
        <w:tc>
          <w:tcPr>
            <w:tcW w:w="10031" w:type="dxa"/>
            <w:gridSpan w:val="3"/>
            <w:tcBorders>
              <w:bottom w:val="single" w:sz="4" w:space="0" w:color="auto"/>
            </w:tcBorders>
            <w:shd w:val="clear" w:color="auto" w:fill="auto"/>
          </w:tcPr>
          <w:p w:rsidR="00D83BF5" w:rsidRPr="000B1248" w:rsidRDefault="00D83BF5" w:rsidP="00B911B2">
            <w:pPr>
              <w:pStyle w:val="Title1"/>
              <w:spacing w:before="120" w:after="120"/>
              <w:jc w:val="left"/>
              <w:rPr>
                <w:rFonts w:cs="Times New Roman Bold"/>
                <w:caps w:val="0"/>
                <w:szCs w:val="28"/>
                <w:lang w:val="es-ES"/>
              </w:rPr>
            </w:pPr>
          </w:p>
        </w:tc>
      </w:tr>
      <w:tr w:rsidR="0064322F" w:rsidRPr="005E1050"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B1248" w:rsidRDefault="000B1248" w:rsidP="00B951D0">
            <w:pPr>
              <w:rPr>
                <w:b/>
                <w:bCs/>
                <w:szCs w:val="24"/>
                <w:lang w:val="es-ES"/>
              </w:rPr>
            </w:pPr>
            <w:r>
              <w:rPr>
                <w:b/>
                <w:bCs/>
                <w:szCs w:val="24"/>
                <w:lang w:val="es-ES"/>
              </w:rPr>
              <w:t>Resumen</w:t>
            </w:r>
            <w:r w:rsidR="00D9621A" w:rsidRPr="000B1248">
              <w:rPr>
                <w:b/>
                <w:bCs/>
                <w:szCs w:val="24"/>
                <w:lang w:val="es-ES"/>
              </w:rPr>
              <w:t>:</w:t>
            </w:r>
          </w:p>
          <w:p w:rsidR="00CD456D" w:rsidRPr="00CD456D" w:rsidRDefault="00CD456D" w:rsidP="00CD456D">
            <w:pPr>
              <w:rPr>
                <w:szCs w:val="24"/>
                <w:lang w:val="es-ES"/>
              </w:rPr>
            </w:pPr>
            <w:r w:rsidRPr="00CD456D">
              <w:rPr>
                <w:szCs w:val="24"/>
                <w:lang w:val="es-ES"/>
              </w:rPr>
              <w:t>En el presente documento se informa acerca del 25º aniversario del Sector de Desarrollo de las Telecomunicaciones de la UIT, así como de las celebraciones del aniversario, las oportunidades de patrocinio y las actividades de promoción.</w:t>
            </w:r>
          </w:p>
          <w:p w:rsidR="00D9621A" w:rsidRPr="000B1248" w:rsidRDefault="00CD456D" w:rsidP="00CD456D">
            <w:pPr>
              <w:rPr>
                <w:szCs w:val="24"/>
                <w:lang w:val="es-ES"/>
              </w:rPr>
            </w:pPr>
            <w:r w:rsidRPr="00CD456D">
              <w:rPr>
                <w:szCs w:val="24"/>
                <w:lang w:val="es-ES"/>
              </w:rPr>
              <w:t>El Sector de Desarrollo de las Telecomunicaciones de la UIT fue creado el año 1992 por la Conferencia de Plenipotenciarios Adicional, celebrada en Ginebra (Suiza).</w:t>
            </w:r>
          </w:p>
          <w:p w:rsidR="00D9621A" w:rsidRPr="000B1248" w:rsidRDefault="000B1248" w:rsidP="00B951D0">
            <w:pPr>
              <w:rPr>
                <w:b/>
                <w:bCs/>
                <w:szCs w:val="24"/>
                <w:lang w:val="es-ES"/>
              </w:rPr>
            </w:pPr>
            <w:r>
              <w:rPr>
                <w:b/>
                <w:bCs/>
                <w:szCs w:val="24"/>
                <w:lang w:val="es-ES"/>
              </w:rPr>
              <w:t>Resultados previstos</w:t>
            </w:r>
            <w:r w:rsidR="00D9621A" w:rsidRPr="000B1248">
              <w:rPr>
                <w:b/>
                <w:bCs/>
                <w:szCs w:val="24"/>
                <w:lang w:val="es-ES"/>
              </w:rPr>
              <w:t>:</w:t>
            </w:r>
          </w:p>
          <w:p w:rsidR="00CD456D" w:rsidRPr="00CD456D" w:rsidRDefault="00CD456D" w:rsidP="00CD456D">
            <w:pPr>
              <w:rPr>
                <w:szCs w:val="24"/>
                <w:lang w:val="es-ES"/>
              </w:rPr>
            </w:pPr>
            <w:r w:rsidRPr="00CD456D">
              <w:rPr>
                <w:szCs w:val="24"/>
                <w:lang w:val="es-ES"/>
              </w:rPr>
              <w:t>Se invita a la CMDT</w:t>
            </w:r>
            <w:r w:rsidR="00405313">
              <w:rPr>
                <w:szCs w:val="24"/>
                <w:lang w:val="es-ES"/>
              </w:rPr>
              <w:t>-17</w:t>
            </w:r>
            <w:r w:rsidRPr="00CD456D">
              <w:rPr>
                <w:szCs w:val="24"/>
                <w:lang w:val="es-ES"/>
              </w:rPr>
              <w:t xml:space="preserve"> a tomar nota de este informe.</w:t>
            </w:r>
          </w:p>
          <w:p w:rsidR="00CD456D" w:rsidRPr="005E0B7C" w:rsidRDefault="00CD456D" w:rsidP="00CD456D">
            <w:pPr>
              <w:rPr>
                <w:b/>
                <w:bCs/>
                <w:szCs w:val="24"/>
                <w:lang w:val="es-ES"/>
              </w:rPr>
            </w:pPr>
            <w:r w:rsidRPr="005E0B7C">
              <w:rPr>
                <w:b/>
                <w:bCs/>
                <w:szCs w:val="24"/>
                <w:lang w:val="es-ES"/>
              </w:rPr>
              <w:t>Referencias:</w:t>
            </w:r>
          </w:p>
          <w:p w:rsidR="00D9621A" w:rsidRPr="00CD456D" w:rsidRDefault="00CD456D" w:rsidP="00CD456D">
            <w:pPr>
              <w:rPr>
                <w:szCs w:val="24"/>
                <w:lang w:val="es-ES"/>
              </w:rPr>
            </w:pPr>
            <w:r>
              <w:rPr>
                <w:szCs w:val="24"/>
                <w:lang w:val="es-ES"/>
              </w:rPr>
              <w:t xml:space="preserve">Documento </w:t>
            </w:r>
            <w:r w:rsidRPr="00CD456D">
              <w:rPr>
                <w:szCs w:val="24"/>
                <w:lang w:val="es-ES"/>
              </w:rPr>
              <w:t>TDAG17-22/19</w:t>
            </w:r>
          </w:p>
        </w:tc>
      </w:tr>
      <w:bookmarkEnd w:id="7"/>
      <w:bookmarkEnd w:id="8"/>
    </w:tbl>
    <w:p w:rsidR="00D83BF5" w:rsidRPr="000B1248" w:rsidRDefault="00D83BF5" w:rsidP="00D83BF5">
      <w:pPr>
        <w:rPr>
          <w:lang w:val="es-ES"/>
        </w:rPr>
      </w:pPr>
    </w:p>
    <w:p w:rsidR="00CD456D" w:rsidRPr="00CD456D" w:rsidRDefault="00CD456D" w:rsidP="00CD456D">
      <w:pPr>
        <w:pStyle w:val="Heading1"/>
        <w:rPr>
          <w:lang w:val="es-ES_tradnl"/>
        </w:rPr>
      </w:pPr>
      <w:r w:rsidRPr="00CD456D">
        <w:rPr>
          <w:lang w:val="es-ES_tradnl"/>
        </w:rPr>
        <w:t>1</w:t>
      </w:r>
      <w:r w:rsidRPr="00CD456D">
        <w:rPr>
          <w:lang w:val="es-ES_tradnl"/>
        </w:rPr>
        <w:tab/>
        <w:t>Antecedentes</w:t>
      </w:r>
    </w:p>
    <w:p w:rsidR="00CD456D" w:rsidRPr="00CD456D" w:rsidRDefault="00CD456D" w:rsidP="00405313">
      <w:pPr>
        <w:rPr>
          <w:lang w:val="es-ES_tradnl"/>
        </w:rPr>
      </w:pPr>
      <w:r w:rsidRPr="00CD456D">
        <w:rPr>
          <w:lang w:val="es-ES_tradnl"/>
        </w:rPr>
        <w:t>De conformidad con la Resolución 55, adoptada por la Conferencia de Plenipotenciarios de Niza en 1989, los Estados Miembros de la UIT crearon un Comité de Alto Nivel encargado de analizar cómo la organización podría responder eficazmente a los desafíos de un sector de telecomunicaciones en continua evolución, a partir de un examen a fondo de la estructura y el funcionamiento de la</w:t>
      </w:r>
      <w:r w:rsidR="00405313">
        <w:rPr>
          <w:lang w:val="es-ES_tradnl"/>
        </w:rPr>
        <w:t> </w:t>
      </w:r>
      <w:r w:rsidRPr="00CD456D">
        <w:rPr>
          <w:lang w:val="es-ES_tradnl"/>
        </w:rPr>
        <w:t xml:space="preserve">UIT. El Comité concluyó su trabajo con un informe titulado "La UIT de mañana: los desafíos del cambio", donde se recomendaba que el trabajo sustantivo de la UIT se organice en tres Sectores: </w:t>
      </w:r>
      <w:r w:rsidRPr="00CD456D">
        <w:rPr>
          <w:lang w:val="es-ES_tradnl"/>
        </w:rPr>
        <w:lastRenderedPageBreak/>
        <w:t>Desarrollo, Normalización y Radiocomunicaciones</w:t>
      </w:r>
      <w:r>
        <w:rPr>
          <w:rStyle w:val="FootnoteReference"/>
          <w:lang w:val="es-ES_tradnl"/>
        </w:rPr>
        <w:footnoteReference w:id="1"/>
      </w:r>
      <w:r w:rsidRPr="00CD456D">
        <w:rPr>
          <w:lang w:val="es-ES_tradnl"/>
        </w:rPr>
        <w:t>. Estas recomendaciones se aprobaron en la Conferencia de Plenipotenciarios Adicional de 1992</w:t>
      </w:r>
      <w:r>
        <w:rPr>
          <w:lang w:val="es-ES_tradnl"/>
        </w:rPr>
        <w:t>, celebrada en Ginebra (Suiza).</w:t>
      </w:r>
    </w:p>
    <w:p w:rsidR="00CD456D" w:rsidRPr="00CD456D" w:rsidRDefault="00CD456D" w:rsidP="00CD456D">
      <w:pPr>
        <w:pStyle w:val="Heading1"/>
        <w:rPr>
          <w:lang w:val="es-ES_tradnl"/>
        </w:rPr>
      </w:pPr>
      <w:r w:rsidRPr="00CD456D">
        <w:rPr>
          <w:lang w:val="es-ES_tradnl"/>
        </w:rPr>
        <w:t>2</w:t>
      </w:r>
      <w:r w:rsidRPr="00CD456D">
        <w:rPr>
          <w:lang w:val="es-ES_tradnl"/>
        </w:rPr>
        <w:tab/>
        <w:t>Celebraciones del 25º aniversario</w:t>
      </w:r>
    </w:p>
    <w:p w:rsidR="00CD456D" w:rsidRPr="00CD456D" w:rsidRDefault="00CD456D" w:rsidP="00CD456D">
      <w:pPr>
        <w:rPr>
          <w:lang w:val="es-ES_tradnl"/>
        </w:rPr>
      </w:pPr>
      <w:r w:rsidRPr="00CD456D">
        <w:rPr>
          <w:lang w:val="es-ES_tradnl"/>
        </w:rPr>
        <w:t>Se han planificado varias actividades para celebrar el 25º aniversario del Sector de Desarrollo de las Telecomunicaciones de la UIT, entre las que cabe destacar:</w:t>
      </w:r>
    </w:p>
    <w:p w:rsidR="00CD456D" w:rsidRPr="00CD456D" w:rsidRDefault="00CD456D" w:rsidP="00405313">
      <w:pPr>
        <w:pStyle w:val="enumlev1"/>
        <w:rPr>
          <w:lang w:val="es-ES_tradnl"/>
        </w:rPr>
      </w:pPr>
      <w:r w:rsidRPr="00CD456D">
        <w:rPr>
          <w:lang w:val="es-ES_tradnl"/>
        </w:rPr>
        <w:t>–</w:t>
      </w:r>
      <w:r w:rsidRPr="00CD456D">
        <w:rPr>
          <w:lang w:val="es-ES_tradnl"/>
        </w:rPr>
        <w:tab/>
      </w:r>
      <w:r w:rsidRPr="00CD456D">
        <w:rPr>
          <w:b/>
          <w:bCs/>
          <w:lang w:val="es-ES_tradnl"/>
        </w:rPr>
        <w:t xml:space="preserve">Mesa </w:t>
      </w:r>
      <w:r w:rsidR="00405313" w:rsidRPr="00CD456D">
        <w:rPr>
          <w:b/>
          <w:bCs/>
          <w:lang w:val="es-ES_tradnl"/>
        </w:rPr>
        <w:t xml:space="preserve">Redonda </w:t>
      </w:r>
      <w:r w:rsidRPr="00CD456D">
        <w:rPr>
          <w:b/>
          <w:bCs/>
          <w:lang w:val="es-ES_tradnl"/>
        </w:rPr>
        <w:t>Ministerial</w:t>
      </w:r>
      <w:r w:rsidRPr="00CD456D">
        <w:rPr>
          <w:lang w:val="es-ES_tradnl"/>
        </w:rPr>
        <w:t>: Se celebrarán dos Mesas Redondas Ministeriales durante la CMDT-17 el miércoles 11 de octubre, de las 14</w:t>
      </w:r>
      <w:r w:rsidR="00405313">
        <w:rPr>
          <w:lang w:val="es-ES_tradnl"/>
        </w:rPr>
        <w:t>.</w:t>
      </w:r>
      <w:r w:rsidRPr="00CD456D">
        <w:rPr>
          <w:lang w:val="es-ES_tradnl"/>
        </w:rPr>
        <w:t>30 a las 17</w:t>
      </w:r>
      <w:r w:rsidR="00405313">
        <w:rPr>
          <w:lang w:val="es-ES_tradnl"/>
        </w:rPr>
        <w:t>.</w:t>
      </w:r>
      <w:r w:rsidRPr="00CD456D">
        <w:rPr>
          <w:lang w:val="es-ES_tradnl"/>
        </w:rPr>
        <w:t>30 horas. Asistirán a los debates intelectuales que tratarán los efectos de las TIC para los ODS y el futuro de la economía digital. Las intervenciones de alto nivel a cargo de ministros y jefes de los organismos reguladores se enriquecerán con las contribuciones de representantes del sector privado, la sociedad civil, la comunidad tecnológica y las instituciones académicas. Oradores visionarios abrirán los diálogos de múltiples partes interesadas.</w:t>
      </w:r>
    </w:p>
    <w:p w:rsidR="00CD456D" w:rsidRPr="00CD456D" w:rsidRDefault="00CD456D" w:rsidP="00C73E39">
      <w:pPr>
        <w:pStyle w:val="enumlev1"/>
        <w:rPr>
          <w:lang w:val="es-ES_tradnl"/>
        </w:rPr>
      </w:pPr>
      <w:r w:rsidRPr="00CD456D">
        <w:rPr>
          <w:lang w:val="es-ES_tradnl"/>
        </w:rPr>
        <w:t>–</w:t>
      </w:r>
      <w:r w:rsidRPr="00CD456D">
        <w:rPr>
          <w:lang w:val="es-ES_tradnl"/>
        </w:rPr>
        <w:tab/>
      </w:r>
      <w:r w:rsidRPr="00CD456D">
        <w:rPr>
          <w:b/>
          <w:bCs/>
          <w:lang w:val="es-ES_tradnl"/>
        </w:rPr>
        <w:t>Cena de gala</w:t>
      </w:r>
      <w:r w:rsidRPr="00CD456D">
        <w:rPr>
          <w:lang w:val="es-ES_tradnl"/>
        </w:rPr>
        <w:t xml:space="preserve">: Está programada una cena de gala el 11 de octubre </w:t>
      </w:r>
      <w:r w:rsidR="00C73E39">
        <w:rPr>
          <w:lang w:val="es-ES_tradnl"/>
        </w:rPr>
        <w:t>a partir de las</w:t>
      </w:r>
      <w:r w:rsidRPr="00CD456D">
        <w:rPr>
          <w:lang w:val="es-ES_tradnl"/>
        </w:rPr>
        <w:t xml:space="preserve"> 19.30</w:t>
      </w:r>
      <w:r>
        <w:rPr>
          <w:lang w:val="es-ES_tradnl"/>
        </w:rPr>
        <w:t> </w:t>
      </w:r>
      <w:r w:rsidRPr="00CD456D">
        <w:rPr>
          <w:lang w:val="es-ES_tradnl"/>
        </w:rPr>
        <w:t>horas en el Hotel Alvear Icon de Buenos Aires. Será un magno encuentro para conmemorar el UIT</w:t>
      </w:r>
      <w:r>
        <w:rPr>
          <w:lang w:val="es-ES_tradnl"/>
        </w:rPr>
        <w:noBreakHyphen/>
      </w:r>
      <w:r w:rsidRPr="00CD456D">
        <w:rPr>
          <w:lang w:val="es-ES_tradnl"/>
        </w:rPr>
        <w:t>D. La cena de gala estará abierta a todos los participantes en la CMDT</w:t>
      </w:r>
      <w:r>
        <w:rPr>
          <w:lang w:val="es-ES_tradnl"/>
        </w:rPr>
        <w:noBreakHyphen/>
      </w:r>
      <w:r w:rsidRPr="00CD456D">
        <w:rPr>
          <w:lang w:val="es-ES_tradnl"/>
        </w:rPr>
        <w:t>17. La velada incluirá un programa interactivo especial acompañado de diversas actuaciones. Se alienta a los invitados a asistir con su traje nacional; en otro caso, se reco</w:t>
      </w:r>
      <w:r>
        <w:rPr>
          <w:lang w:val="es-ES_tradnl"/>
        </w:rPr>
        <w:t>mienda traje con corbata negra.</w:t>
      </w:r>
    </w:p>
    <w:p w:rsidR="00CD456D" w:rsidRPr="00CD456D" w:rsidRDefault="00CD456D" w:rsidP="00CD456D">
      <w:pPr>
        <w:pStyle w:val="enumlev1"/>
        <w:rPr>
          <w:lang w:val="es-ES_tradnl"/>
        </w:rPr>
      </w:pPr>
      <w:r w:rsidRPr="00CD456D">
        <w:rPr>
          <w:lang w:val="es-ES_tradnl"/>
        </w:rPr>
        <w:t>–</w:t>
      </w:r>
      <w:r w:rsidRPr="00CD456D">
        <w:rPr>
          <w:lang w:val="es-ES_tradnl"/>
        </w:rPr>
        <w:tab/>
      </w:r>
      <w:r w:rsidRPr="00CD456D">
        <w:rPr>
          <w:b/>
          <w:bCs/>
          <w:lang w:val="es-ES_tradnl"/>
        </w:rPr>
        <w:t>Premios</w:t>
      </w:r>
      <w:r w:rsidRPr="00CD456D">
        <w:rPr>
          <w:lang w:val="es-ES_tradnl"/>
        </w:rPr>
        <w:t xml:space="preserve">: Durante la cena de gala los miembros más antiguos del UIT-D recibirán premios especiales. También se concederán premios a determinadas partes interesadas como reconocimiento a sus contribuciones pasadas o actuales a los </w:t>
      </w:r>
      <w:r>
        <w:rPr>
          <w:lang w:val="es-ES_tradnl"/>
        </w:rPr>
        <w:t>proyectos del UIT-D.</w:t>
      </w:r>
    </w:p>
    <w:p w:rsidR="00CD456D" w:rsidRPr="00CD456D" w:rsidRDefault="00CD456D" w:rsidP="00A645E6">
      <w:pPr>
        <w:pStyle w:val="enumlev1"/>
        <w:rPr>
          <w:lang w:val="es-ES_tradnl"/>
        </w:rPr>
      </w:pPr>
      <w:r w:rsidRPr="00CD456D">
        <w:rPr>
          <w:lang w:val="es-ES_tradnl"/>
        </w:rPr>
        <w:t>–</w:t>
      </w:r>
      <w:r w:rsidRPr="00CD456D">
        <w:rPr>
          <w:lang w:val="es-ES_tradnl"/>
        </w:rPr>
        <w:tab/>
      </w:r>
      <w:r w:rsidRPr="00CD456D">
        <w:rPr>
          <w:b/>
          <w:bCs/>
          <w:lang w:val="es-ES_tradnl"/>
        </w:rPr>
        <w:t>Cronograma de la tecnología digital</w:t>
      </w:r>
      <w:r w:rsidRPr="00CD456D">
        <w:rPr>
          <w:lang w:val="es-ES_tradnl"/>
        </w:rPr>
        <w:t xml:space="preserve">: </w:t>
      </w:r>
      <w:r w:rsidR="00A645E6">
        <w:rPr>
          <w:lang w:val="es-ES_tradnl"/>
        </w:rPr>
        <w:t>S</w:t>
      </w:r>
      <w:r w:rsidRPr="00CD456D">
        <w:rPr>
          <w:lang w:val="es-ES_tradnl"/>
        </w:rPr>
        <w:t xml:space="preserve">e dispone de un cronograma de la tecnología digital interactivo y basado en la web, en el que se presentan los hitos del UIT-D, en el enlace </w:t>
      </w:r>
      <w:hyperlink r:id="rId14" w:history="1">
        <w:r w:rsidRPr="00CD456D">
          <w:rPr>
            <w:rStyle w:val="Hyperlink"/>
            <w:lang w:val="es-ES_tradnl"/>
          </w:rPr>
          <w:t>www.itu.int/itu-d25/timeline</w:t>
        </w:r>
      </w:hyperlink>
      <w:r w:rsidRPr="00CD456D">
        <w:rPr>
          <w:lang w:val="es-ES_tradnl"/>
        </w:rPr>
        <w:t>. Durante la CMDT-17 se dispondrá de una versión inter</w:t>
      </w:r>
      <w:r>
        <w:rPr>
          <w:lang w:val="es-ES_tradnl"/>
        </w:rPr>
        <w:t>activa especial del cronograma.</w:t>
      </w:r>
    </w:p>
    <w:p w:rsidR="00CD456D" w:rsidRPr="00CD456D" w:rsidRDefault="00CD456D" w:rsidP="005E0B7C">
      <w:pPr>
        <w:pStyle w:val="enumlev1"/>
        <w:rPr>
          <w:lang w:val="es-ES_tradnl"/>
        </w:rPr>
      </w:pPr>
      <w:r w:rsidRPr="00CD456D">
        <w:rPr>
          <w:lang w:val="es-ES_tradnl"/>
        </w:rPr>
        <w:t>–</w:t>
      </w:r>
      <w:r w:rsidRPr="00CD456D">
        <w:rPr>
          <w:lang w:val="es-ES_tradnl"/>
        </w:rPr>
        <w:tab/>
      </w:r>
      <w:r w:rsidRPr="00CD456D">
        <w:rPr>
          <w:b/>
          <w:bCs/>
          <w:lang w:val="es-ES_tradnl"/>
        </w:rPr>
        <w:t>Logros</w:t>
      </w:r>
      <w:r w:rsidRPr="00CD456D">
        <w:rPr>
          <w:lang w:val="es-ES_tradnl"/>
        </w:rPr>
        <w:t>: Está disponible una página web especial en la que se presentan los logros del</w:t>
      </w:r>
      <w:r w:rsidR="005E0B7C">
        <w:rPr>
          <w:lang w:val="es-ES_tradnl"/>
        </w:rPr>
        <w:t> </w:t>
      </w:r>
      <w:r w:rsidRPr="00CD456D">
        <w:rPr>
          <w:lang w:val="es-ES_tradnl"/>
        </w:rPr>
        <w:t>UIT</w:t>
      </w:r>
      <w:r>
        <w:rPr>
          <w:lang w:val="es-ES_tradnl"/>
        </w:rPr>
        <w:noBreakHyphen/>
      </w:r>
      <w:r w:rsidRPr="00CD456D">
        <w:rPr>
          <w:lang w:val="es-ES_tradnl"/>
        </w:rPr>
        <w:t xml:space="preserve">D en el enlace </w:t>
      </w:r>
      <w:hyperlink r:id="rId15" w:history="1">
        <w:r w:rsidRPr="00CD456D">
          <w:rPr>
            <w:rStyle w:val="Hyperlink"/>
            <w:lang w:val="es-ES_tradnl"/>
          </w:rPr>
          <w:t>www.itu.int/itu-d25/achievements</w:t>
        </w:r>
      </w:hyperlink>
      <w:r w:rsidRPr="00CD456D">
        <w:rPr>
          <w:lang w:val="es-ES_tradnl"/>
        </w:rPr>
        <w:t>. Los logros muestran cómo los trabajos y actividades del UIT-D han contribuido a marcar una diferencia en las vidas de la gente.</w:t>
      </w:r>
    </w:p>
    <w:p w:rsidR="00CD456D" w:rsidRPr="00CD456D" w:rsidRDefault="00CD456D" w:rsidP="00A645E6">
      <w:pPr>
        <w:pStyle w:val="enumlev1"/>
        <w:rPr>
          <w:lang w:val="es-ES_tradnl"/>
        </w:rPr>
      </w:pPr>
      <w:r w:rsidRPr="00CD456D">
        <w:rPr>
          <w:lang w:val="es-ES_tradnl"/>
        </w:rPr>
        <w:lastRenderedPageBreak/>
        <w:t>–</w:t>
      </w:r>
      <w:r w:rsidRPr="00CD456D">
        <w:rPr>
          <w:lang w:val="es-ES_tradnl"/>
        </w:rPr>
        <w:tab/>
      </w:r>
      <w:r w:rsidRPr="00CD456D">
        <w:rPr>
          <w:b/>
          <w:bCs/>
          <w:lang w:val="es-ES_tradnl"/>
        </w:rPr>
        <w:t xml:space="preserve">25º </w:t>
      </w:r>
      <w:r w:rsidR="00A645E6">
        <w:rPr>
          <w:b/>
          <w:bCs/>
          <w:lang w:val="es-ES_tradnl"/>
        </w:rPr>
        <w:t>a</w:t>
      </w:r>
      <w:r w:rsidRPr="00CD456D">
        <w:rPr>
          <w:b/>
          <w:bCs/>
          <w:lang w:val="es-ES_tradnl"/>
        </w:rPr>
        <w:t>niversario del UIT-D: contar la historia</w:t>
      </w:r>
      <w:r w:rsidRPr="00CD456D">
        <w:rPr>
          <w:lang w:val="es-ES_tradnl"/>
        </w:rPr>
        <w:t>: Se han realizado entrevistas y recogido testimonios con personalidades que han desempeñado un papel clave a lo largo de los 25</w:t>
      </w:r>
      <w:r>
        <w:rPr>
          <w:lang w:val="es-ES_tradnl"/>
        </w:rPr>
        <w:t> </w:t>
      </w:r>
      <w:r w:rsidRPr="00CD456D">
        <w:rPr>
          <w:lang w:val="es-ES_tradnl"/>
        </w:rPr>
        <w:t>años de historia del Sector, en particular antiguos Directores de la BDT y Presidentes anteriores y actuales de las CMDT y de los GADT. Las entrevistas están publicadas en el sitio web de la UIT</w:t>
      </w:r>
      <w:r w:rsidR="00C73E39">
        <w:rPr>
          <w:lang w:val="es-ES_tradnl"/>
        </w:rPr>
        <w:t xml:space="preserve"> (falta enlace)</w:t>
      </w:r>
      <w:r w:rsidRPr="00CD456D">
        <w:rPr>
          <w:lang w:val="es-ES_tradnl"/>
        </w:rPr>
        <w:t>, y se promocionan a través de los medios sociales y de su proyección en las pantallas en la CMDT-17.</w:t>
      </w:r>
    </w:p>
    <w:p w:rsidR="00CD456D" w:rsidRPr="00CD456D" w:rsidRDefault="00CD456D" w:rsidP="00CD456D">
      <w:pPr>
        <w:pStyle w:val="Heading1"/>
        <w:rPr>
          <w:lang w:val="es-ES_tradnl"/>
        </w:rPr>
      </w:pPr>
      <w:r w:rsidRPr="00CD456D">
        <w:rPr>
          <w:lang w:val="es-ES_tradnl"/>
        </w:rPr>
        <w:t>3</w:t>
      </w:r>
      <w:r w:rsidRPr="00CD456D">
        <w:rPr>
          <w:lang w:val="es-ES_tradnl"/>
        </w:rPr>
        <w:tab/>
        <w:t>Oportunidades de patrocinio</w:t>
      </w:r>
    </w:p>
    <w:p w:rsidR="00CD456D" w:rsidRPr="00CD456D" w:rsidRDefault="00CD456D" w:rsidP="00A645E6">
      <w:pPr>
        <w:rPr>
          <w:lang w:val="es-ES_tradnl"/>
        </w:rPr>
      </w:pPr>
      <w:r w:rsidRPr="00CD456D">
        <w:rPr>
          <w:lang w:val="es-ES_tradnl"/>
        </w:rPr>
        <w:t>Con el objetivo de sufragar los costes de funcionamiento de las actividades relacionadas con el 25º</w:t>
      </w:r>
      <w:r w:rsidR="00A645E6">
        <w:rPr>
          <w:lang w:val="es-ES_tradnl"/>
        </w:rPr>
        <w:t> a</w:t>
      </w:r>
      <w:r w:rsidRPr="00CD456D">
        <w:rPr>
          <w:lang w:val="es-ES_tradnl"/>
        </w:rPr>
        <w:t xml:space="preserve">niversario, la Oficina de Desarrollo de las Telecomunicaciones (BDT) de la UIT ha estado ofreciendo varios paquetes de patrocinio. En el siguiente enlace se indican los paquetes disponibles: </w:t>
      </w:r>
      <w:hyperlink r:id="rId16" w:history="1">
        <w:r w:rsidRPr="00CD456D">
          <w:rPr>
            <w:rStyle w:val="Hyperlink"/>
            <w:lang w:val="es-ES_tradnl"/>
          </w:rPr>
          <w:t>www.itu.int/go/en/itudsponsorships</w:t>
        </w:r>
      </w:hyperlink>
      <w:r w:rsidRPr="00CD456D">
        <w:rPr>
          <w:lang w:val="es-ES_tradnl"/>
        </w:rPr>
        <w:t xml:space="preserve">. Cada uno de estos paquetes entraña una amplia gama de beneficios. Los recursos restantes se utilizarán como financiación inicial para la implementación de las Iniciativas Regionales </w:t>
      </w:r>
      <w:r>
        <w:rPr>
          <w:lang w:val="es-ES_tradnl"/>
        </w:rPr>
        <w:t>que adopte la CMDT-17.</w:t>
      </w:r>
    </w:p>
    <w:p w:rsidR="00CD456D" w:rsidRPr="00CD456D" w:rsidRDefault="00CD456D" w:rsidP="00CD456D">
      <w:pPr>
        <w:pStyle w:val="Heading1"/>
        <w:rPr>
          <w:lang w:val="es-ES_tradnl"/>
        </w:rPr>
      </w:pPr>
      <w:r w:rsidRPr="00CD456D">
        <w:rPr>
          <w:lang w:val="es-ES_tradnl"/>
        </w:rPr>
        <w:t>4</w:t>
      </w:r>
      <w:r w:rsidRPr="00CD456D">
        <w:rPr>
          <w:lang w:val="es-ES_tradnl"/>
        </w:rPr>
        <w:tab/>
        <w:t>Promoció</w:t>
      </w:r>
      <w:r w:rsidR="007C46CF">
        <w:rPr>
          <w:lang w:val="es-ES_tradnl"/>
        </w:rPr>
        <w:t>n y comunicación</w:t>
      </w:r>
    </w:p>
    <w:p w:rsidR="00CD456D" w:rsidRPr="00CD456D" w:rsidRDefault="00CD456D" w:rsidP="00CD456D">
      <w:pPr>
        <w:rPr>
          <w:lang w:val="es-ES_tradnl"/>
        </w:rPr>
      </w:pPr>
      <w:r w:rsidRPr="00CD456D">
        <w:rPr>
          <w:lang w:val="es-ES_tradnl"/>
        </w:rPr>
        <w:t>Se han previsto varias actividades para promocionar el 25º aniversario, entre las que cabe citar las siguientes:</w:t>
      </w:r>
    </w:p>
    <w:p w:rsidR="00CD456D" w:rsidRPr="00CD456D" w:rsidRDefault="00CD456D" w:rsidP="00A645E6">
      <w:pPr>
        <w:pStyle w:val="enumlev1"/>
        <w:rPr>
          <w:lang w:val="es-ES_tradnl"/>
        </w:rPr>
      </w:pPr>
      <w:r w:rsidRPr="00CD456D">
        <w:rPr>
          <w:lang w:val="es-ES_tradnl"/>
        </w:rPr>
        <w:t>–</w:t>
      </w:r>
      <w:r w:rsidRPr="00CD456D">
        <w:rPr>
          <w:lang w:val="es-ES_tradnl"/>
        </w:rPr>
        <w:tab/>
      </w:r>
      <w:r w:rsidR="00A645E6">
        <w:rPr>
          <w:lang w:val="es-ES_tradnl"/>
        </w:rPr>
        <w:t>U</w:t>
      </w:r>
      <w:r w:rsidRPr="00CD456D">
        <w:rPr>
          <w:lang w:val="es-ES_tradnl"/>
        </w:rPr>
        <w:t>n logotipo especial para el 25º aniversario, con los colores oficiales de los Objetivos de Desarrollo Sostenible. El logotipo se utiliza en todo el material publicitario y en la correspondencia oficial. El logotipo también figura en la insignia del 25º aniversario que se distribuirá e</w:t>
      </w:r>
      <w:r>
        <w:rPr>
          <w:lang w:val="es-ES_tradnl"/>
        </w:rPr>
        <w:t>n los diversos eventos de 2017.</w:t>
      </w:r>
    </w:p>
    <w:p w:rsidR="00CD456D" w:rsidRPr="00CD456D" w:rsidRDefault="00CD456D" w:rsidP="00A645E6">
      <w:pPr>
        <w:pStyle w:val="enumlev1"/>
        <w:rPr>
          <w:lang w:val="es-ES_tradnl"/>
        </w:rPr>
      </w:pPr>
      <w:r w:rsidRPr="00CD456D">
        <w:rPr>
          <w:lang w:val="es-ES_tradnl"/>
        </w:rPr>
        <w:t>–</w:t>
      </w:r>
      <w:r w:rsidRPr="00CD456D">
        <w:rPr>
          <w:lang w:val="es-ES_tradnl"/>
        </w:rPr>
        <w:tab/>
        <w:t xml:space="preserve">Se ha creado una </w:t>
      </w:r>
      <w:hyperlink r:id="rId17" w:history="1">
        <w:r w:rsidRPr="00CD456D">
          <w:rPr>
            <w:rStyle w:val="Hyperlink"/>
            <w:lang w:val="es-ES_tradnl"/>
          </w:rPr>
          <w:t>página web</w:t>
        </w:r>
      </w:hyperlink>
      <w:r w:rsidRPr="00CD456D">
        <w:rPr>
          <w:lang w:val="es-ES_tradnl"/>
        </w:rPr>
        <w:t xml:space="preserve"> donde se describen los logros del UIT-D en los últimos 25</w:t>
      </w:r>
      <w:r w:rsidR="00A645E6">
        <w:rPr>
          <w:lang w:val="es-ES_tradnl"/>
        </w:rPr>
        <w:t> </w:t>
      </w:r>
      <w:r w:rsidRPr="00CD456D">
        <w:rPr>
          <w:lang w:val="es-ES_tradnl"/>
        </w:rPr>
        <w:t>años.</w:t>
      </w:r>
    </w:p>
    <w:p w:rsidR="00CD456D" w:rsidRPr="00CD456D" w:rsidRDefault="00CD456D" w:rsidP="00A645E6">
      <w:pPr>
        <w:pStyle w:val="enumlev1"/>
        <w:rPr>
          <w:lang w:val="es-ES_tradnl"/>
        </w:rPr>
      </w:pPr>
      <w:r w:rsidRPr="00CD456D">
        <w:rPr>
          <w:lang w:val="es-ES_tradnl"/>
        </w:rPr>
        <w:t>–</w:t>
      </w:r>
      <w:r w:rsidRPr="00CD456D">
        <w:rPr>
          <w:lang w:val="es-ES_tradnl"/>
        </w:rPr>
        <w:tab/>
        <w:t xml:space="preserve">También se están elaborando un folleto del </w:t>
      </w:r>
      <w:r w:rsidR="00A645E6">
        <w:rPr>
          <w:lang w:val="es-ES_tradnl"/>
        </w:rPr>
        <w:t>a</w:t>
      </w:r>
      <w:r w:rsidRPr="00CD456D">
        <w:rPr>
          <w:lang w:val="es-ES_tradnl"/>
        </w:rPr>
        <w:t xml:space="preserve">niversario, una galería de fotos históricas y diversos relatos, y se publicarán en la </w:t>
      </w:r>
      <w:r>
        <w:rPr>
          <w:lang w:val="es-ES_tradnl"/>
        </w:rPr>
        <w:t xml:space="preserve">página web del 25º </w:t>
      </w:r>
      <w:r w:rsidR="00A645E6">
        <w:rPr>
          <w:lang w:val="es-ES_tradnl"/>
        </w:rPr>
        <w:t>a</w:t>
      </w:r>
      <w:r>
        <w:rPr>
          <w:lang w:val="es-ES_tradnl"/>
        </w:rPr>
        <w:t>niversario.</w:t>
      </w:r>
    </w:p>
    <w:p w:rsidR="00CD456D" w:rsidRPr="00CD456D" w:rsidRDefault="00CD456D" w:rsidP="00CD456D">
      <w:pPr>
        <w:pStyle w:val="enumlev1"/>
        <w:rPr>
          <w:lang w:val="es-ES_tradnl"/>
        </w:rPr>
      </w:pPr>
      <w:r w:rsidRPr="00CD456D">
        <w:rPr>
          <w:lang w:val="es-ES_tradnl"/>
        </w:rPr>
        <w:t>–</w:t>
      </w:r>
      <w:r w:rsidRPr="00CD456D">
        <w:rPr>
          <w:lang w:val="es-ES_tradnl"/>
        </w:rPr>
        <w:tab/>
        <w:t>Los medios sociales serán un canal de comunicación importante y se utilizarán los hashtags #ITU-D25 y #ITUWTDC.</w:t>
      </w:r>
    </w:p>
    <w:p w:rsidR="00075C63" w:rsidRPr="00CD456D" w:rsidRDefault="00075C63" w:rsidP="00CD456D">
      <w:pPr>
        <w:rPr>
          <w:lang w:val="es-ES_tradnl"/>
        </w:rPr>
      </w:pPr>
    </w:p>
    <w:p w:rsidR="00D83BF5" w:rsidRDefault="00D83BF5" w:rsidP="00D83BF5">
      <w:pPr>
        <w:jc w:val="center"/>
        <w:rPr>
          <w:szCs w:val="24"/>
          <w:lang w:val="es-ES"/>
        </w:rPr>
      </w:pPr>
      <w:r w:rsidRPr="000B1248">
        <w:rPr>
          <w:szCs w:val="24"/>
          <w:lang w:val="es-ES"/>
        </w:rPr>
        <w:t>_______________</w:t>
      </w:r>
    </w:p>
    <w:sectPr w:rsidR="00D83BF5" w:rsidSect="0039169B">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50" w:rsidRDefault="003E3550">
      <w:r>
        <w:separator/>
      </w:r>
    </w:p>
  </w:endnote>
  <w:endnote w:type="continuationSeparator" w:id="0">
    <w:p w:rsidR="003E3550" w:rsidRDefault="003E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5313">
      <w:rPr>
        <w:noProof/>
        <w:lang w:val="en-US"/>
      </w:rPr>
      <w:t>P:\ESP\ITU-D\CONF-D\WTDC17\000\018S.docx</w:t>
    </w:r>
    <w:r>
      <w:fldChar w:fldCharType="end"/>
    </w:r>
    <w:r w:rsidRPr="0041348E">
      <w:rPr>
        <w:lang w:val="en-US"/>
      </w:rPr>
      <w:tab/>
    </w:r>
    <w:r>
      <w:fldChar w:fldCharType="begin"/>
    </w:r>
    <w:r>
      <w:instrText xml:space="preserve"> SAVEDATE \@ DD.MM.YY </w:instrText>
    </w:r>
    <w:r>
      <w:fldChar w:fldCharType="separate"/>
    </w:r>
    <w:r w:rsidR="00717B57">
      <w:rPr>
        <w:noProof/>
      </w:rPr>
      <w:t>12.07.17</w:t>
    </w:r>
    <w:r>
      <w:fldChar w:fldCharType="end"/>
    </w:r>
    <w:r w:rsidRPr="0041348E">
      <w:rPr>
        <w:lang w:val="en-US"/>
      </w:rPr>
      <w:tab/>
    </w:r>
    <w:r>
      <w:fldChar w:fldCharType="begin"/>
    </w:r>
    <w:r>
      <w:instrText xml:space="preserve"> PRINTDATE \@ DD.MM.YY </w:instrText>
    </w:r>
    <w:r>
      <w:fldChar w:fldCharType="separate"/>
    </w:r>
    <w:r w:rsidR="00405313">
      <w:rPr>
        <w:noProof/>
      </w:rPr>
      <w:t>12.07.17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C" w:rsidRPr="007C46CF" w:rsidRDefault="00E245CC" w:rsidP="007C46CF">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7C46CF" w:rsidTr="000B1248">
      <w:tc>
        <w:tcPr>
          <w:tcW w:w="1134"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D83BF5" w:rsidRPr="00CD456D" w:rsidRDefault="00CD456D" w:rsidP="00D83BF5">
          <w:pPr>
            <w:pStyle w:val="FirstFooter"/>
            <w:tabs>
              <w:tab w:val="left" w:pos="2302"/>
            </w:tabs>
            <w:ind w:left="2302" w:hanging="2302"/>
            <w:rPr>
              <w:sz w:val="18"/>
              <w:szCs w:val="18"/>
              <w:lang w:val="es-ES_tradnl"/>
            </w:rPr>
          </w:pPr>
          <w:bookmarkStart w:id="10" w:name="OrgName"/>
          <w:bookmarkEnd w:id="10"/>
          <w:r w:rsidRPr="00CD456D">
            <w:rPr>
              <w:sz w:val="18"/>
              <w:szCs w:val="18"/>
              <w:lang w:val="es-ES_tradnl"/>
            </w:rPr>
            <w:t>Sr. Jaroslaw Ponder, Coordinador para Europ</w:t>
          </w:r>
          <w:r w:rsidR="00405313">
            <w:rPr>
              <w:sz w:val="18"/>
              <w:szCs w:val="18"/>
              <w:lang w:val="es-ES_tradnl"/>
            </w:rPr>
            <w:t>a</w:t>
          </w:r>
        </w:p>
      </w:tc>
    </w:tr>
    <w:tr w:rsidR="00D83BF5" w:rsidRPr="004D495C" w:rsidTr="000B1248">
      <w:tc>
        <w:tcPr>
          <w:tcW w:w="1134" w:type="dxa"/>
          <w:shd w:val="clear" w:color="auto" w:fill="auto"/>
        </w:tcPr>
        <w:p w:rsidR="00D83BF5" w:rsidRPr="00CD456D" w:rsidRDefault="00D83BF5" w:rsidP="00D83BF5">
          <w:pPr>
            <w:pStyle w:val="FirstFooter"/>
            <w:tabs>
              <w:tab w:val="left" w:pos="1559"/>
              <w:tab w:val="left" w:pos="3828"/>
            </w:tabs>
            <w:rPr>
              <w:sz w:val="20"/>
              <w:lang w:val="es-ES_tradnl"/>
            </w:rPr>
          </w:pPr>
        </w:p>
      </w:tc>
      <w:tc>
        <w:tcPr>
          <w:tcW w:w="2552" w:type="dxa"/>
          <w:shd w:val="clear" w:color="auto" w:fill="auto"/>
        </w:tcPr>
        <w:p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rsidR="00D83BF5" w:rsidRPr="00050E06" w:rsidRDefault="00CD456D" w:rsidP="00D83BF5">
          <w:pPr>
            <w:pStyle w:val="FirstFooter"/>
            <w:tabs>
              <w:tab w:val="left" w:pos="2302"/>
            </w:tabs>
            <w:rPr>
              <w:sz w:val="18"/>
              <w:szCs w:val="18"/>
              <w:lang w:val="en-US"/>
            </w:rPr>
          </w:pPr>
          <w:bookmarkStart w:id="11" w:name="PhoneNo"/>
          <w:bookmarkEnd w:id="11"/>
          <w:r w:rsidRPr="00CD456D">
            <w:rPr>
              <w:sz w:val="18"/>
              <w:szCs w:val="18"/>
              <w:lang w:val="en-US"/>
            </w:rPr>
            <w:t>+41 79 599 1405</w:t>
          </w:r>
        </w:p>
      </w:tc>
    </w:tr>
    <w:tr w:rsidR="00D83BF5" w:rsidRPr="004D495C" w:rsidTr="000B1248">
      <w:tc>
        <w:tcPr>
          <w:tcW w:w="1134" w:type="dxa"/>
          <w:shd w:val="clear" w:color="auto" w:fill="auto"/>
        </w:tcPr>
        <w:p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12" w:name="Email"/>
      <w:bookmarkEnd w:id="12"/>
      <w:tc>
        <w:tcPr>
          <w:tcW w:w="6237" w:type="dxa"/>
          <w:shd w:val="clear" w:color="auto" w:fill="auto"/>
        </w:tcPr>
        <w:p w:rsidR="00D83BF5" w:rsidRPr="00050E06" w:rsidRDefault="00CD456D"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D456D">
            <w:rPr>
              <w:sz w:val="18"/>
              <w:szCs w:val="18"/>
              <w:lang w:val="en-US"/>
            </w:rPr>
            <w:instrText>eurregion@itu.int</w:instrText>
          </w:r>
          <w:r>
            <w:rPr>
              <w:sz w:val="18"/>
              <w:szCs w:val="18"/>
              <w:lang w:val="en-US"/>
            </w:rPr>
            <w:instrText xml:space="preserve">" </w:instrText>
          </w:r>
          <w:r>
            <w:rPr>
              <w:sz w:val="18"/>
              <w:szCs w:val="18"/>
              <w:lang w:val="en-US"/>
            </w:rPr>
            <w:fldChar w:fldCharType="separate"/>
          </w:r>
          <w:r w:rsidRPr="00450BA8">
            <w:rPr>
              <w:rStyle w:val="Hyperlink"/>
              <w:sz w:val="18"/>
              <w:szCs w:val="18"/>
              <w:lang w:val="en-US"/>
            </w:rPr>
            <w:t>eurregion@itu.int</w:t>
          </w:r>
          <w:r>
            <w:rPr>
              <w:sz w:val="18"/>
              <w:szCs w:val="18"/>
              <w:lang w:val="en-US"/>
            </w:rPr>
            <w:fldChar w:fldCharType="end"/>
          </w:r>
        </w:p>
      </w:tc>
    </w:tr>
  </w:tbl>
  <w:p w:rsidR="00D83BF5" w:rsidRPr="00784E03" w:rsidRDefault="00717B57" w:rsidP="008B61EA">
    <w:pPr>
      <w:jc w:val="center"/>
      <w:rPr>
        <w:sz w:val="20"/>
      </w:rPr>
    </w:pPr>
    <w:hyperlink r:id="rId1" w:history="1">
      <w:r w:rsidR="00C95D2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50" w:rsidRDefault="003E3550">
      <w:r>
        <w:rPr>
          <w:b/>
        </w:rPr>
        <w:t>_______________</w:t>
      </w:r>
    </w:p>
  </w:footnote>
  <w:footnote w:type="continuationSeparator" w:id="0">
    <w:p w:rsidR="003E3550" w:rsidRDefault="003E3550">
      <w:r>
        <w:continuationSeparator/>
      </w:r>
    </w:p>
  </w:footnote>
  <w:footnote w:id="1">
    <w:p w:rsidR="00CD456D" w:rsidRPr="00CD456D" w:rsidRDefault="00CD456D" w:rsidP="00CD456D">
      <w:pPr>
        <w:pStyle w:val="FootnoteText"/>
        <w:rPr>
          <w:lang w:val="es-ES_tradnl"/>
        </w:rPr>
      </w:pPr>
      <w:r>
        <w:rPr>
          <w:rStyle w:val="FootnoteReference"/>
        </w:rPr>
        <w:footnoteRef/>
      </w:r>
      <w:r w:rsidRPr="00CD456D">
        <w:rPr>
          <w:lang w:val="es-ES_tradnl"/>
        </w:rPr>
        <w:tab/>
        <w:t xml:space="preserve">"Los trabajos sustantivos de la UIT deben agruparse en tres Sectores: Desarrollo, Normalización y Radiocomunicaciones. El Sector de Normalización debe comprender las actividades de normalización del Comité Consultivo Internacional Telegráfico y Telefónico (CCITT) y algunas de las actividades de normalización que realiza el Comité Consultivo Internacional de Radiocomunicaciones (CCIR). El Sector de Radiocomunicaciones debe comprender la mayoría de las actividades restantes del CCIR y las de la Junta Internacional de Registro de Frecuencias (IFRB) y su secretaría especializada. La separación de responsabilidades entre los Sectores de Normalización y Radiocomunicaciones deben examinarse constantemente y </w:t>
      </w:r>
      <w:r w:rsidR="00A645E6">
        <w:rPr>
          <w:lang w:val="es-ES_tradnl"/>
        </w:rPr>
        <w:t>a</w:t>
      </w:r>
      <w:r w:rsidRPr="00CD456D">
        <w:rPr>
          <w:lang w:val="es-ES_tradnl"/>
        </w:rPr>
        <w:t>justarse cuando proceda para atender las necesidades cambiantes y garantizar la eficiencia. El Sector de Desarrollo debe comprender las actuales actividades de la Oficina de Desarrollo de las Telecomunicaciones (BDT). Las distintas funciones originalmente asignadas al Centro de Desarrollo de las Telecomunicaciones deben integrarse en la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57" w:rsidRDefault="00717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E0B7C" w:rsidRDefault="005E0B7C" w:rsidP="005E0B7C">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Pr>
        <w:sz w:val="22"/>
        <w:szCs w:val="22"/>
        <w:lang w:val="es-ES_tradnl"/>
      </w:rPr>
      <w:t>WTDC17/18</w:t>
    </w:r>
    <w:r w:rsidRPr="00A458C9">
      <w:rPr>
        <w:sz w:val="22"/>
        <w:szCs w:val="22"/>
        <w:lang w:val="es-ES_tradnl"/>
      </w:rPr>
      <w:t>-S</w:t>
    </w:r>
    <w:r w:rsidRPr="00A458C9">
      <w:rPr>
        <w:sz w:val="22"/>
        <w:szCs w:val="22"/>
        <w:lang w:val="es-ES_tradnl"/>
      </w:rPr>
      <w:tab/>
    </w:r>
    <w:r w:rsidRPr="00877904">
      <w:rPr>
        <w:rStyle w:val="PageNumber"/>
        <w:sz w:val="22"/>
        <w:szCs w:val="22"/>
        <w:lang w:val="es-ES_tradnl"/>
      </w:rPr>
      <w:t>Página</w:t>
    </w:r>
    <w:r w:rsidRPr="00A458C9">
      <w:rPr>
        <w:sz w:val="22"/>
        <w:szCs w:val="22"/>
        <w:lang w:val="es-ES_tradnl"/>
      </w:rPr>
      <w:t xml:space="preserve"> </w:t>
    </w:r>
    <w:r w:rsidRPr="00972BCD">
      <w:rPr>
        <w:sz w:val="22"/>
        <w:szCs w:val="22"/>
      </w:rPr>
      <w:fldChar w:fldCharType="begin"/>
    </w:r>
    <w:r w:rsidRPr="00A458C9">
      <w:rPr>
        <w:sz w:val="22"/>
        <w:szCs w:val="22"/>
        <w:lang w:val="es-ES_tradnl"/>
      </w:rPr>
      <w:instrText xml:space="preserve"> PAGE </w:instrText>
    </w:r>
    <w:r w:rsidRPr="00972BCD">
      <w:rPr>
        <w:sz w:val="22"/>
        <w:szCs w:val="22"/>
      </w:rPr>
      <w:fldChar w:fldCharType="separate"/>
    </w:r>
    <w:r w:rsidR="00717B57">
      <w:rPr>
        <w:noProof/>
        <w:sz w:val="22"/>
        <w:szCs w:val="22"/>
        <w:lang w:val="es-ES_tradnl"/>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57" w:rsidRDefault="00717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6491"/>
    <w:rsid w:val="00091346"/>
    <w:rsid w:val="000B1248"/>
    <w:rsid w:val="000F73FF"/>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52ACF"/>
    <w:rsid w:val="00271316"/>
    <w:rsid w:val="00296313"/>
    <w:rsid w:val="002D58BE"/>
    <w:rsid w:val="003013EE"/>
    <w:rsid w:val="00377BD3"/>
    <w:rsid w:val="00384088"/>
    <w:rsid w:val="0038489B"/>
    <w:rsid w:val="0039169B"/>
    <w:rsid w:val="003A7F8C"/>
    <w:rsid w:val="003B532E"/>
    <w:rsid w:val="003B6F14"/>
    <w:rsid w:val="003D0F8B"/>
    <w:rsid w:val="003E3550"/>
    <w:rsid w:val="00405313"/>
    <w:rsid w:val="004131D4"/>
    <w:rsid w:val="0041348E"/>
    <w:rsid w:val="00447308"/>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0B7C"/>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17B57"/>
    <w:rsid w:val="00733A30"/>
    <w:rsid w:val="00745AEE"/>
    <w:rsid w:val="007479EA"/>
    <w:rsid w:val="00750F10"/>
    <w:rsid w:val="007742CA"/>
    <w:rsid w:val="007C46CF"/>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45E6"/>
    <w:rsid w:val="00A710E7"/>
    <w:rsid w:val="00A7372E"/>
    <w:rsid w:val="00A93B85"/>
    <w:rsid w:val="00AA0B18"/>
    <w:rsid w:val="00AA666F"/>
    <w:rsid w:val="00AB4927"/>
    <w:rsid w:val="00B004E5"/>
    <w:rsid w:val="00B15F9D"/>
    <w:rsid w:val="00B639E9"/>
    <w:rsid w:val="00B817CD"/>
    <w:rsid w:val="00B911B2"/>
    <w:rsid w:val="00B951D0"/>
    <w:rsid w:val="00BA70B7"/>
    <w:rsid w:val="00BB29C8"/>
    <w:rsid w:val="00BB3A95"/>
    <w:rsid w:val="00BC0382"/>
    <w:rsid w:val="00C0018F"/>
    <w:rsid w:val="00C20466"/>
    <w:rsid w:val="00C214ED"/>
    <w:rsid w:val="00C234E6"/>
    <w:rsid w:val="00C324A8"/>
    <w:rsid w:val="00C54517"/>
    <w:rsid w:val="00C64CD8"/>
    <w:rsid w:val="00C73E39"/>
    <w:rsid w:val="00C95D2D"/>
    <w:rsid w:val="00C97C68"/>
    <w:rsid w:val="00CA1A47"/>
    <w:rsid w:val="00CB2BB6"/>
    <w:rsid w:val="00CC247A"/>
    <w:rsid w:val="00CD456D"/>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976C1"/>
    <w:rsid w:val="00EA12E5"/>
    <w:rsid w:val="00F02766"/>
    <w:rsid w:val="00F04067"/>
    <w:rsid w:val="00F05BD4"/>
    <w:rsid w:val="00F11A98"/>
    <w:rsid w:val="00F21A1D"/>
    <w:rsid w:val="00F65C19"/>
    <w:rsid w:val="00FA16F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PageNumber">
    <w:name w:val="page number"/>
    <w:basedOn w:val="DefaultParagraphFont"/>
    <w:rsid w:val="005E0B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ITU-D/Pages/ITU-D-25-Anniversar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en/itudsponsor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itu-d25/achievemen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25/timelin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elements/1.1/"/>
    <ds:schemaRef ds:uri="32a1a8c5-2265-4ebc-b7a0-2071e2c5c9bb"/>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4A22D5C-523A-4138-AE5B-736ACA98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859</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BDT - nd</cp:lastModifiedBy>
  <cp:revision>6</cp:revision>
  <cp:lastPrinted>2017-07-12T12:59:00Z</cp:lastPrinted>
  <dcterms:created xsi:type="dcterms:W3CDTF">2017-07-12T12:48:00Z</dcterms:created>
  <dcterms:modified xsi:type="dcterms:W3CDTF">2017-08-22T12:23:00Z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