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69FCF" w14:textId="08C0BFFA" w:rsidR="00D51DB5" w:rsidRPr="00761EB7" w:rsidRDefault="00DB3517" w:rsidP="003F63ED">
      <w:pPr>
        <w:pStyle w:val="AppendixNo"/>
        <w:rPr>
          <w:lang w:val="es-ES_tradnl"/>
        </w:rPr>
      </w:pPr>
      <w:r w:rsidRPr="00761EB7">
        <w:rPr>
          <w:lang w:val="es-ES_tradnl"/>
        </w:rPr>
        <w:t xml:space="preserve">APÉNDICE </w:t>
      </w:r>
      <w:r w:rsidR="00D51DB5" w:rsidRPr="00761EB7">
        <w:rPr>
          <w:lang w:val="es-ES_tradnl"/>
        </w:rPr>
        <w:t>1</w:t>
      </w:r>
      <w:r w:rsidR="00D51DB5" w:rsidRPr="00761EB7">
        <w:rPr>
          <w:lang w:val="es-ES_tradnl"/>
        </w:rPr>
        <w:br/>
      </w:r>
      <w:r w:rsidR="003106DB" w:rsidRPr="00761EB7">
        <w:rPr>
          <w:lang w:val="es-ES_tradnl"/>
        </w:rPr>
        <w:t>DE</w:t>
      </w:r>
      <w:r w:rsidR="00D51DB5" w:rsidRPr="00761EB7">
        <w:rPr>
          <w:lang w:val="es-ES_tradnl"/>
        </w:rPr>
        <w:t xml:space="preserve"> </w:t>
      </w:r>
      <w:r w:rsidR="003F63ED">
        <w:rPr>
          <w:lang w:val="es-ES_tradnl"/>
        </w:rPr>
        <w:t>CMDT</w:t>
      </w:r>
      <w:r w:rsidR="00D51DB5" w:rsidRPr="00761EB7">
        <w:rPr>
          <w:lang w:val="es-ES_tradnl"/>
        </w:rPr>
        <w:t>-17/10</w:t>
      </w:r>
    </w:p>
    <w:p w14:paraId="7F7DD4EA" w14:textId="60D81296" w:rsidR="00D51DB5" w:rsidRPr="00761EB7" w:rsidRDefault="003106DB" w:rsidP="001C00BC">
      <w:pPr>
        <w:pStyle w:val="Appendixtitle"/>
        <w:rPr>
          <w:lang w:val="es-ES_tradnl"/>
        </w:rPr>
      </w:pPr>
      <w:r w:rsidRPr="00761EB7">
        <w:rPr>
          <w:lang w:val="es-ES_tradnl"/>
        </w:rPr>
        <w:t xml:space="preserve">Cuadro refundido de todas las propuestas presentadas por los </w:t>
      </w:r>
      <w:r w:rsidR="00C730B9" w:rsidRPr="00761EB7">
        <w:rPr>
          <w:lang w:val="es-ES_tradnl"/>
        </w:rPr>
        <w:t xml:space="preserve">miembros </w:t>
      </w:r>
      <w:r w:rsidRPr="00761EB7">
        <w:rPr>
          <w:lang w:val="es-ES_tradnl"/>
        </w:rPr>
        <w:t xml:space="preserve">a las RPR </w:t>
      </w:r>
      <w:r w:rsidR="001C00BC" w:rsidRPr="00761EB7">
        <w:rPr>
          <w:lang w:val="es-ES_tradnl"/>
        </w:rPr>
        <w:br/>
      </w:r>
      <w:r w:rsidRPr="00761EB7">
        <w:rPr>
          <w:lang w:val="es-ES_tradnl"/>
        </w:rPr>
        <w:t>en relación con el</w:t>
      </w:r>
      <w:r w:rsidR="00D51DB5" w:rsidRPr="00761EB7">
        <w:rPr>
          <w:lang w:val="es-ES_tradnl"/>
        </w:rPr>
        <w:t xml:space="preserve"> </w:t>
      </w:r>
      <w:r w:rsidR="00CD2E45" w:rsidRPr="00761EB7">
        <w:rPr>
          <w:lang w:val="es-ES_tradnl"/>
        </w:rPr>
        <w:t>Reglamento Interno del UIT-D (Resolución 1 de la CMDT)</w:t>
      </w:r>
      <w:bookmarkStart w:id="0" w:name="_GoBack"/>
      <w:bookmarkEnd w:id="0"/>
    </w:p>
    <w:p w14:paraId="195E0A93" w14:textId="77777777" w:rsidR="00D51DB5" w:rsidRPr="00761EB7" w:rsidRDefault="00D51DB5" w:rsidP="004D6AC2">
      <w:pPr>
        <w:rPr>
          <w:i/>
          <w:iCs/>
          <w:lang w:val="es-ES_tradnl"/>
        </w:rPr>
      </w:pPr>
      <w:r w:rsidRPr="00761EB7">
        <w:rPr>
          <w:b/>
          <w:bCs/>
          <w:i/>
          <w:iCs/>
          <w:lang w:val="es-ES_tradnl"/>
        </w:rPr>
        <w:t>Not</w:t>
      </w:r>
      <w:r w:rsidR="003106DB" w:rsidRPr="00761EB7">
        <w:rPr>
          <w:b/>
          <w:bCs/>
          <w:i/>
          <w:iCs/>
          <w:lang w:val="es-ES_tradnl"/>
        </w:rPr>
        <w:t>a</w:t>
      </w:r>
      <w:r w:rsidRPr="00761EB7">
        <w:rPr>
          <w:b/>
          <w:bCs/>
          <w:i/>
          <w:iCs/>
          <w:lang w:val="es-ES_tradnl"/>
        </w:rPr>
        <w:t>s:</w:t>
      </w:r>
      <w:r w:rsidRPr="00761EB7">
        <w:rPr>
          <w:i/>
          <w:iCs/>
          <w:lang w:val="es-ES_tradnl"/>
        </w:rPr>
        <w:t xml:space="preserve"> 1) </w:t>
      </w:r>
      <w:r w:rsidR="003106DB" w:rsidRPr="00761EB7">
        <w:rPr>
          <w:i/>
          <w:iCs/>
          <w:lang w:val="es-ES_tradnl"/>
        </w:rPr>
        <w:t xml:space="preserve">Con </w:t>
      </w:r>
      <w:r w:rsidR="003106DB" w:rsidRPr="00761EB7">
        <w:rPr>
          <w:rFonts w:ascii="Calibri" w:hAnsi="Calibri"/>
          <w:i/>
          <w:iCs/>
          <w:shd w:val="clear" w:color="auto" w:fill="F2F2F2" w:themeFill="background1" w:themeFillShade="F2"/>
          <w:lang w:val="es-ES_tradnl"/>
        </w:rPr>
        <w:t>fondo gris</w:t>
      </w:r>
      <w:r w:rsidR="003106DB" w:rsidRPr="00761EB7">
        <w:rPr>
          <w:i/>
          <w:iCs/>
          <w:lang w:val="es-ES_tradnl"/>
        </w:rPr>
        <w:t xml:space="preserve"> se presentan los debates generales sostenidos en las RPR en el marco del punto del orden del día relativo al Grupo por Correspondencia del GADT sobre el Reglamento Interno del UIT</w:t>
      </w:r>
      <w:r w:rsidRPr="00761EB7">
        <w:rPr>
          <w:i/>
          <w:iCs/>
          <w:lang w:val="es-ES_tradnl"/>
        </w:rPr>
        <w:t>-D (</w:t>
      </w:r>
      <w:r w:rsidR="003106DB" w:rsidRPr="00761EB7">
        <w:rPr>
          <w:i/>
          <w:iCs/>
          <w:lang w:val="es-ES_tradnl"/>
        </w:rPr>
        <w:t>G</w:t>
      </w:r>
      <w:r w:rsidRPr="00761EB7">
        <w:rPr>
          <w:i/>
          <w:iCs/>
          <w:lang w:val="es-ES_tradnl"/>
        </w:rPr>
        <w:t>C-Res1).</w:t>
      </w:r>
    </w:p>
    <w:p w14:paraId="47C85CBA" w14:textId="77777777" w:rsidR="00D51DB5" w:rsidRPr="00761EB7" w:rsidRDefault="00D51DB5" w:rsidP="004D6AC2">
      <w:pPr>
        <w:rPr>
          <w:i/>
          <w:iCs/>
          <w:lang w:val="es-ES_tradnl"/>
        </w:rPr>
      </w:pPr>
      <w:r w:rsidRPr="00761EB7">
        <w:rPr>
          <w:i/>
          <w:iCs/>
          <w:lang w:val="es-ES_tradnl"/>
        </w:rPr>
        <w:t xml:space="preserve">2) </w:t>
      </w:r>
      <w:r w:rsidR="003106DB" w:rsidRPr="00761EB7">
        <w:rPr>
          <w:i/>
          <w:iCs/>
          <w:lang w:val="es-ES_tradnl"/>
        </w:rPr>
        <w:t xml:space="preserve">Con </w:t>
      </w:r>
      <w:r w:rsidR="003106DB" w:rsidRPr="00761EB7">
        <w:rPr>
          <w:i/>
          <w:iCs/>
          <w:shd w:val="clear" w:color="auto" w:fill="DBE5F1" w:themeFill="accent1" w:themeFillTint="33"/>
          <w:lang w:val="es-ES_tradnl"/>
        </w:rPr>
        <w:t>fondo azul</w:t>
      </w:r>
      <w:r w:rsidR="003106DB" w:rsidRPr="00761EB7">
        <w:rPr>
          <w:i/>
          <w:iCs/>
          <w:lang w:val="es-ES_tradnl"/>
        </w:rPr>
        <w:t xml:space="preserve"> se muestran los documentos acordados como propuestas regionales.</w:t>
      </w:r>
    </w:p>
    <w:p w14:paraId="6C9A35AB" w14:textId="77777777" w:rsidR="00D51DB5" w:rsidRPr="00761EB7" w:rsidRDefault="00D51DB5" w:rsidP="004D6AC2">
      <w:pPr>
        <w:spacing w:before="0"/>
        <w:rPr>
          <w:szCs w:val="24"/>
          <w:lang w:val="es-ES_tradnl"/>
        </w:rPr>
      </w:pPr>
    </w:p>
    <w:tbl>
      <w:tblPr>
        <w:tblStyle w:val="TableGrid"/>
        <w:tblW w:w="14737" w:type="dxa"/>
        <w:tblLook w:val="04A0" w:firstRow="1" w:lastRow="0" w:firstColumn="1" w:lastColumn="0" w:noHBand="0" w:noVBand="1"/>
      </w:tblPr>
      <w:tblGrid>
        <w:gridCol w:w="2122"/>
        <w:gridCol w:w="1701"/>
        <w:gridCol w:w="7512"/>
        <w:gridCol w:w="3402"/>
      </w:tblGrid>
      <w:tr w:rsidR="00D51DB5" w:rsidRPr="00761EB7" w14:paraId="588133AA" w14:textId="77777777" w:rsidTr="00286B79">
        <w:tc>
          <w:tcPr>
            <w:tcW w:w="14737" w:type="dxa"/>
            <w:gridSpan w:val="4"/>
            <w:tcBorders>
              <w:bottom w:val="single" w:sz="4" w:space="0" w:color="auto"/>
            </w:tcBorders>
            <w:shd w:val="clear" w:color="auto" w:fill="FFFFFF" w:themeFill="background1"/>
          </w:tcPr>
          <w:p w14:paraId="7309C2C0" w14:textId="77777777" w:rsidR="00D51DB5" w:rsidRPr="00761EB7" w:rsidRDefault="00D51DB5" w:rsidP="004D6AC2">
            <w:pPr>
              <w:rPr>
                <w:b/>
                <w:bCs/>
                <w:color w:val="800000"/>
                <w:sz w:val="22"/>
                <w:lang w:val="es-ES_tradnl"/>
              </w:rPr>
            </w:pPr>
            <w:r w:rsidRPr="00761EB7">
              <w:rPr>
                <w:b/>
                <w:bCs/>
                <w:lang w:val="es-ES_tradnl"/>
              </w:rPr>
              <w:t>RP</w:t>
            </w:r>
            <w:r w:rsidR="003106DB" w:rsidRPr="00761EB7">
              <w:rPr>
                <w:b/>
                <w:bCs/>
                <w:lang w:val="es-ES_tradnl"/>
              </w:rPr>
              <w:t>R</w:t>
            </w:r>
            <w:r w:rsidRPr="00761EB7">
              <w:rPr>
                <w:b/>
                <w:bCs/>
                <w:lang w:val="es-ES_tradnl"/>
              </w:rPr>
              <w:t>-</w:t>
            </w:r>
            <w:r w:rsidR="00F84CC6" w:rsidRPr="00761EB7">
              <w:rPr>
                <w:b/>
                <w:bCs/>
                <w:lang w:val="es-ES_tradnl"/>
              </w:rPr>
              <w:t>CEI</w:t>
            </w:r>
          </w:p>
        </w:tc>
      </w:tr>
      <w:tr w:rsidR="004E293E" w:rsidRPr="00761EB7" w14:paraId="257E2865" w14:textId="77777777" w:rsidTr="00286B79">
        <w:tc>
          <w:tcPr>
            <w:tcW w:w="2122" w:type="dxa"/>
            <w:shd w:val="clear" w:color="auto" w:fill="F2F2F2" w:themeFill="background1" w:themeFillShade="F2"/>
          </w:tcPr>
          <w:p w14:paraId="6FA7DA98" w14:textId="77777777" w:rsidR="00D51DB5" w:rsidRPr="00761EB7" w:rsidRDefault="00D51DB5" w:rsidP="004D6AC2">
            <w:pPr>
              <w:rPr>
                <w:lang w:val="es-ES_tradnl"/>
              </w:rPr>
            </w:pPr>
            <w:r w:rsidRPr="00761EB7">
              <w:rPr>
                <w:b/>
                <w:bCs/>
                <w:lang w:val="es-ES_tradnl"/>
              </w:rPr>
              <w:t>Document</w:t>
            </w:r>
            <w:r w:rsidR="003106DB" w:rsidRPr="00761EB7">
              <w:rPr>
                <w:b/>
                <w:bCs/>
                <w:lang w:val="es-ES_tradnl"/>
              </w:rPr>
              <w:t>o</w:t>
            </w:r>
          </w:p>
        </w:tc>
        <w:tc>
          <w:tcPr>
            <w:tcW w:w="1701" w:type="dxa"/>
            <w:shd w:val="clear" w:color="auto" w:fill="F2F2F2" w:themeFill="background1" w:themeFillShade="F2"/>
          </w:tcPr>
          <w:p w14:paraId="1579F142" w14:textId="77777777" w:rsidR="00D51DB5" w:rsidRPr="00761EB7" w:rsidRDefault="003106DB" w:rsidP="004D6AC2">
            <w:pPr>
              <w:rPr>
                <w:lang w:val="es-ES_tradnl"/>
              </w:rPr>
            </w:pPr>
            <w:r w:rsidRPr="00761EB7">
              <w:rPr>
                <w:b/>
                <w:bCs/>
                <w:lang w:val="es-ES_tradnl"/>
              </w:rPr>
              <w:t>Origen</w:t>
            </w:r>
          </w:p>
        </w:tc>
        <w:tc>
          <w:tcPr>
            <w:tcW w:w="7512" w:type="dxa"/>
            <w:shd w:val="clear" w:color="auto" w:fill="F2F2F2" w:themeFill="background1" w:themeFillShade="F2"/>
          </w:tcPr>
          <w:p w14:paraId="02292428" w14:textId="77777777" w:rsidR="00D51DB5" w:rsidRPr="00761EB7" w:rsidRDefault="003106DB" w:rsidP="004D6AC2">
            <w:pPr>
              <w:rPr>
                <w:lang w:val="es-ES_tradnl"/>
              </w:rPr>
            </w:pPr>
            <w:r w:rsidRPr="00761EB7">
              <w:rPr>
                <w:b/>
                <w:bCs/>
                <w:lang w:val="es-ES_tradnl"/>
              </w:rPr>
              <w:t>Propuesta</w:t>
            </w:r>
          </w:p>
        </w:tc>
        <w:tc>
          <w:tcPr>
            <w:tcW w:w="3402" w:type="dxa"/>
            <w:shd w:val="clear" w:color="auto" w:fill="F2F2F2" w:themeFill="background1" w:themeFillShade="F2"/>
          </w:tcPr>
          <w:p w14:paraId="7F5CC854" w14:textId="77777777" w:rsidR="00D51DB5" w:rsidRPr="00761EB7" w:rsidRDefault="003106DB" w:rsidP="004D6AC2">
            <w:pPr>
              <w:rPr>
                <w:lang w:val="es-ES_tradnl"/>
              </w:rPr>
            </w:pPr>
            <w:r w:rsidRPr="00761EB7">
              <w:rPr>
                <w:b/>
                <w:bCs/>
                <w:lang w:val="es-ES_tradnl"/>
              </w:rPr>
              <w:t>Tema principal</w:t>
            </w:r>
          </w:p>
        </w:tc>
      </w:tr>
      <w:tr w:rsidR="004E293E" w:rsidRPr="003F63ED" w14:paraId="343D2F0A" w14:textId="77777777" w:rsidTr="00286B79">
        <w:tc>
          <w:tcPr>
            <w:tcW w:w="2122" w:type="dxa"/>
            <w:shd w:val="clear" w:color="auto" w:fill="F2F2F2" w:themeFill="background1" w:themeFillShade="F2"/>
          </w:tcPr>
          <w:p w14:paraId="73E0680E" w14:textId="0BDFAC82" w:rsidR="00D51DB5" w:rsidRPr="00761EB7" w:rsidRDefault="003106DB" w:rsidP="004D6AC2">
            <w:pPr>
              <w:rPr>
                <w:lang w:val="es-ES_tradnl"/>
              </w:rPr>
            </w:pPr>
            <w:r w:rsidRPr="00761EB7">
              <w:rPr>
                <w:lang w:val="es-ES_tradnl"/>
              </w:rPr>
              <w:t xml:space="preserve">Observaciones sobre </w:t>
            </w:r>
            <w:r w:rsidR="00EC0809" w:rsidRPr="00761EB7">
              <w:rPr>
                <w:lang w:val="es-ES_tradnl"/>
              </w:rPr>
              <w:br/>
            </w:r>
            <w:hyperlink r:id="rId12" w:history="1">
              <w:r w:rsidR="00D51DB5" w:rsidRPr="00761EB7">
                <w:rPr>
                  <w:rStyle w:val="Hyperlink"/>
                  <w:lang w:val="es-ES_tradnl"/>
                </w:rPr>
                <w:t>RPM-CIS16/10-E</w:t>
              </w:r>
            </w:hyperlink>
            <w:r w:rsidR="00D51DB5" w:rsidRPr="00761EB7">
              <w:rPr>
                <w:lang w:val="es-ES_tradnl"/>
              </w:rPr>
              <w:t xml:space="preserve"> </w:t>
            </w:r>
            <w:r w:rsidRPr="00761EB7">
              <w:rPr>
                <w:lang w:val="es-ES_tradnl"/>
              </w:rPr>
              <w:t>en el Informe del Presidente</w:t>
            </w:r>
            <w:r w:rsidR="00D51DB5" w:rsidRPr="00761EB7">
              <w:rPr>
                <w:lang w:val="es-ES_tradnl"/>
              </w:rPr>
              <w:t xml:space="preserve"> </w:t>
            </w:r>
            <w:r w:rsidR="00EC0809" w:rsidRPr="00761EB7">
              <w:rPr>
                <w:lang w:val="es-ES_tradnl"/>
              </w:rPr>
              <w:br/>
            </w:r>
            <w:hyperlink r:id="rId13" w:history="1">
              <w:r w:rsidR="00D51DB5" w:rsidRPr="00761EB7">
                <w:rPr>
                  <w:rStyle w:val="Hyperlink"/>
                  <w:lang w:val="es-ES_tradnl"/>
                </w:rPr>
                <w:t>RPM-CIS16/44-E</w:t>
              </w:r>
            </w:hyperlink>
          </w:p>
        </w:tc>
        <w:tc>
          <w:tcPr>
            <w:tcW w:w="1701" w:type="dxa"/>
            <w:shd w:val="clear" w:color="auto" w:fill="F2F2F2" w:themeFill="background1" w:themeFillShade="F2"/>
          </w:tcPr>
          <w:p w14:paraId="0304D83A" w14:textId="77777777" w:rsidR="00D51DB5" w:rsidRPr="00761EB7" w:rsidRDefault="003106DB" w:rsidP="004D6AC2">
            <w:pPr>
              <w:rPr>
                <w:lang w:val="es-ES_tradnl"/>
              </w:rPr>
            </w:pPr>
            <w:r w:rsidRPr="00761EB7">
              <w:rPr>
                <w:lang w:val="es-ES_tradnl"/>
              </w:rPr>
              <w:t>Presidente de la RPR-CEI</w:t>
            </w:r>
          </w:p>
        </w:tc>
        <w:tc>
          <w:tcPr>
            <w:tcW w:w="7512" w:type="dxa"/>
            <w:shd w:val="clear" w:color="auto" w:fill="F2F2F2" w:themeFill="background1" w:themeFillShade="F2"/>
          </w:tcPr>
          <w:p w14:paraId="6BE7D55A" w14:textId="77777777" w:rsidR="00D51DB5" w:rsidRPr="00761EB7" w:rsidRDefault="003106DB" w:rsidP="004D6AC2">
            <w:pPr>
              <w:rPr>
                <w:rFonts w:ascii="Calibri" w:hAnsi="Calibri"/>
                <w:b/>
                <w:i/>
                <w:iCs/>
                <w:lang w:val="es-ES_tradnl"/>
              </w:rPr>
            </w:pPr>
            <w:r w:rsidRPr="00761EB7">
              <w:rPr>
                <w:rFonts w:ascii="Calibri" w:hAnsi="Calibri"/>
                <w:b/>
                <w:i/>
                <w:iCs/>
                <w:lang w:val="es-ES_tradnl"/>
              </w:rPr>
              <w:t>Debate general</w:t>
            </w:r>
          </w:p>
          <w:p w14:paraId="37F0C4F3" w14:textId="77777777" w:rsidR="00D51DB5" w:rsidRPr="00761EB7" w:rsidRDefault="004B7FA1" w:rsidP="004D6AC2">
            <w:pPr>
              <w:rPr>
                <w:rFonts w:ascii="Calibri" w:hAnsi="Calibri"/>
                <w:lang w:val="es-ES_tradnl"/>
              </w:rPr>
            </w:pPr>
            <w:r w:rsidRPr="00761EB7">
              <w:rPr>
                <w:rFonts w:ascii="Calibri" w:hAnsi="Calibri"/>
                <w:lang w:val="es-ES_tradnl"/>
              </w:rPr>
              <w:t>La RPR-CEI agradeció las revisiones propuestas a la Resolución 1 consignadas en el Documento 10 (Rev.1). También agradeció la propuesta de fusionar las Resoluciones 1 y 31 propuestas en el Documento 23 y la propuesta de revisión de la Resolución 1 incluida en el Documento 27. Además, acogió con satisfacción la propuesta de revisión de la Resolución 1 consignadas en el Documento 28, y sugirió que se explicara esta propuesta. Habida cuenta del número de propuestas relativas a la revisión de la Resolución 1, la RPR-CEI convino en que todas esas propuestas debería incluirse en una propuesta común refundida de la CRC sobre la revisión de la Resolución 1.</w:t>
            </w:r>
          </w:p>
        </w:tc>
        <w:tc>
          <w:tcPr>
            <w:tcW w:w="3402" w:type="dxa"/>
            <w:shd w:val="clear" w:color="auto" w:fill="F2F2F2" w:themeFill="background1" w:themeFillShade="F2"/>
          </w:tcPr>
          <w:p w14:paraId="2AC0745F" w14:textId="77777777" w:rsidR="00D51DB5" w:rsidRPr="00761EB7" w:rsidRDefault="00D51DB5" w:rsidP="004D6AC2">
            <w:pPr>
              <w:rPr>
                <w:lang w:val="es-ES_tradnl"/>
              </w:rPr>
            </w:pPr>
          </w:p>
        </w:tc>
      </w:tr>
      <w:tr w:rsidR="00A4352F" w:rsidRPr="003F63ED" w14:paraId="74BB83B5" w14:textId="77777777" w:rsidTr="00286B79">
        <w:tc>
          <w:tcPr>
            <w:tcW w:w="2122" w:type="dxa"/>
            <w:tcBorders>
              <w:bottom w:val="single" w:sz="4" w:space="0" w:color="auto"/>
            </w:tcBorders>
            <w:shd w:val="clear" w:color="auto" w:fill="DBE5F1" w:themeFill="accent1" w:themeFillTint="33"/>
          </w:tcPr>
          <w:p w14:paraId="2A4253E6" w14:textId="77777777" w:rsidR="00D51DB5" w:rsidRPr="00761EB7" w:rsidRDefault="003F63ED" w:rsidP="004D6AC2">
            <w:pPr>
              <w:rPr>
                <w:lang w:val="es-ES_tradnl"/>
              </w:rPr>
            </w:pPr>
            <w:hyperlink r:id="rId14" w:history="1">
              <w:r w:rsidR="00D51DB5" w:rsidRPr="00761EB7">
                <w:rPr>
                  <w:rStyle w:val="Hyperlink"/>
                  <w:lang w:val="es-ES_tradnl"/>
                </w:rPr>
                <w:t>RPM-CIS16/28-E</w:t>
              </w:r>
            </w:hyperlink>
          </w:p>
        </w:tc>
        <w:tc>
          <w:tcPr>
            <w:tcW w:w="1701" w:type="dxa"/>
            <w:tcBorders>
              <w:bottom w:val="single" w:sz="4" w:space="0" w:color="auto"/>
            </w:tcBorders>
            <w:shd w:val="clear" w:color="auto" w:fill="DBE5F1" w:themeFill="accent1" w:themeFillTint="33"/>
          </w:tcPr>
          <w:p w14:paraId="4D995A0C" w14:textId="77777777" w:rsidR="00D51DB5" w:rsidRPr="00761EB7" w:rsidRDefault="00162CB5" w:rsidP="004D6AC2">
            <w:pPr>
              <w:rPr>
                <w:lang w:val="es-ES_tradnl"/>
              </w:rPr>
            </w:pPr>
            <w:r w:rsidRPr="00761EB7">
              <w:rPr>
                <w:lang w:val="es-ES_tradnl"/>
              </w:rPr>
              <w:t>Federación de Rusia</w:t>
            </w:r>
          </w:p>
        </w:tc>
        <w:tc>
          <w:tcPr>
            <w:tcW w:w="7512" w:type="dxa"/>
            <w:tcBorders>
              <w:bottom w:val="single" w:sz="4" w:space="0" w:color="auto"/>
            </w:tcBorders>
            <w:shd w:val="clear" w:color="auto" w:fill="DBE5F1" w:themeFill="accent1" w:themeFillTint="33"/>
          </w:tcPr>
          <w:p w14:paraId="0F2060BE" w14:textId="77777777" w:rsidR="00D51DB5" w:rsidRPr="00761EB7" w:rsidRDefault="00162CB5" w:rsidP="004D6AC2">
            <w:pPr>
              <w:rPr>
                <w:lang w:val="es-ES_tradnl"/>
              </w:rPr>
            </w:pPr>
            <w:r w:rsidRPr="00761EB7">
              <w:rPr>
                <w:lang w:val="es-ES_tradnl"/>
              </w:rPr>
              <w:t>En este documento se propone revisar la Resolución</w:t>
            </w:r>
            <w:r w:rsidR="00D51DB5" w:rsidRPr="00761EB7">
              <w:rPr>
                <w:lang w:val="es-ES_tradnl"/>
              </w:rPr>
              <w:t xml:space="preserve"> 1 (Rev. Dub</w:t>
            </w:r>
            <w:r w:rsidRPr="00761EB7">
              <w:rPr>
                <w:lang w:val="es-ES_tradnl"/>
              </w:rPr>
              <w:t>á</w:t>
            </w:r>
            <w:r w:rsidR="00D51DB5" w:rsidRPr="00761EB7">
              <w:rPr>
                <w:lang w:val="es-ES_tradnl"/>
              </w:rPr>
              <w:t xml:space="preserve">i, 2014), </w:t>
            </w:r>
            <w:r w:rsidRPr="00761EB7">
              <w:rPr>
                <w:lang w:val="es-ES_tradnl"/>
              </w:rPr>
              <w:t>Reglamento Interno del Sector de Desarrollo de las Telecomunicaciones de la UIT</w:t>
            </w:r>
            <w:r w:rsidR="00D51DB5" w:rsidRPr="00761EB7">
              <w:rPr>
                <w:lang w:val="es-ES_tradnl"/>
              </w:rPr>
              <w:t xml:space="preserve">, </w:t>
            </w:r>
            <w:r w:rsidRPr="00761EB7">
              <w:rPr>
                <w:lang w:val="es-ES_tradnl"/>
              </w:rPr>
              <w:t>modificando la parte relativa a la estructuras de las Comisiones de Estudio y sus grupos pertinentes</w:t>
            </w:r>
            <w:r w:rsidR="00D51DB5" w:rsidRPr="00761EB7">
              <w:rPr>
                <w:lang w:val="es-ES_tradnl"/>
              </w:rPr>
              <w:t>.</w:t>
            </w:r>
            <w:r w:rsidR="00E04687" w:rsidRPr="00761EB7">
              <w:rPr>
                <w:b/>
                <w:color w:val="800000"/>
                <w:sz w:val="22"/>
                <w:lang w:val="es-ES_tradnl"/>
              </w:rPr>
              <w:t xml:space="preserve"> </w:t>
            </w:r>
            <w:r w:rsidR="00E04687" w:rsidRPr="00761EB7">
              <w:rPr>
                <w:lang w:val="es-ES_tradnl"/>
              </w:rPr>
              <w:t xml:space="preserve">La contribución propone armonizar los procedimientos relacionados con </w:t>
            </w:r>
            <w:r w:rsidRPr="00761EB7">
              <w:rPr>
                <w:lang w:val="es-ES_tradnl"/>
              </w:rPr>
              <w:t xml:space="preserve">la creación de las </w:t>
            </w:r>
            <w:r w:rsidR="00E04687" w:rsidRPr="00761EB7">
              <w:rPr>
                <w:lang w:val="es-ES_tradnl"/>
              </w:rPr>
              <w:t xml:space="preserve">Comisiones de Estudio </w:t>
            </w:r>
            <w:r w:rsidR="00E04687" w:rsidRPr="00761EB7">
              <w:rPr>
                <w:lang w:val="es-ES_tradnl"/>
              </w:rPr>
              <w:lastRenderedPageBreak/>
              <w:t>del UIT</w:t>
            </w:r>
            <w:r w:rsidR="00E04687" w:rsidRPr="00761EB7">
              <w:rPr>
                <w:lang w:val="es-ES_tradnl"/>
              </w:rPr>
              <w:noBreakHyphen/>
              <w:t xml:space="preserve">D </w:t>
            </w:r>
            <w:r w:rsidRPr="00761EB7">
              <w:rPr>
                <w:lang w:val="es-ES_tradnl"/>
              </w:rPr>
              <w:t xml:space="preserve">y sus Grupos </w:t>
            </w:r>
            <w:r w:rsidR="00E04687" w:rsidRPr="00761EB7">
              <w:rPr>
                <w:lang w:val="es-ES_tradnl"/>
              </w:rPr>
              <w:t xml:space="preserve">con los de otros Sectores y proporcionar directrices </w:t>
            </w:r>
            <w:r w:rsidRPr="00761EB7">
              <w:rPr>
                <w:lang w:val="es-ES_tradnl"/>
              </w:rPr>
              <w:t>para</w:t>
            </w:r>
            <w:r w:rsidR="00E04687" w:rsidRPr="00761EB7">
              <w:rPr>
                <w:lang w:val="es-ES_tradnl"/>
              </w:rPr>
              <w:t xml:space="preserve"> los Grupos de Trabajo</w:t>
            </w:r>
            <w:r w:rsidR="00D51DB5" w:rsidRPr="00761EB7">
              <w:rPr>
                <w:lang w:val="es-ES_tradnl"/>
              </w:rPr>
              <w:t>.</w:t>
            </w:r>
          </w:p>
        </w:tc>
        <w:tc>
          <w:tcPr>
            <w:tcW w:w="3402" w:type="dxa"/>
            <w:tcBorders>
              <w:bottom w:val="single" w:sz="4" w:space="0" w:color="auto"/>
            </w:tcBorders>
            <w:shd w:val="clear" w:color="auto" w:fill="DBE5F1" w:themeFill="accent1" w:themeFillTint="33"/>
          </w:tcPr>
          <w:p w14:paraId="682C1F74" w14:textId="4FF3A129" w:rsidR="00D51DB5" w:rsidRPr="00761EB7" w:rsidRDefault="00D51DB5" w:rsidP="004D6AC2">
            <w:pPr>
              <w:pStyle w:val="ListParagraph"/>
              <w:numPr>
                <w:ilvl w:val="0"/>
                <w:numId w:val="11"/>
              </w:numPr>
              <w:tabs>
                <w:tab w:val="clear" w:pos="794"/>
                <w:tab w:val="clear" w:pos="1191"/>
                <w:tab w:val="clear" w:pos="1588"/>
                <w:tab w:val="clear" w:pos="1985"/>
                <w:tab w:val="left" w:pos="1134"/>
                <w:tab w:val="left" w:pos="1871"/>
                <w:tab w:val="left" w:pos="2268"/>
              </w:tabs>
              <w:ind w:left="317"/>
              <w:rPr>
                <w:lang w:val="es-ES_tradnl"/>
              </w:rPr>
            </w:pPr>
            <w:r w:rsidRPr="00761EB7">
              <w:rPr>
                <w:lang w:val="es-ES_tradnl"/>
              </w:rPr>
              <w:lastRenderedPageBreak/>
              <w:t>A</w:t>
            </w:r>
            <w:r w:rsidR="00162CB5" w:rsidRPr="00761EB7">
              <w:rPr>
                <w:lang w:val="es-ES_tradnl"/>
              </w:rPr>
              <w:t>rmonizar los procedimientos con los de los otros Sectores</w:t>
            </w:r>
            <w:r w:rsidR="00366822" w:rsidRPr="00761EB7">
              <w:rPr>
                <w:lang w:val="es-ES_tradnl"/>
              </w:rPr>
              <w:t>.</w:t>
            </w:r>
          </w:p>
          <w:p w14:paraId="7FBF9B73" w14:textId="507A71D8" w:rsidR="00D51DB5" w:rsidRPr="00761EB7" w:rsidRDefault="00D51DB5" w:rsidP="004D6AC2">
            <w:pPr>
              <w:pStyle w:val="ListParagraph"/>
              <w:numPr>
                <w:ilvl w:val="0"/>
                <w:numId w:val="11"/>
              </w:numPr>
              <w:tabs>
                <w:tab w:val="clear" w:pos="794"/>
                <w:tab w:val="clear" w:pos="1191"/>
                <w:tab w:val="clear" w:pos="1588"/>
                <w:tab w:val="clear" w:pos="1985"/>
                <w:tab w:val="left" w:pos="1134"/>
                <w:tab w:val="left" w:pos="1871"/>
                <w:tab w:val="left" w:pos="2268"/>
              </w:tabs>
              <w:ind w:left="317"/>
              <w:rPr>
                <w:lang w:val="es-ES_tradnl"/>
              </w:rPr>
            </w:pPr>
            <w:r w:rsidRPr="00761EB7">
              <w:rPr>
                <w:lang w:val="es-ES_tradnl"/>
              </w:rPr>
              <w:t>Crea</w:t>
            </w:r>
            <w:r w:rsidR="00162CB5" w:rsidRPr="00761EB7">
              <w:rPr>
                <w:lang w:val="es-ES_tradnl"/>
              </w:rPr>
              <w:t>ción de Grupos de Trabajo</w:t>
            </w:r>
            <w:r w:rsidR="00366822" w:rsidRPr="00761EB7">
              <w:rPr>
                <w:lang w:val="es-ES_tradnl"/>
              </w:rPr>
              <w:t>.</w:t>
            </w:r>
          </w:p>
        </w:tc>
      </w:tr>
      <w:tr w:rsidR="00A4352F" w:rsidRPr="003F63ED" w14:paraId="200718F6" w14:textId="77777777" w:rsidTr="00286B79">
        <w:tc>
          <w:tcPr>
            <w:tcW w:w="2122" w:type="dxa"/>
            <w:shd w:val="clear" w:color="auto" w:fill="DBE5F1" w:themeFill="accent1" w:themeFillTint="33"/>
          </w:tcPr>
          <w:p w14:paraId="58B8BD8C" w14:textId="77777777" w:rsidR="00D51DB5" w:rsidRPr="00761EB7" w:rsidRDefault="003F63ED" w:rsidP="004D6AC2">
            <w:pPr>
              <w:rPr>
                <w:lang w:val="es-ES_tradnl"/>
              </w:rPr>
            </w:pPr>
            <w:hyperlink r:id="rId15" w:history="1">
              <w:r w:rsidR="00D51DB5" w:rsidRPr="00761EB7">
                <w:rPr>
                  <w:rStyle w:val="Hyperlink"/>
                  <w:lang w:val="es-ES_tradnl"/>
                </w:rPr>
                <w:t>RPM-CIS16/23-E</w:t>
              </w:r>
            </w:hyperlink>
          </w:p>
        </w:tc>
        <w:tc>
          <w:tcPr>
            <w:tcW w:w="1701" w:type="dxa"/>
            <w:shd w:val="clear" w:color="auto" w:fill="DBE5F1" w:themeFill="accent1" w:themeFillTint="33"/>
          </w:tcPr>
          <w:p w14:paraId="424C9B5F" w14:textId="77777777" w:rsidR="00D51DB5" w:rsidRPr="00761EB7" w:rsidRDefault="00162CB5" w:rsidP="004D6AC2">
            <w:pPr>
              <w:rPr>
                <w:lang w:val="es-ES_tradnl"/>
              </w:rPr>
            </w:pPr>
            <w:r w:rsidRPr="00761EB7">
              <w:rPr>
                <w:lang w:val="es-ES_tradnl"/>
              </w:rPr>
              <w:t>Federación de Rusia</w:t>
            </w:r>
          </w:p>
        </w:tc>
        <w:tc>
          <w:tcPr>
            <w:tcW w:w="7512" w:type="dxa"/>
            <w:shd w:val="clear" w:color="auto" w:fill="DBE5F1" w:themeFill="accent1" w:themeFillTint="33"/>
          </w:tcPr>
          <w:p w14:paraId="0FF15A7D" w14:textId="5A9E1646" w:rsidR="00D51DB5" w:rsidRPr="00761EB7" w:rsidRDefault="00162CB5" w:rsidP="004D6AC2">
            <w:pPr>
              <w:rPr>
                <w:lang w:val="es-ES_tradnl"/>
              </w:rPr>
            </w:pPr>
            <w:r w:rsidRPr="00761EB7">
              <w:rPr>
                <w:lang w:val="es-ES_tradnl"/>
              </w:rPr>
              <w:t xml:space="preserve">En este documento se propone fusionar las Resoluciones 1 y </w:t>
            </w:r>
            <w:r w:rsidR="00D51DB5" w:rsidRPr="00761EB7">
              <w:rPr>
                <w:lang w:val="es-ES_tradnl"/>
              </w:rPr>
              <w:t>31 (</w:t>
            </w:r>
            <w:r w:rsidR="00942F1E" w:rsidRPr="00761EB7">
              <w:rPr>
                <w:lang w:val="es-ES_tradnl"/>
              </w:rPr>
              <w:t xml:space="preserve">Preparación regional de las Conferencias Mundiales de Desarrollo de las Telecomunicaciones). </w:t>
            </w:r>
            <w:r w:rsidRPr="00761EB7">
              <w:rPr>
                <w:lang w:val="es-ES_tradnl"/>
              </w:rPr>
              <w:t>Se propone ampliar la sección relativa a la CMDT de la Resolución 1 para integrar la preparación de las CMDT de la Resolución</w:t>
            </w:r>
            <w:r w:rsidR="0073506C" w:rsidRPr="00761EB7">
              <w:rPr>
                <w:lang w:val="es-ES_tradnl"/>
              </w:rPr>
              <w:t> </w:t>
            </w:r>
            <w:r w:rsidR="00D51DB5" w:rsidRPr="00761EB7">
              <w:rPr>
                <w:lang w:val="es-ES_tradnl"/>
              </w:rPr>
              <w:t>31.</w:t>
            </w:r>
          </w:p>
        </w:tc>
        <w:tc>
          <w:tcPr>
            <w:tcW w:w="3402" w:type="dxa"/>
            <w:shd w:val="clear" w:color="auto" w:fill="DBE5F1" w:themeFill="accent1" w:themeFillTint="33"/>
          </w:tcPr>
          <w:p w14:paraId="3929321F" w14:textId="5EBF9820" w:rsidR="00D51DB5" w:rsidRPr="00761EB7" w:rsidRDefault="00162CB5" w:rsidP="004D6AC2">
            <w:pPr>
              <w:pStyle w:val="ListParagraph"/>
              <w:numPr>
                <w:ilvl w:val="0"/>
                <w:numId w:val="11"/>
              </w:numPr>
              <w:tabs>
                <w:tab w:val="clear" w:pos="794"/>
                <w:tab w:val="clear" w:pos="1191"/>
                <w:tab w:val="clear" w:pos="1588"/>
                <w:tab w:val="clear" w:pos="1985"/>
                <w:tab w:val="left" w:pos="1134"/>
                <w:tab w:val="left" w:pos="1871"/>
                <w:tab w:val="left" w:pos="2268"/>
              </w:tabs>
              <w:ind w:left="317"/>
              <w:rPr>
                <w:lang w:val="es-ES_tradnl"/>
              </w:rPr>
            </w:pPr>
            <w:r w:rsidRPr="00761EB7">
              <w:rPr>
                <w:lang w:val="es-ES_tradnl"/>
              </w:rPr>
              <w:t>Integrar el texto sobre la preparación de las CMDT de la Resolución 31 en la Resolución</w:t>
            </w:r>
            <w:r w:rsidR="00366822" w:rsidRPr="00761EB7">
              <w:rPr>
                <w:lang w:val="es-ES_tradnl"/>
              </w:rPr>
              <w:t xml:space="preserve"> 1.</w:t>
            </w:r>
          </w:p>
          <w:p w14:paraId="7C749863" w14:textId="77777777" w:rsidR="00D51DB5" w:rsidRPr="00761EB7" w:rsidRDefault="00162CB5" w:rsidP="004D6AC2">
            <w:pPr>
              <w:pStyle w:val="ListParagraph"/>
              <w:numPr>
                <w:ilvl w:val="0"/>
                <w:numId w:val="11"/>
              </w:numPr>
              <w:tabs>
                <w:tab w:val="clear" w:pos="794"/>
                <w:tab w:val="clear" w:pos="1191"/>
                <w:tab w:val="clear" w:pos="1588"/>
                <w:tab w:val="clear" w:pos="1985"/>
                <w:tab w:val="left" w:pos="1134"/>
                <w:tab w:val="left" w:pos="1871"/>
                <w:tab w:val="left" w:pos="2268"/>
              </w:tabs>
              <w:ind w:left="317"/>
              <w:rPr>
                <w:lang w:val="es-ES_tradnl"/>
              </w:rPr>
            </w:pPr>
            <w:r w:rsidRPr="00761EB7">
              <w:rPr>
                <w:lang w:val="es-ES_tradnl"/>
              </w:rPr>
              <w:t>Posible supresión de la Resolución 31</w:t>
            </w:r>
            <w:r w:rsidR="00D51DB5" w:rsidRPr="00761EB7">
              <w:rPr>
                <w:lang w:val="es-ES_tradnl"/>
              </w:rPr>
              <w:t>.</w:t>
            </w:r>
          </w:p>
        </w:tc>
      </w:tr>
      <w:tr w:rsidR="004E293E" w:rsidRPr="003F63ED" w14:paraId="2C6FB398" w14:textId="77777777" w:rsidTr="00286B79">
        <w:tc>
          <w:tcPr>
            <w:tcW w:w="2122" w:type="dxa"/>
            <w:shd w:val="clear" w:color="auto" w:fill="DBE5F1" w:themeFill="accent1" w:themeFillTint="33"/>
          </w:tcPr>
          <w:p w14:paraId="4B5546BF" w14:textId="77777777" w:rsidR="00D51DB5" w:rsidRPr="00761EB7" w:rsidRDefault="003F63ED" w:rsidP="004D6AC2">
            <w:pPr>
              <w:rPr>
                <w:lang w:val="es-ES_tradnl"/>
              </w:rPr>
            </w:pPr>
            <w:hyperlink r:id="rId16" w:history="1">
              <w:r w:rsidR="00D51DB5" w:rsidRPr="00761EB7">
                <w:rPr>
                  <w:rStyle w:val="Hyperlink"/>
                  <w:lang w:val="es-ES_tradnl"/>
                </w:rPr>
                <w:t>RPM-CIS16/27-E</w:t>
              </w:r>
            </w:hyperlink>
          </w:p>
        </w:tc>
        <w:tc>
          <w:tcPr>
            <w:tcW w:w="1701" w:type="dxa"/>
            <w:shd w:val="clear" w:color="auto" w:fill="DBE5F1" w:themeFill="accent1" w:themeFillTint="33"/>
          </w:tcPr>
          <w:p w14:paraId="2187DBC4" w14:textId="77777777" w:rsidR="00D51DB5" w:rsidRPr="00761EB7" w:rsidRDefault="00162CB5" w:rsidP="004D6AC2">
            <w:pPr>
              <w:rPr>
                <w:lang w:val="es-ES_tradnl"/>
              </w:rPr>
            </w:pPr>
            <w:r w:rsidRPr="00761EB7">
              <w:rPr>
                <w:lang w:val="es-ES_tradnl"/>
              </w:rPr>
              <w:t>Federación de Rusia</w:t>
            </w:r>
          </w:p>
        </w:tc>
        <w:tc>
          <w:tcPr>
            <w:tcW w:w="7512" w:type="dxa"/>
            <w:shd w:val="clear" w:color="auto" w:fill="DBE5F1" w:themeFill="accent1" w:themeFillTint="33"/>
          </w:tcPr>
          <w:p w14:paraId="7406A187" w14:textId="77777777" w:rsidR="00D51DB5" w:rsidRPr="00761EB7" w:rsidRDefault="00AC2B47" w:rsidP="004D6AC2">
            <w:pPr>
              <w:rPr>
                <w:lang w:val="es-ES_tradnl"/>
              </w:rPr>
            </w:pPr>
            <w:r w:rsidRPr="00761EB7">
              <w:rPr>
                <w:lang w:val="es-ES_tradnl"/>
              </w:rPr>
              <w:t xml:space="preserve">En la contribución se propone </w:t>
            </w:r>
            <w:r w:rsidR="00162CB5" w:rsidRPr="00761EB7">
              <w:rPr>
                <w:lang w:val="es-ES_tradnl"/>
              </w:rPr>
              <w:t xml:space="preserve">revisar la Resolución 1 añadiendo texto para </w:t>
            </w:r>
            <w:r w:rsidRPr="00761EB7">
              <w:rPr>
                <w:lang w:val="es-ES_tradnl"/>
              </w:rPr>
              <w:t>garantizar que el sitio web de la Comisión de Estudio del UIT-D ofrezca acceso en tiempo real a documentos temporales y provisionales a todos los usuarios TIES.</w:t>
            </w:r>
          </w:p>
        </w:tc>
        <w:tc>
          <w:tcPr>
            <w:tcW w:w="3402" w:type="dxa"/>
            <w:shd w:val="clear" w:color="auto" w:fill="DBE5F1" w:themeFill="accent1" w:themeFillTint="33"/>
          </w:tcPr>
          <w:p w14:paraId="3D6FA224" w14:textId="046E3E0B" w:rsidR="00D51DB5" w:rsidRPr="00761EB7" w:rsidRDefault="00162CB5" w:rsidP="004D6AC2">
            <w:pPr>
              <w:pStyle w:val="ListParagraph"/>
              <w:numPr>
                <w:ilvl w:val="0"/>
                <w:numId w:val="11"/>
              </w:numPr>
              <w:tabs>
                <w:tab w:val="clear" w:pos="794"/>
                <w:tab w:val="clear" w:pos="1191"/>
                <w:tab w:val="clear" w:pos="1588"/>
                <w:tab w:val="clear" w:pos="1985"/>
                <w:tab w:val="left" w:pos="1134"/>
                <w:tab w:val="left" w:pos="1871"/>
                <w:tab w:val="left" w:pos="2268"/>
              </w:tabs>
              <w:ind w:left="317"/>
              <w:rPr>
                <w:lang w:val="es-ES_tradnl"/>
              </w:rPr>
            </w:pPr>
            <w:r w:rsidRPr="00761EB7">
              <w:rPr>
                <w:lang w:val="es-ES_tradnl"/>
              </w:rPr>
              <w:t>Métodos de trabajo</w:t>
            </w:r>
            <w:r w:rsidR="00366822" w:rsidRPr="00761EB7">
              <w:rPr>
                <w:lang w:val="es-ES_tradnl"/>
              </w:rPr>
              <w:t>.</w:t>
            </w:r>
          </w:p>
          <w:p w14:paraId="7EAC20B5" w14:textId="1F1AFBA5" w:rsidR="00D51DB5" w:rsidRPr="00761EB7" w:rsidRDefault="004A0616" w:rsidP="004D6AC2">
            <w:pPr>
              <w:pStyle w:val="ListParagraph"/>
              <w:numPr>
                <w:ilvl w:val="0"/>
                <w:numId w:val="11"/>
              </w:numPr>
              <w:tabs>
                <w:tab w:val="clear" w:pos="794"/>
                <w:tab w:val="clear" w:pos="1191"/>
                <w:tab w:val="clear" w:pos="1588"/>
                <w:tab w:val="clear" w:pos="1985"/>
                <w:tab w:val="left" w:pos="1134"/>
                <w:tab w:val="left" w:pos="1871"/>
                <w:tab w:val="left" w:pos="2268"/>
              </w:tabs>
              <w:ind w:left="317"/>
              <w:rPr>
                <w:lang w:val="es-ES_tradnl"/>
              </w:rPr>
            </w:pPr>
            <w:r w:rsidRPr="00761EB7">
              <w:rPr>
                <w:lang w:val="es-ES_tradnl"/>
              </w:rPr>
              <w:t>Sitio web</w:t>
            </w:r>
            <w:r w:rsidR="00162CB5" w:rsidRPr="00761EB7">
              <w:rPr>
                <w:lang w:val="es-ES_tradnl"/>
              </w:rPr>
              <w:t>/sitios de colaboración</w:t>
            </w:r>
            <w:r w:rsidR="00366822" w:rsidRPr="00761EB7">
              <w:rPr>
                <w:lang w:val="es-ES_tradnl"/>
              </w:rPr>
              <w:t>.</w:t>
            </w:r>
          </w:p>
        </w:tc>
      </w:tr>
      <w:tr w:rsidR="00A4352F" w:rsidRPr="003F63ED" w14:paraId="01698381" w14:textId="77777777" w:rsidTr="00286B79">
        <w:tc>
          <w:tcPr>
            <w:tcW w:w="2122" w:type="dxa"/>
            <w:shd w:val="clear" w:color="auto" w:fill="DBE5F1" w:themeFill="accent1" w:themeFillTint="33"/>
          </w:tcPr>
          <w:p w14:paraId="5449A12A" w14:textId="77777777" w:rsidR="00D51DB5" w:rsidRPr="00761EB7" w:rsidRDefault="003F63ED" w:rsidP="004D6AC2">
            <w:pPr>
              <w:rPr>
                <w:lang w:val="es-ES_tradnl"/>
              </w:rPr>
            </w:pPr>
            <w:hyperlink r:id="rId17" w:history="1">
              <w:r w:rsidR="00D51DB5" w:rsidRPr="00761EB7">
                <w:rPr>
                  <w:rStyle w:val="Hyperlink"/>
                  <w:lang w:val="es-ES_tradnl"/>
                </w:rPr>
                <w:t>RPM-CIS16/29-E</w:t>
              </w:r>
            </w:hyperlink>
          </w:p>
        </w:tc>
        <w:tc>
          <w:tcPr>
            <w:tcW w:w="1701" w:type="dxa"/>
            <w:shd w:val="clear" w:color="auto" w:fill="DBE5F1" w:themeFill="accent1" w:themeFillTint="33"/>
          </w:tcPr>
          <w:p w14:paraId="27B8A505" w14:textId="77777777" w:rsidR="00D51DB5" w:rsidRPr="00761EB7" w:rsidRDefault="00162CB5" w:rsidP="004D6AC2">
            <w:pPr>
              <w:rPr>
                <w:lang w:val="es-ES_tradnl"/>
              </w:rPr>
            </w:pPr>
            <w:r w:rsidRPr="00761EB7">
              <w:rPr>
                <w:lang w:val="es-ES_tradnl"/>
              </w:rPr>
              <w:t>Federación de Rusia</w:t>
            </w:r>
          </w:p>
        </w:tc>
        <w:tc>
          <w:tcPr>
            <w:tcW w:w="7512" w:type="dxa"/>
            <w:shd w:val="clear" w:color="auto" w:fill="DBE5F1" w:themeFill="accent1" w:themeFillTint="33"/>
          </w:tcPr>
          <w:p w14:paraId="719F85B5" w14:textId="6B3A7181" w:rsidR="00D51DB5" w:rsidRPr="00761EB7" w:rsidRDefault="00162CB5" w:rsidP="004D6AC2">
            <w:pPr>
              <w:rPr>
                <w:lang w:val="es-ES_tradnl"/>
              </w:rPr>
            </w:pPr>
            <w:r w:rsidRPr="00761EB7">
              <w:rPr>
                <w:lang w:val="es-ES_tradnl"/>
              </w:rPr>
              <w:t>En este documento se propone revisar la Resolución</w:t>
            </w:r>
            <w:r w:rsidR="00D51DB5" w:rsidRPr="00761EB7">
              <w:rPr>
                <w:lang w:val="es-ES_tradnl"/>
              </w:rPr>
              <w:t xml:space="preserve"> 2 (Rev. Dub</w:t>
            </w:r>
            <w:r w:rsidRPr="00761EB7">
              <w:rPr>
                <w:lang w:val="es-ES_tradnl"/>
              </w:rPr>
              <w:t>á</w:t>
            </w:r>
            <w:r w:rsidR="00D51DB5" w:rsidRPr="00761EB7">
              <w:rPr>
                <w:lang w:val="es-ES_tradnl"/>
              </w:rPr>
              <w:t xml:space="preserve">i, 2014), </w:t>
            </w:r>
            <w:r w:rsidRPr="00761EB7">
              <w:rPr>
                <w:lang w:val="es-ES_tradnl"/>
              </w:rPr>
              <w:t xml:space="preserve">de manera que </w:t>
            </w:r>
            <w:r w:rsidR="00AC2B47" w:rsidRPr="00761EB7">
              <w:rPr>
                <w:lang w:val="es-ES_tradnl"/>
              </w:rPr>
              <w:t>la introducción de los cam</w:t>
            </w:r>
            <w:r w:rsidR="00AA285F" w:rsidRPr="00761EB7">
              <w:rPr>
                <w:lang w:val="es-ES_tradnl"/>
              </w:rPr>
              <w:t>bios propuestos a la Resolución </w:t>
            </w:r>
            <w:r w:rsidR="00AC2B47" w:rsidRPr="00761EB7">
              <w:rPr>
                <w:lang w:val="es-ES_tradnl"/>
              </w:rPr>
              <w:t>2 solo tendrá sentido si se revisan las correspondientes disposiciones de la Resolución 1</w:t>
            </w:r>
            <w:r w:rsidRPr="00761EB7">
              <w:rPr>
                <w:lang w:val="es-ES_tradnl"/>
              </w:rPr>
              <w:t>. Se propone establecer una jerarquía clara entre Comisiones de Estudio (CE)</w:t>
            </w:r>
            <w:r w:rsidR="00D51DB5" w:rsidRPr="00761EB7">
              <w:rPr>
                <w:lang w:val="es-ES_tradnl"/>
              </w:rPr>
              <w:t xml:space="preserve"> ˃ </w:t>
            </w:r>
            <w:r w:rsidRPr="00761EB7">
              <w:rPr>
                <w:lang w:val="es-ES_tradnl"/>
              </w:rPr>
              <w:t>Grupos de Trabajo (GT)</w:t>
            </w:r>
            <w:r w:rsidR="00D51DB5" w:rsidRPr="00761EB7">
              <w:rPr>
                <w:lang w:val="es-ES_tradnl"/>
              </w:rPr>
              <w:t xml:space="preserve"> ˃ </w:t>
            </w:r>
            <w:r w:rsidRPr="00761EB7">
              <w:rPr>
                <w:lang w:val="es-ES_tradnl"/>
              </w:rPr>
              <w:t>Grupos de Relator (GR</w:t>
            </w:r>
            <w:r w:rsidR="00D51DB5" w:rsidRPr="00761EB7">
              <w:rPr>
                <w:lang w:val="es-ES_tradnl"/>
              </w:rPr>
              <w:t>).</w:t>
            </w:r>
          </w:p>
        </w:tc>
        <w:tc>
          <w:tcPr>
            <w:tcW w:w="3402" w:type="dxa"/>
            <w:shd w:val="clear" w:color="auto" w:fill="DBE5F1" w:themeFill="accent1" w:themeFillTint="33"/>
          </w:tcPr>
          <w:p w14:paraId="0FD9693E" w14:textId="31D72B82" w:rsidR="00D51DB5" w:rsidRPr="00761EB7" w:rsidRDefault="00162CB5" w:rsidP="004D6AC2">
            <w:pPr>
              <w:pStyle w:val="ListParagraph"/>
              <w:numPr>
                <w:ilvl w:val="0"/>
                <w:numId w:val="11"/>
              </w:numPr>
              <w:tabs>
                <w:tab w:val="clear" w:pos="794"/>
                <w:tab w:val="clear" w:pos="1191"/>
                <w:tab w:val="clear" w:pos="1588"/>
                <w:tab w:val="clear" w:pos="1985"/>
                <w:tab w:val="left" w:pos="1134"/>
                <w:tab w:val="left" w:pos="1871"/>
                <w:tab w:val="left" w:pos="2268"/>
              </w:tabs>
              <w:ind w:left="317"/>
              <w:rPr>
                <w:lang w:val="es-ES_tradnl"/>
              </w:rPr>
            </w:pPr>
            <w:r w:rsidRPr="00761EB7">
              <w:rPr>
                <w:lang w:val="es-ES_tradnl"/>
              </w:rPr>
              <w:t>Creación y funcionamiento de los Grupos de Trabajo</w:t>
            </w:r>
            <w:r w:rsidR="00366822" w:rsidRPr="00761EB7">
              <w:rPr>
                <w:lang w:val="es-ES_tradnl"/>
              </w:rPr>
              <w:t>.</w:t>
            </w:r>
          </w:p>
          <w:p w14:paraId="22A72600" w14:textId="77777777" w:rsidR="00D51DB5" w:rsidRPr="00761EB7" w:rsidRDefault="00162CB5" w:rsidP="004D6AC2">
            <w:pPr>
              <w:pStyle w:val="ListParagraph"/>
              <w:numPr>
                <w:ilvl w:val="0"/>
                <w:numId w:val="11"/>
              </w:numPr>
              <w:tabs>
                <w:tab w:val="clear" w:pos="794"/>
                <w:tab w:val="clear" w:pos="1191"/>
                <w:tab w:val="clear" w:pos="1588"/>
                <w:tab w:val="clear" w:pos="1985"/>
                <w:tab w:val="left" w:pos="1134"/>
                <w:tab w:val="left" w:pos="1871"/>
                <w:tab w:val="left" w:pos="2268"/>
              </w:tabs>
              <w:ind w:left="317"/>
              <w:rPr>
                <w:lang w:val="es-ES_tradnl"/>
              </w:rPr>
            </w:pPr>
            <w:r w:rsidRPr="00761EB7">
              <w:rPr>
                <w:lang w:val="es-ES_tradnl"/>
              </w:rPr>
              <w:t>Jerarquía y relación entre CE, GT y GR</w:t>
            </w:r>
            <w:r w:rsidR="00D51DB5" w:rsidRPr="00761EB7">
              <w:rPr>
                <w:lang w:val="es-ES_tradnl"/>
              </w:rPr>
              <w:t>.</w:t>
            </w:r>
          </w:p>
        </w:tc>
      </w:tr>
      <w:tr w:rsidR="00A4352F" w:rsidRPr="003F63ED" w14:paraId="76F85B60" w14:textId="77777777" w:rsidTr="00286B79">
        <w:tc>
          <w:tcPr>
            <w:tcW w:w="2122" w:type="dxa"/>
            <w:shd w:val="clear" w:color="auto" w:fill="DBE5F1" w:themeFill="accent1" w:themeFillTint="33"/>
          </w:tcPr>
          <w:p w14:paraId="47E69380" w14:textId="77777777" w:rsidR="00D51DB5" w:rsidRPr="00761EB7" w:rsidRDefault="003F63ED" w:rsidP="004D6AC2">
            <w:pPr>
              <w:rPr>
                <w:lang w:val="es-ES_tradnl"/>
              </w:rPr>
            </w:pPr>
            <w:hyperlink r:id="rId18" w:history="1">
              <w:r w:rsidR="00D51DB5" w:rsidRPr="00761EB7">
                <w:rPr>
                  <w:rStyle w:val="Hyperlink"/>
                  <w:lang w:val="es-ES_tradnl"/>
                </w:rPr>
                <w:t>RPM-CIS16/43-E</w:t>
              </w:r>
            </w:hyperlink>
          </w:p>
        </w:tc>
        <w:tc>
          <w:tcPr>
            <w:tcW w:w="1701" w:type="dxa"/>
            <w:shd w:val="clear" w:color="auto" w:fill="DBE5F1" w:themeFill="accent1" w:themeFillTint="33"/>
          </w:tcPr>
          <w:p w14:paraId="73B572B6" w14:textId="77777777" w:rsidR="00D51DB5" w:rsidRPr="00761EB7" w:rsidRDefault="00162CB5" w:rsidP="004D6AC2">
            <w:pPr>
              <w:rPr>
                <w:lang w:val="es-ES_tradnl"/>
              </w:rPr>
            </w:pPr>
            <w:r w:rsidRPr="00761EB7">
              <w:rPr>
                <w:lang w:val="es-ES_tradnl"/>
              </w:rPr>
              <w:t>Federación de Rusia</w:t>
            </w:r>
          </w:p>
        </w:tc>
        <w:tc>
          <w:tcPr>
            <w:tcW w:w="7512" w:type="dxa"/>
            <w:shd w:val="clear" w:color="auto" w:fill="DBE5F1" w:themeFill="accent1" w:themeFillTint="33"/>
          </w:tcPr>
          <w:p w14:paraId="12FE93ED" w14:textId="72F00651" w:rsidR="00D51DB5" w:rsidRPr="00761EB7" w:rsidRDefault="00162CB5" w:rsidP="004D6AC2">
            <w:pPr>
              <w:rPr>
                <w:lang w:val="es-ES_tradnl"/>
              </w:rPr>
            </w:pPr>
            <w:r w:rsidRPr="00761EB7">
              <w:rPr>
                <w:lang w:val="es-ES_tradnl"/>
              </w:rPr>
              <w:t>En el documento se presenta</w:t>
            </w:r>
            <w:r w:rsidR="00AC2B47" w:rsidRPr="00761EB7">
              <w:rPr>
                <w:lang w:val="es-ES_tradnl"/>
              </w:rPr>
              <w:t xml:space="preserve"> una serie de propuestas relativas a los trabajos de las Comisiones de Estudio del UIT D</w:t>
            </w:r>
            <w:r w:rsidRPr="00761EB7">
              <w:rPr>
                <w:lang w:val="es-ES_tradnl"/>
              </w:rPr>
              <w:t xml:space="preserve"> con consecuencias para los métodos de trabajo. Las propuestas atañen a</w:t>
            </w:r>
            <w:r w:rsidR="00AC2B47" w:rsidRPr="00761EB7">
              <w:rPr>
                <w:lang w:val="es-ES_tradnl"/>
              </w:rPr>
              <w:t xml:space="preserve"> la celebración de reuniones </w:t>
            </w:r>
            <w:r w:rsidRPr="00761EB7">
              <w:rPr>
                <w:lang w:val="es-ES_tradnl"/>
              </w:rPr>
              <w:t>paralelas, los mecanismos para la celebración de las reuniones del</w:t>
            </w:r>
            <w:r w:rsidR="00AC2B47" w:rsidRPr="00761EB7">
              <w:rPr>
                <w:lang w:val="es-ES_tradnl"/>
              </w:rPr>
              <w:t xml:space="preserve"> Grupo Mixto UIT-D/UIT-R sobre la Resolución 9</w:t>
            </w:r>
            <w:r w:rsidRPr="00761EB7">
              <w:rPr>
                <w:lang w:val="es-ES_tradnl"/>
              </w:rPr>
              <w:t>, el</w:t>
            </w:r>
            <w:r w:rsidR="00AC2B47" w:rsidRPr="00761EB7">
              <w:rPr>
                <w:lang w:val="es-ES_tradnl"/>
              </w:rPr>
              <w:t xml:space="preserve"> aumento de la duración de las reuniones de las Comisiones de Estudio del UIT D</w:t>
            </w:r>
            <w:r w:rsidRPr="00761EB7">
              <w:rPr>
                <w:lang w:val="es-ES_tradnl"/>
              </w:rPr>
              <w:t>, la</w:t>
            </w:r>
            <w:r w:rsidR="00AC2B47" w:rsidRPr="00761EB7">
              <w:rPr>
                <w:lang w:val="es-ES_tradnl"/>
              </w:rPr>
              <w:t xml:space="preserve"> prueba de Grupos de Trabajo dentro de la</w:t>
            </w:r>
            <w:r w:rsidR="00AA285F" w:rsidRPr="00761EB7">
              <w:rPr>
                <w:lang w:val="es-ES_tradnl"/>
              </w:rPr>
              <w:t>s Comisiones de Estudio del UIT</w:t>
            </w:r>
            <w:r w:rsidR="00AA285F" w:rsidRPr="00761EB7">
              <w:rPr>
                <w:lang w:val="es-ES_tradnl"/>
              </w:rPr>
              <w:noBreakHyphen/>
            </w:r>
            <w:r w:rsidR="00AC2B47" w:rsidRPr="00761EB7">
              <w:rPr>
                <w:lang w:val="es-ES_tradnl"/>
              </w:rPr>
              <w:t>D</w:t>
            </w:r>
            <w:r w:rsidRPr="00761EB7">
              <w:rPr>
                <w:lang w:val="es-ES_tradnl"/>
              </w:rPr>
              <w:t>, la</w:t>
            </w:r>
            <w:r w:rsidR="00AC2B47" w:rsidRPr="00761EB7">
              <w:rPr>
                <w:lang w:val="es-ES_tradnl"/>
              </w:rPr>
              <w:t xml:space="preserve"> interpretación en las reuniones de las Comisiones de Estudio, los Grupos de Relator y los Grupos de Trabajo</w:t>
            </w:r>
            <w:r w:rsidRPr="00761EB7">
              <w:rPr>
                <w:lang w:val="es-ES_tradnl"/>
              </w:rPr>
              <w:t>, la</w:t>
            </w:r>
            <w:r w:rsidR="00AC2B47" w:rsidRPr="00761EB7">
              <w:rPr>
                <w:lang w:val="es-ES_tradnl"/>
              </w:rPr>
              <w:t xml:space="preserve"> clasificación de documentos recibidos</w:t>
            </w:r>
            <w:r w:rsidR="00BA00AF" w:rsidRPr="00761EB7">
              <w:rPr>
                <w:lang w:val="es-ES_tradnl"/>
              </w:rPr>
              <w:t xml:space="preserve"> y la</w:t>
            </w:r>
            <w:r w:rsidR="00AC2B47" w:rsidRPr="00761EB7">
              <w:rPr>
                <w:lang w:val="es-ES_tradnl"/>
              </w:rPr>
              <w:t xml:space="preserve"> evaluación por expertos de los documentos preparados en el UIT-D por otros Sectores. Las propuestas están destinadas a mejorar el rendimiento de las Comisiones de Estudio del UIT-D y la calidad de los </w:t>
            </w:r>
            <w:r w:rsidR="00AC2B47" w:rsidRPr="00761EB7">
              <w:rPr>
                <w:lang w:val="es-ES_tradnl"/>
              </w:rPr>
              <w:lastRenderedPageBreak/>
              <w:t xml:space="preserve">documentos producidos por el Sector. </w:t>
            </w:r>
            <w:r w:rsidR="00BA00AF" w:rsidRPr="00761EB7">
              <w:rPr>
                <w:lang w:val="es-ES_tradnl"/>
              </w:rPr>
              <w:t>Las propuestas pueden tener consecuencias financieras (becas, gastos de viaje incurridos por los Estados Miembros, los Miembros de Sector y las Instituciones Académicas que asistan a las reuniones</w:t>
            </w:r>
            <w:r w:rsidR="00D51DB5" w:rsidRPr="00761EB7">
              <w:rPr>
                <w:lang w:val="es-ES_tradnl"/>
              </w:rPr>
              <w:t>, etc.)</w:t>
            </w:r>
            <w:r w:rsidR="00AA285F" w:rsidRPr="00761EB7">
              <w:rPr>
                <w:lang w:val="es-ES_tradnl"/>
              </w:rPr>
              <w:t>.</w:t>
            </w:r>
          </w:p>
        </w:tc>
        <w:tc>
          <w:tcPr>
            <w:tcW w:w="3402" w:type="dxa"/>
            <w:shd w:val="clear" w:color="auto" w:fill="DBE5F1" w:themeFill="accent1" w:themeFillTint="33"/>
          </w:tcPr>
          <w:p w14:paraId="4B7D9C7A" w14:textId="73D19041" w:rsidR="00D51DB5" w:rsidRPr="00761EB7" w:rsidRDefault="00D51DB5" w:rsidP="004D6AC2">
            <w:pPr>
              <w:pStyle w:val="ListParagraph"/>
              <w:numPr>
                <w:ilvl w:val="0"/>
                <w:numId w:val="12"/>
              </w:numPr>
              <w:tabs>
                <w:tab w:val="clear" w:pos="794"/>
                <w:tab w:val="clear" w:pos="1191"/>
                <w:tab w:val="clear" w:pos="1588"/>
                <w:tab w:val="clear" w:pos="1985"/>
                <w:tab w:val="left" w:pos="1134"/>
                <w:tab w:val="left" w:pos="1871"/>
                <w:tab w:val="left" w:pos="2268"/>
              </w:tabs>
              <w:rPr>
                <w:lang w:val="es-ES_tradnl"/>
              </w:rPr>
            </w:pPr>
            <w:r w:rsidRPr="00761EB7">
              <w:rPr>
                <w:lang w:val="es-ES_tradnl"/>
              </w:rPr>
              <w:lastRenderedPageBreak/>
              <w:t>Ef</w:t>
            </w:r>
            <w:r w:rsidR="00BA00AF" w:rsidRPr="00761EB7">
              <w:rPr>
                <w:lang w:val="es-ES_tradnl"/>
              </w:rPr>
              <w:t>iciencia de las Comisiones de Estudio del UIT-D y del UIT-D en general</w:t>
            </w:r>
            <w:r w:rsidR="00AA285F" w:rsidRPr="00761EB7">
              <w:rPr>
                <w:lang w:val="es-ES_tradnl"/>
              </w:rPr>
              <w:t>.</w:t>
            </w:r>
          </w:p>
          <w:p w14:paraId="2CE8C2B2" w14:textId="49980619" w:rsidR="00D51DB5" w:rsidRPr="00761EB7" w:rsidRDefault="00BA00AF" w:rsidP="004D6AC2">
            <w:pPr>
              <w:pStyle w:val="ListParagraph"/>
              <w:numPr>
                <w:ilvl w:val="0"/>
                <w:numId w:val="12"/>
              </w:numPr>
              <w:tabs>
                <w:tab w:val="clear" w:pos="794"/>
                <w:tab w:val="clear" w:pos="1191"/>
                <w:tab w:val="clear" w:pos="1588"/>
                <w:tab w:val="clear" w:pos="1985"/>
                <w:tab w:val="left" w:pos="1134"/>
                <w:tab w:val="left" w:pos="1871"/>
                <w:tab w:val="left" w:pos="2268"/>
              </w:tabs>
              <w:rPr>
                <w:lang w:val="es-ES_tradnl"/>
              </w:rPr>
            </w:pPr>
            <w:r w:rsidRPr="00761EB7">
              <w:rPr>
                <w:lang w:val="es-ES_tradnl"/>
              </w:rPr>
              <w:t>Programación y duración de las reuniones</w:t>
            </w:r>
            <w:r w:rsidR="00AA285F" w:rsidRPr="00761EB7">
              <w:rPr>
                <w:lang w:val="es-ES_tradnl"/>
              </w:rPr>
              <w:t>.</w:t>
            </w:r>
          </w:p>
          <w:p w14:paraId="7882005A" w14:textId="682EC9EB" w:rsidR="00D51DB5" w:rsidRPr="00761EB7" w:rsidRDefault="00BA00AF" w:rsidP="004D6AC2">
            <w:pPr>
              <w:pStyle w:val="ListParagraph"/>
              <w:numPr>
                <w:ilvl w:val="0"/>
                <w:numId w:val="12"/>
              </w:numPr>
              <w:tabs>
                <w:tab w:val="clear" w:pos="794"/>
                <w:tab w:val="clear" w:pos="1191"/>
                <w:tab w:val="clear" w:pos="1588"/>
                <w:tab w:val="clear" w:pos="1985"/>
                <w:tab w:val="left" w:pos="1134"/>
                <w:tab w:val="left" w:pos="1871"/>
                <w:tab w:val="left" w:pos="2268"/>
              </w:tabs>
              <w:rPr>
                <w:lang w:val="es-ES_tradnl"/>
              </w:rPr>
            </w:pPr>
            <w:r w:rsidRPr="00761EB7">
              <w:rPr>
                <w:lang w:val="es-ES_tradnl"/>
              </w:rPr>
              <w:t>Métodos y procedimientos de trabajo</w:t>
            </w:r>
            <w:r w:rsidR="00AA285F" w:rsidRPr="00761EB7">
              <w:rPr>
                <w:lang w:val="es-ES_tradnl"/>
              </w:rPr>
              <w:t>.</w:t>
            </w:r>
          </w:p>
          <w:p w14:paraId="2E5466CC" w14:textId="6605183B" w:rsidR="00D51DB5" w:rsidRPr="00761EB7" w:rsidRDefault="00BA00AF" w:rsidP="004D6AC2">
            <w:pPr>
              <w:pStyle w:val="ListParagraph"/>
              <w:numPr>
                <w:ilvl w:val="0"/>
                <w:numId w:val="12"/>
              </w:numPr>
              <w:tabs>
                <w:tab w:val="clear" w:pos="794"/>
                <w:tab w:val="clear" w:pos="1191"/>
                <w:tab w:val="clear" w:pos="1588"/>
                <w:tab w:val="clear" w:pos="1985"/>
                <w:tab w:val="left" w:pos="1134"/>
                <w:tab w:val="left" w:pos="1871"/>
                <w:tab w:val="left" w:pos="2268"/>
              </w:tabs>
              <w:rPr>
                <w:lang w:val="es-ES_tradnl"/>
              </w:rPr>
            </w:pPr>
            <w:r w:rsidRPr="00761EB7">
              <w:rPr>
                <w:lang w:val="es-ES_tradnl"/>
              </w:rPr>
              <w:t>Consecuencias financieras de la modificación de los métodos y procedimientos de trabajo</w:t>
            </w:r>
            <w:r w:rsidR="00AA285F" w:rsidRPr="00761EB7">
              <w:rPr>
                <w:lang w:val="es-ES_tradnl"/>
              </w:rPr>
              <w:t>.</w:t>
            </w:r>
          </w:p>
        </w:tc>
      </w:tr>
      <w:tr w:rsidR="00D51DB5" w:rsidRPr="00761EB7" w14:paraId="2C08F06D" w14:textId="77777777" w:rsidTr="00286B79">
        <w:tc>
          <w:tcPr>
            <w:tcW w:w="14737" w:type="dxa"/>
            <w:gridSpan w:val="4"/>
            <w:tcBorders>
              <w:bottom w:val="single" w:sz="4" w:space="0" w:color="auto"/>
            </w:tcBorders>
            <w:shd w:val="clear" w:color="auto" w:fill="FFFFFF" w:themeFill="background1"/>
          </w:tcPr>
          <w:p w14:paraId="30D665B7" w14:textId="77777777" w:rsidR="00D51DB5" w:rsidRPr="00761EB7" w:rsidRDefault="00D51DB5" w:rsidP="004D6AC2">
            <w:pPr>
              <w:rPr>
                <w:b/>
                <w:bCs/>
                <w:lang w:val="es-ES_tradnl"/>
              </w:rPr>
            </w:pPr>
            <w:r w:rsidRPr="00761EB7">
              <w:rPr>
                <w:b/>
                <w:bCs/>
                <w:lang w:val="es-ES_tradnl"/>
              </w:rPr>
              <w:t>RP</w:t>
            </w:r>
            <w:r w:rsidR="00BA00AF" w:rsidRPr="00761EB7">
              <w:rPr>
                <w:b/>
                <w:bCs/>
                <w:lang w:val="es-ES_tradnl"/>
              </w:rPr>
              <w:t>R</w:t>
            </w:r>
            <w:r w:rsidRPr="00761EB7">
              <w:rPr>
                <w:b/>
                <w:bCs/>
                <w:lang w:val="es-ES_tradnl"/>
              </w:rPr>
              <w:t>-AFR</w:t>
            </w:r>
          </w:p>
        </w:tc>
      </w:tr>
      <w:tr w:rsidR="004E293E" w:rsidRPr="00761EB7" w14:paraId="0C8B826C" w14:textId="77777777" w:rsidTr="00286B79">
        <w:tc>
          <w:tcPr>
            <w:tcW w:w="2122" w:type="dxa"/>
            <w:shd w:val="clear" w:color="auto" w:fill="F2F2F2" w:themeFill="background1" w:themeFillShade="F2"/>
          </w:tcPr>
          <w:p w14:paraId="6DFC625B" w14:textId="77777777" w:rsidR="00D51DB5" w:rsidRPr="00761EB7" w:rsidRDefault="00D51DB5" w:rsidP="004D6AC2">
            <w:pPr>
              <w:rPr>
                <w:lang w:val="es-ES_tradnl"/>
              </w:rPr>
            </w:pPr>
            <w:r w:rsidRPr="00761EB7">
              <w:rPr>
                <w:b/>
                <w:bCs/>
                <w:lang w:val="es-ES_tradnl"/>
              </w:rPr>
              <w:t>Document</w:t>
            </w:r>
            <w:r w:rsidR="00BA00AF" w:rsidRPr="00761EB7">
              <w:rPr>
                <w:b/>
                <w:bCs/>
                <w:lang w:val="es-ES_tradnl"/>
              </w:rPr>
              <w:t>o</w:t>
            </w:r>
          </w:p>
        </w:tc>
        <w:tc>
          <w:tcPr>
            <w:tcW w:w="1701" w:type="dxa"/>
            <w:shd w:val="clear" w:color="auto" w:fill="F2F2F2" w:themeFill="background1" w:themeFillShade="F2"/>
          </w:tcPr>
          <w:p w14:paraId="06563852" w14:textId="77777777" w:rsidR="00D51DB5" w:rsidRPr="00761EB7" w:rsidRDefault="00BA00AF" w:rsidP="004D6AC2">
            <w:pPr>
              <w:rPr>
                <w:lang w:val="es-ES_tradnl"/>
              </w:rPr>
            </w:pPr>
            <w:r w:rsidRPr="00761EB7">
              <w:rPr>
                <w:b/>
                <w:bCs/>
                <w:lang w:val="es-ES_tradnl"/>
              </w:rPr>
              <w:t>Origen</w:t>
            </w:r>
          </w:p>
        </w:tc>
        <w:tc>
          <w:tcPr>
            <w:tcW w:w="7512" w:type="dxa"/>
            <w:shd w:val="clear" w:color="auto" w:fill="F2F2F2" w:themeFill="background1" w:themeFillShade="F2"/>
          </w:tcPr>
          <w:p w14:paraId="34BB4DA0" w14:textId="77777777" w:rsidR="00D51DB5" w:rsidRPr="00761EB7" w:rsidRDefault="00BA00AF" w:rsidP="004D6AC2">
            <w:pPr>
              <w:rPr>
                <w:lang w:val="es-ES_tradnl"/>
              </w:rPr>
            </w:pPr>
            <w:r w:rsidRPr="00761EB7">
              <w:rPr>
                <w:b/>
                <w:bCs/>
                <w:lang w:val="es-ES_tradnl"/>
              </w:rPr>
              <w:t>Propuesta</w:t>
            </w:r>
          </w:p>
        </w:tc>
        <w:tc>
          <w:tcPr>
            <w:tcW w:w="3402" w:type="dxa"/>
            <w:shd w:val="clear" w:color="auto" w:fill="F2F2F2" w:themeFill="background1" w:themeFillShade="F2"/>
          </w:tcPr>
          <w:p w14:paraId="109DB092" w14:textId="77777777" w:rsidR="00D51DB5" w:rsidRPr="00761EB7" w:rsidRDefault="00BA00AF" w:rsidP="004D6AC2">
            <w:pPr>
              <w:tabs>
                <w:tab w:val="clear" w:pos="794"/>
                <w:tab w:val="clear" w:pos="1191"/>
                <w:tab w:val="clear" w:pos="1588"/>
                <w:tab w:val="clear" w:pos="1985"/>
                <w:tab w:val="left" w:pos="1134"/>
                <w:tab w:val="left" w:pos="1871"/>
                <w:tab w:val="left" w:pos="2268"/>
              </w:tabs>
              <w:rPr>
                <w:lang w:val="es-ES_tradnl"/>
              </w:rPr>
            </w:pPr>
            <w:r w:rsidRPr="00761EB7">
              <w:rPr>
                <w:b/>
                <w:bCs/>
                <w:lang w:val="es-ES_tradnl"/>
              </w:rPr>
              <w:t>Tema principal</w:t>
            </w:r>
          </w:p>
        </w:tc>
      </w:tr>
      <w:tr w:rsidR="00A4352F" w:rsidRPr="003F63ED" w14:paraId="49E02CE2" w14:textId="77777777" w:rsidTr="00286B79">
        <w:tc>
          <w:tcPr>
            <w:tcW w:w="2122" w:type="dxa"/>
            <w:shd w:val="clear" w:color="auto" w:fill="F2F2F2" w:themeFill="background1" w:themeFillShade="F2"/>
          </w:tcPr>
          <w:p w14:paraId="5F17113F" w14:textId="676FA100" w:rsidR="00D51DB5" w:rsidRPr="00761EB7" w:rsidRDefault="004E293E" w:rsidP="004D6AC2">
            <w:pPr>
              <w:rPr>
                <w:lang w:val="es-ES_tradnl"/>
              </w:rPr>
            </w:pPr>
            <w:r w:rsidRPr="00761EB7">
              <w:rPr>
                <w:lang w:val="es-ES_tradnl"/>
              </w:rPr>
              <w:t>Comentarios sobre</w:t>
            </w:r>
            <w:r w:rsidR="00D51DB5" w:rsidRPr="00761EB7">
              <w:rPr>
                <w:lang w:val="es-ES_tradnl"/>
              </w:rPr>
              <w:t xml:space="preserve"> </w:t>
            </w:r>
            <w:hyperlink r:id="rId19" w:history="1">
              <w:r w:rsidR="00D51DB5" w:rsidRPr="00761EB7">
                <w:rPr>
                  <w:rStyle w:val="Hyperlink"/>
                  <w:lang w:val="es-ES_tradnl"/>
                </w:rPr>
                <w:t>RPM-AFR16/10-E</w:t>
              </w:r>
            </w:hyperlink>
            <w:r w:rsidR="00D51DB5" w:rsidRPr="00761EB7">
              <w:rPr>
                <w:lang w:val="es-ES_tradnl"/>
              </w:rPr>
              <w:t xml:space="preserve"> </w:t>
            </w:r>
            <w:r w:rsidRPr="00761EB7">
              <w:rPr>
                <w:lang w:val="es-ES_tradnl"/>
              </w:rPr>
              <w:t>en el Informe del Presidente</w:t>
            </w:r>
            <w:r w:rsidR="00D51DB5" w:rsidRPr="00761EB7">
              <w:rPr>
                <w:lang w:val="es-ES_tradnl"/>
              </w:rPr>
              <w:t xml:space="preserve"> </w:t>
            </w:r>
            <w:r w:rsidR="00E03FE5" w:rsidRPr="00761EB7">
              <w:rPr>
                <w:lang w:val="es-ES_tradnl"/>
              </w:rPr>
              <w:br/>
            </w:r>
            <w:hyperlink r:id="rId20" w:history="1">
              <w:r w:rsidR="00D51DB5" w:rsidRPr="00761EB7">
                <w:rPr>
                  <w:rStyle w:val="Hyperlink"/>
                  <w:lang w:val="es-ES_tradnl"/>
                </w:rPr>
                <w:t>RPM-AFR16/25-E</w:t>
              </w:r>
            </w:hyperlink>
          </w:p>
        </w:tc>
        <w:tc>
          <w:tcPr>
            <w:tcW w:w="1701" w:type="dxa"/>
            <w:shd w:val="clear" w:color="auto" w:fill="F2F2F2" w:themeFill="background1" w:themeFillShade="F2"/>
          </w:tcPr>
          <w:p w14:paraId="12FD7794" w14:textId="77777777" w:rsidR="00D51DB5" w:rsidRPr="00761EB7" w:rsidRDefault="004E293E" w:rsidP="004D6AC2">
            <w:pPr>
              <w:rPr>
                <w:lang w:val="es-ES_tradnl"/>
              </w:rPr>
            </w:pPr>
            <w:r w:rsidRPr="00761EB7">
              <w:rPr>
                <w:lang w:val="es-ES_tradnl"/>
              </w:rPr>
              <w:t>Presidente de la</w:t>
            </w:r>
            <w:r w:rsidR="00D51DB5" w:rsidRPr="00761EB7">
              <w:rPr>
                <w:lang w:val="es-ES_tradnl"/>
              </w:rPr>
              <w:t xml:space="preserve"> RP</w:t>
            </w:r>
            <w:r w:rsidRPr="00761EB7">
              <w:rPr>
                <w:lang w:val="es-ES_tradnl"/>
              </w:rPr>
              <w:t>R</w:t>
            </w:r>
            <w:r w:rsidR="00D51DB5" w:rsidRPr="00761EB7">
              <w:rPr>
                <w:lang w:val="es-ES_tradnl"/>
              </w:rPr>
              <w:t>-AFR</w:t>
            </w:r>
          </w:p>
        </w:tc>
        <w:tc>
          <w:tcPr>
            <w:tcW w:w="7512" w:type="dxa"/>
            <w:shd w:val="clear" w:color="auto" w:fill="F2F2F2" w:themeFill="background1" w:themeFillShade="F2"/>
          </w:tcPr>
          <w:p w14:paraId="20E12C81" w14:textId="77777777" w:rsidR="00D51DB5" w:rsidRPr="00761EB7" w:rsidRDefault="004E293E" w:rsidP="004D6AC2">
            <w:pPr>
              <w:rPr>
                <w:b/>
                <w:bCs/>
                <w:i/>
                <w:iCs/>
                <w:lang w:val="es-ES_tradnl"/>
              </w:rPr>
            </w:pPr>
            <w:r w:rsidRPr="00761EB7">
              <w:rPr>
                <w:b/>
                <w:bCs/>
                <w:i/>
                <w:iCs/>
                <w:lang w:val="es-ES_tradnl"/>
              </w:rPr>
              <w:t>Debate general</w:t>
            </w:r>
          </w:p>
          <w:p w14:paraId="79750C21" w14:textId="77777777" w:rsidR="00D51DB5" w:rsidRPr="00761EB7" w:rsidRDefault="004E293E" w:rsidP="004D6AC2">
            <w:pPr>
              <w:rPr>
                <w:lang w:val="es-ES_tradnl"/>
              </w:rPr>
            </w:pPr>
            <w:r w:rsidRPr="00761EB7">
              <w:rPr>
                <w:lang w:val="es-ES_tradnl"/>
              </w:rPr>
              <w:t>Al presentar los trabajos del Grupo, la Presidenta del Grupo por Correspondencia del GADT sobre el Reglamento Interno del UIT-D señala que aunque se haya formulado la propuesta de considerar Grupos Temáticos para las Comisiones de Estudio, la Región de las Américas está considerando otros mecanismos para fomentar la participación en los trabajos de las Comisiones de Estudio y para acortar el plazo establecido para la elaboración de Recomendaciones que actualmente es de cuatro años</w:t>
            </w:r>
            <w:r w:rsidR="0025092F" w:rsidRPr="00761EB7">
              <w:rPr>
                <w:lang w:val="es-ES_tradnl"/>
              </w:rPr>
              <w:t>.</w:t>
            </w:r>
          </w:p>
          <w:p w14:paraId="1A5F41D4" w14:textId="77777777" w:rsidR="00D51DB5" w:rsidRPr="00761EB7" w:rsidRDefault="004E293E" w:rsidP="004D6AC2">
            <w:pPr>
              <w:rPr>
                <w:strike/>
                <w:lang w:val="es-ES_tradnl"/>
              </w:rPr>
            </w:pPr>
            <w:r w:rsidRPr="00761EB7">
              <w:rPr>
                <w:lang w:val="es-ES_tradnl"/>
              </w:rPr>
              <w:t>Algunos miembros plantean la posibilidad de que la UAT convoque un grupo que estudie más a fondo la propuesta</w:t>
            </w:r>
            <w:r w:rsidR="00D51DB5" w:rsidRPr="00761EB7">
              <w:rPr>
                <w:lang w:val="es-ES_tradnl"/>
              </w:rPr>
              <w:t>.</w:t>
            </w:r>
          </w:p>
        </w:tc>
        <w:tc>
          <w:tcPr>
            <w:tcW w:w="3402" w:type="dxa"/>
            <w:shd w:val="clear" w:color="auto" w:fill="F2F2F2" w:themeFill="background1" w:themeFillShade="F2"/>
          </w:tcPr>
          <w:p w14:paraId="536D34F6" w14:textId="28B7079F" w:rsidR="00D51DB5" w:rsidRPr="00761EB7" w:rsidRDefault="00D51DB5" w:rsidP="004D6AC2">
            <w:pPr>
              <w:pStyle w:val="ListParagraph"/>
              <w:numPr>
                <w:ilvl w:val="0"/>
                <w:numId w:val="10"/>
              </w:numPr>
              <w:tabs>
                <w:tab w:val="clear" w:pos="794"/>
                <w:tab w:val="clear" w:pos="1191"/>
                <w:tab w:val="clear" w:pos="1588"/>
                <w:tab w:val="clear" w:pos="1985"/>
                <w:tab w:val="left" w:pos="1134"/>
                <w:tab w:val="left" w:pos="1871"/>
                <w:tab w:val="left" w:pos="2268"/>
              </w:tabs>
              <w:ind w:left="317"/>
              <w:rPr>
                <w:lang w:val="es-ES_tradnl"/>
              </w:rPr>
            </w:pPr>
            <w:r w:rsidRPr="00761EB7">
              <w:rPr>
                <w:lang w:val="es-ES_tradnl"/>
              </w:rPr>
              <w:t>Mec</w:t>
            </w:r>
            <w:r w:rsidR="004E293E" w:rsidRPr="00761EB7">
              <w:rPr>
                <w:lang w:val="es-ES_tradnl"/>
              </w:rPr>
              <w:t>anismos para ampliar la participación en los trabajos de las CE</w:t>
            </w:r>
            <w:r w:rsidR="00E03FE5" w:rsidRPr="00761EB7">
              <w:rPr>
                <w:lang w:val="es-ES_tradnl"/>
              </w:rPr>
              <w:t>.</w:t>
            </w:r>
          </w:p>
          <w:p w14:paraId="1F959E21" w14:textId="10AC2041" w:rsidR="00D51DB5" w:rsidRPr="00761EB7" w:rsidRDefault="004E293E" w:rsidP="004D6AC2">
            <w:pPr>
              <w:pStyle w:val="ListParagraph"/>
              <w:numPr>
                <w:ilvl w:val="0"/>
                <w:numId w:val="10"/>
              </w:numPr>
              <w:tabs>
                <w:tab w:val="clear" w:pos="794"/>
                <w:tab w:val="clear" w:pos="1191"/>
                <w:tab w:val="clear" w:pos="1588"/>
                <w:tab w:val="clear" w:pos="1985"/>
                <w:tab w:val="left" w:pos="1134"/>
                <w:tab w:val="left" w:pos="1871"/>
                <w:tab w:val="left" w:pos="2268"/>
              </w:tabs>
              <w:ind w:left="317"/>
              <w:rPr>
                <w:lang w:val="es-ES_tradnl"/>
              </w:rPr>
            </w:pPr>
            <w:r w:rsidRPr="00761EB7">
              <w:rPr>
                <w:lang w:val="es-ES_tradnl"/>
              </w:rPr>
              <w:t>Acortar el plazo establecido para la elaboración de Recomendaciones/productos de las CE</w:t>
            </w:r>
            <w:r w:rsidR="00E03FE5" w:rsidRPr="00761EB7">
              <w:rPr>
                <w:lang w:val="es-ES_tradnl"/>
              </w:rPr>
              <w:t>.</w:t>
            </w:r>
          </w:p>
        </w:tc>
      </w:tr>
      <w:tr w:rsidR="00D51DB5" w:rsidRPr="00761EB7" w14:paraId="3EA9E38B" w14:textId="77777777" w:rsidTr="00286B79">
        <w:tc>
          <w:tcPr>
            <w:tcW w:w="14737" w:type="dxa"/>
            <w:gridSpan w:val="4"/>
            <w:tcBorders>
              <w:bottom w:val="single" w:sz="4" w:space="0" w:color="auto"/>
            </w:tcBorders>
          </w:tcPr>
          <w:p w14:paraId="3826AC39" w14:textId="77777777" w:rsidR="00D51DB5" w:rsidRPr="00761EB7" w:rsidRDefault="00D51DB5" w:rsidP="004D6AC2">
            <w:pPr>
              <w:keepNext/>
              <w:rPr>
                <w:b/>
                <w:bCs/>
                <w:lang w:val="es-ES_tradnl"/>
              </w:rPr>
            </w:pPr>
            <w:r w:rsidRPr="00761EB7">
              <w:rPr>
                <w:b/>
                <w:bCs/>
                <w:lang w:val="es-ES_tradnl"/>
              </w:rPr>
              <w:t>RP</w:t>
            </w:r>
            <w:r w:rsidR="004E293E" w:rsidRPr="00761EB7">
              <w:rPr>
                <w:b/>
                <w:bCs/>
                <w:lang w:val="es-ES_tradnl"/>
              </w:rPr>
              <w:t>R</w:t>
            </w:r>
            <w:r w:rsidRPr="00761EB7">
              <w:rPr>
                <w:b/>
                <w:bCs/>
                <w:lang w:val="es-ES_tradnl"/>
              </w:rPr>
              <w:t>-ARB</w:t>
            </w:r>
          </w:p>
        </w:tc>
      </w:tr>
      <w:tr w:rsidR="004E293E" w:rsidRPr="00761EB7" w14:paraId="1CAA1AF3" w14:textId="77777777" w:rsidTr="00286B79">
        <w:tc>
          <w:tcPr>
            <w:tcW w:w="2122" w:type="dxa"/>
            <w:shd w:val="clear" w:color="auto" w:fill="F2F2F2" w:themeFill="background1" w:themeFillShade="F2"/>
          </w:tcPr>
          <w:p w14:paraId="168B275C" w14:textId="77777777" w:rsidR="00D51DB5" w:rsidRPr="00761EB7" w:rsidRDefault="00D51DB5" w:rsidP="004D6AC2">
            <w:pPr>
              <w:rPr>
                <w:lang w:val="es-ES_tradnl"/>
              </w:rPr>
            </w:pPr>
            <w:r w:rsidRPr="00761EB7">
              <w:rPr>
                <w:b/>
                <w:bCs/>
                <w:lang w:val="es-ES_tradnl"/>
              </w:rPr>
              <w:t>Document</w:t>
            </w:r>
            <w:r w:rsidR="004E293E" w:rsidRPr="00761EB7">
              <w:rPr>
                <w:b/>
                <w:bCs/>
                <w:lang w:val="es-ES_tradnl"/>
              </w:rPr>
              <w:t>o</w:t>
            </w:r>
          </w:p>
        </w:tc>
        <w:tc>
          <w:tcPr>
            <w:tcW w:w="1701" w:type="dxa"/>
            <w:shd w:val="clear" w:color="auto" w:fill="F2F2F2" w:themeFill="background1" w:themeFillShade="F2"/>
          </w:tcPr>
          <w:p w14:paraId="7371C26B" w14:textId="77777777" w:rsidR="00D51DB5" w:rsidRPr="00761EB7" w:rsidRDefault="004E293E" w:rsidP="004D6AC2">
            <w:pPr>
              <w:rPr>
                <w:lang w:val="es-ES_tradnl"/>
              </w:rPr>
            </w:pPr>
            <w:r w:rsidRPr="00761EB7">
              <w:rPr>
                <w:b/>
                <w:bCs/>
                <w:lang w:val="es-ES_tradnl"/>
              </w:rPr>
              <w:t>Origen</w:t>
            </w:r>
          </w:p>
        </w:tc>
        <w:tc>
          <w:tcPr>
            <w:tcW w:w="7512" w:type="dxa"/>
            <w:shd w:val="clear" w:color="auto" w:fill="F2F2F2" w:themeFill="background1" w:themeFillShade="F2"/>
          </w:tcPr>
          <w:p w14:paraId="6E3C8671" w14:textId="77777777" w:rsidR="00D51DB5" w:rsidRPr="00761EB7" w:rsidRDefault="004E293E" w:rsidP="004D6AC2">
            <w:pPr>
              <w:rPr>
                <w:lang w:val="es-ES_tradnl"/>
              </w:rPr>
            </w:pPr>
            <w:r w:rsidRPr="00761EB7">
              <w:rPr>
                <w:b/>
                <w:bCs/>
                <w:lang w:val="es-ES_tradnl"/>
              </w:rPr>
              <w:t>Propuesta</w:t>
            </w:r>
          </w:p>
        </w:tc>
        <w:tc>
          <w:tcPr>
            <w:tcW w:w="3402" w:type="dxa"/>
            <w:shd w:val="clear" w:color="auto" w:fill="F2F2F2" w:themeFill="background1" w:themeFillShade="F2"/>
          </w:tcPr>
          <w:p w14:paraId="22FE9BC2" w14:textId="77777777" w:rsidR="00D51DB5" w:rsidRPr="00761EB7" w:rsidRDefault="004E293E" w:rsidP="004D6AC2">
            <w:pPr>
              <w:rPr>
                <w:lang w:val="es-ES_tradnl"/>
              </w:rPr>
            </w:pPr>
            <w:r w:rsidRPr="00761EB7">
              <w:rPr>
                <w:b/>
                <w:bCs/>
                <w:lang w:val="es-ES_tradnl"/>
              </w:rPr>
              <w:t>Tema principal</w:t>
            </w:r>
          </w:p>
        </w:tc>
      </w:tr>
      <w:tr w:rsidR="004E293E" w:rsidRPr="00761EB7" w14:paraId="36B37CF2" w14:textId="77777777" w:rsidTr="00286B79">
        <w:tc>
          <w:tcPr>
            <w:tcW w:w="2122" w:type="dxa"/>
            <w:shd w:val="clear" w:color="auto" w:fill="F2F2F2" w:themeFill="background1" w:themeFillShade="F2"/>
          </w:tcPr>
          <w:p w14:paraId="44D89BF7" w14:textId="6F3682FB" w:rsidR="00D51DB5" w:rsidRPr="00761EB7" w:rsidRDefault="00D51DB5" w:rsidP="004D6AC2">
            <w:pPr>
              <w:rPr>
                <w:lang w:val="es-ES_tradnl"/>
              </w:rPr>
            </w:pPr>
            <w:r w:rsidRPr="00761EB7">
              <w:rPr>
                <w:lang w:val="es-ES_tradnl"/>
              </w:rPr>
              <w:t>Com</w:t>
            </w:r>
            <w:r w:rsidR="004E293E" w:rsidRPr="00761EB7">
              <w:rPr>
                <w:lang w:val="es-ES_tradnl"/>
              </w:rPr>
              <w:t>entarios sobre</w:t>
            </w:r>
            <w:r w:rsidRPr="00761EB7">
              <w:rPr>
                <w:lang w:val="es-ES_tradnl"/>
              </w:rPr>
              <w:t xml:space="preserve"> </w:t>
            </w:r>
            <w:hyperlink r:id="rId21" w:history="1">
              <w:r w:rsidRPr="00761EB7">
                <w:rPr>
                  <w:rStyle w:val="Hyperlink"/>
                  <w:lang w:val="es-ES_tradnl"/>
                </w:rPr>
                <w:t>RPM-ARB17/10-E</w:t>
              </w:r>
            </w:hyperlink>
            <w:r w:rsidRPr="00761EB7">
              <w:rPr>
                <w:rStyle w:val="Hyperlink"/>
                <w:lang w:val="es-ES_tradnl"/>
              </w:rPr>
              <w:t xml:space="preserve"> </w:t>
            </w:r>
            <w:r w:rsidR="004E293E" w:rsidRPr="00761EB7">
              <w:rPr>
                <w:lang w:val="es-ES_tradnl"/>
              </w:rPr>
              <w:t>en el Informe del Presidente</w:t>
            </w:r>
            <w:r w:rsidRPr="00761EB7">
              <w:rPr>
                <w:lang w:val="es-ES_tradnl"/>
              </w:rPr>
              <w:t xml:space="preserve"> </w:t>
            </w:r>
            <w:r w:rsidR="00CE6DC2" w:rsidRPr="00761EB7">
              <w:rPr>
                <w:lang w:val="es-ES_tradnl"/>
              </w:rPr>
              <w:br/>
            </w:r>
            <w:hyperlink r:id="rId22" w:history="1">
              <w:r w:rsidRPr="00761EB7">
                <w:rPr>
                  <w:rStyle w:val="Hyperlink"/>
                  <w:lang w:val="es-ES_tradnl"/>
                </w:rPr>
                <w:t>RPM-ARB17/46-E</w:t>
              </w:r>
            </w:hyperlink>
          </w:p>
        </w:tc>
        <w:tc>
          <w:tcPr>
            <w:tcW w:w="1701" w:type="dxa"/>
            <w:shd w:val="clear" w:color="auto" w:fill="F2F2F2" w:themeFill="background1" w:themeFillShade="F2"/>
          </w:tcPr>
          <w:p w14:paraId="44E43BB4" w14:textId="77777777" w:rsidR="00D51DB5" w:rsidRPr="00761EB7" w:rsidRDefault="004E293E" w:rsidP="004D6AC2">
            <w:pPr>
              <w:rPr>
                <w:lang w:val="es-ES_tradnl"/>
              </w:rPr>
            </w:pPr>
            <w:r w:rsidRPr="00761EB7">
              <w:rPr>
                <w:lang w:val="es-ES_tradnl"/>
              </w:rPr>
              <w:t>Presidente de la RPR</w:t>
            </w:r>
            <w:r w:rsidR="00D51DB5" w:rsidRPr="00761EB7">
              <w:rPr>
                <w:lang w:val="es-ES_tradnl"/>
              </w:rPr>
              <w:t>-ARB</w:t>
            </w:r>
          </w:p>
        </w:tc>
        <w:tc>
          <w:tcPr>
            <w:tcW w:w="7512" w:type="dxa"/>
            <w:shd w:val="clear" w:color="auto" w:fill="F2F2F2" w:themeFill="background1" w:themeFillShade="F2"/>
          </w:tcPr>
          <w:p w14:paraId="02D35497" w14:textId="77777777" w:rsidR="00D51DB5" w:rsidRPr="00761EB7" w:rsidRDefault="004E293E" w:rsidP="004D6AC2">
            <w:pPr>
              <w:rPr>
                <w:b/>
                <w:bCs/>
                <w:i/>
                <w:iCs/>
                <w:lang w:val="es-ES_tradnl"/>
              </w:rPr>
            </w:pPr>
            <w:r w:rsidRPr="00761EB7">
              <w:rPr>
                <w:b/>
                <w:bCs/>
                <w:i/>
                <w:iCs/>
                <w:lang w:val="es-ES_tradnl"/>
              </w:rPr>
              <w:t>Debate general</w:t>
            </w:r>
          </w:p>
          <w:p w14:paraId="0060E36D" w14:textId="09A4AFFB" w:rsidR="00D51DB5" w:rsidRPr="00761EB7" w:rsidRDefault="00EE009C" w:rsidP="004D6AC2">
            <w:pPr>
              <w:rPr>
                <w:lang w:val="es-ES_tradnl"/>
              </w:rPr>
            </w:pPr>
            <w:r w:rsidRPr="00761EB7">
              <w:rPr>
                <w:lang w:val="es-ES_tradnl"/>
              </w:rPr>
              <w:t>El documento del Grupo por Correspondencia se examinó junto con la propuesta de Egipto</w:t>
            </w:r>
            <w:r w:rsidR="00CE6DC2" w:rsidRPr="00761EB7">
              <w:rPr>
                <w:lang w:val="es-ES_tradnl"/>
              </w:rPr>
              <w:t>.</w:t>
            </w:r>
          </w:p>
          <w:p w14:paraId="2001736A" w14:textId="77777777" w:rsidR="00D51DB5" w:rsidRPr="00761EB7" w:rsidRDefault="0025092F" w:rsidP="004D6AC2">
            <w:pPr>
              <w:rPr>
                <w:lang w:val="es-ES_tradnl"/>
              </w:rPr>
            </w:pPr>
            <w:r w:rsidRPr="00761EB7">
              <w:rPr>
                <w:lang w:val="es-ES_tradnl"/>
              </w:rPr>
              <w:t>Los participantes formularon sugerencias sobre cómo mejorar la contribución y convinieron en someterlas a la consideración del Grupo de Trabajo Árabe Preparatorio de la CMDT-17. Se explicó que también es posible presentar contribuciones al GADT para indicar los progresos en la Región Árabe</w:t>
            </w:r>
            <w:r w:rsidR="00D51DB5" w:rsidRPr="00761EB7">
              <w:rPr>
                <w:lang w:val="es-ES_tradnl"/>
              </w:rPr>
              <w:t>.</w:t>
            </w:r>
          </w:p>
        </w:tc>
        <w:tc>
          <w:tcPr>
            <w:tcW w:w="3402" w:type="dxa"/>
            <w:shd w:val="clear" w:color="auto" w:fill="F2F2F2" w:themeFill="background1" w:themeFillShade="F2"/>
          </w:tcPr>
          <w:p w14:paraId="72B5776D" w14:textId="77777777" w:rsidR="00D51DB5" w:rsidRPr="00761EB7" w:rsidRDefault="00D51DB5" w:rsidP="004D6AC2">
            <w:pPr>
              <w:rPr>
                <w:lang w:val="es-ES_tradnl"/>
              </w:rPr>
            </w:pPr>
            <w:r w:rsidRPr="00761EB7">
              <w:rPr>
                <w:lang w:val="es-ES_tradnl"/>
              </w:rPr>
              <w:t>N/A</w:t>
            </w:r>
          </w:p>
        </w:tc>
      </w:tr>
      <w:tr w:rsidR="00A4352F" w:rsidRPr="003F63ED" w14:paraId="5F660683" w14:textId="77777777" w:rsidTr="00286B79">
        <w:tc>
          <w:tcPr>
            <w:tcW w:w="2122" w:type="dxa"/>
            <w:shd w:val="clear" w:color="auto" w:fill="FFFFFF" w:themeFill="background1"/>
          </w:tcPr>
          <w:p w14:paraId="1ECD1C91" w14:textId="77777777" w:rsidR="00D51DB5" w:rsidRPr="00761EB7" w:rsidRDefault="003F63ED" w:rsidP="004D6AC2">
            <w:pPr>
              <w:rPr>
                <w:lang w:val="es-ES_tradnl"/>
              </w:rPr>
            </w:pPr>
            <w:hyperlink r:id="rId23" w:history="1">
              <w:r w:rsidR="00D51DB5" w:rsidRPr="00761EB7">
                <w:rPr>
                  <w:rStyle w:val="Hyperlink"/>
                  <w:lang w:val="es-ES_tradnl"/>
                </w:rPr>
                <w:t>RPM-ARB17/16-E</w:t>
              </w:r>
            </w:hyperlink>
          </w:p>
        </w:tc>
        <w:tc>
          <w:tcPr>
            <w:tcW w:w="1701" w:type="dxa"/>
            <w:shd w:val="clear" w:color="auto" w:fill="FFFFFF" w:themeFill="background1"/>
          </w:tcPr>
          <w:p w14:paraId="3DCDB98C" w14:textId="77777777" w:rsidR="00D51DB5" w:rsidRPr="00761EB7" w:rsidRDefault="00D51DB5" w:rsidP="004D6AC2">
            <w:pPr>
              <w:rPr>
                <w:lang w:val="es-ES_tradnl"/>
              </w:rPr>
            </w:pPr>
            <w:r w:rsidRPr="00761EB7">
              <w:rPr>
                <w:lang w:val="es-ES_tradnl"/>
              </w:rPr>
              <w:t>Eg</w:t>
            </w:r>
            <w:r w:rsidR="00EE009C" w:rsidRPr="00761EB7">
              <w:rPr>
                <w:lang w:val="es-ES_tradnl"/>
              </w:rPr>
              <w:t>ipto (República Árabe de</w:t>
            </w:r>
            <w:r w:rsidRPr="00761EB7">
              <w:rPr>
                <w:lang w:val="es-ES_tradnl"/>
              </w:rPr>
              <w:t>)</w:t>
            </w:r>
          </w:p>
        </w:tc>
        <w:tc>
          <w:tcPr>
            <w:tcW w:w="7512" w:type="dxa"/>
            <w:shd w:val="clear" w:color="auto" w:fill="FFFFFF" w:themeFill="background1"/>
          </w:tcPr>
          <w:p w14:paraId="185405A8" w14:textId="77777777" w:rsidR="00D51DB5" w:rsidRPr="00761EB7" w:rsidRDefault="00EE009C" w:rsidP="004D6AC2">
            <w:pPr>
              <w:rPr>
                <w:highlight w:val="cyan"/>
                <w:lang w:val="es-ES_tradnl"/>
              </w:rPr>
            </w:pPr>
            <w:r w:rsidRPr="00761EB7">
              <w:rPr>
                <w:lang w:val="es-ES_tradnl"/>
              </w:rPr>
              <w:t>Se</w:t>
            </w:r>
            <w:r w:rsidR="0025092F" w:rsidRPr="00761EB7">
              <w:rPr>
                <w:lang w:val="es-ES_tradnl"/>
              </w:rPr>
              <w:t xml:space="preserve"> propone</w:t>
            </w:r>
            <w:r w:rsidRPr="00761EB7">
              <w:rPr>
                <w:lang w:val="es-ES_tradnl"/>
              </w:rPr>
              <w:t xml:space="preserve"> modificar</w:t>
            </w:r>
            <w:r w:rsidR="0025092F" w:rsidRPr="00761EB7">
              <w:rPr>
                <w:lang w:val="es-ES_tradnl"/>
              </w:rPr>
              <w:t xml:space="preserve"> la Resolución 1</w:t>
            </w:r>
            <w:r w:rsidRPr="00761EB7">
              <w:rPr>
                <w:lang w:val="es-ES_tradnl"/>
              </w:rPr>
              <w:t>,</w:t>
            </w:r>
            <w:r w:rsidR="0025092F" w:rsidRPr="00761EB7">
              <w:rPr>
                <w:lang w:val="es-ES_tradnl"/>
              </w:rPr>
              <w:t xml:space="preserve"> Reglamento interno del UIT-D, con el fin de garantizar un flujo de trabajo más fluido que debería repercutir positivamente en los resultados y logros del UIT-D. Las modificaciones incluyen ofrecer a las Comisiones de Estudio la opción de crear </w:t>
            </w:r>
            <w:r w:rsidRPr="00761EB7">
              <w:rPr>
                <w:lang w:val="es-ES_tradnl"/>
              </w:rPr>
              <w:t>G</w:t>
            </w:r>
            <w:r w:rsidR="0025092F" w:rsidRPr="00761EB7">
              <w:rPr>
                <w:lang w:val="es-ES_tradnl"/>
              </w:rPr>
              <w:t xml:space="preserve">rupos </w:t>
            </w:r>
            <w:r w:rsidRPr="00761EB7">
              <w:rPr>
                <w:lang w:val="es-ES_tradnl"/>
              </w:rPr>
              <w:t>T</w:t>
            </w:r>
            <w:r w:rsidR="0025092F" w:rsidRPr="00761EB7">
              <w:rPr>
                <w:lang w:val="es-ES_tradnl"/>
              </w:rPr>
              <w:t>emáticos y disposiciones sobre el Equipo de Dirección Mixto de gestión (JMT), la supresión de Cuestiones y los tipos de contribuciones.</w:t>
            </w:r>
          </w:p>
        </w:tc>
        <w:tc>
          <w:tcPr>
            <w:tcW w:w="3402" w:type="dxa"/>
            <w:shd w:val="clear" w:color="auto" w:fill="FFFFFF" w:themeFill="background1"/>
          </w:tcPr>
          <w:p w14:paraId="6A69B0AE" w14:textId="0FB20DC3" w:rsidR="00D51DB5" w:rsidRPr="00761EB7" w:rsidRDefault="00EE009C" w:rsidP="004D6AC2">
            <w:pPr>
              <w:pStyle w:val="ListParagraph"/>
              <w:numPr>
                <w:ilvl w:val="0"/>
                <w:numId w:val="10"/>
              </w:numPr>
              <w:tabs>
                <w:tab w:val="clear" w:pos="794"/>
                <w:tab w:val="clear" w:pos="1191"/>
                <w:tab w:val="clear" w:pos="1588"/>
                <w:tab w:val="clear" w:pos="1985"/>
                <w:tab w:val="left" w:pos="1134"/>
                <w:tab w:val="left" w:pos="1871"/>
                <w:tab w:val="left" w:pos="2268"/>
              </w:tabs>
              <w:ind w:left="317"/>
              <w:rPr>
                <w:lang w:val="es-ES_tradnl"/>
              </w:rPr>
            </w:pPr>
            <w:r w:rsidRPr="00761EB7">
              <w:rPr>
                <w:lang w:val="es-ES_tradnl"/>
              </w:rPr>
              <w:t>Creación de Grupos Temáticos</w:t>
            </w:r>
            <w:r w:rsidR="002D0DDA" w:rsidRPr="00761EB7">
              <w:rPr>
                <w:lang w:val="es-ES_tradnl"/>
              </w:rPr>
              <w:t>.</w:t>
            </w:r>
          </w:p>
          <w:p w14:paraId="73ABFB51" w14:textId="3CC6BA99" w:rsidR="00D51DB5" w:rsidRPr="00761EB7" w:rsidRDefault="00EE009C" w:rsidP="004D6AC2">
            <w:pPr>
              <w:pStyle w:val="ListParagraph"/>
              <w:numPr>
                <w:ilvl w:val="0"/>
                <w:numId w:val="10"/>
              </w:numPr>
              <w:tabs>
                <w:tab w:val="clear" w:pos="794"/>
                <w:tab w:val="clear" w:pos="1191"/>
                <w:tab w:val="clear" w:pos="1588"/>
                <w:tab w:val="clear" w:pos="1985"/>
                <w:tab w:val="left" w:pos="1134"/>
                <w:tab w:val="left" w:pos="1871"/>
                <w:tab w:val="left" w:pos="2268"/>
              </w:tabs>
              <w:ind w:left="317"/>
              <w:rPr>
                <w:lang w:val="es-ES_tradnl"/>
              </w:rPr>
            </w:pPr>
            <w:r w:rsidRPr="00761EB7">
              <w:rPr>
                <w:lang w:val="es-ES_tradnl"/>
              </w:rPr>
              <w:t>Inclusión de los Presidentes de los Grupos Temáticos en los Equipos de Dirección</w:t>
            </w:r>
            <w:r w:rsidR="002D0DDA" w:rsidRPr="00761EB7">
              <w:rPr>
                <w:lang w:val="es-ES_tradnl"/>
              </w:rPr>
              <w:t>.</w:t>
            </w:r>
          </w:p>
          <w:p w14:paraId="27D55926" w14:textId="2EF1415F" w:rsidR="00D51DB5" w:rsidRPr="00761EB7" w:rsidRDefault="00EE009C" w:rsidP="004D6AC2">
            <w:pPr>
              <w:pStyle w:val="ListParagraph"/>
              <w:numPr>
                <w:ilvl w:val="0"/>
                <w:numId w:val="10"/>
              </w:numPr>
              <w:tabs>
                <w:tab w:val="clear" w:pos="794"/>
                <w:tab w:val="clear" w:pos="1191"/>
                <w:tab w:val="clear" w:pos="1588"/>
                <w:tab w:val="clear" w:pos="1985"/>
                <w:tab w:val="left" w:pos="1134"/>
                <w:tab w:val="left" w:pos="1871"/>
                <w:tab w:val="left" w:pos="2268"/>
              </w:tabs>
              <w:ind w:left="317"/>
              <w:rPr>
                <w:lang w:val="es-ES_tradnl"/>
              </w:rPr>
            </w:pPr>
            <w:r w:rsidRPr="00761EB7">
              <w:rPr>
                <w:lang w:val="es-ES_tradnl"/>
              </w:rPr>
              <w:t>Modificación del texto sobre la supresión de Cuestiones de CE</w:t>
            </w:r>
            <w:r w:rsidR="002D0DDA" w:rsidRPr="00761EB7">
              <w:rPr>
                <w:lang w:val="es-ES_tradnl"/>
              </w:rPr>
              <w:t>.</w:t>
            </w:r>
          </w:p>
          <w:p w14:paraId="3EC9D10F" w14:textId="78659F6B" w:rsidR="00D51DB5" w:rsidRPr="00761EB7" w:rsidRDefault="00EE009C" w:rsidP="004D6AC2">
            <w:pPr>
              <w:pStyle w:val="ListParagraph"/>
              <w:numPr>
                <w:ilvl w:val="0"/>
                <w:numId w:val="10"/>
              </w:numPr>
              <w:tabs>
                <w:tab w:val="clear" w:pos="794"/>
                <w:tab w:val="clear" w:pos="1191"/>
                <w:tab w:val="clear" w:pos="1588"/>
                <w:tab w:val="clear" w:pos="1985"/>
                <w:tab w:val="left" w:pos="1134"/>
                <w:tab w:val="left" w:pos="1871"/>
                <w:tab w:val="left" w:pos="2268"/>
              </w:tabs>
              <w:ind w:left="317"/>
              <w:rPr>
                <w:lang w:val="es-ES_tradnl"/>
              </w:rPr>
            </w:pPr>
            <w:r w:rsidRPr="00761EB7">
              <w:rPr>
                <w:lang w:val="es-ES_tradnl"/>
              </w:rPr>
              <w:t>Búsqueda de sinergias entre la aplicación de las Resoluciones y las Cuestiones mediante las Recomendaciones y los Informes de resultados de las CE</w:t>
            </w:r>
            <w:r w:rsidR="002D0DDA" w:rsidRPr="00761EB7">
              <w:rPr>
                <w:lang w:val="es-ES_tradnl"/>
              </w:rPr>
              <w:t>.</w:t>
            </w:r>
          </w:p>
        </w:tc>
      </w:tr>
      <w:tr w:rsidR="00D51DB5" w:rsidRPr="00761EB7" w14:paraId="7D9D5CA5" w14:textId="77777777" w:rsidTr="00286B79">
        <w:tc>
          <w:tcPr>
            <w:tcW w:w="14737" w:type="dxa"/>
            <w:gridSpan w:val="4"/>
            <w:tcBorders>
              <w:bottom w:val="single" w:sz="4" w:space="0" w:color="auto"/>
            </w:tcBorders>
            <w:shd w:val="clear" w:color="auto" w:fill="FFFFFF" w:themeFill="background1"/>
          </w:tcPr>
          <w:p w14:paraId="6814B62A" w14:textId="77777777" w:rsidR="00D51DB5" w:rsidRPr="00761EB7" w:rsidRDefault="00D51DB5" w:rsidP="004D6AC2">
            <w:pPr>
              <w:rPr>
                <w:b/>
                <w:bCs/>
                <w:lang w:val="es-ES_tradnl"/>
              </w:rPr>
            </w:pPr>
            <w:r w:rsidRPr="00761EB7">
              <w:rPr>
                <w:b/>
                <w:bCs/>
                <w:lang w:val="es-ES_tradnl"/>
              </w:rPr>
              <w:t>RP</w:t>
            </w:r>
            <w:r w:rsidR="00EE009C" w:rsidRPr="00761EB7">
              <w:rPr>
                <w:b/>
                <w:bCs/>
                <w:lang w:val="es-ES_tradnl"/>
              </w:rPr>
              <w:t>R</w:t>
            </w:r>
            <w:r w:rsidRPr="00761EB7">
              <w:rPr>
                <w:b/>
                <w:bCs/>
                <w:lang w:val="es-ES_tradnl"/>
              </w:rPr>
              <w:t>-AMS</w:t>
            </w:r>
          </w:p>
        </w:tc>
      </w:tr>
      <w:tr w:rsidR="004E293E" w:rsidRPr="00761EB7" w14:paraId="0CBAE9F3" w14:textId="77777777" w:rsidTr="00286B79">
        <w:tc>
          <w:tcPr>
            <w:tcW w:w="2122" w:type="dxa"/>
            <w:shd w:val="clear" w:color="auto" w:fill="F2F2F2" w:themeFill="background1" w:themeFillShade="F2"/>
          </w:tcPr>
          <w:p w14:paraId="18F81BA8" w14:textId="77777777" w:rsidR="00D51DB5" w:rsidRPr="00761EB7" w:rsidRDefault="00D51DB5" w:rsidP="004D6AC2">
            <w:pPr>
              <w:rPr>
                <w:lang w:val="es-ES_tradnl"/>
              </w:rPr>
            </w:pPr>
            <w:r w:rsidRPr="00761EB7">
              <w:rPr>
                <w:b/>
                <w:bCs/>
                <w:lang w:val="es-ES_tradnl"/>
              </w:rPr>
              <w:t>Document</w:t>
            </w:r>
            <w:r w:rsidR="00EE009C" w:rsidRPr="00761EB7">
              <w:rPr>
                <w:b/>
                <w:bCs/>
                <w:lang w:val="es-ES_tradnl"/>
              </w:rPr>
              <w:t>o</w:t>
            </w:r>
          </w:p>
        </w:tc>
        <w:tc>
          <w:tcPr>
            <w:tcW w:w="1701" w:type="dxa"/>
            <w:shd w:val="clear" w:color="auto" w:fill="F2F2F2" w:themeFill="background1" w:themeFillShade="F2"/>
          </w:tcPr>
          <w:p w14:paraId="0149BD4C" w14:textId="77777777" w:rsidR="00D51DB5" w:rsidRPr="00761EB7" w:rsidRDefault="00EE009C" w:rsidP="004D6AC2">
            <w:pPr>
              <w:rPr>
                <w:lang w:val="es-ES_tradnl"/>
              </w:rPr>
            </w:pPr>
            <w:r w:rsidRPr="00761EB7">
              <w:rPr>
                <w:b/>
                <w:bCs/>
                <w:lang w:val="es-ES_tradnl"/>
              </w:rPr>
              <w:t>Origen</w:t>
            </w:r>
          </w:p>
        </w:tc>
        <w:tc>
          <w:tcPr>
            <w:tcW w:w="7512" w:type="dxa"/>
            <w:shd w:val="clear" w:color="auto" w:fill="F2F2F2" w:themeFill="background1" w:themeFillShade="F2"/>
          </w:tcPr>
          <w:p w14:paraId="04EFC81B" w14:textId="77777777" w:rsidR="00D51DB5" w:rsidRPr="00761EB7" w:rsidRDefault="00EE009C" w:rsidP="004D6AC2">
            <w:pPr>
              <w:rPr>
                <w:lang w:val="es-ES_tradnl"/>
              </w:rPr>
            </w:pPr>
            <w:r w:rsidRPr="00761EB7">
              <w:rPr>
                <w:b/>
                <w:bCs/>
                <w:lang w:val="es-ES_tradnl"/>
              </w:rPr>
              <w:t>Propuesta</w:t>
            </w:r>
          </w:p>
        </w:tc>
        <w:tc>
          <w:tcPr>
            <w:tcW w:w="3402" w:type="dxa"/>
            <w:shd w:val="clear" w:color="auto" w:fill="F2F2F2" w:themeFill="background1" w:themeFillShade="F2"/>
          </w:tcPr>
          <w:p w14:paraId="7DDC6FD3" w14:textId="77777777" w:rsidR="00D51DB5" w:rsidRPr="00761EB7" w:rsidRDefault="00EE009C" w:rsidP="004D6AC2">
            <w:pPr>
              <w:tabs>
                <w:tab w:val="clear" w:pos="794"/>
                <w:tab w:val="clear" w:pos="1191"/>
                <w:tab w:val="clear" w:pos="1588"/>
                <w:tab w:val="clear" w:pos="1985"/>
                <w:tab w:val="left" w:pos="1134"/>
                <w:tab w:val="left" w:pos="1871"/>
                <w:tab w:val="left" w:pos="2268"/>
              </w:tabs>
              <w:rPr>
                <w:lang w:val="es-ES_tradnl"/>
              </w:rPr>
            </w:pPr>
            <w:r w:rsidRPr="00761EB7">
              <w:rPr>
                <w:b/>
                <w:bCs/>
                <w:lang w:val="es-ES_tradnl"/>
              </w:rPr>
              <w:t>Tema principal</w:t>
            </w:r>
          </w:p>
        </w:tc>
      </w:tr>
      <w:tr w:rsidR="004E293E" w:rsidRPr="00761EB7" w14:paraId="71385739" w14:textId="77777777" w:rsidTr="00286B79">
        <w:tc>
          <w:tcPr>
            <w:tcW w:w="2122" w:type="dxa"/>
            <w:shd w:val="clear" w:color="auto" w:fill="F2F2F2" w:themeFill="background1" w:themeFillShade="F2"/>
          </w:tcPr>
          <w:p w14:paraId="79ADBFE7" w14:textId="553759DB" w:rsidR="00D51DB5" w:rsidRPr="00761EB7" w:rsidRDefault="00D51DB5" w:rsidP="004D6AC2">
            <w:pPr>
              <w:rPr>
                <w:lang w:val="es-ES_tradnl"/>
              </w:rPr>
            </w:pPr>
            <w:r w:rsidRPr="00761EB7">
              <w:rPr>
                <w:lang w:val="es-ES_tradnl"/>
              </w:rPr>
              <w:t>Com</w:t>
            </w:r>
            <w:r w:rsidR="003E5412" w:rsidRPr="00761EB7">
              <w:rPr>
                <w:lang w:val="es-ES_tradnl"/>
              </w:rPr>
              <w:t>entarios sobre</w:t>
            </w:r>
            <w:r w:rsidRPr="00761EB7">
              <w:rPr>
                <w:lang w:val="es-ES_tradnl"/>
              </w:rPr>
              <w:t xml:space="preserve"> </w:t>
            </w:r>
            <w:hyperlink r:id="rId24" w:history="1">
              <w:r w:rsidRPr="00761EB7">
                <w:rPr>
                  <w:rStyle w:val="Hyperlink"/>
                  <w:lang w:val="es-ES_tradnl"/>
                </w:rPr>
                <w:t>RPM-AMS17/10(Rev.1)-E</w:t>
              </w:r>
            </w:hyperlink>
            <w:r w:rsidRPr="00761EB7">
              <w:rPr>
                <w:lang w:val="es-ES_tradnl"/>
              </w:rPr>
              <w:t xml:space="preserve"> </w:t>
            </w:r>
            <w:r w:rsidR="003E5412" w:rsidRPr="00761EB7">
              <w:rPr>
                <w:lang w:val="es-ES_tradnl"/>
              </w:rPr>
              <w:t>en el Informe del Presidente</w:t>
            </w:r>
            <w:r w:rsidRPr="00761EB7">
              <w:rPr>
                <w:lang w:val="es-ES_tradnl"/>
              </w:rPr>
              <w:t xml:space="preserve"> </w:t>
            </w:r>
            <w:r w:rsidR="002A7BA7" w:rsidRPr="00761EB7">
              <w:rPr>
                <w:lang w:val="es-ES_tradnl"/>
              </w:rPr>
              <w:br/>
            </w:r>
            <w:hyperlink r:id="rId25" w:history="1">
              <w:r w:rsidRPr="00761EB7">
                <w:rPr>
                  <w:rStyle w:val="Hyperlink"/>
                  <w:lang w:val="es-ES_tradnl"/>
                </w:rPr>
                <w:t>RPM-AMS17/41-E</w:t>
              </w:r>
            </w:hyperlink>
          </w:p>
        </w:tc>
        <w:tc>
          <w:tcPr>
            <w:tcW w:w="1701" w:type="dxa"/>
            <w:shd w:val="clear" w:color="auto" w:fill="F2F2F2" w:themeFill="background1" w:themeFillShade="F2"/>
          </w:tcPr>
          <w:p w14:paraId="19A7FCB4" w14:textId="77777777" w:rsidR="00D51DB5" w:rsidRPr="00761EB7" w:rsidRDefault="003E5412" w:rsidP="004D6AC2">
            <w:pPr>
              <w:rPr>
                <w:lang w:val="es-ES_tradnl"/>
              </w:rPr>
            </w:pPr>
            <w:r w:rsidRPr="00761EB7">
              <w:rPr>
                <w:lang w:val="es-ES_tradnl"/>
              </w:rPr>
              <w:t>Presidente de la RPR</w:t>
            </w:r>
            <w:r w:rsidR="00D51DB5" w:rsidRPr="00761EB7">
              <w:rPr>
                <w:lang w:val="es-ES_tradnl"/>
              </w:rPr>
              <w:t>-AMS</w:t>
            </w:r>
          </w:p>
        </w:tc>
        <w:tc>
          <w:tcPr>
            <w:tcW w:w="7512" w:type="dxa"/>
            <w:shd w:val="clear" w:color="auto" w:fill="F2F2F2" w:themeFill="background1" w:themeFillShade="F2"/>
          </w:tcPr>
          <w:p w14:paraId="5C963B90" w14:textId="77777777" w:rsidR="00D51DB5" w:rsidRPr="00761EB7" w:rsidRDefault="003E5412" w:rsidP="004D6AC2">
            <w:pPr>
              <w:rPr>
                <w:b/>
                <w:bCs/>
                <w:i/>
                <w:iCs/>
                <w:lang w:val="es-ES_tradnl"/>
              </w:rPr>
            </w:pPr>
            <w:r w:rsidRPr="00761EB7">
              <w:rPr>
                <w:b/>
                <w:bCs/>
                <w:i/>
                <w:iCs/>
                <w:lang w:val="es-ES_tradnl"/>
              </w:rPr>
              <w:t>Debate general</w:t>
            </w:r>
          </w:p>
          <w:p w14:paraId="0A77E9AB" w14:textId="77777777" w:rsidR="00D51DB5" w:rsidRPr="00761EB7" w:rsidRDefault="00202C25" w:rsidP="004D6AC2">
            <w:pPr>
              <w:rPr>
                <w:lang w:val="es-ES_tradnl"/>
              </w:rPr>
            </w:pPr>
            <w:r w:rsidRPr="00761EB7">
              <w:rPr>
                <w:lang w:val="es-ES_tradnl"/>
              </w:rPr>
              <w:t>Paraguay dio las gracias a la BDT por el documento presentado e informó a las administraciones de que se propondrán modificaciones para su consideración en las futuras reuniones regionales de preparación de la CMDT-17, sobre todo en lo que respecta al párrafo 35 del documento, a fin de vincular las funciones de los Vicepresidentes del GADT con el análisis y el seguimiento de las Iniciativas regionales</w:t>
            </w:r>
            <w:r w:rsidR="00D51DB5" w:rsidRPr="00761EB7">
              <w:rPr>
                <w:lang w:val="es-ES_tradnl"/>
              </w:rPr>
              <w:t>.</w:t>
            </w:r>
          </w:p>
        </w:tc>
        <w:tc>
          <w:tcPr>
            <w:tcW w:w="3402" w:type="dxa"/>
            <w:shd w:val="clear" w:color="auto" w:fill="F2F2F2" w:themeFill="background1" w:themeFillShade="F2"/>
          </w:tcPr>
          <w:p w14:paraId="354BFD3E" w14:textId="26A8B18A" w:rsidR="00D51DB5" w:rsidRPr="00761EB7" w:rsidRDefault="003E5412" w:rsidP="004D6AC2">
            <w:pPr>
              <w:pStyle w:val="ListParagraph"/>
              <w:numPr>
                <w:ilvl w:val="0"/>
                <w:numId w:val="13"/>
              </w:numPr>
              <w:tabs>
                <w:tab w:val="clear" w:pos="794"/>
                <w:tab w:val="clear" w:pos="1191"/>
                <w:tab w:val="clear" w:pos="1588"/>
                <w:tab w:val="clear" w:pos="1985"/>
                <w:tab w:val="left" w:pos="1134"/>
                <w:tab w:val="left" w:pos="1871"/>
                <w:tab w:val="left" w:pos="2268"/>
              </w:tabs>
              <w:rPr>
                <w:lang w:val="es-ES_tradnl"/>
              </w:rPr>
            </w:pPr>
            <w:r w:rsidRPr="00761EB7">
              <w:rPr>
                <w:lang w:val="es-ES_tradnl"/>
              </w:rPr>
              <w:t>Funciones y responsabilidades de los Vicepresidente del GADT</w:t>
            </w:r>
            <w:r w:rsidR="005645C0" w:rsidRPr="00761EB7">
              <w:rPr>
                <w:lang w:val="es-ES_tradnl"/>
              </w:rPr>
              <w:t>.</w:t>
            </w:r>
          </w:p>
          <w:p w14:paraId="3F3F0F3C" w14:textId="30AFB92D" w:rsidR="00D51DB5" w:rsidRPr="00761EB7" w:rsidRDefault="003E5412" w:rsidP="004D6AC2">
            <w:pPr>
              <w:pStyle w:val="ListParagraph"/>
              <w:numPr>
                <w:ilvl w:val="0"/>
                <w:numId w:val="13"/>
              </w:numPr>
              <w:tabs>
                <w:tab w:val="clear" w:pos="794"/>
                <w:tab w:val="clear" w:pos="1191"/>
                <w:tab w:val="clear" w:pos="1588"/>
                <w:tab w:val="clear" w:pos="1985"/>
                <w:tab w:val="left" w:pos="1134"/>
                <w:tab w:val="left" w:pos="1871"/>
                <w:tab w:val="left" w:pos="2268"/>
              </w:tabs>
              <w:rPr>
                <w:lang w:val="es-ES_tradnl"/>
              </w:rPr>
            </w:pPr>
            <w:r w:rsidRPr="00761EB7">
              <w:rPr>
                <w:lang w:val="es-ES_tradnl"/>
              </w:rPr>
              <w:t>Iniciativas regionales</w:t>
            </w:r>
            <w:r w:rsidR="005645C0" w:rsidRPr="00761EB7">
              <w:rPr>
                <w:lang w:val="es-ES_tradnl"/>
              </w:rPr>
              <w:t>.</w:t>
            </w:r>
          </w:p>
        </w:tc>
      </w:tr>
      <w:tr w:rsidR="004E293E" w:rsidRPr="00761EB7" w14:paraId="1FD6A363" w14:textId="77777777" w:rsidTr="00286B79">
        <w:tc>
          <w:tcPr>
            <w:tcW w:w="2122" w:type="dxa"/>
            <w:shd w:val="clear" w:color="auto" w:fill="FFFFFF" w:themeFill="background1"/>
          </w:tcPr>
          <w:p w14:paraId="19770B2A" w14:textId="77777777" w:rsidR="00D51DB5" w:rsidRPr="00761EB7" w:rsidRDefault="003F63ED" w:rsidP="004D6AC2">
            <w:pPr>
              <w:rPr>
                <w:lang w:val="es-ES_tradnl"/>
              </w:rPr>
            </w:pPr>
            <w:hyperlink r:id="rId26" w:history="1">
              <w:r w:rsidR="00D51DB5" w:rsidRPr="00761EB7">
                <w:rPr>
                  <w:rStyle w:val="Hyperlink"/>
                  <w:lang w:val="es-ES_tradnl"/>
                </w:rPr>
                <w:t>RPM-AMS17/19-E</w:t>
              </w:r>
            </w:hyperlink>
          </w:p>
        </w:tc>
        <w:tc>
          <w:tcPr>
            <w:tcW w:w="1701" w:type="dxa"/>
            <w:shd w:val="clear" w:color="auto" w:fill="FFFFFF" w:themeFill="background1"/>
          </w:tcPr>
          <w:p w14:paraId="06F3FBA4" w14:textId="77777777" w:rsidR="00D51DB5" w:rsidRPr="00761EB7" w:rsidRDefault="003E5412" w:rsidP="004D6AC2">
            <w:pPr>
              <w:rPr>
                <w:lang w:val="es-ES_tradnl"/>
              </w:rPr>
            </w:pPr>
            <w:r w:rsidRPr="00761EB7">
              <w:rPr>
                <w:lang w:val="es-ES_tradnl"/>
              </w:rPr>
              <w:t>Estados Unidos de América</w:t>
            </w:r>
          </w:p>
        </w:tc>
        <w:tc>
          <w:tcPr>
            <w:tcW w:w="7512" w:type="dxa"/>
            <w:shd w:val="clear" w:color="auto" w:fill="FFFFFF" w:themeFill="background1"/>
          </w:tcPr>
          <w:p w14:paraId="59096A97" w14:textId="4285ADD6" w:rsidR="00D51DB5" w:rsidRPr="00761EB7" w:rsidRDefault="003E5412" w:rsidP="004D6AC2">
            <w:pPr>
              <w:tabs>
                <w:tab w:val="left" w:pos="1951"/>
              </w:tabs>
              <w:rPr>
                <w:szCs w:val="24"/>
                <w:lang w:val="es-ES_tradnl"/>
              </w:rPr>
            </w:pPr>
            <w:r w:rsidRPr="00761EB7">
              <w:rPr>
                <w:szCs w:val="24"/>
                <w:lang w:val="es-ES_tradnl"/>
              </w:rPr>
              <w:t xml:space="preserve">En este documento se presentan opiniones y propuestas </w:t>
            </w:r>
            <w:r w:rsidR="000D1457" w:rsidRPr="00761EB7">
              <w:rPr>
                <w:szCs w:val="24"/>
                <w:lang w:val="es-ES_tradnl"/>
              </w:rPr>
              <w:t>preliminares</w:t>
            </w:r>
            <w:r w:rsidRPr="00761EB7">
              <w:rPr>
                <w:szCs w:val="24"/>
                <w:lang w:val="es-ES_tradnl"/>
              </w:rPr>
              <w:t xml:space="preserve"> sobre temas del UIT-D para su consideración por la región AMS. Con las modificaciones propuestas por Estados Unidos para la Resolución 1 (Reglamento Interno del UIT-D)</w:t>
            </w:r>
            <w:r w:rsidR="00202C25" w:rsidRPr="00761EB7">
              <w:rPr>
                <w:szCs w:val="24"/>
                <w:lang w:val="es-ES_tradnl"/>
              </w:rPr>
              <w:t xml:space="preserve"> se pretende reflejar más plenamente y preservar las valiosas experiencias y lecciones extraídas que los </w:t>
            </w:r>
            <w:r w:rsidR="00A17718" w:rsidRPr="00761EB7">
              <w:rPr>
                <w:szCs w:val="24"/>
                <w:lang w:val="es-ES_tradnl"/>
              </w:rPr>
              <w:t xml:space="preserve">Miembros </w:t>
            </w:r>
            <w:r w:rsidR="00202C25" w:rsidRPr="00761EB7">
              <w:rPr>
                <w:szCs w:val="24"/>
                <w:lang w:val="es-ES_tradnl"/>
              </w:rPr>
              <w:lastRenderedPageBreak/>
              <w:t>de la UIT comparten en sus contribuciones a las reuniones de las Comisiones de Estudio. Otro objetivo es que las prácticas idóneas y las directrices facultativas para el examen, el debate y el consenso estén disponibles más pronto dentro del ciclo de estudios y se actualicen a intervalos periódicos.</w:t>
            </w:r>
          </w:p>
          <w:p w14:paraId="594AFC8B" w14:textId="77777777" w:rsidR="00D51DB5" w:rsidRPr="00761EB7" w:rsidRDefault="00B030F4" w:rsidP="004D6AC2">
            <w:pPr>
              <w:tabs>
                <w:tab w:val="left" w:pos="1951"/>
              </w:tabs>
              <w:rPr>
                <w:szCs w:val="24"/>
                <w:highlight w:val="yellow"/>
                <w:lang w:val="es-ES_tradnl"/>
              </w:rPr>
            </w:pPr>
            <w:r w:rsidRPr="00761EB7">
              <w:rPr>
                <w:szCs w:val="24"/>
                <w:lang w:val="es-ES_tradnl"/>
              </w:rPr>
              <w:t>En la contribución se proponen modificaciones de la Resolución 1 relativa al Reglamento Interno del UIT-D en lo que respecta a la CMDT, Comisiones de Estudio, Cuestiones, contribuciones, recomendaciones, otros grupos, reuniones regionales y mundiales del Sector, el GADT, las plantillas y la lista de verificación del Relator.</w:t>
            </w:r>
          </w:p>
          <w:p w14:paraId="2CC74A99" w14:textId="77777777" w:rsidR="00D51DB5" w:rsidRPr="00761EB7" w:rsidRDefault="00B030F4" w:rsidP="004D6AC2">
            <w:pPr>
              <w:tabs>
                <w:tab w:val="left" w:pos="1951"/>
              </w:tabs>
              <w:rPr>
                <w:szCs w:val="24"/>
                <w:highlight w:val="yellow"/>
                <w:lang w:val="es-ES_tradnl"/>
              </w:rPr>
            </w:pPr>
            <w:r w:rsidRPr="00761EB7">
              <w:rPr>
                <w:szCs w:val="24"/>
                <w:lang w:val="es-ES_tradnl"/>
              </w:rPr>
              <w:t>Las Administraciones de Paraguay, Argentina, Brasil y Canadá expresaron su agradecimiento a la Administración de Estados Unidos por presentar la propuesta y manifestaron su interés por proseguir el debate sobre las modificaciones y elaborar una propuesta común. Se acordó seguir adelante con los trabajos para elaborar una propuesta regional común para el GADT y la CMDT-17.</w:t>
            </w:r>
          </w:p>
        </w:tc>
        <w:tc>
          <w:tcPr>
            <w:tcW w:w="3402" w:type="dxa"/>
            <w:shd w:val="clear" w:color="auto" w:fill="FFFFFF" w:themeFill="background1"/>
          </w:tcPr>
          <w:p w14:paraId="74858AD9" w14:textId="7CC22447" w:rsidR="00D51DB5" w:rsidRPr="00761EB7" w:rsidRDefault="003E5412" w:rsidP="004D6AC2">
            <w:pPr>
              <w:pStyle w:val="ListParagraph"/>
              <w:numPr>
                <w:ilvl w:val="0"/>
                <w:numId w:val="9"/>
              </w:numPr>
              <w:tabs>
                <w:tab w:val="clear" w:pos="794"/>
                <w:tab w:val="clear" w:pos="1191"/>
                <w:tab w:val="clear" w:pos="1588"/>
                <w:tab w:val="clear" w:pos="1985"/>
                <w:tab w:val="left" w:pos="1134"/>
                <w:tab w:val="left" w:pos="1871"/>
                <w:tab w:val="left" w:pos="2268"/>
              </w:tabs>
              <w:ind w:left="317"/>
              <w:rPr>
                <w:lang w:val="es-ES_tradnl"/>
              </w:rPr>
            </w:pPr>
            <w:r w:rsidRPr="00761EB7">
              <w:rPr>
                <w:lang w:val="es-ES_tradnl"/>
              </w:rPr>
              <w:lastRenderedPageBreak/>
              <w:t>Funciones y responsabilidades de los Vicepresidentes de las CE</w:t>
            </w:r>
            <w:r w:rsidR="00611DC0" w:rsidRPr="00761EB7">
              <w:rPr>
                <w:lang w:val="es-ES_tradnl"/>
              </w:rPr>
              <w:t>.</w:t>
            </w:r>
          </w:p>
          <w:p w14:paraId="422C9AAC" w14:textId="3EF6BCF1" w:rsidR="00D51DB5" w:rsidRPr="00761EB7" w:rsidRDefault="003E5412" w:rsidP="004D6AC2">
            <w:pPr>
              <w:pStyle w:val="ListParagraph"/>
              <w:numPr>
                <w:ilvl w:val="0"/>
                <w:numId w:val="9"/>
              </w:numPr>
              <w:tabs>
                <w:tab w:val="clear" w:pos="794"/>
                <w:tab w:val="clear" w:pos="1191"/>
                <w:tab w:val="clear" w:pos="1588"/>
                <w:tab w:val="clear" w:pos="1985"/>
                <w:tab w:val="left" w:pos="1134"/>
                <w:tab w:val="left" w:pos="1871"/>
                <w:tab w:val="left" w:pos="2268"/>
              </w:tabs>
              <w:ind w:left="317"/>
              <w:rPr>
                <w:lang w:val="es-ES_tradnl"/>
              </w:rPr>
            </w:pPr>
            <w:r w:rsidRPr="00761EB7">
              <w:rPr>
                <w:lang w:val="es-ES_tradnl"/>
              </w:rPr>
              <w:lastRenderedPageBreak/>
              <w:t>Funciones y responsabilidades de los Relatores de las CE</w:t>
            </w:r>
            <w:r w:rsidR="00611DC0" w:rsidRPr="00761EB7">
              <w:rPr>
                <w:lang w:val="es-ES_tradnl"/>
              </w:rPr>
              <w:t>.</w:t>
            </w:r>
          </w:p>
          <w:p w14:paraId="44368B6E" w14:textId="1ABB3ADA" w:rsidR="00D51DB5" w:rsidRPr="00761EB7" w:rsidRDefault="003E5412" w:rsidP="004D6AC2">
            <w:pPr>
              <w:pStyle w:val="ListParagraph"/>
              <w:numPr>
                <w:ilvl w:val="0"/>
                <w:numId w:val="9"/>
              </w:numPr>
              <w:tabs>
                <w:tab w:val="clear" w:pos="794"/>
                <w:tab w:val="clear" w:pos="1191"/>
                <w:tab w:val="clear" w:pos="1588"/>
                <w:tab w:val="clear" w:pos="1985"/>
                <w:tab w:val="left" w:pos="1134"/>
                <w:tab w:val="left" w:pos="1871"/>
                <w:tab w:val="left" w:pos="2268"/>
              </w:tabs>
              <w:ind w:left="317"/>
              <w:rPr>
                <w:lang w:val="es-ES_tradnl"/>
              </w:rPr>
            </w:pPr>
            <w:r w:rsidRPr="00761EB7">
              <w:rPr>
                <w:lang w:val="es-ES_tradnl"/>
              </w:rPr>
              <w:t>Tramitación de las contribuciones</w:t>
            </w:r>
            <w:r w:rsidR="00611DC0" w:rsidRPr="00761EB7">
              <w:rPr>
                <w:lang w:val="es-ES_tradnl"/>
              </w:rPr>
              <w:t>.</w:t>
            </w:r>
          </w:p>
          <w:p w14:paraId="7B8FD7B8" w14:textId="1BCD73BF" w:rsidR="00D51DB5" w:rsidRPr="00761EB7" w:rsidRDefault="003E5412" w:rsidP="004D6AC2">
            <w:pPr>
              <w:pStyle w:val="ListParagraph"/>
              <w:numPr>
                <w:ilvl w:val="0"/>
                <w:numId w:val="9"/>
              </w:numPr>
              <w:tabs>
                <w:tab w:val="clear" w:pos="794"/>
                <w:tab w:val="clear" w:pos="1191"/>
                <w:tab w:val="clear" w:pos="1588"/>
                <w:tab w:val="clear" w:pos="1985"/>
                <w:tab w:val="left" w:pos="1134"/>
                <w:tab w:val="left" w:pos="1871"/>
                <w:tab w:val="left" w:pos="2268"/>
              </w:tabs>
              <w:ind w:left="317"/>
              <w:rPr>
                <w:lang w:val="es-ES_tradnl"/>
              </w:rPr>
            </w:pPr>
            <w:r w:rsidRPr="00761EB7">
              <w:rPr>
                <w:lang w:val="es-ES_tradnl"/>
              </w:rPr>
              <w:t>Propuesta y adopción de Cuestiones nuevas y revisadas</w:t>
            </w:r>
            <w:r w:rsidR="00611DC0" w:rsidRPr="00761EB7">
              <w:rPr>
                <w:lang w:val="es-ES_tradnl"/>
              </w:rPr>
              <w:t>.</w:t>
            </w:r>
          </w:p>
          <w:p w14:paraId="5853A91A" w14:textId="33DE22DB" w:rsidR="00D51DB5" w:rsidRPr="00761EB7" w:rsidRDefault="003E5412" w:rsidP="004D6AC2">
            <w:pPr>
              <w:pStyle w:val="ListParagraph"/>
              <w:numPr>
                <w:ilvl w:val="0"/>
                <w:numId w:val="9"/>
              </w:numPr>
              <w:tabs>
                <w:tab w:val="clear" w:pos="794"/>
                <w:tab w:val="clear" w:pos="1191"/>
                <w:tab w:val="clear" w:pos="1588"/>
                <w:tab w:val="clear" w:pos="1985"/>
                <w:tab w:val="left" w:pos="1134"/>
                <w:tab w:val="left" w:pos="1871"/>
                <w:tab w:val="left" w:pos="2268"/>
              </w:tabs>
              <w:ind w:left="317"/>
              <w:rPr>
                <w:lang w:val="es-ES_tradnl"/>
              </w:rPr>
            </w:pPr>
            <w:r w:rsidRPr="00761EB7">
              <w:rPr>
                <w:lang w:val="es-ES_tradnl"/>
              </w:rPr>
              <w:t>GADT</w:t>
            </w:r>
            <w:r w:rsidR="00611DC0" w:rsidRPr="00761EB7">
              <w:rPr>
                <w:lang w:val="es-ES_tradnl"/>
              </w:rPr>
              <w:t>.</w:t>
            </w:r>
          </w:p>
          <w:p w14:paraId="1C8B1CA5" w14:textId="6BEBF56F" w:rsidR="00D51DB5" w:rsidRPr="00761EB7" w:rsidRDefault="003E5412" w:rsidP="004D6AC2">
            <w:pPr>
              <w:pStyle w:val="ListParagraph"/>
              <w:numPr>
                <w:ilvl w:val="0"/>
                <w:numId w:val="9"/>
              </w:numPr>
              <w:tabs>
                <w:tab w:val="clear" w:pos="794"/>
                <w:tab w:val="clear" w:pos="1191"/>
                <w:tab w:val="clear" w:pos="1588"/>
                <w:tab w:val="clear" w:pos="1985"/>
                <w:tab w:val="left" w:pos="1134"/>
                <w:tab w:val="left" w:pos="1871"/>
                <w:tab w:val="left" w:pos="2268"/>
              </w:tabs>
              <w:ind w:left="317"/>
              <w:rPr>
                <w:lang w:val="es-ES_tradnl"/>
              </w:rPr>
            </w:pPr>
            <w:r w:rsidRPr="00761EB7">
              <w:rPr>
                <w:lang w:val="es-ES_tradnl"/>
              </w:rPr>
              <w:t>Plantillas</w:t>
            </w:r>
            <w:r w:rsidR="00611DC0" w:rsidRPr="00761EB7">
              <w:rPr>
                <w:lang w:val="es-ES_tradnl"/>
              </w:rPr>
              <w:t>.</w:t>
            </w:r>
          </w:p>
        </w:tc>
      </w:tr>
      <w:tr w:rsidR="00D51DB5" w:rsidRPr="00761EB7" w14:paraId="1D010459" w14:textId="77777777" w:rsidTr="00286B79">
        <w:tc>
          <w:tcPr>
            <w:tcW w:w="14737" w:type="dxa"/>
            <w:gridSpan w:val="4"/>
            <w:shd w:val="clear" w:color="auto" w:fill="FFFFFF" w:themeFill="background1"/>
          </w:tcPr>
          <w:p w14:paraId="0846BE59" w14:textId="77777777" w:rsidR="00D51DB5" w:rsidRPr="00761EB7" w:rsidRDefault="00D51DB5" w:rsidP="004D6AC2">
            <w:pPr>
              <w:rPr>
                <w:b/>
                <w:bCs/>
                <w:lang w:val="es-ES_tradnl"/>
              </w:rPr>
            </w:pPr>
            <w:r w:rsidRPr="00761EB7">
              <w:rPr>
                <w:b/>
                <w:bCs/>
                <w:lang w:val="es-ES_tradnl"/>
              </w:rPr>
              <w:lastRenderedPageBreak/>
              <w:t>RP</w:t>
            </w:r>
            <w:r w:rsidR="003E5412" w:rsidRPr="00761EB7">
              <w:rPr>
                <w:b/>
                <w:bCs/>
                <w:lang w:val="es-ES_tradnl"/>
              </w:rPr>
              <w:t>R</w:t>
            </w:r>
            <w:r w:rsidRPr="00761EB7">
              <w:rPr>
                <w:b/>
                <w:bCs/>
                <w:lang w:val="es-ES_tradnl"/>
              </w:rPr>
              <w:t>-ASP</w:t>
            </w:r>
          </w:p>
        </w:tc>
      </w:tr>
      <w:tr w:rsidR="004E293E" w:rsidRPr="00761EB7" w14:paraId="07879F1C" w14:textId="77777777" w:rsidTr="00286B79">
        <w:tc>
          <w:tcPr>
            <w:tcW w:w="2122" w:type="dxa"/>
            <w:shd w:val="clear" w:color="auto" w:fill="F2F2F2" w:themeFill="background1" w:themeFillShade="F2"/>
          </w:tcPr>
          <w:p w14:paraId="4B107DA8" w14:textId="77777777" w:rsidR="00D51DB5" w:rsidRPr="00761EB7" w:rsidRDefault="00D51DB5" w:rsidP="004D6AC2">
            <w:pPr>
              <w:rPr>
                <w:lang w:val="es-ES_tradnl"/>
              </w:rPr>
            </w:pPr>
            <w:r w:rsidRPr="00761EB7">
              <w:rPr>
                <w:b/>
                <w:bCs/>
                <w:lang w:val="es-ES_tradnl"/>
              </w:rPr>
              <w:t>Document</w:t>
            </w:r>
            <w:r w:rsidR="003E5412" w:rsidRPr="00761EB7">
              <w:rPr>
                <w:b/>
                <w:bCs/>
                <w:lang w:val="es-ES_tradnl"/>
              </w:rPr>
              <w:t>o</w:t>
            </w:r>
          </w:p>
        </w:tc>
        <w:tc>
          <w:tcPr>
            <w:tcW w:w="1701" w:type="dxa"/>
            <w:shd w:val="clear" w:color="auto" w:fill="F2F2F2" w:themeFill="background1" w:themeFillShade="F2"/>
          </w:tcPr>
          <w:p w14:paraId="52B18021" w14:textId="77777777" w:rsidR="00D51DB5" w:rsidRPr="00761EB7" w:rsidRDefault="003E5412" w:rsidP="004D6AC2">
            <w:pPr>
              <w:rPr>
                <w:lang w:val="es-ES_tradnl"/>
              </w:rPr>
            </w:pPr>
            <w:r w:rsidRPr="00761EB7">
              <w:rPr>
                <w:b/>
                <w:bCs/>
                <w:lang w:val="es-ES_tradnl"/>
              </w:rPr>
              <w:t>Origen</w:t>
            </w:r>
          </w:p>
        </w:tc>
        <w:tc>
          <w:tcPr>
            <w:tcW w:w="7512" w:type="dxa"/>
            <w:shd w:val="clear" w:color="auto" w:fill="F2F2F2" w:themeFill="background1" w:themeFillShade="F2"/>
          </w:tcPr>
          <w:p w14:paraId="7E8D539E" w14:textId="77777777" w:rsidR="00D51DB5" w:rsidRPr="00761EB7" w:rsidRDefault="003E5412" w:rsidP="004D6AC2">
            <w:pPr>
              <w:rPr>
                <w:lang w:val="es-ES_tradnl"/>
              </w:rPr>
            </w:pPr>
            <w:r w:rsidRPr="00761EB7">
              <w:rPr>
                <w:b/>
                <w:bCs/>
                <w:lang w:val="es-ES_tradnl"/>
              </w:rPr>
              <w:t>Propuesta</w:t>
            </w:r>
          </w:p>
        </w:tc>
        <w:tc>
          <w:tcPr>
            <w:tcW w:w="3402" w:type="dxa"/>
            <w:shd w:val="clear" w:color="auto" w:fill="F2F2F2" w:themeFill="background1" w:themeFillShade="F2"/>
          </w:tcPr>
          <w:p w14:paraId="0ECDC83E" w14:textId="77777777" w:rsidR="00D51DB5" w:rsidRPr="00761EB7" w:rsidRDefault="003E5412" w:rsidP="004D6AC2">
            <w:pPr>
              <w:rPr>
                <w:lang w:val="es-ES_tradnl"/>
              </w:rPr>
            </w:pPr>
            <w:r w:rsidRPr="00761EB7">
              <w:rPr>
                <w:b/>
                <w:bCs/>
                <w:lang w:val="es-ES_tradnl"/>
              </w:rPr>
              <w:t>Tema principal</w:t>
            </w:r>
          </w:p>
        </w:tc>
      </w:tr>
      <w:tr w:rsidR="004E293E" w:rsidRPr="00761EB7" w14:paraId="24C9803E" w14:textId="77777777" w:rsidTr="00286B79">
        <w:tc>
          <w:tcPr>
            <w:tcW w:w="2122" w:type="dxa"/>
            <w:shd w:val="clear" w:color="auto" w:fill="F2F2F2" w:themeFill="background1" w:themeFillShade="F2"/>
          </w:tcPr>
          <w:p w14:paraId="78EFAB91" w14:textId="5633A746" w:rsidR="00D51DB5" w:rsidRPr="00761EB7" w:rsidRDefault="00D51DB5" w:rsidP="004D6AC2">
            <w:pPr>
              <w:rPr>
                <w:lang w:val="es-ES_tradnl"/>
              </w:rPr>
            </w:pPr>
            <w:r w:rsidRPr="00761EB7">
              <w:rPr>
                <w:lang w:val="es-ES_tradnl"/>
              </w:rPr>
              <w:t>Com</w:t>
            </w:r>
            <w:r w:rsidR="003E5412" w:rsidRPr="00761EB7">
              <w:rPr>
                <w:lang w:val="es-ES_tradnl"/>
              </w:rPr>
              <w:t>entarios sobre</w:t>
            </w:r>
            <w:r w:rsidRPr="00761EB7">
              <w:rPr>
                <w:lang w:val="es-ES_tradnl"/>
              </w:rPr>
              <w:t xml:space="preserve"> </w:t>
            </w:r>
            <w:hyperlink r:id="rId27" w:history="1">
              <w:r w:rsidRPr="00761EB7">
                <w:rPr>
                  <w:rStyle w:val="Hyperlink"/>
                  <w:lang w:val="es-ES_tradnl"/>
                </w:rPr>
                <w:t>RPM-ASP17/10-E</w:t>
              </w:r>
            </w:hyperlink>
            <w:r w:rsidRPr="00761EB7">
              <w:rPr>
                <w:lang w:val="es-ES_tradnl"/>
              </w:rPr>
              <w:t xml:space="preserve"> </w:t>
            </w:r>
            <w:r w:rsidR="003E5412" w:rsidRPr="00761EB7">
              <w:rPr>
                <w:lang w:val="es-ES_tradnl"/>
              </w:rPr>
              <w:t>en el Informe del Presidente</w:t>
            </w:r>
            <w:r w:rsidRPr="00761EB7">
              <w:rPr>
                <w:lang w:val="es-ES_tradnl"/>
              </w:rPr>
              <w:t xml:space="preserve"> </w:t>
            </w:r>
            <w:r w:rsidR="00611DC0" w:rsidRPr="00761EB7">
              <w:rPr>
                <w:lang w:val="es-ES_tradnl"/>
              </w:rPr>
              <w:br/>
            </w:r>
            <w:hyperlink r:id="rId28" w:history="1">
              <w:r w:rsidRPr="00761EB7">
                <w:rPr>
                  <w:rStyle w:val="Hyperlink"/>
                  <w:lang w:val="es-ES_tradnl"/>
                </w:rPr>
                <w:t>RPM-ASP17/36-E</w:t>
              </w:r>
            </w:hyperlink>
          </w:p>
        </w:tc>
        <w:tc>
          <w:tcPr>
            <w:tcW w:w="1701" w:type="dxa"/>
            <w:shd w:val="clear" w:color="auto" w:fill="F2F2F2" w:themeFill="background1" w:themeFillShade="F2"/>
          </w:tcPr>
          <w:p w14:paraId="1D95D4EF" w14:textId="77777777" w:rsidR="00D51DB5" w:rsidRPr="00761EB7" w:rsidRDefault="003E5412" w:rsidP="004D6AC2">
            <w:pPr>
              <w:rPr>
                <w:lang w:val="es-ES_tradnl"/>
              </w:rPr>
            </w:pPr>
            <w:r w:rsidRPr="00761EB7">
              <w:rPr>
                <w:lang w:val="es-ES_tradnl"/>
              </w:rPr>
              <w:t>Presidente de la RPR</w:t>
            </w:r>
            <w:r w:rsidR="00D51DB5" w:rsidRPr="00761EB7">
              <w:rPr>
                <w:lang w:val="es-ES_tradnl"/>
              </w:rPr>
              <w:t>-ASP</w:t>
            </w:r>
          </w:p>
        </w:tc>
        <w:tc>
          <w:tcPr>
            <w:tcW w:w="7512" w:type="dxa"/>
            <w:shd w:val="clear" w:color="auto" w:fill="F2F2F2" w:themeFill="background1" w:themeFillShade="F2"/>
          </w:tcPr>
          <w:p w14:paraId="1816A706" w14:textId="77777777" w:rsidR="00D51DB5" w:rsidRPr="00761EB7" w:rsidRDefault="003E5412" w:rsidP="004D6AC2">
            <w:pPr>
              <w:rPr>
                <w:b/>
                <w:bCs/>
                <w:i/>
                <w:iCs/>
                <w:lang w:val="es-ES_tradnl"/>
              </w:rPr>
            </w:pPr>
            <w:r w:rsidRPr="00761EB7">
              <w:rPr>
                <w:b/>
                <w:bCs/>
                <w:i/>
                <w:iCs/>
                <w:lang w:val="es-ES_tradnl"/>
              </w:rPr>
              <w:t>Debate general</w:t>
            </w:r>
          </w:p>
          <w:p w14:paraId="38124E9F" w14:textId="77777777" w:rsidR="00D51DB5" w:rsidRPr="00761EB7" w:rsidRDefault="003E5412" w:rsidP="004D6AC2">
            <w:pPr>
              <w:rPr>
                <w:lang w:val="es-ES_tradnl"/>
              </w:rPr>
            </w:pPr>
            <w:r w:rsidRPr="00761EB7">
              <w:rPr>
                <w:lang w:val="es-ES_tradnl"/>
              </w:rPr>
              <w:t xml:space="preserve">La </w:t>
            </w:r>
            <w:r w:rsidR="00D51DB5" w:rsidRPr="00761EB7">
              <w:rPr>
                <w:lang w:val="es-ES_tradnl"/>
              </w:rPr>
              <w:t>RP</w:t>
            </w:r>
            <w:r w:rsidRPr="00761EB7">
              <w:rPr>
                <w:lang w:val="es-ES_tradnl"/>
              </w:rPr>
              <w:t>R</w:t>
            </w:r>
            <w:r w:rsidR="00D51DB5" w:rsidRPr="00761EB7">
              <w:rPr>
                <w:lang w:val="es-ES_tradnl"/>
              </w:rPr>
              <w:t xml:space="preserve">-ASP </w:t>
            </w:r>
            <w:r w:rsidRPr="00761EB7">
              <w:rPr>
                <w:lang w:val="es-ES_tradnl"/>
              </w:rPr>
              <w:t>acogió con beneplácito el documento y tomó nota del mismo</w:t>
            </w:r>
            <w:r w:rsidR="00D51DB5" w:rsidRPr="00761EB7">
              <w:rPr>
                <w:lang w:val="es-ES_tradnl"/>
              </w:rPr>
              <w:t>.</w:t>
            </w:r>
          </w:p>
        </w:tc>
        <w:tc>
          <w:tcPr>
            <w:tcW w:w="3402" w:type="dxa"/>
            <w:shd w:val="clear" w:color="auto" w:fill="F2F2F2" w:themeFill="background1" w:themeFillShade="F2"/>
          </w:tcPr>
          <w:p w14:paraId="315F0181" w14:textId="77777777" w:rsidR="00D51DB5" w:rsidRPr="00761EB7" w:rsidRDefault="00D51DB5" w:rsidP="004D6AC2">
            <w:pPr>
              <w:rPr>
                <w:lang w:val="es-ES_tradnl"/>
              </w:rPr>
            </w:pPr>
            <w:r w:rsidRPr="00761EB7">
              <w:rPr>
                <w:lang w:val="es-ES_tradnl"/>
              </w:rPr>
              <w:t>N/A</w:t>
            </w:r>
          </w:p>
        </w:tc>
      </w:tr>
      <w:tr w:rsidR="004E293E" w:rsidRPr="003F63ED" w14:paraId="5B009373" w14:textId="77777777" w:rsidTr="00286B79">
        <w:tc>
          <w:tcPr>
            <w:tcW w:w="2122" w:type="dxa"/>
            <w:vMerge w:val="restart"/>
          </w:tcPr>
          <w:p w14:paraId="5B6DD7EE" w14:textId="64E87D08" w:rsidR="00D51DB5" w:rsidRPr="00761EB7" w:rsidRDefault="003F63ED" w:rsidP="009D6751">
            <w:pPr>
              <w:rPr>
                <w:lang w:val="es-ES_tradnl"/>
              </w:rPr>
            </w:pPr>
            <w:hyperlink r:id="rId29" w:history="1">
              <w:r w:rsidR="00D51DB5" w:rsidRPr="00761EB7">
                <w:rPr>
                  <w:rStyle w:val="Hyperlink"/>
                  <w:szCs w:val="24"/>
                  <w:lang w:val="es-ES_tradnl"/>
                </w:rPr>
                <w:t>RPM-ASP17/13-E</w:t>
              </w:r>
            </w:hyperlink>
          </w:p>
        </w:tc>
        <w:tc>
          <w:tcPr>
            <w:tcW w:w="1701" w:type="dxa"/>
            <w:vMerge w:val="restart"/>
          </w:tcPr>
          <w:p w14:paraId="7A741131" w14:textId="624AA6A9" w:rsidR="00D51DB5" w:rsidRPr="00761EB7" w:rsidRDefault="00D51DB5" w:rsidP="009D6751">
            <w:pPr>
              <w:rPr>
                <w:lang w:val="es-ES_tradnl"/>
              </w:rPr>
            </w:pPr>
            <w:r w:rsidRPr="00761EB7">
              <w:rPr>
                <w:lang w:val="es-ES_tradnl"/>
              </w:rPr>
              <w:t>NTA Nepal</w:t>
            </w:r>
          </w:p>
        </w:tc>
        <w:tc>
          <w:tcPr>
            <w:tcW w:w="7512" w:type="dxa"/>
          </w:tcPr>
          <w:p w14:paraId="51C47DF6" w14:textId="77777777" w:rsidR="00D51DB5" w:rsidRPr="00761EB7" w:rsidRDefault="006D79B9" w:rsidP="004D6AC2">
            <w:pPr>
              <w:rPr>
                <w:szCs w:val="24"/>
                <w:lang w:val="es-ES_tradnl"/>
              </w:rPr>
            </w:pPr>
            <w:r w:rsidRPr="00761EB7">
              <w:rPr>
                <w:szCs w:val="24"/>
                <w:lang w:val="es-ES_tradnl"/>
              </w:rPr>
              <w:t>Por norma general, las Cuestiones de las CE no deben repetirse. Sin embargo, si la mayoría de Estados Miembros considera que durante el anterior periodo de estudios no se han tratado suficientes temas sustantivos, que no pueden abordarse en otros estudios (de la UIT, las UN, etc.), podrá continuarse con la misma Cuestión de estudio hasta alcanzar un máximo en total de dos ciclos, garantizando que no hay solapamiento con otros trabajos en curso</w:t>
            </w:r>
            <w:r w:rsidR="00D51DB5" w:rsidRPr="00761EB7">
              <w:rPr>
                <w:szCs w:val="24"/>
                <w:lang w:val="es-ES_tradnl"/>
              </w:rPr>
              <w:t>.</w:t>
            </w:r>
          </w:p>
        </w:tc>
        <w:tc>
          <w:tcPr>
            <w:tcW w:w="3402" w:type="dxa"/>
          </w:tcPr>
          <w:p w14:paraId="6239B5CE" w14:textId="2282037C" w:rsidR="00D51DB5" w:rsidRPr="00761EB7" w:rsidRDefault="006D79B9" w:rsidP="009D6751">
            <w:pPr>
              <w:pStyle w:val="ListParagraph"/>
              <w:numPr>
                <w:ilvl w:val="0"/>
                <w:numId w:val="14"/>
              </w:numPr>
              <w:tabs>
                <w:tab w:val="clear" w:pos="794"/>
                <w:tab w:val="clear" w:pos="1191"/>
                <w:tab w:val="clear" w:pos="1588"/>
                <w:tab w:val="clear" w:pos="1985"/>
                <w:tab w:val="left" w:pos="1134"/>
                <w:tab w:val="left" w:pos="1871"/>
                <w:tab w:val="left" w:pos="2268"/>
              </w:tabs>
              <w:rPr>
                <w:szCs w:val="24"/>
                <w:lang w:val="es-ES_tradnl"/>
              </w:rPr>
            </w:pPr>
            <w:r w:rsidRPr="00761EB7">
              <w:rPr>
                <w:szCs w:val="24"/>
                <w:lang w:val="es-ES_tradnl"/>
              </w:rPr>
              <w:t>Principio de no repetición de Cuestiones</w:t>
            </w:r>
            <w:r w:rsidR="009D6751" w:rsidRPr="00761EB7">
              <w:rPr>
                <w:szCs w:val="24"/>
                <w:lang w:val="es-ES_tradnl"/>
              </w:rPr>
              <w:t>.</w:t>
            </w:r>
          </w:p>
        </w:tc>
      </w:tr>
      <w:tr w:rsidR="00A4352F" w:rsidRPr="003F63ED" w14:paraId="3A0C03E8" w14:textId="77777777" w:rsidTr="00286B79">
        <w:tc>
          <w:tcPr>
            <w:tcW w:w="2122" w:type="dxa"/>
            <w:vMerge/>
          </w:tcPr>
          <w:p w14:paraId="40258708" w14:textId="77777777" w:rsidR="00D51DB5" w:rsidRPr="00761EB7" w:rsidRDefault="00D51DB5" w:rsidP="004D6AC2">
            <w:pPr>
              <w:rPr>
                <w:lang w:val="es-ES_tradnl"/>
              </w:rPr>
            </w:pPr>
          </w:p>
        </w:tc>
        <w:tc>
          <w:tcPr>
            <w:tcW w:w="1701" w:type="dxa"/>
            <w:vMerge/>
          </w:tcPr>
          <w:p w14:paraId="7ABA1917" w14:textId="77777777" w:rsidR="00D51DB5" w:rsidRPr="00761EB7" w:rsidRDefault="00D51DB5" w:rsidP="004D6AC2">
            <w:pPr>
              <w:rPr>
                <w:lang w:val="es-ES_tradnl"/>
              </w:rPr>
            </w:pPr>
          </w:p>
        </w:tc>
        <w:tc>
          <w:tcPr>
            <w:tcW w:w="7512" w:type="dxa"/>
          </w:tcPr>
          <w:p w14:paraId="506189BB" w14:textId="77777777" w:rsidR="00D51DB5" w:rsidRPr="00761EB7" w:rsidRDefault="006D79B9" w:rsidP="004D6AC2">
            <w:pPr>
              <w:rPr>
                <w:szCs w:val="24"/>
                <w:lang w:val="es-ES_tradnl"/>
              </w:rPr>
            </w:pPr>
            <w:r w:rsidRPr="00761EB7">
              <w:rPr>
                <w:szCs w:val="24"/>
                <w:lang w:val="es-ES_tradnl"/>
              </w:rPr>
              <w:t>Se aplicarán los siguientes principios a la hora de formular nuevas Cuestiones de CE</w:t>
            </w:r>
            <w:r w:rsidR="00D51DB5" w:rsidRPr="00761EB7">
              <w:rPr>
                <w:szCs w:val="24"/>
                <w:lang w:val="es-ES_tradnl"/>
              </w:rPr>
              <w:t>:</w:t>
            </w:r>
          </w:p>
          <w:p w14:paraId="48EDA6DF" w14:textId="1B09B675" w:rsidR="00D51DB5" w:rsidRPr="00761EB7" w:rsidRDefault="009D6751" w:rsidP="009D6751">
            <w:pPr>
              <w:pStyle w:val="enumlev1"/>
              <w:rPr>
                <w:lang w:val="es-ES_tradnl"/>
              </w:rPr>
            </w:pPr>
            <w:r w:rsidRPr="00761EB7">
              <w:rPr>
                <w:lang w:val="es-ES_tradnl"/>
              </w:rPr>
              <w:t>–</w:t>
            </w:r>
            <w:r w:rsidRPr="00761EB7">
              <w:rPr>
                <w:lang w:val="es-ES_tradnl"/>
              </w:rPr>
              <w:tab/>
            </w:r>
            <w:r w:rsidR="006D79B9" w:rsidRPr="00761EB7">
              <w:rPr>
                <w:lang w:val="es-ES_tradnl"/>
              </w:rPr>
              <w:t>Evitar la duplicación de los trabajos realizados en otros Sectores de la UIT</w:t>
            </w:r>
            <w:r w:rsidR="00D51DB5" w:rsidRPr="00761EB7">
              <w:rPr>
                <w:lang w:val="es-ES_tradnl"/>
              </w:rPr>
              <w:t>.</w:t>
            </w:r>
          </w:p>
          <w:p w14:paraId="60278DFB" w14:textId="2342D989" w:rsidR="00D51DB5" w:rsidRPr="00761EB7" w:rsidRDefault="00B82A52" w:rsidP="00B82A52">
            <w:pPr>
              <w:pStyle w:val="enumlev1"/>
              <w:rPr>
                <w:lang w:val="es-ES_tradnl"/>
              </w:rPr>
            </w:pPr>
            <w:r w:rsidRPr="00761EB7">
              <w:rPr>
                <w:lang w:val="es-ES_tradnl"/>
              </w:rPr>
              <w:t>–</w:t>
            </w:r>
            <w:r w:rsidRPr="00761EB7">
              <w:rPr>
                <w:lang w:val="es-ES_tradnl"/>
              </w:rPr>
              <w:tab/>
            </w:r>
            <w:r w:rsidR="006D79B9" w:rsidRPr="00761EB7">
              <w:rPr>
                <w:lang w:val="es-ES_tradnl"/>
              </w:rPr>
              <w:t>Evitar la duplicación de los trabajos ya realizados en el marco de los Planes Estratégicos de la UIT/BDT, los Programas, las Iniciativas Regionales,</w:t>
            </w:r>
            <w:r w:rsidR="00D51DB5" w:rsidRPr="00761EB7">
              <w:rPr>
                <w:lang w:val="es-ES_tradnl"/>
              </w:rPr>
              <w:t xml:space="preserve"> etc.</w:t>
            </w:r>
          </w:p>
          <w:p w14:paraId="687EAF45" w14:textId="473F9B99" w:rsidR="00D51DB5" w:rsidRPr="00761EB7" w:rsidRDefault="00B82A52" w:rsidP="00B82A52">
            <w:pPr>
              <w:pStyle w:val="enumlev1"/>
              <w:rPr>
                <w:lang w:val="es-ES_tradnl"/>
              </w:rPr>
            </w:pPr>
            <w:r w:rsidRPr="00761EB7">
              <w:rPr>
                <w:lang w:val="es-ES_tradnl"/>
              </w:rPr>
              <w:t>–</w:t>
            </w:r>
            <w:r w:rsidRPr="00761EB7">
              <w:rPr>
                <w:lang w:val="es-ES_tradnl"/>
              </w:rPr>
              <w:tab/>
            </w:r>
            <w:r w:rsidR="006D79B9" w:rsidRPr="00761EB7">
              <w:rPr>
                <w:lang w:val="es-ES_tradnl"/>
              </w:rPr>
              <w:t>Las nuevas Cuestiones deben ajustarse al ámbito de competencia de la Comisión de Estudio que las va a estudiar</w:t>
            </w:r>
            <w:r w:rsidRPr="00761EB7">
              <w:rPr>
                <w:lang w:val="es-ES_tradnl"/>
              </w:rPr>
              <w:t>.</w:t>
            </w:r>
          </w:p>
          <w:p w14:paraId="5F16E925" w14:textId="7A3B8231" w:rsidR="00D51DB5" w:rsidRPr="00761EB7" w:rsidRDefault="00B82A52" w:rsidP="00B82A52">
            <w:pPr>
              <w:pStyle w:val="enumlev1"/>
              <w:rPr>
                <w:lang w:val="es-ES_tradnl"/>
              </w:rPr>
            </w:pPr>
            <w:r w:rsidRPr="00761EB7">
              <w:rPr>
                <w:lang w:val="es-ES_tradnl"/>
              </w:rPr>
              <w:t>–</w:t>
            </w:r>
            <w:r w:rsidRPr="00761EB7">
              <w:rPr>
                <w:lang w:val="es-ES_tradnl"/>
              </w:rPr>
              <w:tab/>
            </w:r>
            <w:r w:rsidR="006D79B9" w:rsidRPr="00761EB7">
              <w:rPr>
                <w:lang w:val="es-ES_tradnl"/>
              </w:rPr>
              <w:t>En el caso de la Comisión de Estudio 1, que se ocupa de la política y la reglamentación, las Cuestiones han de tratar de los temas políticos y reglamentarios a que se enfrentan los países en desarrollo a la hora de adoptar nuevas tecnologías, servicios y aplicaciones de telecomunicaciones/TIC. Los temas pueden basarse en las líneas de trabajo de la BDT, como el GSR, las Tendencias en la Reforma de las Telecomunicaciones y otros estudios de la UIT, según proceda. La CE</w:t>
            </w:r>
            <w:r w:rsidR="00B46612" w:rsidRPr="00761EB7">
              <w:rPr>
                <w:lang w:val="es-ES_tradnl"/>
              </w:rPr>
              <w:t> </w:t>
            </w:r>
            <w:r w:rsidR="006D79B9" w:rsidRPr="00761EB7">
              <w:rPr>
                <w:lang w:val="es-ES_tradnl"/>
              </w:rPr>
              <w:t>1 abordará temas cuyo componente esencial sea la gestión del espectro</w:t>
            </w:r>
            <w:r w:rsidR="00D51DB5" w:rsidRPr="00761EB7">
              <w:rPr>
                <w:lang w:val="es-ES_tradnl"/>
              </w:rPr>
              <w:t>.</w:t>
            </w:r>
          </w:p>
          <w:p w14:paraId="0CFB0CAE" w14:textId="335A0EE7" w:rsidR="00D51DB5" w:rsidRPr="00761EB7" w:rsidRDefault="00B82A52" w:rsidP="00B82A52">
            <w:pPr>
              <w:pStyle w:val="enumlev1"/>
              <w:rPr>
                <w:szCs w:val="24"/>
                <w:lang w:val="es-ES_tradnl"/>
              </w:rPr>
            </w:pPr>
            <w:r w:rsidRPr="00761EB7">
              <w:rPr>
                <w:lang w:val="es-ES_tradnl"/>
              </w:rPr>
              <w:t>–</w:t>
            </w:r>
            <w:r w:rsidRPr="00761EB7">
              <w:rPr>
                <w:lang w:val="es-ES_tradnl"/>
              </w:rPr>
              <w:tab/>
            </w:r>
            <w:r w:rsidR="006D79B9" w:rsidRPr="00761EB7">
              <w:rPr>
                <w:lang w:val="es-ES_tradnl"/>
              </w:rPr>
              <w:t>La Comisión de Estudio 2, dedicada a las TIC para los ODS, se ocupará de temas relacionados con los ODS y su consecución mediante la utilización de las tecnologías, servicios y aplicaciones de TIC adecuadas. Puede establecerse una clasificación de ODS para identificar los métodos de intervención de TIC correspondientes</w:t>
            </w:r>
            <w:r w:rsidR="00D51DB5" w:rsidRPr="00761EB7">
              <w:rPr>
                <w:lang w:val="es-ES_tradnl"/>
              </w:rPr>
              <w:t>.</w:t>
            </w:r>
          </w:p>
        </w:tc>
        <w:tc>
          <w:tcPr>
            <w:tcW w:w="3402" w:type="dxa"/>
          </w:tcPr>
          <w:p w14:paraId="162239B1" w14:textId="6DFD4C61" w:rsidR="00D51DB5" w:rsidRPr="00761EB7" w:rsidRDefault="00D51DB5" w:rsidP="004D6AC2">
            <w:pPr>
              <w:pStyle w:val="ListParagraph"/>
              <w:numPr>
                <w:ilvl w:val="0"/>
                <w:numId w:val="8"/>
              </w:numPr>
              <w:tabs>
                <w:tab w:val="clear" w:pos="794"/>
                <w:tab w:val="clear" w:pos="1191"/>
                <w:tab w:val="clear" w:pos="1588"/>
                <w:tab w:val="clear" w:pos="1985"/>
                <w:tab w:val="left" w:pos="1134"/>
                <w:tab w:val="left" w:pos="1871"/>
                <w:tab w:val="left" w:pos="2268"/>
              </w:tabs>
              <w:ind w:left="357" w:hanging="357"/>
              <w:contextualSpacing w:val="0"/>
              <w:rPr>
                <w:szCs w:val="24"/>
                <w:lang w:val="es-ES_tradnl"/>
              </w:rPr>
            </w:pPr>
            <w:r w:rsidRPr="00761EB7">
              <w:rPr>
                <w:lang w:val="es-ES_tradnl"/>
              </w:rPr>
              <w:t>Princip</w:t>
            </w:r>
            <w:r w:rsidR="006D79B9" w:rsidRPr="00761EB7">
              <w:rPr>
                <w:lang w:val="es-ES_tradnl"/>
              </w:rPr>
              <w:t>ios para la formulación de nuevas Cuestiones</w:t>
            </w:r>
            <w:r w:rsidR="009D6751" w:rsidRPr="00761EB7">
              <w:rPr>
                <w:szCs w:val="24"/>
                <w:lang w:val="es-ES_tradnl"/>
              </w:rPr>
              <w:t>.</w:t>
            </w:r>
          </w:p>
        </w:tc>
      </w:tr>
      <w:tr w:rsidR="00A4352F" w:rsidRPr="003F63ED" w14:paraId="428A0571" w14:textId="77777777" w:rsidTr="00286B79">
        <w:tc>
          <w:tcPr>
            <w:tcW w:w="2122" w:type="dxa"/>
            <w:vMerge/>
          </w:tcPr>
          <w:p w14:paraId="79FEB57E" w14:textId="77777777" w:rsidR="00D51DB5" w:rsidRPr="00761EB7" w:rsidRDefault="00D51DB5" w:rsidP="004D6AC2">
            <w:pPr>
              <w:rPr>
                <w:lang w:val="es-ES_tradnl"/>
              </w:rPr>
            </w:pPr>
          </w:p>
        </w:tc>
        <w:tc>
          <w:tcPr>
            <w:tcW w:w="1701" w:type="dxa"/>
            <w:vMerge/>
          </w:tcPr>
          <w:p w14:paraId="3B85974A" w14:textId="77777777" w:rsidR="00D51DB5" w:rsidRPr="00761EB7" w:rsidRDefault="00D51DB5" w:rsidP="004D6AC2">
            <w:pPr>
              <w:rPr>
                <w:lang w:val="es-ES_tradnl"/>
              </w:rPr>
            </w:pPr>
          </w:p>
        </w:tc>
        <w:tc>
          <w:tcPr>
            <w:tcW w:w="7512" w:type="dxa"/>
          </w:tcPr>
          <w:p w14:paraId="0F09B6BF" w14:textId="3CA91BF3" w:rsidR="00D51DB5" w:rsidRPr="00761EB7" w:rsidRDefault="006D79B9" w:rsidP="004D6AC2">
            <w:pPr>
              <w:rPr>
                <w:szCs w:val="24"/>
                <w:lang w:val="es-ES_tradnl"/>
              </w:rPr>
            </w:pPr>
            <w:r w:rsidRPr="00761EB7">
              <w:rPr>
                <w:szCs w:val="24"/>
                <w:lang w:val="es-ES_tradnl"/>
              </w:rPr>
              <w:t>Para cada Cuestión de CE se preparará al final de cada periodo de estudio</w:t>
            </w:r>
            <w:r w:rsidR="00065045" w:rsidRPr="00761EB7">
              <w:rPr>
                <w:szCs w:val="24"/>
                <w:lang w:val="es-ES_tradnl"/>
              </w:rPr>
              <w:t>s</w:t>
            </w:r>
            <w:r w:rsidRPr="00761EB7">
              <w:rPr>
                <w:szCs w:val="24"/>
                <w:lang w:val="es-ES_tradnl"/>
              </w:rPr>
              <w:t xml:space="preserve"> dentro de un mismo ciclo la definición del alcance del estudio en </w:t>
            </w:r>
            <w:r w:rsidR="000D1457" w:rsidRPr="00761EB7">
              <w:rPr>
                <w:szCs w:val="24"/>
                <w:lang w:val="es-ES_tradnl"/>
              </w:rPr>
              <w:t>formato</w:t>
            </w:r>
            <w:r w:rsidRPr="00761EB7">
              <w:rPr>
                <w:szCs w:val="24"/>
                <w:lang w:val="es-ES_tradnl"/>
              </w:rPr>
              <w:t xml:space="preserve"> modular (de preferencia en 4 módulos)</w:t>
            </w:r>
            <w:r w:rsidR="00D51DB5" w:rsidRPr="00761EB7">
              <w:rPr>
                <w:szCs w:val="24"/>
                <w:lang w:val="es-ES_tradnl"/>
              </w:rPr>
              <w:t>.</w:t>
            </w:r>
          </w:p>
          <w:p w14:paraId="02B46E18" w14:textId="457799DC" w:rsidR="00D51DB5" w:rsidRPr="00761EB7" w:rsidRDefault="006D79B9" w:rsidP="00065045">
            <w:pPr>
              <w:rPr>
                <w:lang w:val="es-ES_tradnl"/>
              </w:rPr>
            </w:pPr>
            <w:r w:rsidRPr="00761EB7">
              <w:rPr>
                <w:lang w:val="es-ES_tradnl"/>
              </w:rPr>
              <w:t xml:space="preserve">Algunos Estados Miembros manifestaron su apoyo a la contribución, poniendo de relieve la necesidad de tratar más a fondo los temas que realmente se estudiarán durante el próximo periodo de estudios, así como </w:t>
            </w:r>
            <w:r w:rsidRPr="00761EB7">
              <w:rPr>
                <w:lang w:val="es-ES_tradnl"/>
              </w:rPr>
              <w:lastRenderedPageBreak/>
              <w:t xml:space="preserve">los métodos de trabajo de las Comisiones de Estudio del UIT-D. </w:t>
            </w:r>
            <w:r w:rsidR="000D1457" w:rsidRPr="00761EB7">
              <w:rPr>
                <w:lang w:val="es-ES_tradnl"/>
              </w:rPr>
              <w:t>La</w:t>
            </w:r>
            <w:r w:rsidRPr="00761EB7">
              <w:rPr>
                <w:lang w:val="es-ES_tradnl"/>
              </w:rPr>
              <w:t xml:space="preserve"> RPR</w:t>
            </w:r>
            <w:r w:rsidR="00065045" w:rsidRPr="00761EB7">
              <w:rPr>
                <w:lang w:val="es-ES_tradnl"/>
              </w:rPr>
              <w:noBreakHyphen/>
            </w:r>
            <w:r w:rsidR="00D51DB5" w:rsidRPr="00761EB7">
              <w:rPr>
                <w:lang w:val="es-ES_tradnl"/>
              </w:rPr>
              <w:t>ASP to</w:t>
            </w:r>
            <w:r w:rsidRPr="00761EB7">
              <w:rPr>
                <w:lang w:val="es-ES_tradnl"/>
              </w:rPr>
              <w:t>m</w:t>
            </w:r>
            <w:r w:rsidR="00FD7283" w:rsidRPr="00761EB7">
              <w:rPr>
                <w:lang w:val="es-ES_tradnl"/>
              </w:rPr>
              <w:t xml:space="preserve">ó nota del documento e invitó a proseguir el debate sobre este asunto en el seno del Grupo de </w:t>
            </w:r>
            <w:r w:rsidR="000D1457" w:rsidRPr="00761EB7">
              <w:rPr>
                <w:lang w:val="es-ES_tradnl"/>
              </w:rPr>
              <w:t>Trabajo</w:t>
            </w:r>
            <w:r w:rsidR="00FD7283" w:rsidRPr="00761EB7">
              <w:rPr>
                <w:lang w:val="es-ES_tradnl"/>
              </w:rPr>
              <w:t xml:space="preserve"> 1 de la APT</w:t>
            </w:r>
            <w:r w:rsidR="00D51DB5" w:rsidRPr="00761EB7">
              <w:rPr>
                <w:lang w:val="es-ES_tradnl"/>
              </w:rPr>
              <w:t>.</w:t>
            </w:r>
          </w:p>
        </w:tc>
        <w:tc>
          <w:tcPr>
            <w:tcW w:w="3402" w:type="dxa"/>
          </w:tcPr>
          <w:p w14:paraId="5EF044BE" w14:textId="1AE0C9C4" w:rsidR="00D51DB5" w:rsidRPr="00761EB7" w:rsidRDefault="00FD7283" w:rsidP="004D6AC2">
            <w:pPr>
              <w:pStyle w:val="ListParagraph"/>
              <w:numPr>
                <w:ilvl w:val="0"/>
                <w:numId w:val="15"/>
              </w:numPr>
              <w:tabs>
                <w:tab w:val="clear" w:pos="794"/>
                <w:tab w:val="clear" w:pos="1191"/>
                <w:tab w:val="clear" w:pos="1588"/>
                <w:tab w:val="clear" w:pos="1985"/>
                <w:tab w:val="left" w:pos="1134"/>
                <w:tab w:val="left" w:pos="1871"/>
                <w:tab w:val="left" w:pos="2268"/>
              </w:tabs>
              <w:rPr>
                <w:lang w:val="es-ES_tradnl"/>
              </w:rPr>
            </w:pPr>
            <w:r w:rsidRPr="00761EB7">
              <w:rPr>
                <w:szCs w:val="24"/>
                <w:lang w:val="es-ES_tradnl"/>
              </w:rPr>
              <w:lastRenderedPageBreak/>
              <w:t>Informes de resultados de las Comisiones de Estudio</w:t>
            </w:r>
            <w:r w:rsidR="00065045" w:rsidRPr="00761EB7">
              <w:rPr>
                <w:szCs w:val="24"/>
                <w:lang w:val="es-ES_tradnl"/>
              </w:rPr>
              <w:t>.</w:t>
            </w:r>
          </w:p>
        </w:tc>
      </w:tr>
      <w:tr w:rsidR="00A4352F" w:rsidRPr="003F63ED" w14:paraId="30E2D42D" w14:textId="77777777" w:rsidTr="00286B79">
        <w:tc>
          <w:tcPr>
            <w:tcW w:w="2122" w:type="dxa"/>
          </w:tcPr>
          <w:p w14:paraId="3F60B5C5" w14:textId="7C0EFEB7" w:rsidR="00D51DB5" w:rsidRPr="00761EB7" w:rsidRDefault="003F63ED" w:rsidP="00E6012B">
            <w:pPr>
              <w:rPr>
                <w:lang w:val="es-ES_tradnl"/>
              </w:rPr>
            </w:pPr>
            <w:hyperlink r:id="rId30" w:history="1">
              <w:r w:rsidR="00D51DB5" w:rsidRPr="00761EB7">
                <w:rPr>
                  <w:rStyle w:val="Hyperlink"/>
                  <w:szCs w:val="24"/>
                  <w:lang w:val="es-ES_tradnl"/>
                </w:rPr>
                <w:t>RPM-ASP17/29-E</w:t>
              </w:r>
            </w:hyperlink>
          </w:p>
        </w:tc>
        <w:tc>
          <w:tcPr>
            <w:tcW w:w="1701" w:type="dxa"/>
          </w:tcPr>
          <w:p w14:paraId="7C2A0E7F" w14:textId="77777777" w:rsidR="00D51DB5" w:rsidRPr="00761EB7" w:rsidRDefault="00FD7283" w:rsidP="004D6AC2">
            <w:pPr>
              <w:rPr>
                <w:lang w:val="es-ES_tradnl"/>
              </w:rPr>
            </w:pPr>
            <w:r w:rsidRPr="00761EB7">
              <w:rPr>
                <w:lang w:val="es-ES_tradnl"/>
              </w:rPr>
              <w:t>Japón</w:t>
            </w:r>
          </w:p>
        </w:tc>
        <w:tc>
          <w:tcPr>
            <w:tcW w:w="7512" w:type="dxa"/>
          </w:tcPr>
          <w:p w14:paraId="747B065C" w14:textId="77777777" w:rsidR="00D51DB5" w:rsidRPr="00761EB7" w:rsidRDefault="00A4352F" w:rsidP="004D6AC2">
            <w:pPr>
              <w:tabs>
                <w:tab w:val="left" w:pos="1951"/>
              </w:tabs>
              <w:rPr>
                <w:szCs w:val="24"/>
                <w:lang w:val="es-ES_tradnl"/>
              </w:rPr>
            </w:pPr>
            <w:r w:rsidRPr="00761EB7">
              <w:rPr>
                <w:lang w:val="es-ES_tradnl"/>
              </w:rPr>
              <w:t>En este documento se presentan propuestas sobre las Cuestiones de estudio de este periodo que deberían proseguirse durante el próximo periodo de estudios a fin de armonizarlas con las Iniciativas Regionales acordadas en la Reunión Preparatoria de la CMDT17-2 de la APT</w:t>
            </w:r>
            <w:r w:rsidR="00D51DB5" w:rsidRPr="00761EB7">
              <w:rPr>
                <w:szCs w:val="24"/>
                <w:lang w:val="es-ES_tradnl"/>
              </w:rPr>
              <w:t>.</w:t>
            </w:r>
          </w:p>
          <w:p w14:paraId="2EAFEABD" w14:textId="77777777" w:rsidR="00D51DB5" w:rsidRPr="00761EB7" w:rsidRDefault="00A4352F" w:rsidP="004D6AC2">
            <w:pPr>
              <w:rPr>
                <w:szCs w:val="24"/>
                <w:lang w:val="es-ES_tradnl"/>
              </w:rPr>
            </w:pPr>
            <w:r w:rsidRPr="00761EB7">
              <w:rPr>
                <w:szCs w:val="24"/>
                <w:lang w:val="es-ES_tradnl"/>
              </w:rPr>
              <w:t xml:space="preserve">La </w:t>
            </w:r>
            <w:r w:rsidR="00D51DB5" w:rsidRPr="00761EB7">
              <w:rPr>
                <w:szCs w:val="24"/>
                <w:lang w:val="es-ES_tradnl"/>
              </w:rPr>
              <w:t>RP</w:t>
            </w:r>
            <w:r w:rsidRPr="00761EB7">
              <w:rPr>
                <w:szCs w:val="24"/>
                <w:lang w:val="es-ES_tradnl"/>
              </w:rPr>
              <w:t>R</w:t>
            </w:r>
            <w:r w:rsidR="00D51DB5" w:rsidRPr="00761EB7">
              <w:rPr>
                <w:szCs w:val="24"/>
                <w:lang w:val="es-ES_tradnl"/>
              </w:rPr>
              <w:t>-ASP to</w:t>
            </w:r>
            <w:r w:rsidRPr="00761EB7">
              <w:rPr>
                <w:szCs w:val="24"/>
                <w:lang w:val="es-ES_tradnl"/>
              </w:rPr>
              <w:t xml:space="preserve">mó nota del documento e </w:t>
            </w:r>
            <w:r w:rsidR="000D1457" w:rsidRPr="00761EB7">
              <w:rPr>
                <w:szCs w:val="24"/>
                <w:lang w:val="es-ES_tradnl"/>
              </w:rPr>
              <w:t>invitó</w:t>
            </w:r>
            <w:r w:rsidRPr="00761EB7">
              <w:rPr>
                <w:szCs w:val="24"/>
                <w:lang w:val="es-ES_tradnl"/>
              </w:rPr>
              <w:t xml:space="preserve"> a proseguir el debate sobre este asunto en el seno del Grupo ad hoc sobre las IR y el Grupo de Trabajo 1 de la APT</w:t>
            </w:r>
            <w:r w:rsidR="00D51DB5" w:rsidRPr="00761EB7">
              <w:rPr>
                <w:szCs w:val="24"/>
                <w:lang w:val="es-ES_tradnl"/>
              </w:rPr>
              <w:t>.</w:t>
            </w:r>
          </w:p>
        </w:tc>
        <w:tc>
          <w:tcPr>
            <w:tcW w:w="3402" w:type="dxa"/>
          </w:tcPr>
          <w:p w14:paraId="2DCD1D1E" w14:textId="54F7B85D" w:rsidR="00D51DB5" w:rsidRPr="00761EB7" w:rsidRDefault="00A4352F" w:rsidP="004D6AC2">
            <w:pPr>
              <w:pStyle w:val="ListParagraph"/>
              <w:numPr>
                <w:ilvl w:val="0"/>
                <w:numId w:val="15"/>
              </w:numPr>
              <w:rPr>
                <w:szCs w:val="24"/>
                <w:lang w:val="es-ES_tradnl"/>
              </w:rPr>
            </w:pPr>
            <w:r w:rsidRPr="00761EB7">
              <w:rPr>
                <w:lang w:val="es-ES_tradnl"/>
              </w:rPr>
              <w:t>Continuación de las Cuestiones de estudio</w:t>
            </w:r>
            <w:r w:rsidR="00E6012B" w:rsidRPr="00761EB7">
              <w:rPr>
                <w:lang w:val="es-ES_tradnl"/>
              </w:rPr>
              <w:t>.</w:t>
            </w:r>
          </w:p>
        </w:tc>
      </w:tr>
      <w:tr w:rsidR="00A4352F" w:rsidRPr="003F63ED" w14:paraId="6FF8EE01" w14:textId="77777777" w:rsidTr="00286B79">
        <w:tc>
          <w:tcPr>
            <w:tcW w:w="2122" w:type="dxa"/>
          </w:tcPr>
          <w:p w14:paraId="5DDA750F" w14:textId="3E68AA04" w:rsidR="00D51DB5" w:rsidRPr="00761EB7" w:rsidRDefault="003F63ED" w:rsidP="00E6012B">
            <w:pPr>
              <w:rPr>
                <w:szCs w:val="24"/>
                <w:lang w:val="es-ES_tradnl"/>
              </w:rPr>
            </w:pPr>
            <w:hyperlink r:id="rId31" w:history="1">
              <w:r w:rsidR="00D51DB5" w:rsidRPr="00761EB7">
                <w:rPr>
                  <w:rStyle w:val="Hyperlink"/>
                  <w:szCs w:val="24"/>
                  <w:lang w:val="es-ES_tradnl"/>
                </w:rPr>
                <w:t>RPM-ASP17/30-E</w:t>
              </w:r>
            </w:hyperlink>
          </w:p>
        </w:tc>
        <w:tc>
          <w:tcPr>
            <w:tcW w:w="1701" w:type="dxa"/>
          </w:tcPr>
          <w:p w14:paraId="20C99798" w14:textId="77777777" w:rsidR="00D51DB5" w:rsidRPr="00761EB7" w:rsidRDefault="00A4352F" w:rsidP="004D6AC2">
            <w:pPr>
              <w:rPr>
                <w:lang w:val="es-ES_tradnl"/>
              </w:rPr>
            </w:pPr>
            <w:r w:rsidRPr="00761EB7">
              <w:rPr>
                <w:lang w:val="es-ES_tradnl"/>
              </w:rPr>
              <w:t>Japón</w:t>
            </w:r>
          </w:p>
        </w:tc>
        <w:tc>
          <w:tcPr>
            <w:tcW w:w="7512" w:type="dxa"/>
          </w:tcPr>
          <w:p w14:paraId="70C95F35" w14:textId="22685BBA" w:rsidR="00D51DB5" w:rsidRPr="00761EB7" w:rsidRDefault="00A4352F" w:rsidP="004D6AC2">
            <w:pPr>
              <w:rPr>
                <w:lang w:val="es-ES_tradnl"/>
              </w:rPr>
            </w:pPr>
            <w:r w:rsidRPr="00761EB7">
              <w:rPr>
                <w:szCs w:val="24"/>
                <w:lang w:val="es-ES_tradnl"/>
              </w:rPr>
              <w:t xml:space="preserve">En este documento se resalta la importancia de proseguir los </w:t>
            </w:r>
            <w:r w:rsidR="000D1457" w:rsidRPr="00761EB7">
              <w:rPr>
                <w:szCs w:val="24"/>
                <w:lang w:val="es-ES_tradnl"/>
              </w:rPr>
              <w:t>debates</w:t>
            </w:r>
            <w:r w:rsidRPr="00761EB7">
              <w:rPr>
                <w:szCs w:val="24"/>
                <w:lang w:val="es-ES_tradnl"/>
              </w:rPr>
              <w:t xml:space="preserve"> sobre la cibersalud, los Planes generales de cibersalud y la Cue</w:t>
            </w:r>
            <w:r w:rsidR="00E6012B" w:rsidRPr="00761EB7">
              <w:rPr>
                <w:szCs w:val="24"/>
                <w:lang w:val="es-ES_tradnl"/>
              </w:rPr>
              <w:t xml:space="preserve">stión 2/2 y se propone un plan </w:t>
            </w:r>
            <w:r w:rsidRPr="00761EB7">
              <w:rPr>
                <w:szCs w:val="24"/>
                <w:lang w:val="es-ES_tradnl"/>
              </w:rPr>
              <w:t>de continuación de los trabajos. También se proponen esferas de colaboración entre la OMS y la UIT, la realización de proyectos piloto en colaboración con la C</w:t>
            </w:r>
            <w:r w:rsidR="00D51DB5" w:rsidRPr="00761EB7">
              <w:rPr>
                <w:lang w:val="es-ES_tradnl"/>
              </w:rPr>
              <w:t>2/2</w:t>
            </w:r>
            <w:r w:rsidRPr="00761EB7">
              <w:rPr>
                <w:lang w:val="es-ES_tradnl"/>
              </w:rPr>
              <w:t>, la creación de directrices políticas y de cibersalud, la compartición de experiencias de proyectos y prácticas idóneas y un aumento de la colaboración con el UIT-T y el UIT-R para fomentar la cibersalud en los países en desarrollo, haciendo hincapié en los problemas técnicos y la normalización de la cibersalud</w:t>
            </w:r>
            <w:r w:rsidR="00D51DB5" w:rsidRPr="00761EB7">
              <w:rPr>
                <w:lang w:val="es-ES_tradnl"/>
              </w:rPr>
              <w:t>.</w:t>
            </w:r>
          </w:p>
          <w:p w14:paraId="78566EE9" w14:textId="77777777" w:rsidR="00D51DB5" w:rsidRPr="00761EB7" w:rsidRDefault="00A4352F" w:rsidP="004D6AC2">
            <w:pPr>
              <w:rPr>
                <w:lang w:val="es-ES_tradnl"/>
              </w:rPr>
            </w:pPr>
            <w:r w:rsidRPr="00761EB7">
              <w:rPr>
                <w:lang w:val="es-ES_tradnl"/>
              </w:rPr>
              <w:t xml:space="preserve">La </w:t>
            </w:r>
            <w:r w:rsidR="00D51DB5" w:rsidRPr="00761EB7">
              <w:rPr>
                <w:lang w:val="es-ES_tradnl"/>
              </w:rPr>
              <w:t>RP</w:t>
            </w:r>
            <w:r w:rsidRPr="00761EB7">
              <w:rPr>
                <w:lang w:val="es-ES_tradnl"/>
              </w:rPr>
              <w:t>R</w:t>
            </w:r>
            <w:r w:rsidR="00D51DB5" w:rsidRPr="00761EB7">
              <w:rPr>
                <w:lang w:val="es-ES_tradnl"/>
              </w:rPr>
              <w:t>-ASP to</w:t>
            </w:r>
            <w:r w:rsidRPr="00761EB7">
              <w:rPr>
                <w:lang w:val="es-ES_tradnl"/>
              </w:rPr>
              <w:t xml:space="preserve">mó nota del documento e </w:t>
            </w:r>
            <w:r w:rsidR="000D1457" w:rsidRPr="00761EB7">
              <w:rPr>
                <w:lang w:val="es-ES_tradnl"/>
              </w:rPr>
              <w:t>invitó</w:t>
            </w:r>
            <w:r w:rsidRPr="00761EB7">
              <w:rPr>
                <w:lang w:val="es-ES_tradnl"/>
              </w:rPr>
              <w:t xml:space="preserve"> a proseguir el debate sobre este asunto en el seno del Grupo de Trabajo 1 de la</w:t>
            </w:r>
            <w:r w:rsidR="00D51DB5" w:rsidRPr="00761EB7">
              <w:rPr>
                <w:lang w:val="es-ES_tradnl"/>
              </w:rPr>
              <w:t xml:space="preserve"> APT.</w:t>
            </w:r>
          </w:p>
        </w:tc>
        <w:tc>
          <w:tcPr>
            <w:tcW w:w="3402" w:type="dxa"/>
          </w:tcPr>
          <w:p w14:paraId="26E9C7D3" w14:textId="74C07A6F" w:rsidR="00D51DB5" w:rsidRPr="00761EB7" w:rsidRDefault="00A4352F" w:rsidP="004D6AC2">
            <w:pPr>
              <w:pStyle w:val="ListParagraph"/>
              <w:numPr>
                <w:ilvl w:val="0"/>
                <w:numId w:val="15"/>
              </w:numPr>
              <w:rPr>
                <w:lang w:val="es-ES_tradnl"/>
              </w:rPr>
            </w:pPr>
            <w:r w:rsidRPr="00761EB7">
              <w:rPr>
                <w:lang w:val="es-ES_tradnl"/>
              </w:rPr>
              <w:t>Continuación de las Cuestiones de estudio (cibersalud</w:t>
            </w:r>
            <w:r w:rsidR="00D51DB5" w:rsidRPr="00761EB7">
              <w:rPr>
                <w:lang w:val="es-ES_tradnl"/>
              </w:rPr>
              <w:t>)</w:t>
            </w:r>
            <w:r w:rsidR="00E6012B" w:rsidRPr="00761EB7">
              <w:rPr>
                <w:lang w:val="es-ES_tradnl"/>
              </w:rPr>
              <w:t>.</w:t>
            </w:r>
          </w:p>
          <w:p w14:paraId="71A3A1C5" w14:textId="77777777" w:rsidR="00D51DB5" w:rsidRPr="00761EB7" w:rsidRDefault="00A4352F" w:rsidP="004D6AC2">
            <w:pPr>
              <w:pStyle w:val="ListParagraph"/>
              <w:numPr>
                <w:ilvl w:val="0"/>
                <w:numId w:val="15"/>
              </w:numPr>
              <w:rPr>
                <w:lang w:val="es-ES_tradnl"/>
              </w:rPr>
            </w:pPr>
            <w:r w:rsidRPr="00761EB7">
              <w:rPr>
                <w:lang w:val="es-ES_tradnl"/>
              </w:rPr>
              <w:t>Sinergias entre los Programas y las Cuestiones de estudio</w:t>
            </w:r>
            <w:r w:rsidR="00D51DB5" w:rsidRPr="00761EB7">
              <w:rPr>
                <w:lang w:val="es-ES_tradnl"/>
              </w:rPr>
              <w:t>.</w:t>
            </w:r>
          </w:p>
          <w:p w14:paraId="2D8204A5" w14:textId="77777777" w:rsidR="00D51DB5" w:rsidRPr="00761EB7" w:rsidRDefault="00D51DB5" w:rsidP="004D6AC2">
            <w:pPr>
              <w:pStyle w:val="ListParagraph"/>
              <w:numPr>
                <w:ilvl w:val="0"/>
                <w:numId w:val="15"/>
              </w:numPr>
              <w:rPr>
                <w:lang w:val="es-ES_tradnl"/>
              </w:rPr>
            </w:pPr>
            <w:r w:rsidRPr="00761EB7">
              <w:rPr>
                <w:lang w:val="es-ES_tradnl"/>
              </w:rPr>
              <w:t>Col</w:t>
            </w:r>
            <w:r w:rsidR="00A4352F" w:rsidRPr="00761EB7">
              <w:rPr>
                <w:lang w:val="es-ES_tradnl"/>
              </w:rPr>
              <w:t>aboración con los otros Sectores (UIT-R y UIT-T</w:t>
            </w:r>
            <w:r w:rsidRPr="00761EB7">
              <w:rPr>
                <w:lang w:val="es-ES_tradnl"/>
              </w:rPr>
              <w:t>).</w:t>
            </w:r>
          </w:p>
        </w:tc>
      </w:tr>
      <w:tr w:rsidR="00A4352F" w:rsidRPr="003F63ED" w14:paraId="21626F44" w14:textId="77777777" w:rsidTr="00286B79">
        <w:tc>
          <w:tcPr>
            <w:tcW w:w="2122" w:type="dxa"/>
          </w:tcPr>
          <w:p w14:paraId="22B406AB" w14:textId="7787E0CE" w:rsidR="00D51DB5" w:rsidRPr="00761EB7" w:rsidRDefault="003F63ED" w:rsidP="00E6012B">
            <w:pPr>
              <w:rPr>
                <w:szCs w:val="24"/>
                <w:lang w:val="es-ES_tradnl"/>
              </w:rPr>
            </w:pPr>
            <w:hyperlink r:id="rId32" w:history="1">
              <w:r w:rsidR="00D51DB5" w:rsidRPr="00761EB7">
                <w:rPr>
                  <w:rStyle w:val="Hyperlink"/>
                  <w:szCs w:val="24"/>
                  <w:lang w:val="es-ES_tradnl"/>
                </w:rPr>
                <w:t>RPM-ASP17/33-E</w:t>
              </w:r>
            </w:hyperlink>
          </w:p>
        </w:tc>
        <w:tc>
          <w:tcPr>
            <w:tcW w:w="1701" w:type="dxa"/>
          </w:tcPr>
          <w:p w14:paraId="6F709C7E" w14:textId="77777777" w:rsidR="00D51DB5" w:rsidRPr="00761EB7" w:rsidRDefault="00A4352F" w:rsidP="004D6AC2">
            <w:pPr>
              <w:rPr>
                <w:lang w:val="es-ES_tradnl"/>
              </w:rPr>
            </w:pPr>
            <w:r w:rsidRPr="00761EB7">
              <w:rPr>
                <w:lang w:val="es-ES_tradnl"/>
              </w:rPr>
              <w:t>Japón</w:t>
            </w:r>
          </w:p>
        </w:tc>
        <w:tc>
          <w:tcPr>
            <w:tcW w:w="7512" w:type="dxa"/>
          </w:tcPr>
          <w:p w14:paraId="4E308DD3" w14:textId="41C79B62" w:rsidR="00D51DB5" w:rsidRPr="00761EB7" w:rsidRDefault="00A4352F" w:rsidP="004D6AC2">
            <w:pPr>
              <w:rPr>
                <w:lang w:val="es-ES_tradnl"/>
              </w:rPr>
            </w:pPr>
            <w:r w:rsidRPr="00761EB7">
              <w:rPr>
                <w:szCs w:val="24"/>
                <w:lang w:val="es-ES_tradnl"/>
              </w:rPr>
              <w:t>En este documento se propone seguir adelante con las actividades de la C</w:t>
            </w:r>
            <w:r w:rsidR="00D51DB5" w:rsidRPr="00761EB7">
              <w:rPr>
                <w:lang w:val="es-ES_tradnl"/>
              </w:rPr>
              <w:t>3/2</w:t>
            </w:r>
            <w:r w:rsidRPr="00761EB7">
              <w:rPr>
                <w:lang w:val="es-ES_tradnl"/>
              </w:rPr>
              <w:t>, conservando su mandato actual, al reconocer que la C</w:t>
            </w:r>
            <w:r w:rsidR="00D51DB5" w:rsidRPr="00761EB7">
              <w:rPr>
                <w:lang w:val="es-ES_tradnl"/>
              </w:rPr>
              <w:t>3/2 ha</w:t>
            </w:r>
            <w:r w:rsidRPr="00761EB7">
              <w:rPr>
                <w:lang w:val="es-ES_tradnl"/>
              </w:rPr>
              <w:t xml:space="preserve"> desempeñado un papel clave en los debates sobre ciberseguridad y que su papel adquirirá más importancia, tal y como solicitan los </w:t>
            </w:r>
            <w:r w:rsidR="00E6012B" w:rsidRPr="00761EB7">
              <w:rPr>
                <w:lang w:val="es-ES_tradnl"/>
              </w:rPr>
              <w:t xml:space="preserve">miembros </w:t>
            </w:r>
            <w:r w:rsidRPr="00761EB7">
              <w:rPr>
                <w:lang w:val="es-ES_tradnl"/>
              </w:rPr>
              <w:t>del UIT-D. También se indica que la C</w:t>
            </w:r>
            <w:r w:rsidR="00D51DB5" w:rsidRPr="00761EB7">
              <w:rPr>
                <w:lang w:val="es-ES_tradnl"/>
              </w:rPr>
              <w:t>3/2 reco</w:t>
            </w:r>
            <w:r w:rsidRPr="00761EB7">
              <w:rPr>
                <w:lang w:val="es-ES_tradnl"/>
              </w:rPr>
              <w:t>noce la necesidad de estudiar las nuevas ciberamenazas y su evolución. Durante el próximo periodo de estudios será necesario explorar nuevas oportunidades de capacitación y aplicación práctica de los temas al hilo de los debates en los talleres</w:t>
            </w:r>
            <w:r w:rsidR="00E6012B" w:rsidRPr="00761EB7">
              <w:rPr>
                <w:lang w:val="es-ES_tradnl"/>
              </w:rPr>
              <w:t>.</w:t>
            </w:r>
          </w:p>
          <w:p w14:paraId="37BDC1D4" w14:textId="77777777" w:rsidR="00D51DB5" w:rsidRPr="00761EB7" w:rsidRDefault="00A4352F" w:rsidP="004D6AC2">
            <w:pPr>
              <w:rPr>
                <w:szCs w:val="24"/>
                <w:lang w:val="es-ES_tradnl"/>
              </w:rPr>
            </w:pPr>
            <w:r w:rsidRPr="00761EB7">
              <w:rPr>
                <w:lang w:val="es-ES_tradnl"/>
              </w:rPr>
              <w:lastRenderedPageBreak/>
              <w:t xml:space="preserve">La </w:t>
            </w:r>
            <w:r w:rsidR="00D51DB5" w:rsidRPr="00761EB7">
              <w:rPr>
                <w:lang w:val="es-ES_tradnl"/>
              </w:rPr>
              <w:t>RP</w:t>
            </w:r>
            <w:r w:rsidRPr="00761EB7">
              <w:rPr>
                <w:lang w:val="es-ES_tradnl"/>
              </w:rPr>
              <w:t>R</w:t>
            </w:r>
            <w:r w:rsidR="00D51DB5" w:rsidRPr="00761EB7">
              <w:rPr>
                <w:lang w:val="es-ES_tradnl"/>
              </w:rPr>
              <w:t>-ASP to</w:t>
            </w:r>
            <w:r w:rsidRPr="00761EB7">
              <w:rPr>
                <w:lang w:val="es-ES_tradnl"/>
              </w:rPr>
              <w:t xml:space="preserve">mó nota del documento e </w:t>
            </w:r>
            <w:r w:rsidR="000D1457" w:rsidRPr="00761EB7">
              <w:rPr>
                <w:lang w:val="es-ES_tradnl"/>
              </w:rPr>
              <w:t>invitó</w:t>
            </w:r>
            <w:r w:rsidRPr="00761EB7">
              <w:rPr>
                <w:lang w:val="es-ES_tradnl"/>
              </w:rPr>
              <w:t xml:space="preserve"> a proseguir el debate sobre este asunto en el seno del Grupo de Trabajo 1 de la APT</w:t>
            </w:r>
            <w:r w:rsidR="00D51DB5" w:rsidRPr="00761EB7">
              <w:rPr>
                <w:lang w:val="es-ES_tradnl"/>
              </w:rPr>
              <w:t>.</w:t>
            </w:r>
          </w:p>
        </w:tc>
        <w:tc>
          <w:tcPr>
            <w:tcW w:w="3402" w:type="dxa"/>
          </w:tcPr>
          <w:p w14:paraId="05C1A442" w14:textId="1893C20B" w:rsidR="00D51DB5" w:rsidRPr="00761EB7" w:rsidRDefault="00A4352F" w:rsidP="004D6AC2">
            <w:pPr>
              <w:pStyle w:val="ListParagraph"/>
              <w:numPr>
                <w:ilvl w:val="0"/>
                <w:numId w:val="15"/>
              </w:numPr>
              <w:rPr>
                <w:lang w:val="es-ES_tradnl"/>
              </w:rPr>
            </w:pPr>
            <w:r w:rsidRPr="00761EB7">
              <w:rPr>
                <w:lang w:val="es-ES_tradnl"/>
              </w:rPr>
              <w:lastRenderedPageBreak/>
              <w:t>Continuación de las Cuestiones de estudio (ciberseguridad</w:t>
            </w:r>
            <w:r w:rsidR="00D51DB5" w:rsidRPr="00761EB7">
              <w:rPr>
                <w:lang w:val="es-ES_tradnl"/>
              </w:rPr>
              <w:t>)</w:t>
            </w:r>
            <w:r w:rsidR="00E6012B" w:rsidRPr="00761EB7">
              <w:rPr>
                <w:lang w:val="es-ES_tradnl"/>
              </w:rPr>
              <w:t>.</w:t>
            </w:r>
          </w:p>
          <w:p w14:paraId="70C71AF7" w14:textId="77777777" w:rsidR="00D51DB5" w:rsidRPr="00761EB7" w:rsidRDefault="00A4352F" w:rsidP="004D6AC2">
            <w:pPr>
              <w:pStyle w:val="ListParagraph"/>
              <w:numPr>
                <w:ilvl w:val="0"/>
                <w:numId w:val="15"/>
              </w:numPr>
              <w:rPr>
                <w:lang w:val="es-ES_tradnl"/>
              </w:rPr>
            </w:pPr>
            <w:r w:rsidRPr="00761EB7">
              <w:rPr>
                <w:lang w:val="es-ES_tradnl"/>
              </w:rPr>
              <w:t>Sinergias entre los Programas y las Cuestiones de estudio</w:t>
            </w:r>
            <w:r w:rsidR="00D51DB5" w:rsidRPr="00761EB7">
              <w:rPr>
                <w:lang w:val="es-ES_tradnl"/>
              </w:rPr>
              <w:t>.</w:t>
            </w:r>
          </w:p>
        </w:tc>
      </w:tr>
      <w:tr w:rsidR="00D51DB5" w:rsidRPr="00761EB7" w14:paraId="0F108800" w14:textId="77777777" w:rsidTr="00286B79">
        <w:tc>
          <w:tcPr>
            <w:tcW w:w="14737" w:type="dxa"/>
            <w:gridSpan w:val="4"/>
            <w:shd w:val="clear" w:color="auto" w:fill="FFFFFF" w:themeFill="background1"/>
          </w:tcPr>
          <w:p w14:paraId="58534F28" w14:textId="77777777" w:rsidR="00D51DB5" w:rsidRPr="00761EB7" w:rsidRDefault="00D51DB5" w:rsidP="004D6AC2">
            <w:pPr>
              <w:rPr>
                <w:b/>
                <w:bCs/>
                <w:lang w:val="es-ES_tradnl"/>
              </w:rPr>
            </w:pPr>
            <w:r w:rsidRPr="00761EB7">
              <w:rPr>
                <w:b/>
                <w:bCs/>
                <w:lang w:val="es-ES_tradnl"/>
              </w:rPr>
              <w:lastRenderedPageBreak/>
              <w:t>RP</w:t>
            </w:r>
            <w:r w:rsidR="00A4352F" w:rsidRPr="00761EB7">
              <w:rPr>
                <w:b/>
                <w:bCs/>
                <w:lang w:val="es-ES_tradnl"/>
              </w:rPr>
              <w:t>R</w:t>
            </w:r>
            <w:r w:rsidRPr="00761EB7">
              <w:rPr>
                <w:b/>
                <w:bCs/>
                <w:lang w:val="es-ES_tradnl"/>
              </w:rPr>
              <w:t>-EUR</w:t>
            </w:r>
          </w:p>
        </w:tc>
      </w:tr>
      <w:tr w:rsidR="004E293E" w:rsidRPr="00761EB7" w14:paraId="159EFD2B" w14:textId="77777777" w:rsidTr="00286B79">
        <w:tc>
          <w:tcPr>
            <w:tcW w:w="2122" w:type="dxa"/>
            <w:shd w:val="clear" w:color="auto" w:fill="F2F2F2" w:themeFill="background1" w:themeFillShade="F2"/>
          </w:tcPr>
          <w:p w14:paraId="083E3302" w14:textId="77777777" w:rsidR="00D51DB5" w:rsidRPr="00761EB7" w:rsidRDefault="00D51DB5" w:rsidP="004D6AC2">
            <w:pPr>
              <w:rPr>
                <w:lang w:val="es-ES_tradnl"/>
              </w:rPr>
            </w:pPr>
            <w:r w:rsidRPr="00761EB7">
              <w:rPr>
                <w:b/>
                <w:bCs/>
                <w:lang w:val="es-ES_tradnl"/>
              </w:rPr>
              <w:t>Document</w:t>
            </w:r>
            <w:r w:rsidR="00A4352F" w:rsidRPr="00761EB7">
              <w:rPr>
                <w:b/>
                <w:bCs/>
                <w:lang w:val="es-ES_tradnl"/>
              </w:rPr>
              <w:t>o</w:t>
            </w:r>
          </w:p>
        </w:tc>
        <w:tc>
          <w:tcPr>
            <w:tcW w:w="1701" w:type="dxa"/>
            <w:shd w:val="clear" w:color="auto" w:fill="F2F2F2" w:themeFill="background1" w:themeFillShade="F2"/>
          </w:tcPr>
          <w:p w14:paraId="55378062" w14:textId="77777777" w:rsidR="00D51DB5" w:rsidRPr="00761EB7" w:rsidRDefault="00A4352F" w:rsidP="004D6AC2">
            <w:pPr>
              <w:rPr>
                <w:lang w:val="es-ES_tradnl"/>
              </w:rPr>
            </w:pPr>
            <w:r w:rsidRPr="00761EB7">
              <w:rPr>
                <w:b/>
                <w:bCs/>
                <w:lang w:val="es-ES_tradnl"/>
              </w:rPr>
              <w:t>Origen</w:t>
            </w:r>
          </w:p>
        </w:tc>
        <w:tc>
          <w:tcPr>
            <w:tcW w:w="7512" w:type="dxa"/>
            <w:shd w:val="clear" w:color="auto" w:fill="F2F2F2" w:themeFill="background1" w:themeFillShade="F2"/>
          </w:tcPr>
          <w:p w14:paraId="4D451355" w14:textId="77777777" w:rsidR="00D51DB5" w:rsidRPr="00761EB7" w:rsidRDefault="00A4352F" w:rsidP="004D6AC2">
            <w:pPr>
              <w:rPr>
                <w:lang w:val="es-ES_tradnl"/>
              </w:rPr>
            </w:pPr>
            <w:r w:rsidRPr="00761EB7">
              <w:rPr>
                <w:b/>
                <w:bCs/>
                <w:lang w:val="es-ES_tradnl"/>
              </w:rPr>
              <w:t>Propuesta</w:t>
            </w:r>
          </w:p>
        </w:tc>
        <w:tc>
          <w:tcPr>
            <w:tcW w:w="3402" w:type="dxa"/>
            <w:shd w:val="clear" w:color="auto" w:fill="F2F2F2" w:themeFill="background1" w:themeFillShade="F2"/>
          </w:tcPr>
          <w:p w14:paraId="6E0374A6" w14:textId="77777777" w:rsidR="00D51DB5" w:rsidRPr="00761EB7" w:rsidRDefault="00A4352F" w:rsidP="004D6AC2">
            <w:pPr>
              <w:rPr>
                <w:lang w:val="es-ES_tradnl"/>
              </w:rPr>
            </w:pPr>
            <w:r w:rsidRPr="00761EB7">
              <w:rPr>
                <w:b/>
                <w:bCs/>
                <w:lang w:val="es-ES_tradnl"/>
              </w:rPr>
              <w:t>Tema principal</w:t>
            </w:r>
          </w:p>
        </w:tc>
      </w:tr>
      <w:tr w:rsidR="004E293E" w:rsidRPr="00761EB7" w14:paraId="61010B8A" w14:textId="77777777" w:rsidTr="00286B79">
        <w:tc>
          <w:tcPr>
            <w:tcW w:w="2122" w:type="dxa"/>
            <w:shd w:val="clear" w:color="auto" w:fill="F2F2F2" w:themeFill="background1" w:themeFillShade="F2"/>
          </w:tcPr>
          <w:p w14:paraId="0F630DA7" w14:textId="240678F8" w:rsidR="00D51DB5" w:rsidRPr="00761EB7" w:rsidRDefault="00D51DB5" w:rsidP="004D6AC2">
            <w:pPr>
              <w:rPr>
                <w:lang w:val="es-ES_tradnl"/>
              </w:rPr>
            </w:pPr>
            <w:r w:rsidRPr="00761EB7">
              <w:rPr>
                <w:lang w:val="es-ES_tradnl"/>
              </w:rPr>
              <w:t>Com</w:t>
            </w:r>
            <w:r w:rsidR="00A4352F" w:rsidRPr="00761EB7">
              <w:rPr>
                <w:lang w:val="es-ES_tradnl"/>
              </w:rPr>
              <w:t>entarios sobre</w:t>
            </w:r>
            <w:r w:rsidRPr="00761EB7">
              <w:rPr>
                <w:lang w:val="es-ES_tradnl"/>
              </w:rPr>
              <w:t xml:space="preserve"> </w:t>
            </w:r>
            <w:hyperlink r:id="rId33" w:history="1">
              <w:r w:rsidRPr="00761EB7">
                <w:rPr>
                  <w:rStyle w:val="Hyperlink"/>
                  <w:lang w:val="es-ES_tradnl"/>
                </w:rPr>
                <w:t>RPM-EUR17/10-E</w:t>
              </w:r>
            </w:hyperlink>
            <w:r w:rsidRPr="00761EB7">
              <w:rPr>
                <w:lang w:val="es-ES_tradnl"/>
              </w:rPr>
              <w:t xml:space="preserve"> </w:t>
            </w:r>
            <w:r w:rsidR="00A4352F" w:rsidRPr="00761EB7">
              <w:rPr>
                <w:lang w:val="es-ES_tradnl"/>
              </w:rPr>
              <w:t>en el Informe del Presidente</w:t>
            </w:r>
            <w:r w:rsidRPr="00761EB7">
              <w:rPr>
                <w:lang w:val="es-ES_tradnl"/>
              </w:rPr>
              <w:t xml:space="preserve"> </w:t>
            </w:r>
            <w:r w:rsidR="00E8196D" w:rsidRPr="00761EB7">
              <w:rPr>
                <w:lang w:val="es-ES_tradnl"/>
              </w:rPr>
              <w:br/>
            </w:r>
            <w:hyperlink r:id="rId34" w:history="1">
              <w:r w:rsidRPr="00761EB7">
                <w:rPr>
                  <w:rStyle w:val="Hyperlink"/>
                  <w:lang w:val="es-ES_tradnl"/>
                </w:rPr>
                <w:t>RPM-EUR17/38-E</w:t>
              </w:r>
            </w:hyperlink>
          </w:p>
        </w:tc>
        <w:tc>
          <w:tcPr>
            <w:tcW w:w="1701" w:type="dxa"/>
            <w:shd w:val="clear" w:color="auto" w:fill="F2F2F2" w:themeFill="background1" w:themeFillShade="F2"/>
          </w:tcPr>
          <w:p w14:paraId="660F6787" w14:textId="77777777" w:rsidR="00D51DB5" w:rsidRPr="00761EB7" w:rsidRDefault="00A4352F" w:rsidP="004D6AC2">
            <w:pPr>
              <w:rPr>
                <w:lang w:val="es-ES_tradnl"/>
              </w:rPr>
            </w:pPr>
            <w:r w:rsidRPr="00761EB7">
              <w:rPr>
                <w:lang w:val="es-ES_tradnl"/>
              </w:rPr>
              <w:t>Presidente de la RPR</w:t>
            </w:r>
            <w:r w:rsidR="00D51DB5" w:rsidRPr="00761EB7">
              <w:rPr>
                <w:lang w:val="es-ES_tradnl"/>
              </w:rPr>
              <w:t>-EUR</w:t>
            </w:r>
          </w:p>
        </w:tc>
        <w:tc>
          <w:tcPr>
            <w:tcW w:w="7512" w:type="dxa"/>
            <w:shd w:val="clear" w:color="auto" w:fill="F2F2F2" w:themeFill="background1" w:themeFillShade="F2"/>
          </w:tcPr>
          <w:p w14:paraId="78039828" w14:textId="77777777" w:rsidR="00D51DB5" w:rsidRPr="00761EB7" w:rsidRDefault="00A4352F" w:rsidP="004D6AC2">
            <w:pPr>
              <w:rPr>
                <w:b/>
                <w:bCs/>
                <w:i/>
                <w:iCs/>
                <w:lang w:val="es-ES_tradnl"/>
              </w:rPr>
            </w:pPr>
            <w:r w:rsidRPr="00761EB7">
              <w:rPr>
                <w:b/>
                <w:bCs/>
                <w:i/>
                <w:iCs/>
                <w:lang w:val="es-ES_tradnl"/>
              </w:rPr>
              <w:t>Debate general</w:t>
            </w:r>
          </w:p>
          <w:p w14:paraId="3CF128DF" w14:textId="77777777" w:rsidR="00D51DB5" w:rsidRPr="00761EB7" w:rsidRDefault="00742E0F" w:rsidP="004D6AC2">
            <w:pPr>
              <w:rPr>
                <w:lang w:val="es-ES_tradnl"/>
              </w:rPr>
            </w:pPr>
            <w:r w:rsidRPr="00761EB7">
              <w:rPr>
                <w:lang w:val="es-ES_tradnl"/>
              </w:rPr>
              <w:t>Se formularon observaciones sobre el contenido del documento, en particular el concepto de Grupos Temáticos y los Informes de las Comisiones de Estudio del UIT-D. Se aclaró que el documento está abierto para recibir comentarios y contribuciones en el marco del Grupo por Correspondencia, que se reunirá durante el GADT</w:t>
            </w:r>
            <w:r w:rsidR="00D51DB5" w:rsidRPr="00761EB7">
              <w:rPr>
                <w:lang w:val="es-ES_tradnl"/>
              </w:rPr>
              <w:t>-17.</w:t>
            </w:r>
          </w:p>
          <w:p w14:paraId="0AB9D40C" w14:textId="77777777" w:rsidR="00D51DB5" w:rsidRPr="00761EB7" w:rsidRDefault="00742E0F" w:rsidP="004D6AC2">
            <w:pPr>
              <w:rPr>
                <w:lang w:val="es-ES_tradnl"/>
              </w:rPr>
            </w:pPr>
            <w:r w:rsidRPr="00761EB7">
              <w:rPr>
                <w:lang w:val="es-ES_tradnl"/>
              </w:rPr>
              <w:t xml:space="preserve">La </w:t>
            </w:r>
            <w:r w:rsidR="00D51DB5" w:rsidRPr="00761EB7">
              <w:rPr>
                <w:lang w:val="es-ES_tradnl"/>
              </w:rPr>
              <w:t>RP</w:t>
            </w:r>
            <w:r w:rsidRPr="00761EB7">
              <w:rPr>
                <w:lang w:val="es-ES_tradnl"/>
              </w:rPr>
              <w:t>R</w:t>
            </w:r>
            <w:r w:rsidR="00D51DB5" w:rsidRPr="00761EB7">
              <w:rPr>
                <w:lang w:val="es-ES_tradnl"/>
              </w:rPr>
              <w:t xml:space="preserve">-EUR </w:t>
            </w:r>
            <w:r w:rsidRPr="00761EB7">
              <w:rPr>
                <w:lang w:val="es-ES_tradnl"/>
              </w:rPr>
              <w:t>acogió con beneplácito el documento y tomó nota del mismo</w:t>
            </w:r>
            <w:r w:rsidR="00D51DB5" w:rsidRPr="00761EB7">
              <w:rPr>
                <w:lang w:val="es-ES_tradnl"/>
              </w:rPr>
              <w:t>.</w:t>
            </w:r>
          </w:p>
        </w:tc>
        <w:tc>
          <w:tcPr>
            <w:tcW w:w="3402" w:type="dxa"/>
            <w:shd w:val="clear" w:color="auto" w:fill="F2F2F2" w:themeFill="background1" w:themeFillShade="F2"/>
          </w:tcPr>
          <w:p w14:paraId="16088C74" w14:textId="77777777" w:rsidR="00D51DB5" w:rsidRPr="00761EB7" w:rsidRDefault="00D51DB5" w:rsidP="004D6AC2">
            <w:pPr>
              <w:rPr>
                <w:lang w:val="es-ES_tradnl"/>
              </w:rPr>
            </w:pPr>
            <w:r w:rsidRPr="00761EB7">
              <w:rPr>
                <w:lang w:val="es-ES_tradnl"/>
              </w:rPr>
              <w:t>N/A</w:t>
            </w:r>
          </w:p>
        </w:tc>
      </w:tr>
      <w:tr w:rsidR="004E293E" w:rsidRPr="003F63ED" w14:paraId="17F39EAD" w14:textId="77777777" w:rsidTr="00286B79">
        <w:tc>
          <w:tcPr>
            <w:tcW w:w="2122" w:type="dxa"/>
          </w:tcPr>
          <w:p w14:paraId="00249F54" w14:textId="77777777" w:rsidR="00D51DB5" w:rsidRPr="00761EB7" w:rsidRDefault="003F63ED" w:rsidP="004D6AC2">
            <w:pPr>
              <w:rPr>
                <w:lang w:val="es-ES_tradnl"/>
              </w:rPr>
            </w:pPr>
            <w:hyperlink r:id="rId35" w:history="1">
              <w:r w:rsidR="00D51DB5" w:rsidRPr="00761EB7">
                <w:rPr>
                  <w:rStyle w:val="Hyperlink"/>
                  <w:lang w:val="es-ES_tradnl"/>
                </w:rPr>
                <w:t>RPM-EUR17/16-E</w:t>
              </w:r>
            </w:hyperlink>
          </w:p>
        </w:tc>
        <w:tc>
          <w:tcPr>
            <w:tcW w:w="1701" w:type="dxa"/>
          </w:tcPr>
          <w:p w14:paraId="1801061A" w14:textId="77777777" w:rsidR="00D51DB5" w:rsidRPr="00761EB7" w:rsidRDefault="00742E0F" w:rsidP="004D6AC2">
            <w:pPr>
              <w:rPr>
                <w:lang w:val="es-ES_tradnl"/>
              </w:rPr>
            </w:pPr>
            <w:r w:rsidRPr="00761EB7">
              <w:rPr>
                <w:lang w:val="es-ES_tradnl"/>
              </w:rPr>
              <w:t>Alemania</w:t>
            </w:r>
          </w:p>
        </w:tc>
        <w:tc>
          <w:tcPr>
            <w:tcW w:w="7512" w:type="dxa"/>
          </w:tcPr>
          <w:p w14:paraId="7A53C9D7" w14:textId="53B8685E" w:rsidR="00D51DB5" w:rsidRPr="00761EB7" w:rsidRDefault="00AE7C15" w:rsidP="004D6AC2">
            <w:pPr>
              <w:tabs>
                <w:tab w:val="left" w:pos="567"/>
                <w:tab w:val="left" w:pos="851"/>
                <w:tab w:val="left" w:pos="1134"/>
                <w:tab w:val="left" w:pos="1418"/>
              </w:tabs>
              <w:rPr>
                <w:szCs w:val="24"/>
                <w:lang w:val="es-ES_tradnl"/>
              </w:rPr>
            </w:pPr>
            <w:r w:rsidRPr="00761EB7">
              <w:rPr>
                <w:szCs w:val="24"/>
                <w:lang w:val="es-ES_tradnl"/>
              </w:rPr>
              <w:t>E</w:t>
            </w:r>
            <w:r w:rsidR="00742E0F" w:rsidRPr="00761EB7">
              <w:rPr>
                <w:szCs w:val="24"/>
                <w:lang w:val="es-ES_tradnl"/>
              </w:rPr>
              <w:t>sta contribución trata de</w:t>
            </w:r>
            <w:r w:rsidRPr="00761EB7">
              <w:rPr>
                <w:szCs w:val="24"/>
                <w:lang w:val="es-ES_tradnl"/>
              </w:rPr>
              <w:t xml:space="preserve"> la relación entre las actividades del UIT-D y del UIT-T sobre cuestiones económicas, políticas, de reglamentación y tarifarias de redes y servicios de telecomunicaciones/TIC. </w:t>
            </w:r>
            <w:r w:rsidR="00742E0F" w:rsidRPr="00761EB7">
              <w:rPr>
                <w:szCs w:val="24"/>
                <w:lang w:val="es-ES_tradnl"/>
              </w:rPr>
              <w:t>Se señala que l</w:t>
            </w:r>
            <w:r w:rsidRPr="00761EB7">
              <w:rPr>
                <w:szCs w:val="24"/>
                <w:lang w:val="es-ES_tradnl"/>
              </w:rPr>
              <w:t xml:space="preserve">os representantes de los países en desarrollo pusieron de manifiesto en la AMNT-16 su preferencia por abordar este tema en el marco de la Comisión de Estudio 3 del UIT-T </w:t>
            </w:r>
            <w:r w:rsidR="00742E0F" w:rsidRPr="00761EB7">
              <w:rPr>
                <w:szCs w:val="24"/>
                <w:lang w:val="es-ES_tradnl"/>
              </w:rPr>
              <w:t>(CE</w:t>
            </w:r>
            <w:r w:rsidR="00B33D0F" w:rsidRPr="00761EB7">
              <w:rPr>
                <w:szCs w:val="24"/>
                <w:lang w:val="es-ES_tradnl"/>
              </w:rPr>
              <w:t> </w:t>
            </w:r>
            <w:r w:rsidR="00742E0F" w:rsidRPr="00761EB7">
              <w:rPr>
                <w:szCs w:val="24"/>
                <w:lang w:val="es-ES_tradnl"/>
              </w:rPr>
              <w:t xml:space="preserve">3) </w:t>
            </w:r>
            <w:r w:rsidRPr="00761EB7">
              <w:rPr>
                <w:szCs w:val="24"/>
                <w:lang w:val="es-ES_tradnl"/>
              </w:rPr>
              <w:t>a fin de elaborar las Recomendaciones del UIT-T pertinentes</w:t>
            </w:r>
            <w:r w:rsidR="00D51DB5" w:rsidRPr="00761EB7">
              <w:rPr>
                <w:szCs w:val="24"/>
                <w:lang w:val="es-ES_tradnl"/>
              </w:rPr>
              <w:t xml:space="preserve">. </w:t>
            </w:r>
            <w:r w:rsidR="00742E0F" w:rsidRPr="00761EB7">
              <w:rPr>
                <w:szCs w:val="24"/>
                <w:lang w:val="es-ES_tradnl"/>
              </w:rPr>
              <w:t>Habida cuenta de</w:t>
            </w:r>
            <w:r w:rsidRPr="00761EB7">
              <w:rPr>
                <w:szCs w:val="24"/>
                <w:lang w:val="es-ES_tradnl"/>
              </w:rPr>
              <w:t xml:space="preserve"> la inconveniencia actual de disociar oficialmente los servicios de telecomunicaciones/TIC internacionales de los nacionales</w:t>
            </w:r>
            <w:r w:rsidR="00742E0F" w:rsidRPr="00761EB7">
              <w:rPr>
                <w:szCs w:val="24"/>
                <w:lang w:val="es-ES_tradnl"/>
              </w:rPr>
              <w:t>, se propone modificar e</w:t>
            </w:r>
            <w:r w:rsidRPr="00761EB7">
              <w:rPr>
                <w:szCs w:val="24"/>
                <w:lang w:val="es-ES_tradnl"/>
              </w:rPr>
              <w:t>l mandato/las atribuciones de l</w:t>
            </w:r>
            <w:r w:rsidR="00B33D0F" w:rsidRPr="00761EB7">
              <w:rPr>
                <w:szCs w:val="24"/>
                <w:lang w:val="es-ES_tradnl"/>
              </w:rPr>
              <w:t>a Comisión de Estudio 1 del UIT</w:t>
            </w:r>
            <w:r w:rsidR="00B33D0F" w:rsidRPr="00761EB7">
              <w:rPr>
                <w:szCs w:val="24"/>
                <w:lang w:val="es-ES_tradnl"/>
              </w:rPr>
              <w:noBreakHyphen/>
            </w:r>
            <w:r w:rsidRPr="00761EB7">
              <w:rPr>
                <w:szCs w:val="24"/>
                <w:lang w:val="es-ES_tradnl"/>
              </w:rPr>
              <w:t xml:space="preserve">D </w:t>
            </w:r>
            <w:r w:rsidR="00742E0F" w:rsidRPr="00761EB7">
              <w:rPr>
                <w:szCs w:val="24"/>
                <w:lang w:val="es-ES_tradnl"/>
              </w:rPr>
              <w:t>para garantizar que las actividades mencionadas se llevan a cabo exclusivamente en la</w:t>
            </w:r>
            <w:r w:rsidRPr="00761EB7">
              <w:rPr>
                <w:szCs w:val="24"/>
                <w:lang w:val="es-ES_tradnl"/>
              </w:rPr>
              <w:t xml:space="preserve"> Comisión de Estudio 3 del UIT-T. </w:t>
            </w:r>
            <w:r w:rsidR="00742E0F" w:rsidRPr="00761EB7">
              <w:rPr>
                <w:szCs w:val="24"/>
                <w:lang w:val="es-ES_tradnl"/>
              </w:rPr>
              <w:t>El objetivo debe ser la elaboración de las Recomendaciones UIT-T convenientes</w:t>
            </w:r>
            <w:r w:rsidR="00D51DB5" w:rsidRPr="00761EB7">
              <w:rPr>
                <w:szCs w:val="24"/>
                <w:lang w:val="es-ES_tradnl"/>
              </w:rPr>
              <w:t>.</w:t>
            </w:r>
          </w:p>
          <w:p w14:paraId="7B7346BA" w14:textId="77777777" w:rsidR="00D51DB5" w:rsidRPr="00761EB7" w:rsidRDefault="00742E0F" w:rsidP="004D6AC2">
            <w:pPr>
              <w:spacing w:after="120"/>
              <w:rPr>
                <w:lang w:val="es-ES_tradnl"/>
              </w:rPr>
            </w:pPr>
            <w:r w:rsidRPr="00761EB7">
              <w:rPr>
                <w:rFonts w:cstheme="minorHAnsi"/>
                <w:color w:val="000000" w:themeColor="text1"/>
                <w:szCs w:val="24"/>
                <w:lang w:val="es-ES_tradnl"/>
              </w:rPr>
              <w:t xml:space="preserve">Al abordar la contribución, tanto los Estados Miembros como los Miembros de Sector expresaron su opinión, destacando dónde debe y se lleva a cabo el trabajo. Se acordó que hay que evitar que las actividades de los Sectores se solapen o entren en competencia, procurando al contrario que sean complementarias. Se reconoció también que los resultados de la </w:t>
            </w:r>
            <w:r w:rsidRPr="00761EB7">
              <w:rPr>
                <w:rFonts w:cstheme="minorHAnsi"/>
                <w:color w:val="000000" w:themeColor="text1"/>
                <w:szCs w:val="24"/>
                <w:lang w:val="es-ES_tradnl"/>
              </w:rPr>
              <w:lastRenderedPageBreak/>
              <w:t>AMNT-16 son los que son y así debe tenerlos en cuenta la CMDT-17. El Presidente concluyó diciendo que el tema sigue abierto y que se seguirá tratando en el seno de la CEPT</w:t>
            </w:r>
            <w:r w:rsidR="00D51DB5" w:rsidRPr="00761EB7">
              <w:rPr>
                <w:rFonts w:cstheme="minorHAnsi"/>
                <w:color w:val="000000" w:themeColor="text1"/>
                <w:szCs w:val="24"/>
                <w:lang w:val="es-ES_tradnl"/>
              </w:rPr>
              <w:t>.</w:t>
            </w:r>
          </w:p>
          <w:p w14:paraId="106D4921" w14:textId="77777777" w:rsidR="00D51DB5" w:rsidRPr="00761EB7" w:rsidRDefault="00742E0F" w:rsidP="004D6AC2">
            <w:pPr>
              <w:spacing w:after="120"/>
              <w:jc w:val="both"/>
              <w:rPr>
                <w:lang w:val="es-ES_tradnl"/>
              </w:rPr>
            </w:pPr>
            <w:r w:rsidRPr="00761EB7">
              <w:rPr>
                <w:lang w:val="es-ES_tradnl"/>
              </w:rPr>
              <w:t xml:space="preserve">La </w:t>
            </w:r>
            <w:r w:rsidR="00D51DB5" w:rsidRPr="00761EB7">
              <w:rPr>
                <w:lang w:val="es-ES_tradnl"/>
              </w:rPr>
              <w:t>RP</w:t>
            </w:r>
            <w:r w:rsidRPr="00761EB7">
              <w:rPr>
                <w:lang w:val="es-ES_tradnl"/>
              </w:rPr>
              <w:t>R</w:t>
            </w:r>
            <w:r w:rsidR="00D51DB5" w:rsidRPr="00761EB7">
              <w:rPr>
                <w:lang w:val="es-ES_tradnl"/>
              </w:rPr>
              <w:t xml:space="preserve">-EUR </w:t>
            </w:r>
            <w:r w:rsidRPr="00761EB7">
              <w:rPr>
                <w:lang w:val="es-ES_tradnl"/>
              </w:rPr>
              <w:t>acogió con beneplácito el documento y tomó nota del mismo</w:t>
            </w:r>
            <w:r w:rsidR="00D51DB5" w:rsidRPr="00761EB7">
              <w:rPr>
                <w:lang w:val="es-ES_tradnl"/>
              </w:rPr>
              <w:t>.</w:t>
            </w:r>
          </w:p>
        </w:tc>
        <w:tc>
          <w:tcPr>
            <w:tcW w:w="3402" w:type="dxa"/>
          </w:tcPr>
          <w:p w14:paraId="4B9B3EB2" w14:textId="2CFE950E" w:rsidR="00D51DB5" w:rsidRPr="00761EB7" w:rsidRDefault="00D51DB5" w:rsidP="004D6AC2">
            <w:pPr>
              <w:pStyle w:val="ListParagraph"/>
              <w:numPr>
                <w:ilvl w:val="0"/>
                <w:numId w:val="15"/>
              </w:numPr>
              <w:rPr>
                <w:lang w:val="es-ES_tradnl"/>
              </w:rPr>
            </w:pPr>
            <w:r w:rsidRPr="00761EB7">
              <w:rPr>
                <w:lang w:val="es-ES_tradnl"/>
              </w:rPr>
              <w:lastRenderedPageBreak/>
              <w:t>Col</w:t>
            </w:r>
            <w:r w:rsidR="00742E0F" w:rsidRPr="00761EB7">
              <w:rPr>
                <w:lang w:val="es-ES_tradnl"/>
              </w:rPr>
              <w:t>aboración con el UIT</w:t>
            </w:r>
            <w:r w:rsidRPr="00761EB7">
              <w:rPr>
                <w:lang w:val="es-ES_tradnl"/>
              </w:rPr>
              <w:t>-T</w:t>
            </w:r>
            <w:r w:rsidR="00E8196D" w:rsidRPr="00761EB7">
              <w:rPr>
                <w:lang w:val="es-ES_tradnl"/>
              </w:rPr>
              <w:t>.</w:t>
            </w:r>
          </w:p>
          <w:p w14:paraId="1DC105FD" w14:textId="77777777" w:rsidR="00D51DB5" w:rsidRPr="00761EB7" w:rsidRDefault="00D51DB5" w:rsidP="004D6AC2">
            <w:pPr>
              <w:pStyle w:val="ListParagraph"/>
              <w:numPr>
                <w:ilvl w:val="0"/>
                <w:numId w:val="15"/>
              </w:numPr>
              <w:rPr>
                <w:lang w:val="es-ES_tradnl"/>
              </w:rPr>
            </w:pPr>
            <w:r w:rsidRPr="00761EB7">
              <w:rPr>
                <w:lang w:val="es-ES_tradnl"/>
              </w:rPr>
              <w:t>Duplica</w:t>
            </w:r>
            <w:r w:rsidR="00742E0F" w:rsidRPr="00761EB7">
              <w:rPr>
                <w:lang w:val="es-ES_tradnl"/>
              </w:rPr>
              <w:t>ción de esfuerzos</w:t>
            </w:r>
            <w:r w:rsidRPr="00761EB7">
              <w:rPr>
                <w:lang w:val="es-ES_tradnl"/>
              </w:rPr>
              <w:t>.</w:t>
            </w:r>
          </w:p>
          <w:p w14:paraId="110F6DCA" w14:textId="77777777" w:rsidR="00D51DB5" w:rsidRPr="00761EB7" w:rsidRDefault="00742E0F" w:rsidP="004D6AC2">
            <w:pPr>
              <w:pStyle w:val="ListParagraph"/>
              <w:numPr>
                <w:ilvl w:val="0"/>
                <w:numId w:val="15"/>
              </w:numPr>
              <w:rPr>
                <w:lang w:val="es-ES_tradnl"/>
              </w:rPr>
            </w:pPr>
            <w:r w:rsidRPr="00761EB7">
              <w:rPr>
                <w:lang w:val="es-ES_tradnl"/>
              </w:rPr>
              <w:t>Ámbito de competencia de las Comisiones de Estudio del UIT-D</w:t>
            </w:r>
          </w:p>
        </w:tc>
      </w:tr>
      <w:tr w:rsidR="004E293E" w:rsidRPr="003F63ED" w14:paraId="48668A4E" w14:textId="77777777" w:rsidTr="00286B79">
        <w:tc>
          <w:tcPr>
            <w:tcW w:w="2122" w:type="dxa"/>
          </w:tcPr>
          <w:p w14:paraId="781B007A" w14:textId="77777777" w:rsidR="00D51DB5" w:rsidRPr="00761EB7" w:rsidRDefault="003F63ED" w:rsidP="004D6AC2">
            <w:pPr>
              <w:rPr>
                <w:lang w:val="es-ES_tradnl"/>
              </w:rPr>
            </w:pPr>
            <w:hyperlink r:id="rId36" w:history="1">
              <w:r w:rsidR="00D51DB5" w:rsidRPr="00761EB7">
                <w:rPr>
                  <w:rStyle w:val="Hyperlink"/>
                  <w:lang w:val="es-ES_tradnl"/>
                </w:rPr>
                <w:t>RPM-EUR17/33-E</w:t>
              </w:r>
            </w:hyperlink>
          </w:p>
        </w:tc>
        <w:tc>
          <w:tcPr>
            <w:tcW w:w="1701" w:type="dxa"/>
          </w:tcPr>
          <w:p w14:paraId="3EEE39E9" w14:textId="77777777" w:rsidR="00D51DB5" w:rsidRPr="00761EB7" w:rsidRDefault="00D51DB5" w:rsidP="004D6AC2">
            <w:pPr>
              <w:rPr>
                <w:lang w:val="es-ES_tradnl"/>
              </w:rPr>
            </w:pPr>
            <w:r w:rsidRPr="00761EB7">
              <w:rPr>
                <w:lang w:val="es-ES_tradnl"/>
              </w:rPr>
              <w:t>Lituania</w:t>
            </w:r>
          </w:p>
        </w:tc>
        <w:tc>
          <w:tcPr>
            <w:tcW w:w="7512" w:type="dxa"/>
          </w:tcPr>
          <w:p w14:paraId="54308792" w14:textId="77777777" w:rsidR="00D51DB5" w:rsidRPr="00761EB7" w:rsidRDefault="00742E0F" w:rsidP="004D6AC2">
            <w:pPr>
              <w:tabs>
                <w:tab w:val="clear" w:pos="794"/>
                <w:tab w:val="clear" w:pos="1191"/>
                <w:tab w:val="clear" w:pos="1588"/>
                <w:tab w:val="clear" w:pos="1985"/>
                <w:tab w:val="left" w:pos="1951"/>
              </w:tabs>
              <w:rPr>
                <w:szCs w:val="24"/>
                <w:lang w:val="es-ES_tradnl"/>
              </w:rPr>
            </w:pPr>
            <w:r w:rsidRPr="00761EB7">
              <w:rPr>
                <w:szCs w:val="24"/>
                <w:lang w:val="es-ES_tradnl"/>
              </w:rPr>
              <w:t xml:space="preserve">En esta contribución se propone enmendar la Resolución 1 con el objetivo de aumentar la eficacia de las Comisiones de Estudio del UIT-D e </w:t>
            </w:r>
            <w:r w:rsidR="000D1457" w:rsidRPr="00761EB7">
              <w:rPr>
                <w:szCs w:val="24"/>
                <w:lang w:val="es-ES_tradnl"/>
              </w:rPr>
              <w:t>insistir</w:t>
            </w:r>
            <w:r w:rsidRPr="00761EB7">
              <w:rPr>
                <w:szCs w:val="24"/>
                <w:lang w:val="es-ES_tradnl"/>
              </w:rPr>
              <w:t xml:space="preserve"> en su orientación a los resultados, entre los que se deberán contar Informes, informes resumidos y Recomendaciones. Además, en la contribución se propone que los Presidentes de las Comisiones de Estudio del UIT-D transformen esos Informes en proyectos de Recomendación para su consideración por la CMDT</w:t>
            </w:r>
            <w:r w:rsidR="00D51DB5" w:rsidRPr="00761EB7">
              <w:rPr>
                <w:szCs w:val="24"/>
                <w:lang w:val="es-ES_tradnl"/>
              </w:rPr>
              <w:t>-17.</w:t>
            </w:r>
          </w:p>
          <w:p w14:paraId="64CDC367" w14:textId="77777777" w:rsidR="00D51DB5" w:rsidRPr="00761EB7" w:rsidRDefault="00742E0F" w:rsidP="004D6AC2">
            <w:pPr>
              <w:spacing w:after="120"/>
              <w:jc w:val="both"/>
              <w:rPr>
                <w:lang w:val="es-ES_tradnl"/>
              </w:rPr>
            </w:pPr>
            <w:r w:rsidRPr="00761EB7">
              <w:rPr>
                <w:lang w:val="es-ES_tradnl"/>
              </w:rPr>
              <w:t xml:space="preserve">La </w:t>
            </w:r>
            <w:r w:rsidR="00D51DB5" w:rsidRPr="00761EB7">
              <w:rPr>
                <w:lang w:val="es-ES_tradnl"/>
              </w:rPr>
              <w:t>RP</w:t>
            </w:r>
            <w:r w:rsidRPr="00761EB7">
              <w:rPr>
                <w:lang w:val="es-ES_tradnl"/>
              </w:rPr>
              <w:t>R</w:t>
            </w:r>
            <w:r w:rsidR="00D51DB5" w:rsidRPr="00761EB7">
              <w:rPr>
                <w:lang w:val="es-ES_tradnl"/>
              </w:rPr>
              <w:t xml:space="preserve">-EUR </w:t>
            </w:r>
            <w:r w:rsidRPr="00761EB7">
              <w:rPr>
                <w:lang w:val="es-ES_tradnl"/>
              </w:rPr>
              <w:t>acogió con beneplácito el documento y tomó nota del mismo</w:t>
            </w:r>
            <w:r w:rsidR="00D51DB5" w:rsidRPr="00761EB7">
              <w:rPr>
                <w:lang w:val="es-ES_tradnl"/>
              </w:rPr>
              <w:t>.</w:t>
            </w:r>
          </w:p>
        </w:tc>
        <w:tc>
          <w:tcPr>
            <w:tcW w:w="3402" w:type="dxa"/>
          </w:tcPr>
          <w:p w14:paraId="44CE3EAE" w14:textId="3DA90670" w:rsidR="00D51DB5" w:rsidRPr="00761EB7" w:rsidRDefault="00742E0F" w:rsidP="004D6AC2">
            <w:pPr>
              <w:pStyle w:val="ListParagraph"/>
              <w:numPr>
                <w:ilvl w:val="0"/>
                <w:numId w:val="15"/>
              </w:numPr>
              <w:rPr>
                <w:lang w:val="es-ES_tradnl"/>
              </w:rPr>
            </w:pPr>
            <w:r w:rsidRPr="00761EB7">
              <w:rPr>
                <w:lang w:val="es-ES_tradnl"/>
              </w:rPr>
              <w:t>Resultados y productos</w:t>
            </w:r>
            <w:r w:rsidR="00E8196D" w:rsidRPr="00761EB7">
              <w:rPr>
                <w:lang w:val="es-ES_tradnl"/>
              </w:rPr>
              <w:t>.</w:t>
            </w:r>
          </w:p>
          <w:p w14:paraId="37476125" w14:textId="089BB6A4" w:rsidR="00D51DB5" w:rsidRPr="00761EB7" w:rsidRDefault="00337116" w:rsidP="004D6AC2">
            <w:pPr>
              <w:pStyle w:val="ListParagraph"/>
              <w:numPr>
                <w:ilvl w:val="0"/>
                <w:numId w:val="15"/>
              </w:numPr>
              <w:rPr>
                <w:lang w:val="es-ES_tradnl"/>
              </w:rPr>
            </w:pPr>
            <w:r w:rsidRPr="00761EB7">
              <w:rPr>
                <w:lang w:val="es-ES_tradnl"/>
              </w:rPr>
              <w:t>Calendario de producción (enfoque anual/modular</w:t>
            </w:r>
            <w:r w:rsidR="00D51DB5" w:rsidRPr="00761EB7">
              <w:rPr>
                <w:lang w:val="es-ES_tradnl"/>
              </w:rPr>
              <w:t>)</w:t>
            </w:r>
            <w:r w:rsidR="00E8196D" w:rsidRPr="00761EB7">
              <w:rPr>
                <w:lang w:val="es-ES_tradnl"/>
              </w:rPr>
              <w:t>.</w:t>
            </w:r>
          </w:p>
        </w:tc>
      </w:tr>
    </w:tbl>
    <w:p w14:paraId="55B269ED" w14:textId="77777777" w:rsidR="002B72E1" w:rsidRPr="00761EB7" w:rsidRDefault="002B72E1" w:rsidP="0032202E">
      <w:pPr>
        <w:pStyle w:val="Reasons"/>
        <w:rPr>
          <w:lang w:val="es-ES_tradnl"/>
        </w:rPr>
      </w:pPr>
    </w:p>
    <w:p w14:paraId="38967D65" w14:textId="77777777" w:rsidR="002B72E1" w:rsidRPr="00761EB7" w:rsidRDefault="002B72E1">
      <w:pPr>
        <w:jc w:val="center"/>
        <w:rPr>
          <w:lang w:val="es-ES_tradnl"/>
        </w:rPr>
      </w:pPr>
      <w:r w:rsidRPr="00761EB7">
        <w:rPr>
          <w:lang w:val="es-ES_tradnl"/>
        </w:rPr>
        <w:t>______________</w:t>
      </w:r>
    </w:p>
    <w:sectPr w:rsidR="002B72E1" w:rsidRPr="00761EB7" w:rsidSect="002B72E1">
      <w:headerReference w:type="default" r:id="rId37"/>
      <w:footerReference w:type="default" r:id="rId38"/>
      <w:headerReference w:type="first" r:id="rId39"/>
      <w:footerReference w:type="first" r:id="rId40"/>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586D7" w14:textId="77777777" w:rsidR="00842B0C" w:rsidRDefault="00842B0C">
      <w:r>
        <w:separator/>
      </w:r>
    </w:p>
  </w:endnote>
  <w:endnote w:type="continuationSeparator" w:id="0">
    <w:p w14:paraId="3F09DD00" w14:textId="77777777" w:rsidR="00842B0C" w:rsidRDefault="0084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08604" w14:textId="77777777" w:rsidR="00761EB7" w:rsidRDefault="00761EB7" w:rsidP="00761EB7">
    <w:pPr>
      <w:pStyle w:val="Footer"/>
    </w:pPr>
    <w:fldSimple w:instr=" FILENAME \p  \* MERGEFORMAT ">
      <w:r>
        <w:t>P:\ESP\ITU-D\CONF-D\WTDC17\000\010APP1S.docx</w:t>
      </w:r>
    </w:fldSimple>
    <w:r>
      <w:t xml:space="preserve"> (</w:t>
    </w:r>
    <w:r>
      <w:rPr>
        <w:lang w:val="en-US"/>
      </w:rPr>
      <w:t>420298</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8636C" w14:textId="77777777" w:rsidR="00842B0C" w:rsidRDefault="00761EB7" w:rsidP="00EB6E2E">
    <w:pPr>
      <w:pStyle w:val="Footer"/>
    </w:pPr>
    <w:fldSimple w:instr=" FILENAME \p  \* MERGEFORMAT ">
      <w:r>
        <w:t>P:\ESP\ITU-D\CONF-D\WTDC17\000\010APP1S.docx</w:t>
      </w:r>
    </w:fldSimple>
    <w:r w:rsidR="00842B0C">
      <w:t xml:space="preserve"> (</w:t>
    </w:r>
    <w:r w:rsidR="00842B0C">
      <w:rPr>
        <w:lang w:val="en-US"/>
      </w:rPr>
      <w:t>420298</w:t>
    </w:r>
    <w:r w:rsidR="00842B0C">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2F767" w14:textId="77777777" w:rsidR="00842B0C" w:rsidRDefault="00842B0C">
      <w:r>
        <w:rPr>
          <w:b/>
        </w:rPr>
        <w:t>_______________</w:t>
      </w:r>
    </w:p>
  </w:footnote>
  <w:footnote w:type="continuationSeparator" w:id="0">
    <w:p w14:paraId="6FDB2F02" w14:textId="77777777" w:rsidR="00842B0C" w:rsidRDefault="00842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A3CDD" w14:textId="77777777" w:rsidR="003F63ED" w:rsidRPr="00D83BF5" w:rsidRDefault="003F63ED" w:rsidP="003F63ED">
    <w:pPr>
      <w:tabs>
        <w:tab w:val="clear" w:pos="794"/>
        <w:tab w:val="clear" w:pos="1191"/>
        <w:tab w:val="clear" w:pos="1588"/>
        <w:tab w:val="clear" w:pos="1985"/>
        <w:tab w:val="left" w:pos="5812"/>
        <w:tab w:val="right" w:pos="13892"/>
      </w:tabs>
      <w:ind w:right="1"/>
      <w:rPr>
        <w:smallCaps/>
        <w:spacing w:val="24"/>
        <w:sz w:val="22"/>
        <w:szCs w:val="22"/>
        <w:lang w:val="es-ES_tradnl"/>
      </w:rPr>
    </w:pPr>
    <w:r w:rsidRPr="004D495C">
      <w:rPr>
        <w:sz w:val="22"/>
        <w:szCs w:val="22"/>
      </w:rPr>
      <w:tab/>
    </w:r>
    <w:r>
      <w:rPr>
        <w:sz w:val="22"/>
        <w:szCs w:val="22"/>
        <w:lang w:val="es-ES_tradnl"/>
      </w:rPr>
      <w:t>CMDT-17</w:t>
    </w:r>
    <w:r w:rsidRPr="00FF089C">
      <w:rPr>
        <w:sz w:val="22"/>
        <w:szCs w:val="22"/>
        <w:lang w:val="es-ES_tradnl"/>
      </w:rPr>
      <w:t>/</w:t>
    </w:r>
    <w:r>
      <w:rPr>
        <w:sz w:val="22"/>
        <w:szCs w:val="22"/>
        <w:lang w:val="es-ES_tradnl"/>
      </w:rPr>
      <w:t>10</w:t>
    </w:r>
    <w:r w:rsidRPr="00FF089C">
      <w:rPr>
        <w:sz w:val="22"/>
        <w:szCs w:val="22"/>
        <w:lang w:val="es-ES_tradnl"/>
      </w:rPr>
      <w:t>-</w:t>
    </w:r>
    <w:r>
      <w:rPr>
        <w:sz w:val="22"/>
        <w:szCs w:val="22"/>
        <w:lang w:val="es-ES_tradnl"/>
      </w:rPr>
      <w:t>S (Apéndice 1)</w:t>
    </w:r>
    <w:r w:rsidRPr="00FF089C">
      <w:rPr>
        <w:sz w:val="22"/>
        <w:szCs w:val="22"/>
        <w:lang w:val="es-ES_tradnl"/>
      </w:rPr>
      <w:tab/>
      <w:t>P</w:t>
    </w:r>
    <w:r>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9</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77A86" w14:textId="7CB18893" w:rsidR="00842B0C" w:rsidRPr="00D83BF5" w:rsidRDefault="00842B0C" w:rsidP="003F63ED">
    <w:pPr>
      <w:tabs>
        <w:tab w:val="clear" w:pos="794"/>
        <w:tab w:val="clear" w:pos="1191"/>
        <w:tab w:val="clear" w:pos="1588"/>
        <w:tab w:val="clear" w:pos="1985"/>
        <w:tab w:val="left" w:pos="5812"/>
        <w:tab w:val="right" w:pos="13892"/>
      </w:tabs>
      <w:ind w:right="1"/>
      <w:rPr>
        <w:smallCaps/>
        <w:spacing w:val="24"/>
        <w:sz w:val="22"/>
        <w:szCs w:val="22"/>
        <w:lang w:val="es-ES_tradnl"/>
      </w:rPr>
    </w:pPr>
    <w:r w:rsidRPr="004D495C">
      <w:rPr>
        <w:sz w:val="22"/>
        <w:szCs w:val="22"/>
      </w:rPr>
      <w:tab/>
    </w:r>
    <w:r w:rsidR="003F63ED">
      <w:rPr>
        <w:sz w:val="22"/>
        <w:szCs w:val="22"/>
        <w:lang w:val="es-ES_tradnl"/>
      </w:rPr>
      <w:t>CMDT</w:t>
    </w:r>
    <w:r>
      <w:rPr>
        <w:sz w:val="22"/>
        <w:szCs w:val="22"/>
        <w:lang w:val="es-ES_tradnl"/>
      </w:rPr>
      <w:t>-17</w:t>
    </w:r>
    <w:r w:rsidRPr="00FF089C">
      <w:rPr>
        <w:sz w:val="22"/>
        <w:szCs w:val="22"/>
        <w:lang w:val="es-ES_tradnl"/>
      </w:rPr>
      <w:t>/</w:t>
    </w:r>
    <w:r>
      <w:rPr>
        <w:sz w:val="22"/>
        <w:szCs w:val="22"/>
        <w:lang w:val="es-ES_tradnl"/>
      </w:rPr>
      <w:t>10</w:t>
    </w:r>
    <w:r w:rsidRPr="00FF089C">
      <w:rPr>
        <w:sz w:val="22"/>
        <w:szCs w:val="22"/>
        <w:lang w:val="es-ES_tradnl"/>
      </w:rPr>
      <w:t>-</w:t>
    </w:r>
    <w:r>
      <w:rPr>
        <w:sz w:val="22"/>
        <w:szCs w:val="22"/>
        <w:lang w:val="es-ES_tradnl"/>
      </w:rPr>
      <w:t>S</w:t>
    </w:r>
    <w:r w:rsidR="002B72E1">
      <w:rPr>
        <w:sz w:val="22"/>
        <w:szCs w:val="22"/>
        <w:lang w:val="es-ES_tradnl"/>
      </w:rPr>
      <w:t xml:space="preserve"> (Apéndice 1)</w:t>
    </w:r>
    <w:r w:rsidRPr="00FF089C">
      <w:rPr>
        <w:sz w:val="22"/>
        <w:szCs w:val="22"/>
        <w:lang w:val="es-ES_tradnl"/>
      </w:rPr>
      <w:tab/>
      <w:t>P</w:t>
    </w:r>
    <w:r>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3F63ED">
      <w:rPr>
        <w:noProof/>
        <w:sz w:val="22"/>
        <w:szCs w:val="22"/>
        <w:lang w:val="es-ES_tradnl"/>
      </w:rPr>
      <w:t>1</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C29261D"/>
    <w:multiLevelType w:val="hybridMultilevel"/>
    <w:tmpl w:val="CB62027E"/>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773E46"/>
    <w:multiLevelType w:val="hybridMultilevel"/>
    <w:tmpl w:val="A752898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CE222E"/>
    <w:multiLevelType w:val="hybridMultilevel"/>
    <w:tmpl w:val="3BE295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ED60A0"/>
    <w:multiLevelType w:val="hybridMultilevel"/>
    <w:tmpl w:val="395CCF10"/>
    <w:lvl w:ilvl="0" w:tplc="76BA598C">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32B46"/>
    <w:multiLevelType w:val="hybridMultilevel"/>
    <w:tmpl w:val="A94EC202"/>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5910D2"/>
    <w:multiLevelType w:val="hybridMultilevel"/>
    <w:tmpl w:val="05BA34F8"/>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6436C9"/>
    <w:multiLevelType w:val="hybridMultilevel"/>
    <w:tmpl w:val="E952A7EA"/>
    <w:lvl w:ilvl="0" w:tplc="76BA598C">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893395"/>
    <w:multiLevelType w:val="hybridMultilevel"/>
    <w:tmpl w:val="4EF8DE7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D02ABA"/>
    <w:multiLevelType w:val="hybridMultilevel"/>
    <w:tmpl w:val="CF5C76BE"/>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3A22A2"/>
    <w:multiLevelType w:val="hybridMultilevel"/>
    <w:tmpl w:val="A01A9AFC"/>
    <w:lvl w:ilvl="0" w:tplc="76BA598C">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2"/>
  </w:num>
  <w:num w:numId="5">
    <w:abstractNumId w:val="12"/>
  </w:num>
  <w:num w:numId="6">
    <w:abstractNumId w:val="10"/>
  </w:num>
  <w:num w:numId="7">
    <w:abstractNumId w:val="5"/>
  </w:num>
  <w:num w:numId="8">
    <w:abstractNumId w:val="4"/>
  </w:num>
  <w:num w:numId="9">
    <w:abstractNumId w:val="6"/>
  </w:num>
  <w:num w:numId="10">
    <w:abstractNumId w:val="9"/>
  </w:num>
  <w:num w:numId="11">
    <w:abstractNumId w:val="13"/>
  </w:num>
  <w:num w:numId="12">
    <w:abstractNumId w:val="3"/>
  </w:num>
  <w:num w:numId="13">
    <w:abstractNumId w:val="7"/>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2949"/>
    <w:rsid w:val="00022A29"/>
    <w:rsid w:val="00024BCC"/>
    <w:rsid w:val="000274D3"/>
    <w:rsid w:val="00031B21"/>
    <w:rsid w:val="000335DF"/>
    <w:rsid w:val="000355FD"/>
    <w:rsid w:val="00050E06"/>
    <w:rsid w:val="00051E39"/>
    <w:rsid w:val="00065045"/>
    <w:rsid w:val="0007228C"/>
    <w:rsid w:val="00072998"/>
    <w:rsid w:val="00075C63"/>
    <w:rsid w:val="000770E8"/>
    <w:rsid w:val="00077239"/>
    <w:rsid w:val="00077EA6"/>
    <w:rsid w:val="00080905"/>
    <w:rsid w:val="00082221"/>
    <w:rsid w:val="000822BE"/>
    <w:rsid w:val="00086491"/>
    <w:rsid w:val="00091346"/>
    <w:rsid w:val="000A3163"/>
    <w:rsid w:val="000B1248"/>
    <w:rsid w:val="000B56CD"/>
    <w:rsid w:val="000C2E5F"/>
    <w:rsid w:val="000D09F3"/>
    <w:rsid w:val="000D1457"/>
    <w:rsid w:val="000D7217"/>
    <w:rsid w:val="000D7330"/>
    <w:rsid w:val="000F73FF"/>
    <w:rsid w:val="001038F8"/>
    <w:rsid w:val="00107AA4"/>
    <w:rsid w:val="001107B6"/>
    <w:rsid w:val="00114CF7"/>
    <w:rsid w:val="00116AFE"/>
    <w:rsid w:val="00123B68"/>
    <w:rsid w:val="00126F2E"/>
    <w:rsid w:val="00146F6F"/>
    <w:rsid w:val="00147DA1"/>
    <w:rsid w:val="00152957"/>
    <w:rsid w:val="001620F5"/>
    <w:rsid w:val="00162CB5"/>
    <w:rsid w:val="00165121"/>
    <w:rsid w:val="00183DEB"/>
    <w:rsid w:val="00187BD9"/>
    <w:rsid w:val="00190B55"/>
    <w:rsid w:val="00194CFB"/>
    <w:rsid w:val="001B2ED3"/>
    <w:rsid w:val="001B5766"/>
    <w:rsid w:val="001B62DC"/>
    <w:rsid w:val="001C00BC"/>
    <w:rsid w:val="001C2E68"/>
    <w:rsid w:val="001C3B5F"/>
    <w:rsid w:val="001D058F"/>
    <w:rsid w:val="001D5C9F"/>
    <w:rsid w:val="001E39C7"/>
    <w:rsid w:val="001F6699"/>
    <w:rsid w:val="002009EA"/>
    <w:rsid w:val="00200E52"/>
    <w:rsid w:val="002018A0"/>
    <w:rsid w:val="00202C25"/>
    <w:rsid w:val="00202CA0"/>
    <w:rsid w:val="002043A4"/>
    <w:rsid w:val="002154A6"/>
    <w:rsid w:val="002162CD"/>
    <w:rsid w:val="002255B3"/>
    <w:rsid w:val="00236E8A"/>
    <w:rsid w:val="0024760A"/>
    <w:rsid w:val="0025092F"/>
    <w:rsid w:val="00252ACF"/>
    <w:rsid w:val="00254EBC"/>
    <w:rsid w:val="00264058"/>
    <w:rsid w:val="00265327"/>
    <w:rsid w:val="00270CCF"/>
    <w:rsid w:val="00271316"/>
    <w:rsid w:val="00286206"/>
    <w:rsid w:val="00286B79"/>
    <w:rsid w:val="00296313"/>
    <w:rsid w:val="002A115B"/>
    <w:rsid w:val="002A2DA6"/>
    <w:rsid w:val="002A7BA7"/>
    <w:rsid w:val="002B6EB9"/>
    <w:rsid w:val="002B72E1"/>
    <w:rsid w:val="002D0DDA"/>
    <w:rsid w:val="002D58BE"/>
    <w:rsid w:val="002D7230"/>
    <w:rsid w:val="002F1D46"/>
    <w:rsid w:val="002F2C1E"/>
    <w:rsid w:val="003013EE"/>
    <w:rsid w:val="003062D0"/>
    <w:rsid w:val="003106DB"/>
    <w:rsid w:val="00312806"/>
    <w:rsid w:val="00314796"/>
    <w:rsid w:val="003251B7"/>
    <w:rsid w:val="00334552"/>
    <w:rsid w:val="00337116"/>
    <w:rsid w:val="00342E5A"/>
    <w:rsid w:val="00350E4B"/>
    <w:rsid w:val="00366822"/>
    <w:rsid w:val="0037298E"/>
    <w:rsid w:val="00373905"/>
    <w:rsid w:val="003770B5"/>
    <w:rsid w:val="00377BD3"/>
    <w:rsid w:val="00384088"/>
    <w:rsid w:val="0038489B"/>
    <w:rsid w:val="00384A91"/>
    <w:rsid w:val="003850A3"/>
    <w:rsid w:val="0039169B"/>
    <w:rsid w:val="003A7F8C"/>
    <w:rsid w:val="003B208E"/>
    <w:rsid w:val="003B532E"/>
    <w:rsid w:val="003B6F14"/>
    <w:rsid w:val="003C75B4"/>
    <w:rsid w:val="003D0F8B"/>
    <w:rsid w:val="003E0833"/>
    <w:rsid w:val="003E3B50"/>
    <w:rsid w:val="003E5412"/>
    <w:rsid w:val="003F63ED"/>
    <w:rsid w:val="00403531"/>
    <w:rsid w:val="00404CA8"/>
    <w:rsid w:val="004131D4"/>
    <w:rsid w:val="0041348E"/>
    <w:rsid w:val="00415FF6"/>
    <w:rsid w:val="00431D09"/>
    <w:rsid w:val="00446777"/>
    <w:rsid w:val="00447308"/>
    <w:rsid w:val="004615C3"/>
    <w:rsid w:val="00467B42"/>
    <w:rsid w:val="004704B6"/>
    <w:rsid w:val="004709A9"/>
    <w:rsid w:val="004765FF"/>
    <w:rsid w:val="004836B1"/>
    <w:rsid w:val="00484D89"/>
    <w:rsid w:val="00492075"/>
    <w:rsid w:val="004969AD"/>
    <w:rsid w:val="00496EE8"/>
    <w:rsid w:val="004A0616"/>
    <w:rsid w:val="004A52EF"/>
    <w:rsid w:val="004B13CB"/>
    <w:rsid w:val="004B4FDF"/>
    <w:rsid w:val="004B7FA1"/>
    <w:rsid w:val="004D5D5C"/>
    <w:rsid w:val="004D6664"/>
    <w:rsid w:val="004D6AC2"/>
    <w:rsid w:val="004E293E"/>
    <w:rsid w:val="0050139F"/>
    <w:rsid w:val="0050256C"/>
    <w:rsid w:val="005035A9"/>
    <w:rsid w:val="0050681F"/>
    <w:rsid w:val="00510D09"/>
    <w:rsid w:val="0051672F"/>
    <w:rsid w:val="00520062"/>
    <w:rsid w:val="00521223"/>
    <w:rsid w:val="00524DF1"/>
    <w:rsid w:val="00525695"/>
    <w:rsid w:val="0053211F"/>
    <w:rsid w:val="0055140B"/>
    <w:rsid w:val="00554C4F"/>
    <w:rsid w:val="00561D72"/>
    <w:rsid w:val="005645C0"/>
    <w:rsid w:val="00570373"/>
    <w:rsid w:val="005775D5"/>
    <w:rsid w:val="00586B99"/>
    <w:rsid w:val="0059142E"/>
    <w:rsid w:val="005964AB"/>
    <w:rsid w:val="00596E2D"/>
    <w:rsid w:val="005A5868"/>
    <w:rsid w:val="005B3378"/>
    <w:rsid w:val="005B44F5"/>
    <w:rsid w:val="005B48B1"/>
    <w:rsid w:val="005B557C"/>
    <w:rsid w:val="005C099A"/>
    <w:rsid w:val="005C2A61"/>
    <w:rsid w:val="005C31A5"/>
    <w:rsid w:val="005E1050"/>
    <w:rsid w:val="005E10C9"/>
    <w:rsid w:val="005E615D"/>
    <w:rsid w:val="005E61DD"/>
    <w:rsid w:val="005E6321"/>
    <w:rsid w:val="005F5B21"/>
    <w:rsid w:val="00600AA8"/>
    <w:rsid w:val="006023DF"/>
    <w:rsid w:val="00606108"/>
    <w:rsid w:val="00611DC0"/>
    <w:rsid w:val="0061515C"/>
    <w:rsid w:val="00617705"/>
    <w:rsid w:val="006314C5"/>
    <w:rsid w:val="00632EC6"/>
    <w:rsid w:val="00634FB6"/>
    <w:rsid w:val="0064322F"/>
    <w:rsid w:val="0064734F"/>
    <w:rsid w:val="00655D96"/>
    <w:rsid w:val="0065771F"/>
    <w:rsid w:val="00657DE0"/>
    <w:rsid w:val="006607CB"/>
    <w:rsid w:val="00664CC1"/>
    <w:rsid w:val="0067199F"/>
    <w:rsid w:val="00685313"/>
    <w:rsid w:val="00694008"/>
    <w:rsid w:val="006A14D6"/>
    <w:rsid w:val="006A6E9B"/>
    <w:rsid w:val="006A7B0C"/>
    <w:rsid w:val="006B7C2A"/>
    <w:rsid w:val="006C047B"/>
    <w:rsid w:val="006C23DA"/>
    <w:rsid w:val="006D79B9"/>
    <w:rsid w:val="006E3D45"/>
    <w:rsid w:val="006F625F"/>
    <w:rsid w:val="007119F6"/>
    <w:rsid w:val="007149F9"/>
    <w:rsid w:val="00722025"/>
    <w:rsid w:val="00733A30"/>
    <w:rsid w:val="0073506C"/>
    <w:rsid w:val="007410E8"/>
    <w:rsid w:val="00742E0F"/>
    <w:rsid w:val="00745AEE"/>
    <w:rsid w:val="007479EA"/>
    <w:rsid w:val="007508EA"/>
    <w:rsid w:val="00750F10"/>
    <w:rsid w:val="00761EB7"/>
    <w:rsid w:val="00762F99"/>
    <w:rsid w:val="007742CA"/>
    <w:rsid w:val="00777214"/>
    <w:rsid w:val="00790751"/>
    <w:rsid w:val="00797DE0"/>
    <w:rsid w:val="007B547B"/>
    <w:rsid w:val="007B75E4"/>
    <w:rsid w:val="007C55FA"/>
    <w:rsid w:val="007D06F0"/>
    <w:rsid w:val="007D45E3"/>
    <w:rsid w:val="007D5320"/>
    <w:rsid w:val="007E106F"/>
    <w:rsid w:val="007F735C"/>
    <w:rsid w:val="00800972"/>
    <w:rsid w:val="00800CFA"/>
    <w:rsid w:val="00803DD5"/>
    <w:rsid w:val="00804475"/>
    <w:rsid w:val="00805622"/>
    <w:rsid w:val="00811633"/>
    <w:rsid w:val="00817053"/>
    <w:rsid w:val="00821A00"/>
    <w:rsid w:val="00821CEF"/>
    <w:rsid w:val="008246D3"/>
    <w:rsid w:val="00832828"/>
    <w:rsid w:val="0083292F"/>
    <w:rsid w:val="00833FC6"/>
    <w:rsid w:val="0083645A"/>
    <w:rsid w:val="00840B0F"/>
    <w:rsid w:val="00842B0C"/>
    <w:rsid w:val="00844064"/>
    <w:rsid w:val="0084705B"/>
    <w:rsid w:val="0086376E"/>
    <w:rsid w:val="0086405C"/>
    <w:rsid w:val="008711AE"/>
    <w:rsid w:val="00872FC8"/>
    <w:rsid w:val="008801D3"/>
    <w:rsid w:val="008845D0"/>
    <w:rsid w:val="00884BEA"/>
    <w:rsid w:val="00895F2E"/>
    <w:rsid w:val="008B2B27"/>
    <w:rsid w:val="008B43F2"/>
    <w:rsid w:val="008B61EA"/>
    <w:rsid w:val="008B6CFF"/>
    <w:rsid w:val="008C03B7"/>
    <w:rsid w:val="008C3161"/>
    <w:rsid w:val="008E1BB1"/>
    <w:rsid w:val="008E4BD6"/>
    <w:rsid w:val="008E5FE9"/>
    <w:rsid w:val="00910B26"/>
    <w:rsid w:val="00920314"/>
    <w:rsid w:val="00925BBB"/>
    <w:rsid w:val="00927126"/>
    <w:rsid w:val="009274B4"/>
    <w:rsid w:val="00930B26"/>
    <w:rsid w:val="00934EA2"/>
    <w:rsid w:val="00942F1E"/>
    <w:rsid w:val="00943529"/>
    <w:rsid w:val="00944A5C"/>
    <w:rsid w:val="00952A66"/>
    <w:rsid w:val="009B6F99"/>
    <w:rsid w:val="009C56E5"/>
    <w:rsid w:val="009D6751"/>
    <w:rsid w:val="009E5FC8"/>
    <w:rsid w:val="009E687A"/>
    <w:rsid w:val="009F5AA6"/>
    <w:rsid w:val="00A03C5C"/>
    <w:rsid w:val="00A066F1"/>
    <w:rsid w:val="00A07288"/>
    <w:rsid w:val="00A112A3"/>
    <w:rsid w:val="00A141AF"/>
    <w:rsid w:val="00A16D29"/>
    <w:rsid w:val="00A17718"/>
    <w:rsid w:val="00A20E5E"/>
    <w:rsid w:val="00A30305"/>
    <w:rsid w:val="00A31D2D"/>
    <w:rsid w:val="00A333FB"/>
    <w:rsid w:val="00A414AC"/>
    <w:rsid w:val="00A4352F"/>
    <w:rsid w:val="00A4600A"/>
    <w:rsid w:val="00A46FA4"/>
    <w:rsid w:val="00A538A6"/>
    <w:rsid w:val="00A54C25"/>
    <w:rsid w:val="00A710E7"/>
    <w:rsid w:val="00A7372E"/>
    <w:rsid w:val="00A80C41"/>
    <w:rsid w:val="00A83812"/>
    <w:rsid w:val="00A93B85"/>
    <w:rsid w:val="00A963E9"/>
    <w:rsid w:val="00AA0B18"/>
    <w:rsid w:val="00AA0CFF"/>
    <w:rsid w:val="00AA285F"/>
    <w:rsid w:val="00AA31CC"/>
    <w:rsid w:val="00AA666F"/>
    <w:rsid w:val="00AB34C2"/>
    <w:rsid w:val="00AB4927"/>
    <w:rsid w:val="00AB5197"/>
    <w:rsid w:val="00AC2B47"/>
    <w:rsid w:val="00AC6338"/>
    <w:rsid w:val="00AE7C15"/>
    <w:rsid w:val="00AF2A83"/>
    <w:rsid w:val="00B004E5"/>
    <w:rsid w:val="00B030F4"/>
    <w:rsid w:val="00B15F9D"/>
    <w:rsid w:val="00B24B13"/>
    <w:rsid w:val="00B328B4"/>
    <w:rsid w:val="00B331EB"/>
    <w:rsid w:val="00B33D0F"/>
    <w:rsid w:val="00B3401B"/>
    <w:rsid w:val="00B35060"/>
    <w:rsid w:val="00B43E80"/>
    <w:rsid w:val="00B46612"/>
    <w:rsid w:val="00B50F38"/>
    <w:rsid w:val="00B574E0"/>
    <w:rsid w:val="00B639E9"/>
    <w:rsid w:val="00B773F6"/>
    <w:rsid w:val="00B80A58"/>
    <w:rsid w:val="00B817CD"/>
    <w:rsid w:val="00B82A52"/>
    <w:rsid w:val="00B87957"/>
    <w:rsid w:val="00B9099B"/>
    <w:rsid w:val="00B911B2"/>
    <w:rsid w:val="00B951D0"/>
    <w:rsid w:val="00BA00AF"/>
    <w:rsid w:val="00BA70B7"/>
    <w:rsid w:val="00BB29C8"/>
    <w:rsid w:val="00BB3A95"/>
    <w:rsid w:val="00BB66B3"/>
    <w:rsid w:val="00BC0382"/>
    <w:rsid w:val="00BC7C9F"/>
    <w:rsid w:val="00BD593F"/>
    <w:rsid w:val="00C0018F"/>
    <w:rsid w:val="00C00C3A"/>
    <w:rsid w:val="00C02E6A"/>
    <w:rsid w:val="00C03152"/>
    <w:rsid w:val="00C1555F"/>
    <w:rsid w:val="00C16AD6"/>
    <w:rsid w:val="00C20466"/>
    <w:rsid w:val="00C204FE"/>
    <w:rsid w:val="00C214ED"/>
    <w:rsid w:val="00C224CF"/>
    <w:rsid w:val="00C234E6"/>
    <w:rsid w:val="00C32048"/>
    <w:rsid w:val="00C324A8"/>
    <w:rsid w:val="00C37B57"/>
    <w:rsid w:val="00C51D6D"/>
    <w:rsid w:val="00C54517"/>
    <w:rsid w:val="00C64CD8"/>
    <w:rsid w:val="00C72C78"/>
    <w:rsid w:val="00C730B9"/>
    <w:rsid w:val="00C95D2D"/>
    <w:rsid w:val="00C97C68"/>
    <w:rsid w:val="00CA1A47"/>
    <w:rsid w:val="00CA72E4"/>
    <w:rsid w:val="00CB253A"/>
    <w:rsid w:val="00CB2BB6"/>
    <w:rsid w:val="00CC1950"/>
    <w:rsid w:val="00CC247A"/>
    <w:rsid w:val="00CC6928"/>
    <w:rsid w:val="00CD2E45"/>
    <w:rsid w:val="00CD33B9"/>
    <w:rsid w:val="00CD7A71"/>
    <w:rsid w:val="00CE5E47"/>
    <w:rsid w:val="00CE6DC2"/>
    <w:rsid w:val="00CF020F"/>
    <w:rsid w:val="00CF07E7"/>
    <w:rsid w:val="00CF2B5B"/>
    <w:rsid w:val="00CF567E"/>
    <w:rsid w:val="00D00AEF"/>
    <w:rsid w:val="00D04820"/>
    <w:rsid w:val="00D10B6B"/>
    <w:rsid w:val="00D14CE0"/>
    <w:rsid w:val="00D23173"/>
    <w:rsid w:val="00D36333"/>
    <w:rsid w:val="00D51DB5"/>
    <w:rsid w:val="00D5651D"/>
    <w:rsid w:val="00D61C5B"/>
    <w:rsid w:val="00D61FA0"/>
    <w:rsid w:val="00D633D9"/>
    <w:rsid w:val="00D70CE0"/>
    <w:rsid w:val="00D74898"/>
    <w:rsid w:val="00D75C51"/>
    <w:rsid w:val="00D801ED"/>
    <w:rsid w:val="00D83BF5"/>
    <w:rsid w:val="00D85263"/>
    <w:rsid w:val="00D925C2"/>
    <w:rsid w:val="00D936BC"/>
    <w:rsid w:val="00D93A68"/>
    <w:rsid w:val="00D9621A"/>
    <w:rsid w:val="00D96530"/>
    <w:rsid w:val="00D96B4B"/>
    <w:rsid w:val="00DA069A"/>
    <w:rsid w:val="00DA2345"/>
    <w:rsid w:val="00DA453A"/>
    <w:rsid w:val="00DA7078"/>
    <w:rsid w:val="00DB3517"/>
    <w:rsid w:val="00DB4BB8"/>
    <w:rsid w:val="00DD08B4"/>
    <w:rsid w:val="00DD44AF"/>
    <w:rsid w:val="00DE2AC3"/>
    <w:rsid w:val="00DE434C"/>
    <w:rsid w:val="00DE5692"/>
    <w:rsid w:val="00DE6F17"/>
    <w:rsid w:val="00DF2432"/>
    <w:rsid w:val="00DF6F8E"/>
    <w:rsid w:val="00E03C94"/>
    <w:rsid w:val="00E03FE5"/>
    <w:rsid w:val="00E04687"/>
    <w:rsid w:val="00E07105"/>
    <w:rsid w:val="00E14F56"/>
    <w:rsid w:val="00E241AA"/>
    <w:rsid w:val="00E245CC"/>
    <w:rsid w:val="00E26226"/>
    <w:rsid w:val="00E277CA"/>
    <w:rsid w:val="00E27EF0"/>
    <w:rsid w:val="00E3072C"/>
    <w:rsid w:val="00E4165C"/>
    <w:rsid w:val="00E45D05"/>
    <w:rsid w:val="00E50144"/>
    <w:rsid w:val="00E55816"/>
    <w:rsid w:val="00E55AEF"/>
    <w:rsid w:val="00E57F07"/>
    <w:rsid w:val="00E6012B"/>
    <w:rsid w:val="00E60883"/>
    <w:rsid w:val="00E67378"/>
    <w:rsid w:val="00E75EB4"/>
    <w:rsid w:val="00E8196D"/>
    <w:rsid w:val="00E83822"/>
    <w:rsid w:val="00E866B5"/>
    <w:rsid w:val="00E870E0"/>
    <w:rsid w:val="00E90C26"/>
    <w:rsid w:val="00E915AA"/>
    <w:rsid w:val="00E976C1"/>
    <w:rsid w:val="00EA12E5"/>
    <w:rsid w:val="00EB6044"/>
    <w:rsid w:val="00EB6E2E"/>
    <w:rsid w:val="00EC0809"/>
    <w:rsid w:val="00EC3792"/>
    <w:rsid w:val="00EE009C"/>
    <w:rsid w:val="00EE1920"/>
    <w:rsid w:val="00F02766"/>
    <w:rsid w:val="00F04067"/>
    <w:rsid w:val="00F05BD4"/>
    <w:rsid w:val="00F11A98"/>
    <w:rsid w:val="00F147D4"/>
    <w:rsid w:val="00F21A1D"/>
    <w:rsid w:val="00F21A7C"/>
    <w:rsid w:val="00F32415"/>
    <w:rsid w:val="00F65B22"/>
    <w:rsid w:val="00F65C19"/>
    <w:rsid w:val="00F84CC6"/>
    <w:rsid w:val="00F96044"/>
    <w:rsid w:val="00FA16F2"/>
    <w:rsid w:val="00FA4F39"/>
    <w:rsid w:val="00FC40E4"/>
    <w:rsid w:val="00FD2546"/>
    <w:rsid w:val="00FD7283"/>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3FA87FC"/>
  <w15:docId w15:val="{446CD220-9B44-4B45-8DDF-8B8AF1C0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EF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1"/>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E27EF0"/>
    <w:pPr>
      <w:tabs>
        <w:tab w:val="left" w:pos="2608"/>
        <w:tab w:val="left" w:pos="3345"/>
      </w:tabs>
      <w:spacing w:before="80"/>
      <w:ind w:left="794" w:hanging="794"/>
    </w:pPr>
  </w:style>
  <w:style w:type="paragraph" w:customStyle="1" w:styleId="enumlev2">
    <w:name w:val="enumlev2"/>
    <w:basedOn w:val="enumlev1"/>
    <w:rsid w:val="00E27EF0"/>
    <w:pPr>
      <w:ind w:left="153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DNV-,DNV-F Char,DNV-FT,ALTS FOOTNOT,Schriftart: 9 pt,Footnote Text Char1"/>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DNV-F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077EA6"/>
    <w:rPr>
      <w:color w:val="800080" w:themeColor="followedHyperlink"/>
      <w:u w:val="single"/>
    </w:rPr>
  </w:style>
  <w:style w:type="character" w:customStyle="1" w:styleId="ListParagraphChar">
    <w:name w:val="List Paragraph Char"/>
    <w:basedOn w:val="DefaultParagraphFont"/>
    <w:link w:val="ListParagraph"/>
    <w:uiPriority w:val="34"/>
    <w:rsid w:val="003B208E"/>
    <w:rPr>
      <w:rFonts w:asciiTheme="minorHAnsi" w:hAnsiTheme="minorHAnsi"/>
      <w:sz w:val="24"/>
      <w:lang w:val="en-GB" w:eastAsia="en-US"/>
    </w:rPr>
  </w:style>
  <w:style w:type="character" w:customStyle="1" w:styleId="enumlev1Char">
    <w:name w:val="enumlev1 Char"/>
    <w:basedOn w:val="DefaultParagraphFont"/>
    <w:link w:val="enumlev1"/>
    <w:locked/>
    <w:rsid w:val="00762F99"/>
    <w:rPr>
      <w:rFonts w:asciiTheme="minorHAnsi" w:hAnsiTheme="minorHAnsi"/>
      <w:sz w:val="24"/>
      <w:lang w:val="en-GB" w:eastAsia="en-US"/>
    </w:rPr>
  </w:style>
  <w:style w:type="character" w:customStyle="1" w:styleId="AnnextitleChar1">
    <w:name w:val="Annex_title Char1"/>
    <w:basedOn w:val="DefaultParagraphFont"/>
    <w:link w:val="Annextitle"/>
    <w:locked/>
    <w:rsid w:val="00762F99"/>
    <w:rPr>
      <w:rFonts w:asciiTheme="minorHAnsi" w:hAnsiTheme="minorHAnsi"/>
      <w:b/>
      <w:sz w:val="28"/>
      <w:lang w:val="en-GB" w:eastAsia="en-US"/>
    </w:rPr>
  </w:style>
  <w:style w:type="character" w:customStyle="1" w:styleId="CallChar">
    <w:name w:val="Call Char"/>
    <w:link w:val="Call"/>
    <w:locked/>
    <w:rsid w:val="00762F99"/>
    <w:rPr>
      <w:rFonts w:asciiTheme="minorHAnsi" w:hAnsiTheme="minorHAnsi"/>
      <w:i/>
      <w:sz w:val="24"/>
      <w:lang w:val="en-GB" w:eastAsia="en-US"/>
    </w:rPr>
  </w:style>
  <w:style w:type="character" w:customStyle="1" w:styleId="TabletextChar">
    <w:name w:val="Table_text Char"/>
    <w:basedOn w:val="DefaultParagraphFont"/>
    <w:link w:val="Tabletext"/>
    <w:uiPriority w:val="99"/>
    <w:locked/>
    <w:rsid w:val="00762F99"/>
    <w:rPr>
      <w:rFonts w:asciiTheme="minorHAnsi" w:hAnsiTheme="minorHAnsi"/>
      <w:lang w:val="en-GB" w:eastAsia="en-US"/>
    </w:rPr>
  </w:style>
  <w:style w:type="character" w:customStyle="1" w:styleId="HeadingbChar">
    <w:name w:val="Heading_b Char"/>
    <w:basedOn w:val="DefaultParagraphFont"/>
    <w:link w:val="Headingb"/>
    <w:locked/>
    <w:rsid w:val="00762F99"/>
    <w:rPr>
      <w:rFonts w:asciiTheme="minorHAnsi" w:hAnsiTheme="minorHAnsi" w:cs="Times New Roman Bold"/>
      <w:b/>
      <w:sz w:val="24"/>
      <w:lang w:val="fr-CH" w:eastAsia="en-US"/>
    </w:rPr>
  </w:style>
  <w:style w:type="character" w:customStyle="1" w:styleId="RestitleChar">
    <w:name w:val="Res_title Char"/>
    <w:link w:val="Restitle"/>
    <w:locked/>
    <w:rsid w:val="00762F99"/>
    <w:rPr>
      <w:rFonts w:asciiTheme="minorHAnsi" w:hAnsiTheme="minorHAnsi"/>
      <w:b/>
      <w:sz w:val="28"/>
      <w:lang w:val="en-GB" w:eastAsia="en-US"/>
    </w:rPr>
  </w:style>
  <w:style w:type="paragraph" w:customStyle="1" w:styleId="TableText0">
    <w:name w:val="Table_Text"/>
    <w:basedOn w:val="Normal"/>
    <w:uiPriority w:val="99"/>
    <w:rsid w:val="00762F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textAlignment w:val="auto"/>
    </w:pPr>
    <w:rPr>
      <w:rFonts w:ascii="Times New Roman" w:hAnsi="Times New Roman"/>
      <w:sz w:val="22"/>
    </w:rPr>
  </w:style>
  <w:style w:type="character" w:customStyle="1" w:styleId="Heading1Char">
    <w:name w:val="Heading 1 Char"/>
    <w:basedOn w:val="DefaultParagraphFont"/>
    <w:link w:val="Heading1"/>
    <w:rsid w:val="00CC1950"/>
    <w:rPr>
      <w:rFonts w:asciiTheme="minorHAnsi" w:hAnsiTheme="minorHAnsi"/>
      <w:b/>
      <w:sz w:val="28"/>
      <w:lang w:val="en-GB" w:eastAsia="en-US"/>
    </w:rPr>
  </w:style>
  <w:style w:type="table" w:styleId="TableGrid">
    <w:name w:val="Table Grid"/>
    <w:basedOn w:val="TableNormal"/>
    <w:rsid w:val="00617705"/>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sNoChar">
    <w:name w:val="Res_No Char"/>
    <w:link w:val="ResNo"/>
    <w:rsid w:val="00B35060"/>
    <w:rPr>
      <w:rFonts w:asciiTheme="minorHAnsi" w:hAnsiTheme="minorHAnsi"/>
      <w:caps/>
      <w:sz w:val="28"/>
      <w:lang w:val="en-GB" w:eastAsia="en-US"/>
    </w:rPr>
  </w:style>
  <w:style w:type="character" w:styleId="CommentReference">
    <w:name w:val="annotation reference"/>
    <w:basedOn w:val="DefaultParagraphFont"/>
    <w:semiHidden/>
    <w:unhideWhenUsed/>
    <w:rsid w:val="00E75EB4"/>
    <w:rPr>
      <w:sz w:val="16"/>
      <w:szCs w:val="16"/>
    </w:rPr>
  </w:style>
  <w:style w:type="paragraph" w:styleId="CommentText">
    <w:name w:val="annotation text"/>
    <w:basedOn w:val="Normal"/>
    <w:link w:val="CommentTextChar"/>
    <w:uiPriority w:val="99"/>
    <w:unhideWhenUsed/>
    <w:rsid w:val="00E75EB4"/>
    <w:rPr>
      <w:sz w:val="20"/>
    </w:rPr>
  </w:style>
  <w:style w:type="character" w:customStyle="1" w:styleId="CommentTextChar">
    <w:name w:val="Comment Text Char"/>
    <w:basedOn w:val="DefaultParagraphFont"/>
    <w:link w:val="CommentText"/>
    <w:uiPriority w:val="99"/>
    <w:rsid w:val="00E75EB4"/>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E75EB4"/>
    <w:rPr>
      <w:b/>
      <w:bCs/>
    </w:rPr>
  </w:style>
  <w:style w:type="character" w:customStyle="1" w:styleId="CommentSubjectChar">
    <w:name w:val="Comment Subject Char"/>
    <w:basedOn w:val="CommentTextChar"/>
    <w:link w:val="CommentSubject"/>
    <w:semiHidden/>
    <w:rsid w:val="00E75EB4"/>
    <w:rPr>
      <w:rFonts w:asciiTheme="minorHAnsi" w:hAnsiTheme="minorHAnsi"/>
      <w:b/>
      <w:bCs/>
      <w:lang w:val="en-GB" w:eastAsia="en-US"/>
    </w:rPr>
  </w:style>
  <w:style w:type="paragraph" w:styleId="Revision">
    <w:name w:val="Revision"/>
    <w:hidden/>
    <w:uiPriority w:val="99"/>
    <w:semiHidden/>
    <w:rsid w:val="00E75EB4"/>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677174">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88903352">
      <w:bodyDiv w:val="1"/>
      <w:marLeft w:val="0"/>
      <w:marRight w:val="0"/>
      <w:marTop w:val="0"/>
      <w:marBottom w:val="0"/>
      <w:divBdr>
        <w:top w:val="none" w:sz="0" w:space="0" w:color="auto"/>
        <w:left w:val="none" w:sz="0" w:space="0" w:color="auto"/>
        <w:bottom w:val="none" w:sz="0" w:space="0" w:color="auto"/>
        <w:right w:val="none" w:sz="0" w:space="0" w:color="auto"/>
      </w:divBdr>
    </w:div>
    <w:div w:id="1098987120">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84942512">
      <w:bodyDiv w:val="1"/>
      <w:marLeft w:val="0"/>
      <w:marRight w:val="0"/>
      <w:marTop w:val="0"/>
      <w:marBottom w:val="0"/>
      <w:divBdr>
        <w:top w:val="none" w:sz="0" w:space="0" w:color="auto"/>
        <w:left w:val="none" w:sz="0" w:space="0" w:color="auto"/>
        <w:bottom w:val="none" w:sz="0" w:space="0" w:color="auto"/>
        <w:right w:val="none" w:sz="0" w:space="0" w:color="auto"/>
      </w:divBdr>
    </w:div>
    <w:div w:id="1721975276">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D14-RPMCIS-C-0044" TargetMode="External"/><Relationship Id="rId18" Type="http://schemas.openxmlformats.org/officeDocument/2006/relationships/hyperlink" Target="https://www.itu.int/md/D14-RPMCIS-C-0043" TargetMode="External"/><Relationship Id="rId26" Type="http://schemas.openxmlformats.org/officeDocument/2006/relationships/hyperlink" Target="https://www.itu.int/md/D14-RPMAMS-C-0019/en"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tu.int/md/D14-RPMarb-C-0010" TargetMode="External"/><Relationship Id="rId34" Type="http://schemas.openxmlformats.org/officeDocument/2006/relationships/hyperlink" Target="https://www.itu.int/md/D14-RPMeur-C-0038"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itu.int/md/D14-RPMCIS-C-0010" TargetMode="External"/><Relationship Id="rId17" Type="http://schemas.openxmlformats.org/officeDocument/2006/relationships/hyperlink" Target="https://www.itu.int/md/D14-RPMCIS-C-0029" TargetMode="External"/><Relationship Id="rId25" Type="http://schemas.openxmlformats.org/officeDocument/2006/relationships/hyperlink" Target="https://www.itu.int/md/D14-RPMAms-C-0041" TargetMode="External"/><Relationship Id="rId33" Type="http://schemas.openxmlformats.org/officeDocument/2006/relationships/hyperlink" Target="https://www.itu.int/md/D14-RPMeur-C-0010"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14-RPMCIS-C-0027" TargetMode="External"/><Relationship Id="rId20" Type="http://schemas.openxmlformats.org/officeDocument/2006/relationships/hyperlink" Target="https://www.itu.int/md/D14-RPMAFR-C-0025/en" TargetMode="External"/><Relationship Id="rId29" Type="http://schemas.openxmlformats.org/officeDocument/2006/relationships/hyperlink" Target="https://www.itu.int/md/D14-RPMASP-C-0013/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D14-RPMams-C-0010" TargetMode="External"/><Relationship Id="rId32" Type="http://schemas.openxmlformats.org/officeDocument/2006/relationships/hyperlink" Target="https://www.itu.int/md/D14-RPMASP-C-0033"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itu.int/md/D14-RPMCIS-C-0023" TargetMode="External"/><Relationship Id="rId23" Type="http://schemas.openxmlformats.org/officeDocument/2006/relationships/hyperlink" Target="https://www.itu.int/md/D14-RPMARB-C-0016/en" TargetMode="External"/><Relationship Id="rId28" Type="http://schemas.openxmlformats.org/officeDocument/2006/relationships/hyperlink" Target="https://www.itu.int/md/D14-RPMasp-C-0036" TargetMode="External"/><Relationship Id="rId36" Type="http://schemas.openxmlformats.org/officeDocument/2006/relationships/hyperlink" Target="https://www.itu.int/md/D14-RPMEUR-C-0033/" TargetMode="External"/><Relationship Id="rId10" Type="http://schemas.openxmlformats.org/officeDocument/2006/relationships/footnotes" Target="footnotes.xml"/><Relationship Id="rId19" Type="http://schemas.openxmlformats.org/officeDocument/2006/relationships/hyperlink" Target="https://www.itu.int/md/D14-RPMafr-C-0010" TargetMode="External"/><Relationship Id="rId31" Type="http://schemas.openxmlformats.org/officeDocument/2006/relationships/hyperlink" Target="https://www.itu.int/md/D14-RPMASP-C-003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RPMCIS-C-0028/en" TargetMode="External"/><Relationship Id="rId22" Type="http://schemas.openxmlformats.org/officeDocument/2006/relationships/hyperlink" Target="https://www.itu.int/md/D14-RPMArb-C-0046" TargetMode="External"/><Relationship Id="rId27" Type="http://schemas.openxmlformats.org/officeDocument/2006/relationships/hyperlink" Target="https://www.itu.int/md/D14-RPMasp-C-0010" TargetMode="External"/><Relationship Id="rId30" Type="http://schemas.openxmlformats.org/officeDocument/2006/relationships/hyperlink" Target="https://www.itu.int/md/D14-RPMASP-C-0029" TargetMode="External"/><Relationship Id="rId35" Type="http://schemas.openxmlformats.org/officeDocument/2006/relationships/hyperlink" Target="https://www.itu.int/md/D14-RPMEUR-C-0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32a1a8c5-2265-4ebc-b7a0-2071e2c5c9bb"/>
    <ds:schemaRef ds:uri="http://schemas.microsoft.com/office/2006/documentManagement/types"/>
    <ds:schemaRef ds:uri="http://purl.org/dc/terms/"/>
    <ds:schemaRef ds:uri="http://purl.org/dc/elements/1.1/"/>
    <ds:schemaRef ds:uri="http://schemas.microsoft.com/office/2006/metadata/properties"/>
    <ds:schemaRef ds:uri="996b2e75-67fd-4955-a3b0-5ab9934cb50b"/>
    <ds:schemaRef ds:uri="http://www.w3.org/XML/1998/namespace"/>
    <ds:schemaRef ds:uri="http://purl.org/dc/dcmitype/"/>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9DA2CE64-25C6-4CE6-9BF5-6D64A8098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2692</Words>
  <Characters>15752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18408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Spanish</cp:lastModifiedBy>
  <cp:revision>29</cp:revision>
  <cp:lastPrinted>2017-08-24T13:46:00Z</cp:lastPrinted>
  <dcterms:created xsi:type="dcterms:W3CDTF">2017-08-30T13:51:00Z</dcterms:created>
  <dcterms:modified xsi:type="dcterms:W3CDTF">2017-08-30T14:43:00Z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