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FA2AEB">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D42EE8">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147650</wp:posOffset>
                  </wp:positionH>
                  <wp:positionV relativeFrom="paragraph">
                    <wp:posOffset>-12065</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FA2AEB">
        <w:trPr>
          <w:cantSplit/>
        </w:trPr>
        <w:tc>
          <w:tcPr>
            <w:tcW w:w="6628" w:type="dxa"/>
            <w:gridSpan w:val="2"/>
            <w:tcBorders>
              <w:top w:val="single" w:sz="12" w:space="0" w:color="auto"/>
            </w:tcBorders>
          </w:tcPr>
          <w:p w:rsidR="00D42EE8" w:rsidRPr="00A94B33" w:rsidRDefault="00D42EE8" w:rsidP="00D42EE8">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D42EE8">
            <w:pPr>
              <w:spacing w:before="0"/>
              <w:rPr>
                <w:b/>
                <w:bCs/>
                <w:szCs w:val="24"/>
                <w:lang w:val="fr-CH"/>
              </w:rPr>
            </w:pPr>
          </w:p>
        </w:tc>
      </w:tr>
      <w:tr w:rsidR="00D42EE8" w:rsidRPr="005161E7" w:rsidTr="00FA2AEB">
        <w:trPr>
          <w:cantSplit/>
        </w:trPr>
        <w:tc>
          <w:tcPr>
            <w:tcW w:w="6628" w:type="dxa"/>
            <w:gridSpan w:val="2"/>
          </w:tcPr>
          <w:p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F328B4">
            <w:pPr>
              <w:spacing w:before="0"/>
              <w:rPr>
                <w:bCs/>
                <w:szCs w:val="24"/>
                <w:lang w:val="fr-CH"/>
              </w:rPr>
            </w:pPr>
            <w:r>
              <w:rPr>
                <w:rFonts w:ascii="Verdana" w:hAnsi="Verdana"/>
                <w:b/>
                <w:sz w:val="20"/>
              </w:rPr>
              <w:t>Document 9</w:t>
            </w:r>
            <w:r w:rsidR="00700D0A" w:rsidRPr="00841216">
              <w:rPr>
                <w:rFonts w:ascii="Verdana" w:hAnsi="Verdana"/>
                <w:b/>
                <w:sz w:val="20"/>
              </w:rPr>
              <w:t>-</w:t>
            </w:r>
            <w:r w:rsidRPr="00841216">
              <w:rPr>
                <w:rFonts w:ascii="Verdana" w:hAnsi="Verdana"/>
                <w:b/>
                <w:sz w:val="20"/>
              </w:rPr>
              <w:t>F</w:t>
            </w:r>
          </w:p>
        </w:tc>
      </w:tr>
      <w:tr w:rsidR="00D42EE8" w:rsidRPr="005161E7" w:rsidTr="00FA2AEB">
        <w:trPr>
          <w:cantSplit/>
        </w:trPr>
        <w:tc>
          <w:tcPr>
            <w:tcW w:w="6628" w:type="dxa"/>
            <w:gridSpan w:val="2"/>
          </w:tcPr>
          <w:p w:rsidR="00D42EE8" w:rsidRPr="00A94B33" w:rsidRDefault="00D42EE8" w:rsidP="00D42EE8">
            <w:pPr>
              <w:spacing w:before="0"/>
              <w:rPr>
                <w:b/>
                <w:bCs/>
                <w:smallCaps/>
                <w:szCs w:val="24"/>
                <w:lang w:val="fr-CH"/>
              </w:rPr>
            </w:pPr>
            <w:bookmarkStart w:id="3" w:name="ddate" w:colFirst="1" w:colLast="1"/>
            <w:bookmarkEnd w:id="2"/>
          </w:p>
        </w:tc>
        <w:tc>
          <w:tcPr>
            <w:tcW w:w="3260" w:type="dxa"/>
          </w:tcPr>
          <w:p w:rsidR="00D42EE8" w:rsidRPr="00D42EE8" w:rsidRDefault="00325FE5" w:rsidP="00325FE5">
            <w:pPr>
              <w:spacing w:before="0"/>
              <w:rPr>
                <w:bCs/>
                <w:szCs w:val="24"/>
                <w:lang w:val="fr-CH"/>
              </w:rPr>
            </w:pPr>
            <w:r>
              <w:rPr>
                <w:rFonts w:ascii="Verdana" w:hAnsi="Verdana"/>
                <w:b/>
                <w:sz w:val="20"/>
              </w:rPr>
              <w:t>12</w:t>
            </w:r>
            <w:r w:rsidR="00000B37" w:rsidRPr="00841216">
              <w:rPr>
                <w:rFonts w:ascii="Verdana" w:hAnsi="Verdana"/>
                <w:b/>
                <w:sz w:val="20"/>
              </w:rPr>
              <w:t xml:space="preserve"> </w:t>
            </w:r>
            <w:r>
              <w:rPr>
                <w:rFonts w:ascii="Verdana" w:hAnsi="Verdana"/>
                <w:b/>
                <w:sz w:val="20"/>
              </w:rPr>
              <w:t>juin</w:t>
            </w:r>
            <w:r w:rsidR="00000B37" w:rsidRPr="00841216">
              <w:rPr>
                <w:rFonts w:ascii="Verdana" w:hAnsi="Verdana"/>
                <w:b/>
                <w:sz w:val="20"/>
              </w:rPr>
              <w:t xml:space="preserve"> 2017</w:t>
            </w:r>
          </w:p>
        </w:tc>
      </w:tr>
      <w:tr w:rsidR="00D42EE8" w:rsidRPr="005161E7" w:rsidTr="00FA2AEB">
        <w:trPr>
          <w:cantSplit/>
        </w:trPr>
        <w:tc>
          <w:tcPr>
            <w:tcW w:w="6628" w:type="dxa"/>
            <w:gridSpan w:val="2"/>
          </w:tcPr>
          <w:p w:rsidR="00D42EE8" w:rsidRPr="00A94B33" w:rsidRDefault="00D42EE8" w:rsidP="00D42EE8">
            <w:pPr>
              <w:spacing w:before="0"/>
              <w:rPr>
                <w:b/>
                <w:bCs/>
                <w:smallCaps/>
                <w:szCs w:val="24"/>
                <w:lang w:val="fr-CH"/>
              </w:rPr>
            </w:pPr>
            <w:bookmarkStart w:id="4" w:name="dorlang" w:colFirst="1" w:colLast="1"/>
            <w:bookmarkEnd w:id="3"/>
          </w:p>
        </w:tc>
        <w:tc>
          <w:tcPr>
            <w:tcW w:w="3260" w:type="dxa"/>
          </w:tcPr>
          <w:p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Groupe consultatif pour le développement des télécommunications</w:t>
            </w:r>
          </w:p>
        </w:tc>
      </w:tr>
      <w:tr w:rsidR="00D42EE8" w:rsidRPr="005161E7" w:rsidTr="007934DB">
        <w:trPr>
          <w:cantSplit/>
        </w:trPr>
        <w:tc>
          <w:tcPr>
            <w:tcW w:w="9888" w:type="dxa"/>
            <w:gridSpan w:val="3"/>
          </w:tcPr>
          <w:p w:rsidR="00D42EE8" w:rsidRPr="00D42EE8" w:rsidRDefault="00325FE5" w:rsidP="00300AC8">
            <w:pPr>
              <w:pStyle w:val="Title1"/>
              <w:tabs>
                <w:tab w:val="clear" w:pos="567"/>
                <w:tab w:val="clear" w:pos="1701"/>
                <w:tab w:val="clear" w:pos="2835"/>
                <w:tab w:val="left" w:pos="1871"/>
              </w:tabs>
            </w:pPr>
            <w:bookmarkStart w:id="6" w:name="dtitle1" w:colFirst="1" w:colLast="1"/>
            <w:bookmarkEnd w:id="5"/>
            <w:r>
              <w:t>PROJET DE D</w:t>
            </w:r>
            <w:r>
              <w:rPr>
                <w:bCs/>
                <w:szCs w:val="28"/>
              </w:rPr>
              <w:t>é</w:t>
            </w:r>
            <w:r w:rsidRPr="00325FE5">
              <w:rPr>
                <w:lang w:val="fr-CH"/>
              </w:rPr>
              <w:t xml:space="preserve">CLARATION </w:t>
            </w:r>
            <w:r w:rsidRPr="001E0BD5">
              <w:rPr>
                <w:color w:val="000000"/>
              </w:rPr>
              <w:t>DE LA CMDT-17</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8016AF" w:rsidRPr="00FA2AEB">
        <w:tc>
          <w:tcPr>
            <w:tcW w:w="10031" w:type="dxa"/>
            <w:gridSpan w:val="3"/>
            <w:tcBorders>
              <w:top w:val="single" w:sz="4" w:space="0" w:color="auto"/>
              <w:left w:val="single" w:sz="4" w:space="0" w:color="auto"/>
              <w:bottom w:val="single" w:sz="4" w:space="0" w:color="auto"/>
              <w:right w:val="single" w:sz="4" w:space="0" w:color="auto"/>
            </w:tcBorders>
          </w:tcPr>
          <w:p w:rsidR="008016AF" w:rsidRPr="00FA2AEB" w:rsidRDefault="00E37D2E" w:rsidP="007631A4">
            <w:pPr>
              <w:rPr>
                <w:lang w:val="fr-CH"/>
              </w:rPr>
            </w:pPr>
            <w:r w:rsidRPr="00FA2AEB">
              <w:rPr>
                <w:rFonts w:ascii="Calibri" w:eastAsia="SimSun" w:hAnsi="Calibri" w:cs="Traditional Arabic"/>
                <w:b/>
                <w:bCs/>
                <w:szCs w:val="24"/>
                <w:lang w:val="fr-CH"/>
              </w:rPr>
              <w:t>Domaine prioritaire:</w:t>
            </w:r>
            <w:r w:rsidR="00325FE5" w:rsidRPr="00FA2AEB">
              <w:rPr>
                <w:rFonts w:ascii="Calibri" w:eastAsia="SimSun" w:hAnsi="Calibri" w:cs="Traditional Arabic"/>
                <w:b/>
                <w:bCs/>
                <w:szCs w:val="24"/>
                <w:lang w:val="fr-CH"/>
              </w:rPr>
              <w:tab/>
            </w:r>
            <w:r w:rsidR="002747B2" w:rsidRPr="00FA2AEB">
              <w:rPr>
                <w:rFonts w:ascii="Calibri" w:eastAsia="SimSun" w:hAnsi="Calibri" w:cs="Traditional Arabic"/>
                <w:szCs w:val="24"/>
                <w:lang w:val="fr-CH"/>
              </w:rPr>
              <w:t>-</w:t>
            </w:r>
            <w:r w:rsidR="002747B2" w:rsidRPr="00FA2AEB">
              <w:rPr>
                <w:rFonts w:ascii="Calibri" w:eastAsia="SimSun" w:hAnsi="Calibri" w:cs="Traditional Arabic"/>
                <w:b/>
                <w:bCs/>
                <w:szCs w:val="24"/>
                <w:lang w:val="fr-CH"/>
              </w:rPr>
              <w:tab/>
            </w:r>
            <w:r w:rsidR="00325FE5" w:rsidRPr="00FA2AEB">
              <w:rPr>
                <w:rFonts w:ascii="Calibri" w:eastAsia="SimSun" w:hAnsi="Calibri" w:cs="Traditional Arabic"/>
                <w:szCs w:val="24"/>
                <w:lang w:val="fr-CH"/>
              </w:rPr>
              <w:t>Déclaration</w:t>
            </w:r>
          </w:p>
          <w:p w:rsidR="008016AF" w:rsidRPr="00FA2AEB" w:rsidRDefault="00E37D2E" w:rsidP="007631A4">
            <w:pPr>
              <w:rPr>
                <w:lang w:val="fr-CH"/>
              </w:rPr>
            </w:pPr>
            <w:r w:rsidRPr="00FA2AEB">
              <w:rPr>
                <w:rFonts w:ascii="Calibri" w:eastAsia="SimSun" w:hAnsi="Calibri" w:cs="Traditional Arabic"/>
                <w:b/>
                <w:bCs/>
                <w:szCs w:val="24"/>
                <w:lang w:val="fr-CH"/>
              </w:rPr>
              <w:t>Résumé:</w:t>
            </w:r>
          </w:p>
          <w:p w:rsidR="00325FE5" w:rsidRPr="00FA2AEB" w:rsidRDefault="00FA2AEB" w:rsidP="007631A4">
            <w:pPr>
              <w:rPr>
                <w:szCs w:val="24"/>
                <w:lang w:val="fr-CH"/>
              </w:rPr>
            </w:pPr>
            <w:r>
              <w:rPr>
                <w:szCs w:val="24"/>
                <w:lang w:val="fr-CH"/>
              </w:rPr>
              <w:t>Le présent document contient le projet de Déclaration de la CMDT-17</w:t>
            </w:r>
            <w:r w:rsidR="00325FE5" w:rsidRPr="00FA2AEB">
              <w:rPr>
                <w:szCs w:val="24"/>
                <w:lang w:val="fr-CH"/>
              </w:rPr>
              <w:t>.</w:t>
            </w:r>
          </w:p>
          <w:p w:rsidR="00FA2AEB" w:rsidRPr="009E266C" w:rsidRDefault="00FA2AEB" w:rsidP="007631A4">
            <w:pPr>
              <w:rPr>
                <w:szCs w:val="24"/>
                <w:lang w:val="fr-CH"/>
              </w:rPr>
            </w:pPr>
            <w:r w:rsidRPr="00860333">
              <w:t xml:space="preserve">Ce </w:t>
            </w:r>
            <w:r>
              <w:t>projet</w:t>
            </w:r>
            <w:r w:rsidRPr="00860333">
              <w:t xml:space="preserve"> a été élaboré par le Groupe de travail par correspondance du GCDT sur le Plan stratégique</w:t>
            </w:r>
            <w:r>
              <w:t>,</w:t>
            </w:r>
            <w:r w:rsidRPr="00860333">
              <w:t xml:space="preserve"> le Plan opérationnel et la Déclaration (CG</w:t>
            </w:r>
            <w:r w:rsidRPr="00860333">
              <w:noBreakHyphen/>
              <w:t>SPOPD)</w:t>
            </w:r>
            <w:r w:rsidRPr="007D25E1">
              <w:t xml:space="preserve"> </w:t>
            </w:r>
            <w:r>
              <w:t>dans le but de faciliter les travaux de la Conférence mondiale de développement des télécommunications de 2017 (CMDT-17)</w:t>
            </w:r>
            <w:r w:rsidRPr="007D25E1">
              <w:rPr>
                <w:rFonts w:cs="Segoe UI"/>
                <w:color w:val="444444"/>
                <w:lang w:val="fr-CH"/>
              </w:rPr>
              <w:t>.</w:t>
            </w:r>
            <w:r w:rsidRPr="009E266C">
              <w:rPr>
                <w:szCs w:val="24"/>
                <w:lang w:val="fr-CH"/>
              </w:rPr>
              <w:t xml:space="preserve"> </w:t>
            </w:r>
          </w:p>
          <w:p w:rsidR="00FA2AEB" w:rsidRPr="009E266C" w:rsidRDefault="00FA2AEB" w:rsidP="007631A4">
            <w:pPr>
              <w:rPr>
                <w:szCs w:val="24"/>
                <w:lang w:val="fr-CH"/>
              </w:rPr>
            </w:pPr>
            <w:r w:rsidRPr="00AA04D2">
              <w:rPr>
                <w:szCs w:val="24"/>
                <w:lang w:val="fr-CH"/>
              </w:rPr>
              <w:t xml:space="preserve">Après </w:t>
            </w:r>
            <w:r w:rsidR="007631A4">
              <w:rPr>
                <w:szCs w:val="24"/>
                <w:lang w:val="fr-CH"/>
              </w:rPr>
              <w:t>avoir été approuvé par le GCDT</w:t>
            </w:r>
            <w:r w:rsidRPr="00AA04D2">
              <w:rPr>
                <w:szCs w:val="24"/>
                <w:lang w:val="fr-CH"/>
              </w:rPr>
              <w:t xml:space="preserve"> à </w:t>
            </w:r>
            <w:r w:rsidR="007631A4">
              <w:rPr>
                <w:szCs w:val="24"/>
                <w:lang w:val="fr-CH"/>
              </w:rPr>
              <w:t>sa</w:t>
            </w:r>
            <w:r w:rsidRPr="00AA04D2">
              <w:rPr>
                <w:szCs w:val="24"/>
                <w:lang w:val="fr-CH"/>
              </w:rPr>
              <w:t xml:space="preserve"> 16ème réunion, le document a été soumis</w:t>
            </w:r>
            <w:r w:rsidR="007631A4">
              <w:rPr>
                <w:szCs w:val="24"/>
                <w:lang w:val="fr-CH"/>
              </w:rPr>
              <w:t>,</w:t>
            </w:r>
            <w:r w:rsidRPr="00AA04D2">
              <w:rPr>
                <w:szCs w:val="24"/>
                <w:lang w:val="fr-CH"/>
              </w:rPr>
              <w:t xml:space="preserve"> en tant que contribution</w:t>
            </w:r>
            <w:r w:rsidR="007631A4">
              <w:rPr>
                <w:szCs w:val="24"/>
                <w:lang w:val="fr-CH"/>
              </w:rPr>
              <w:t>,</w:t>
            </w:r>
            <w:r w:rsidRPr="00AA04D2">
              <w:rPr>
                <w:szCs w:val="24"/>
                <w:lang w:val="fr-CH"/>
              </w:rPr>
              <w:t xml:space="preserve"> aux six Réunions préparatoires régionales (RPM) en vue de la Conférence mondiale de développement des télécommunications de 2017 (CMDT-17).</w:t>
            </w:r>
          </w:p>
          <w:p w:rsidR="00325FE5" w:rsidRPr="00FA2AEB" w:rsidRDefault="00FA2AEB" w:rsidP="007631A4">
            <w:pPr>
              <w:rPr>
                <w:szCs w:val="24"/>
                <w:lang w:val="fr-CH"/>
              </w:rPr>
            </w:pPr>
            <w:r w:rsidRPr="00472AB7">
              <w:rPr>
                <w:lang w:val="fr-CH"/>
              </w:rPr>
              <w:t>Comme convenu à la réunion du GCDT</w:t>
            </w:r>
            <w:r w:rsidR="007631A4">
              <w:rPr>
                <w:lang w:val="fr-CH"/>
              </w:rPr>
              <w:t xml:space="preserve"> de 2017</w:t>
            </w:r>
            <w:r w:rsidRPr="00472AB7">
              <w:rPr>
                <w:lang w:val="fr-CH"/>
              </w:rPr>
              <w:t xml:space="preserve"> (9-12 mai 2017), la proposition jointe en annexe est destinée à serv</w:t>
            </w:r>
            <w:r>
              <w:rPr>
                <w:lang w:val="fr-CH"/>
              </w:rPr>
              <w:t>i</w:t>
            </w:r>
            <w:r w:rsidRPr="00472AB7">
              <w:rPr>
                <w:lang w:val="fr-CH"/>
              </w:rPr>
              <w:t>r de référence</w:t>
            </w:r>
            <w:r>
              <w:rPr>
                <w:lang w:val="fr-CH"/>
              </w:rPr>
              <w:t xml:space="preserve"> pour les membres lorsqu’ils élaboreront leurs propositions aux travaux de la CMDT-17</w:t>
            </w:r>
            <w:r w:rsidR="00325FE5" w:rsidRPr="00FA2AEB">
              <w:rPr>
                <w:szCs w:val="24"/>
                <w:lang w:val="fr-CH"/>
              </w:rPr>
              <w:t>.</w:t>
            </w:r>
          </w:p>
          <w:p w:rsidR="008016AF" w:rsidRPr="007631A4" w:rsidRDefault="00E37D2E" w:rsidP="007631A4">
            <w:pPr>
              <w:rPr>
                <w:lang w:val="fr-CH"/>
              </w:rPr>
            </w:pPr>
            <w:r w:rsidRPr="007631A4">
              <w:rPr>
                <w:rFonts w:ascii="Calibri" w:eastAsia="SimSun" w:hAnsi="Calibri" w:cs="Traditional Arabic"/>
                <w:b/>
                <w:bCs/>
                <w:szCs w:val="24"/>
                <w:lang w:val="fr-CH"/>
              </w:rPr>
              <w:t>Résultats attendus:</w:t>
            </w:r>
          </w:p>
          <w:p w:rsidR="00325FE5" w:rsidRPr="00FA2AEB" w:rsidRDefault="00FA2AEB" w:rsidP="007631A4">
            <w:pPr>
              <w:rPr>
                <w:szCs w:val="24"/>
                <w:lang w:val="fr-CH"/>
              </w:rPr>
            </w:pPr>
            <w:r w:rsidRPr="00472AB7">
              <w:rPr>
                <w:lang w:val="fr-CH"/>
              </w:rPr>
              <w:t xml:space="preserve">La CMDT-17 est invitée à prendre note du présent document. Les membres sont invités à élaborer leurs propositions en vue de la CMDT-17 sur la base du </w:t>
            </w:r>
            <w:r>
              <w:rPr>
                <w:lang w:val="fr-CH"/>
              </w:rPr>
              <w:t>pré</w:t>
            </w:r>
            <w:r w:rsidRPr="00472AB7">
              <w:rPr>
                <w:lang w:val="fr-CH"/>
              </w:rPr>
              <w:t>sent document</w:t>
            </w:r>
            <w:r>
              <w:rPr>
                <w:lang w:val="fr-CH"/>
              </w:rPr>
              <w:t>, en utilisant l’</w:t>
            </w:r>
            <w:hyperlink r:id="rId12" w:history="1">
              <w:r>
                <w:rPr>
                  <w:rStyle w:val="Hyperlink"/>
                  <w:szCs w:val="24"/>
                  <w:lang w:val="fr-CH"/>
                </w:rPr>
                <w:t>Interface pour les propositions aux conférences</w:t>
              </w:r>
              <w:r w:rsidRPr="00472AB7">
                <w:rPr>
                  <w:rStyle w:val="Hyperlink"/>
                  <w:szCs w:val="24"/>
                  <w:lang w:val="fr-CH"/>
                </w:rPr>
                <w:t xml:space="preserve"> (CPI)</w:t>
              </w:r>
            </w:hyperlink>
            <w:r w:rsidR="00325FE5" w:rsidRPr="00FA2AEB">
              <w:rPr>
                <w:szCs w:val="24"/>
                <w:lang w:val="fr-CH"/>
              </w:rPr>
              <w:t>.</w:t>
            </w:r>
          </w:p>
          <w:p w:rsidR="008016AF" w:rsidRPr="007631A4" w:rsidRDefault="00E37D2E" w:rsidP="007631A4">
            <w:pPr>
              <w:rPr>
                <w:lang w:val="fr-CH"/>
              </w:rPr>
            </w:pPr>
            <w:proofErr w:type="gramStart"/>
            <w:r w:rsidRPr="007631A4">
              <w:rPr>
                <w:rFonts w:ascii="Calibri" w:eastAsia="SimSun" w:hAnsi="Calibri" w:cs="Traditional Arabic"/>
                <w:b/>
                <w:bCs/>
                <w:szCs w:val="24"/>
                <w:lang w:val="fr-CH"/>
              </w:rPr>
              <w:t>Références</w:t>
            </w:r>
            <w:proofErr w:type="gramEnd"/>
            <w:r w:rsidRPr="007631A4">
              <w:rPr>
                <w:rFonts w:ascii="Calibri" w:eastAsia="SimSun" w:hAnsi="Calibri" w:cs="Traditional Arabic"/>
                <w:b/>
                <w:bCs/>
                <w:szCs w:val="24"/>
                <w:lang w:val="fr-CH"/>
              </w:rPr>
              <w:t>:</w:t>
            </w:r>
          </w:p>
          <w:p w:rsidR="008016AF" w:rsidRPr="007631A4" w:rsidRDefault="00EB48FC" w:rsidP="007631A4">
            <w:pPr>
              <w:rPr>
                <w:szCs w:val="24"/>
                <w:lang w:val="fr-CH"/>
              </w:rPr>
            </w:pPr>
            <w:hyperlink r:id="rId13" w:history="1">
              <w:r w:rsidR="00325FE5" w:rsidRPr="007631A4">
                <w:rPr>
                  <w:rStyle w:val="Hyperlink"/>
                  <w:szCs w:val="24"/>
                  <w:lang w:val="fr-CH"/>
                </w:rPr>
                <w:t>RPM-AFR/9</w:t>
              </w:r>
            </w:hyperlink>
            <w:r w:rsidR="00325FE5" w:rsidRPr="007631A4">
              <w:rPr>
                <w:lang w:val="fr-CH"/>
              </w:rPr>
              <w:t xml:space="preserve">, </w:t>
            </w:r>
            <w:hyperlink r:id="rId14" w:history="1">
              <w:r w:rsidR="00325FE5" w:rsidRPr="007631A4">
                <w:rPr>
                  <w:rStyle w:val="Hyperlink"/>
                  <w:szCs w:val="24"/>
                  <w:lang w:val="fr-CH"/>
                </w:rPr>
                <w:t>RPM-AMS/9</w:t>
              </w:r>
            </w:hyperlink>
            <w:r w:rsidR="00325FE5" w:rsidRPr="007631A4">
              <w:rPr>
                <w:lang w:val="fr-CH"/>
              </w:rPr>
              <w:t xml:space="preserve">, </w:t>
            </w:r>
            <w:hyperlink r:id="rId15" w:history="1">
              <w:r w:rsidR="00325FE5" w:rsidRPr="007631A4">
                <w:rPr>
                  <w:rStyle w:val="Hyperlink"/>
                  <w:szCs w:val="24"/>
                  <w:lang w:val="fr-CH"/>
                </w:rPr>
                <w:t>RPM-ARB/9</w:t>
              </w:r>
            </w:hyperlink>
            <w:r w:rsidR="00325FE5" w:rsidRPr="007631A4">
              <w:rPr>
                <w:lang w:val="fr-CH"/>
              </w:rPr>
              <w:t xml:space="preserve">, </w:t>
            </w:r>
            <w:hyperlink r:id="rId16" w:history="1">
              <w:r w:rsidR="00325FE5" w:rsidRPr="007631A4">
                <w:rPr>
                  <w:rStyle w:val="Hyperlink"/>
                  <w:szCs w:val="24"/>
                  <w:lang w:val="fr-CH"/>
                </w:rPr>
                <w:t>RPM-ASP/9</w:t>
              </w:r>
            </w:hyperlink>
            <w:r w:rsidR="00325FE5" w:rsidRPr="007631A4">
              <w:rPr>
                <w:lang w:val="fr-CH"/>
              </w:rPr>
              <w:t xml:space="preserve">, </w:t>
            </w:r>
            <w:hyperlink r:id="rId17" w:history="1">
              <w:r w:rsidR="00325FE5" w:rsidRPr="007631A4">
                <w:rPr>
                  <w:rStyle w:val="Hyperlink"/>
                  <w:szCs w:val="24"/>
                  <w:lang w:val="fr-CH"/>
                </w:rPr>
                <w:t>RPM-CIS/9</w:t>
              </w:r>
            </w:hyperlink>
            <w:r w:rsidR="00325FE5" w:rsidRPr="007631A4">
              <w:rPr>
                <w:lang w:val="fr-CH"/>
              </w:rPr>
              <w:t xml:space="preserve">, </w:t>
            </w:r>
            <w:hyperlink r:id="rId18" w:history="1">
              <w:r w:rsidR="00325FE5" w:rsidRPr="007631A4">
                <w:rPr>
                  <w:rStyle w:val="Hyperlink"/>
                  <w:szCs w:val="24"/>
                  <w:lang w:val="fr-CH"/>
                </w:rPr>
                <w:t>RPM-EUR/9</w:t>
              </w:r>
            </w:hyperlink>
          </w:p>
        </w:tc>
      </w:tr>
    </w:tbl>
    <w:p w:rsidR="00E71FC7" w:rsidRPr="007631A4" w:rsidRDefault="00E71FC7" w:rsidP="0076554A">
      <w:pPr>
        <w:rPr>
          <w:lang w:val="fr-CH"/>
        </w:rPr>
      </w:pPr>
      <w:bookmarkStart w:id="7" w:name="dbreak"/>
      <w:bookmarkEnd w:id="6"/>
      <w:bookmarkEnd w:id="7"/>
    </w:p>
    <w:p w:rsidR="00E71FC7" w:rsidRPr="007631A4"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7631A4">
        <w:rPr>
          <w:lang w:val="fr-CH"/>
        </w:rPr>
        <w:br w:type="page"/>
      </w:r>
    </w:p>
    <w:p w:rsidR="00013358" w:rsidRPr="00FA2AEB" w:rsidRDefault="00325FE5" w:rsidP="00325FE5">
      <w:pPr>
        <w:pStyle w:val="Volumetitle"/>
        <w:rPr>
          <w:lang w:val="fr-CH"/>
        </w:rPr>
      </w:pPr>
      <w:r w:rsidRPr="00FA2AEB">
        <w:rPr>
          <w:lang w:val="fr-CH"/>
        </w:rPr>
        <w:lastRenderedPageBreak/>
        <w:t>DÉCLARATION</w:t>
      </w:r>
    </w:p>
    <w:p w:rsidR="009A3A02" w:rsidRPr="008129C7" w:rsidRDefault="00E37D2E" w:rsidP="006E60B4">
      <w:pPr>
        <w:pStyle w:val="DeclNo"/>
      </w:pPr>
      <w:r>
        <w:t>avant-</w:t>
      </w:r>
      <w:r w:rsidRPr="008129C7">
        <w:t xml:space="preserve">Projet de </w:t>
      </w:r>
      <w:r w:rsidRPr="006E60B4">
        <w:t>Déclaration</w:t>
      </w:r>
      <w:r w:rsidRPr="008129C7">
        <w:t xml:space="preserve"> de la CMDT-17</w:t>
      </w:r>
    </w:p>
    <w:p w:rsidR="009A3A02" w:rsidRDefault="00E37D2E" w:rsidP="009F4294">
      <w:pPr>
        <w:pStyle w:val="Normalaftertitle"/>
        <w:rPr>
          <w:lang w:val="fr-CH"/>
        </w:rPr>
      </w:pPr>
      <w:r w:rsidRPr="00D9529C">
        <w:rPr>
          <w:lang w:val="fr-CH"/>
        </w:rPr>
        <w:t xml:space="preserve">La Conférence mondiale de développement des télécommunications </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Pr>
          <w:lang w:val="fr-CH"/>
        </w:rPr>
        <w:t>« </w:t>
      </w:r>
      <w:r w:rsidRPr="009A3A02">
        <w:rPr>
          <w:lang w:val="fr-CH"/>
        </w:rPr>
        <w:t>les TIC au service des objec</w:t>
      </w:r>
      <w:r>
        <w:rPr>
          <w:lang w:val="fr-CH"/>
        </w:rPr>
        <w:t>tifs de développement durable » (</w:t>
      </w:r>
      <w:r w:rsidRPr="009A3A02">
        <w:rPr>
          <w:lang w:val="fr-CH"/>
        </w:rPr>
        <w:t>ICT</w:t>
      </w:r>
      <w:r w:rsidRPr="009B58F6">
        <w:t>④</w:t>
      </w:r>
      <w:proofErr w:type="spellStart"/>
      <w:r w:rsidRPr="009A3A02">
        <w:rPr>
          <w:lang w:val="fr-CH"/>
        </w:rPr>
        <w:t>SDGs</w:t>
      </w:r>
      <w:proofErr w:type="spellEnd"/>
      <w:r w:rsidRPr="009A3A02">
        <w:rPr>
          <w:lang w:val="fr-CH"/>
        </w:rPr>
        <w:t>)</w:t>
      </w:r>
      <w:r>
        <w:rPr>
          <w:lang w:val="fr-CH"/>
        </w:rPr>
        <w:t>,</w:t>
      </w:r>
    </w:p>
    <w:p w:rsidR="009A3A02" w:rsidRPr="00AB4B5A" w:rsidRDefault="00E37D2E" w:rsidP="009A3A02">
      <w:pPr>
        <w:pStyle w:val="Call"/>
        <w:rPr>
          <w:lang w:val="fr-CH"/>
        </w:rPr>
      </w:pPr>
      <w:proofErr w:type="gramStart"/>
      <w:r w:rsidRPr="00EE5B94">
        <w:rPr>
          <w:lang w:val="fr-CH"/>
        </w:rPr>
        <w:t>reconnaissant</w:t>
      </w:r>
      <w:proofErr w:type="gramEnd"/>
    </w:p>
    <w:p w:rsidR="009A3A02" w:rsidRPr="00AB4B5A" w:rsidRDefault="00E37D2E" w:rsidP="009A3A02">
      <w:pPr>
        <w:rPr>
          <w:lang w:val="fr-CH"/>
        </w:rPr>
      </w:pPr>
      <w:r w:rsidRPr="006E60B4">
        <w:rPr>
          <w:i/>
          <w:iCs/>
          <w:lang w:val="fr-CH"/>
        </w:rPr>
        <w:t>a)</w:t>
      </w:r>
      <w:r w:rsidRPr="00AB4B5A">
        <w:rPr>
          <w:lang w:val="fr-CH"/>
        </w:rPr>
        <w:tab/>
      </w:r>
      <w:r>
        <w:rPr>
          <w:lang w:val="fr-CH"/>
        </w:rPr>
        <w:t>que les télécommunications/TIC sont un catalyseur essentiel du développement social et économique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le document "</w:t>
      </w:r>
      <w:r w:rsidRPr="00297163">
        <w:rPr>
          <w:b/>
          <w:bCs/>
          <w:lang w:val="fr-CH"/>
        </w:rPr>
        <w:t>Transformer notre monde: le Programme de développement durable à l</w:t>
      </w:r>
      <w:r>
        <w:rPr>
          <w:b/>
          <w:bCs/>
          <w:lang w:val="fr-CH"/>
        </w:rPr>
        <w:t>'</w:t>
      </w:r>
      <w:r w:rsidRPr="00297163">
        <w:rPr>
          <w:b/>
          <w:bCs/>
          <w:lang w:val="fr-CH"/>
        </w:rPr>
        <w:t>horizon 2030</w:t>
      </w:r>
      <w:r>
        <w:rPr>
          <w:b/>
          <w:bCs/>
          <w:lang w:val="fr-CH"/>
        </w:rPr>
        <w:t>"</w:t>
      </w:r>
      <w:r w:rsidRPr="00AB4B5A">
        <w:rPr>
          <w:lang w:val="fr-CH"/>
        </w:rPr>
        <w:t>;</w:t>
      </w:r>
    </w:p>
    <w:p w:rsidR="009A3A02" w:rsidRPr="00AB4B5A" w:rsidRDefault="00E37D2E" w:rsidP="009A3A02">
      <w:pPr>
        <w:rPr>
          <w:lang w:val="fr-CH"/>
        </w:rPr>
      </w:pPr>
      <w:r w:rsidRPr="006E60B4">
        <w:rPr>
          <w:i/>
          <w:iCs/>
          <w:lang w:val="fr-CH"/>
        </w:rPr>
        <w:t>b)</w:t>
      </w:r>
      <w:r w:rsidRPr="00AB4B5A">
        <w:rPr>
          <w:lang w:val="fr-CH"/>
        </w:rPr>
        <w:tab/>
        <w:t xml:space="preserve">que les télécommunications/TIC jouent </w:t>
      </w:r>
      <w:r>
        <w:rPr>
          <w:lang w:val="fr-CH"/>
        </w:rPr>
        <w:t xml:space="preserve">aussi </w:t>
      </w:r>
      <w:r w:rsidRPr="00AB4B5A">
        <w:rPr>
          <w:lang w:val="fr-CH"/>
        </w:rPr>
        <w:t xml:space="preserve">un rôle crucial 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r>
        <w:rPr>
          <w:lang w:val="fr-CH"/>
        </w:rPr>
        <w:t xml:space="preserve">le </w:t>
      </w:r>
      <w:r w:rsidRPr="00AB4B5A">
        <w:rPr>
          <w:lang w:val="fr-CH"/>
        </w:rPr>
        <w:t>commerce</w:t>
      </w:r>
      <w:r>
        <w:rPr>
          <w:lang w:val="fr-CH"/>
        </w:rP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A3A02" w:rsidRPr="00AB4B5A" w:rsidRDefault="00E37D2E" w:rsidP="009A3A02">
      <w:pPr>
        <w:rPr>
          <w:lang w:val="fr-CH"/>
        </w:rPr>
      </w:pPr>
      <w:r w:rsidRPr="006E60B4">
        <w:rPr>
          <w:i/>
          <w:iCs/>
          <w:lang w:val="fr-CH"/>
        </w:rPr>
        <w:t>c)</w:t>
      </w:r>
      <w:r w:rsidRPr="00AB4B5A">
        <w:rPr>
          <w:lang w:val="fr-CH"/>
        </w:rPr>
        <w:tab/>
      </w:r>
      <w:r w:rsidRPr="00D9529C">
        <w:rPr>
          <w:lang w:val="fr-CH"/>
        </w:rPr>
        <w:t xml:space="preserve">qu'un accès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 xml:space="preserve">TIC modernes, sûrs et financièrement abordables offre la possibilité d’améliorer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9A3A02" w:rsidRPr="00AB4B5A" w:rsidRDefault="00E37D2E" w:rsidP="009A3A02">
      <w:pPr>
        <w:rPr>
          <w:lang w:val="fr-CH"/>
        </w:rPr>
      </w:pPr>
      <w:r w:rsidRPr="006E60B4">
        <w:rPr>
          <w:i/>
          <w:iCs/>
          <w:lang w:val="fr-CH"/>
        </w:rPr>
        <w:t>d)</w:t>
      </w:r>
      <w:r w:rsidRPr="00AB4B5A">
        <w:rPr>
          <w:lang w:val="fr-CH"/>
        </w:rPr>
        <w:tab/>
      </w:r>
      <w:r w:rsidRPr="00D9529C">
        <w:rPr>
          <w:lang w:val="fr-CH"/>
        </w:rPr>
        <w:t xml:space="preserve">que la conformité et l'interopérabilité généralisées des équipements et systèmes de télécommunication/TIC obtenues par la mise en </w:t>
      </w:r>
      <w:r>
        <w:rPr>
          <w:lang w:val="fr-CH"/>
        </w:rPr>
        <w:t>œu</w:t>
      </w:r>
      <w:r w:rsidRPr="00D9529C">
        <w:rPr>
          <w:lang w:val="fr-CH"/>
        </w:rPr>
        <w:t>vre de programmes, politiques et décisions pertinents peuvent élargir les débouchés commerciaux, renforcer la fiabilité, encourager l'intégration et le commerce à l'échelle mondiale</w:t>
      </w:r>
      <w:r w:rsidRPr="00AB4B5A">
        <w:rPr>
          <w:lang w:val="fr-CH"/>
        </w:rPr>
        <w:t>;</w:t>
      </w:r>
    </w:p>
    <w:p w:rsidR="009A3A02" w:rsidRDefault="00E37D2E" w:rsidP="009A3A02">
      <w:pPr>
        <w:rPr>
          <w:lang w:val="fr-CH"/>
        </w:rPr>
      </w:pPr>
      <w:r w:rsidRPr="006E60B4">
        <w:rPr>
          <w:i/>
          <w:iCs/>
          <w:lang w:val="fr-CH"/>
        </w:rPr>
        <w:t>e)</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A3A02" w:rsidRDefault="00E37D2E" w:rsidP="009A3A02">
      <w:pPr>
        <w:rPr>
          <w:lang w:val="fr-CH"/>
        </w:rPr>
      </w:pPr>
      <w:r w:rsidRPr="006E60B4">
        <w:rPr>
          <w:i/>
          <w:iCs/>
          <w:lang w:val="fr-CH"/>
        </w:rPr>
        <w:t>f)</w:t>
      </w:r>
      <w:r>
        <w:rPr>
          <w:lang w:val="fr-CH"/>
        </w:rPr>
        <w:tab/>
      </w:r>
      <w:r w:rsidRPr="00D9529C">
        <w:rPr>
          <w:lang w:val="fr-CH"/>
        </w:rPr>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A3A02" w:rsidRDefault="00E37D2E" w:rsidP="009A3A02">
      <w:pPr>
        <w:rPr>
          <w:lang w:val="fr-CH"/>
        </w:rPr>
      </w:pPr>
      <w:r w:rsidRPr="006E60B4">
        <w:rPr>
          <w:i/>
          <w:iCs/>
          <w:lang w:val="fr-CH"/>
        </w:rPr>
        <w:t>g)</w:t>
      </w:r>
      <w:r>
        <w:rPr>
          <w:lang w:val="fr-CH"/>
        </w:rPr>
        <w:tab/>
      </w:r>
      <w:r w:rsidRPr="00D9529C">
        <w:rPr>
          <w:lang w:val="fr-CH"/>
        </w:rPr>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t>
      </w:r>
      <w:r>
        <w:rPr>
          <w:lang w:val="fr-CH"/>
        </w:rPr>
        <w:t xml:space="preserve"> ayant des besoins particuliers;</w:t>
      </w:r>
    </w:p>
    <w:p w:rsidR="009A3A02" w:rsidRDefault="00E37D2E" w:rsidP="009A3A02">
      <w:pPr>
        <w:rPr>
          <w:lang w:val="fr-CH"/>
        </w:rPr>
      </w:pPr>
      <w:r w:rsidRPr="006E60B4">
        <w:rPr>
          <w:i/>
          <w:iCs/>
          <w:lang w:val="fr-CH"/>
        </w:rPr>
        <w:lastRenderedPageBreak/>
        <w:t>h)</w:t>
      </w:r>
      <w:r>
        <w:rPr>
          <w:lang w:val="fr-CH"/>
        </w:rPr>
        <w:tab/>
        <w:t>que l'UIT est déterminée à améliorer la vie quotidienne de tous et à rendre le monde meilleur grâce aux télécommunications et aux technologies de l'information et de la communication (TIC),</w:t>
      </w:r>
    </w:p>
    <w:p w:rsidR="009A3A02" w:rsidRPr="009A3A02" w:rsidRDefault="00E37D2E" w:rsidP="009A3A02">
      <w:pPr>
        <w:pStyle w:val="Call"/>
        <w:rPr>
          <w:lang w:val="fr-CH"/>
        </w:rPr>
      </w:pPr>
      <w:proofErr w:type="gramStart"/>
      <w:r w:rsidRPr="009A3A02">
        <w:rPr>
          <w:lang w:val="fr-CH"/>
        </w:rPr>
        <w:t>déclare</w:t>
      </w:r>
      <w:proofErr w:type="gramEnd"/>
      <w:r w:rsidRPr="009A3A02">
        <w:rPr>
          <w:lang w:val="fr-CH"/>
        </w:rPr>
        <w:t xml:space="preserve"> en conséquence</w:t>
      </w:r>
    </w:p>
    <w:p w:rsidR="009A3A02" w:rsidRPr="00AB4B5A" w:rsidRDefault="00E37D2E" w:rsidP="009A3A02">
      <w:pPr>
        <w:rPr>
          <w:color w:val="000000"/>
          <w:lang w:val="fr-CH"/>
        </w:rPr>
      </w:pPr>
      <w:r>
        <w:rPr>
          <w:lang w:val="fr-CH"/>
        </w:rPr>
        <w:t>1</w:t>
      </w:r>
      <w:r>
        <w:rPr>
          <w:lang w:val="fr-CH"/>
        </w:rPr>
        <w:tab/>
        <w:t xml:space="preserve">que des télécommunications/TIC </w:t>
      </w:r>
      <w:r>
        <w:rPr>
          <w:color w:val="000000"/>
          <w:lang w:val="fr-CH"/>
        </w:rPr>
        <w:t xml:space="preserve">accessibles 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r w:rsidRPr="00AB4B5A">
        <w:rPr>
          <w:color w:val="000000"/>
          <w:lang w:val="fr-CH"/>
        </w:rPr>
        <w:t>;</w:t>
      </w:r>
    </w:p>
    <w:p w:rsidR="009A3A02" w:rsidRPr="00AB4B5A" w:rsidRDefault="00E37D2E" w:rsidP="009A3A02">
      <w:pPr>
        <w:rPr>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des infrastructures et des services TIC haut débit et d'excellente qualité;</w:t>
      </w:r>
    </w:p>
    <w:p w:rsidR="009A3A02" w:rsidRDefault="00E37D2E" w:rsidP="009A3A02">
      <w:pPr>
        <w:rPr>
          <w:lang w:val="fr-CH"/>
        </w:rPr>
      </w:pPr>
      <w:r w:rsidRPr="00AB4B5A">
        <w:rPr>
          <w:color w:val="000000"/>
          <w:lang w:val="fr-CH"/>
        </w:rPr>
        <w:t>3</w:t>
      </w:r>
      <w:r w:rsidRPr="00AB4B5A">
        <w:rPr>
          <w:color w:val="000000"/>
          <w:lang w:val="fr-CH"/>
        </w:rPr>
        <w:tab/>
      </w:r>
      <w:r>
        <w:rPr>
          <w:color w:val="000000"/>
          <w:lang w:val="fr-CH"/>
        </w:rPr>
        <w:t xml:space="preserve">que, </w:t>
      </w:r>
      <w:r>
        <w:rPr>
          <w:lang w:val="fr-CH"/>
        </w:rPr>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 xml:space="preserve">le, régionale et internationale; </w:t>
      </w:r>
    </w:p>
    <w:p w:rsidR="009A3A02" w:rsidRDefault="00E37D2E" w:rsidP="009A3A02">
      <w:pPr>
        <w:rPr>
          <w:lang w:val="fr-CH"/>
        </w:rPr>
      </w:pPr>
      <w:r w:rsidRPr="00AB4B5A">
        <w:rPr>
          <w:color w:val="000000"/>
          <w:lang w:val="fr-CH"/>
        </w:rPr>
        <w:t>4</w:t>
      </w:r>
      <w:r w:rsidRPr="00AB4B5A">
        <w:rPr>
          <w:color w:val="000000"/>
          <w:lang w:val="fr-CH"/>
        </w:rPr>
        <w:tab/>
      </w:r>
      <w:r>
        <w:rPr>
          <w:color w:val="000000"/>
          <w:lang w:val="fr-CH"/>
        </w:rPr>
        <w:t xml:space="preserve">que le potentiel de technologies nouvelles et émergentes comme les </w:t>
      </w:r>
      <w:proofErr w:type="spellStart"/>
      <w:r>
        <w:rPr>
          <w:color w:val="000000"/>
          <w:lang w:val="fr-CH"/>
        </w:rPr>
        <w:t>mégadonnées</w:t>
      </w:r>
      <w:proofErr w:type="spellEnd"/>
      <w:r>
        <w:rPr>
          <w:color w:val="000000"/>
          <w:lang w:val="fr-CH"/>
        </w:rPr>
        <w:t xml:space="preserve"> et l'Internet des objets devrait être mis à profit pour soutenir l'action menée à l'échelle mondiale pour poursuivre le développement de la société de l’information</w:t>
      </w:r>
      <w:r>
        <w:rPr>
          <w:lang w:val="fr-CH"/>
        </w:rPr>
        <w:t>;</w:t>
      </w:r>
    </w:p>
    <w:p w:rsidR="009A3A02" w:rsidRDefault="00E37D2E" w:rsidP="009A3A02">
      <w:pPr>
        <w:rPr>
          <w:lang w:val="fr-CH"/>
        </w:rPr>
      </w:pPr>
      <w:r>
        <w:rPr>
          <w:lang w:val="fr-CH"/>
        </w:rPr>
        <w:t>5</w:t>
      </w:r>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 xml:space="preserve">pour permettre à chacun </w:t>
      </w:r>
      <w:r>
        <w:rPr>
          <w:lang w:val="fr-CH"/>
        </w:rPr>
        <w:t>de contribuer à enrichir les idées, le savoir et d'apporter sa pierre au développement humain;</w:t>
      </w:r>
    </w:p>
    <w:p w:rsidR="009A3A02" w:rsidRDefault="00E37D2E" w:rsidP="009A3A02">
      <w:pPr>
        <w:rPr>
          <w:lang w:val="fr-CH"/>
        </w:rPr>
      </w:pPr>
      <w:r>
        <w:rPr>
          <w:lang w:val="fr-CH"/>
        </w:rPr>
        <w:t>6</w:t>
      </w:r>
      <w:r>
        <w:rPr>
          <w:lang w:val="fr-CH"/>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9A3A02" w:rsidRDefault="00E37D2E" w:rsidP="009A3A02">
      <w:pPr>
        <w:rPr>
          <w:lang w:val="fr-CH"/>
        </w:rPr>
      </w:pPr>
      <w:r>
        <w:rPr>
          <w:lang w:val="fr-CH"/>
        </w:rPr>
        <w:t>7</w:t>
      </w:r>
      <w:r>
        <w:rPr>
          <w:lang w:val="fr-CH"/>
        </w:rPr>
        <w:tab/>
        <w:t>qu'une société de l'information véritablement inclusive devrait tenir compte des besoins des personnes handicapées ayant des besoins spécifiques;</w:t>
      </w:r>
    </w:p>
    <w:p w:rsidR="009A3A02" w:rsidRDefault="00E37D2E" w:rsidP="006E60B4">
      <w:pPr>
        <w:rPr>
          <w:lang w:val="fr-CH"/>
        </w:rPr>
      </w:pPr>
      <w:r>
        <w:rPr>
          <w:lang w:val="fr-CH"/>
        </w:rPr>
        <w:t>8</w:t>
      </w:r>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9A3A02" w:rsidRDefault="00E37D2E" w:rsidP="009A3A02">
      <w:pPr>
        <w:rPr>
          <w:lang w:val="fr-CH"/>
        </w:rPr>
      </w:pPr>
      <w:r>
        <w:rPr>
          <w:lang w:val="fr-CH"/>
        </w:rPr>
        <w:t>9</w:t>
      </w:r>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p w:rsidR="009A3A02" w:rsidRDefault="00E37D2E" w:rsidP="009A3A02">
      <w:pPr>
        <w:rPr>
          <w:lang w:val="fr-CH"/>
        </w:rPr>
      </w:pPr>
      <w:r>
        <w:rPr>
          <w:lang w:val="fr-CH"/>
        </w:rPr>
        <w:t>10</w:t>
      </w:r>
      <w:r>
        <w:rPr>
          <w:lang w:val="fr-CH"/>
        </w:rPr>
        <w:tab/>
        <w:t>que les partenariats public</w:t>
      </w:r>
      <w:r>
        <w:rPr>
          <w:lang w:val="fr-CH"/>
        </w:rPr>
        <w:noBreakHyphen/>
        <w:t>privé doivent être encore renforcés afin de rechercher et d'appliquer des solutions technologiques et des mécanismes de financement novateurs en faveur d'un développement inclusif et durable;</w:t>
      </w:r>
    </w:p>
    <w:p w:rsidR="009A3A02" w:rsidRDefault="00E37D2E" w:rsidP="009A3A02">
      <w:pPr>
        <w:rPr>
          <w:color w:val="000000"/>
          <w:lang w:val="fr-CH"/>
        </w:rPr>
      </w:pPr>
      <w:r>
        <w:rPr>
          <w:color w:val="000000"/>
          <w:lang w:val="fr-CH"/>
        </w:rPr>
        <w:lastRenderedPageBreak/>
        <w:t>11</w:t>
      </w:r>
      <w:r>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A3A02" w:rsidRPr="00297163" w:rsidRDefault="00E37D2E" w:rsidP="009A3A02">
      <w:pPr>
        <w:rPr>
          <w:color w:val="000000"/>
          <w:lang w:val="fr-CH"/>
        </w:rPr>
      </w:pPr>
      <w:r>
        <w:rPr>
          <w:color w:val="000000"/>
          <w:lang w:val="fr-CH"/>
        </w:rPr>
        <w:t>12</w:t>
      </w:r>
      <w:r>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A3A02" w:rsidRDefault="00E37D2E" w:rsidP="009A3A02">
      <w:pPr>
        <w:rPr>
          <w:lang w:val="fr-CH"/>
        </w:rPr>
      </w:pPr>
      <w:r>
        <w:rPr>
          <w:lang w:val="fr-CH"/>
        </w:rPr>
        <w:t>13</w:t>
      </w:r>
      <w:r>
        <w:rPr>
          <w:lang w:val="fr-CH"/>
        </w:rPr>
        <w:tab/>
        <w:t xml:space="preserve">que les membres de l'UIT et les autres parties intéressées devraient coopérer pour mettre en œuvre les </w:t>
      </w:r>
      <w:r w:rsidRPr="00922491">
        <w:rPr>
          <w:color w:val="000000"/>
          <w:lang w:val="fr-CH"/>
        </w:rPr>
        <w:t xml:space="preserve">buts et les cibles à l'échelle mondiale dans le domaine des télécommunications/technologies de l'information et de la communication qui sont énoncés dans le programme </w:t>
      </w:r>
      <w:proofErr w:type="spellStart"/>
      <w:r w:rsidRPr="00922491">
        <w:rPr>
          <w:color w:val="000000"/>
          <w:lang w:val="fr-CH"/>
        </w:rPr>
        <w:t>Connect</w:t>
      </w:r>
      <w:proofErr w:type="spellEnd"/>
      <w:r w:rsidRPr="00922491">
        <w:rPr>
          <w:color w:val="000000"/>
          <w:lang w:val="fr-CH"/>
        </w:rPr>
        <w:t xml:space="preserve"> 2020.</w:t>
      </w:r>
    </w:p>
    <w:p w:rsidR="009A3A02" w:rsidRDefault="00E37D2E" w:rsidP="009A3A02">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atteindre dans les meilleurs délais les </w:t>
      </w:r>
      <w:r w:rsidRPr="00B015F2">
        <w:rPr>
          <w:b/>
          <w:bCs/>
          <w:lang w:val="fr-CH"/>
        </w:rPr>
        <w:t>objectifs et les cibles de développement durable énoncés dans le document "Transformer notre monde: le Programme de développement durable à l'horizon 2030"</w:t>
      </w:r>
      <w:r>
        <w:rPr>
          <w:lang w:val="fr-CH"/>
        </w:rPr>
        <w:t>.</w:t>
      </w:r>
    </w:p>
    <w:p w:rsidR="009A3A02" w:rsidRDefault="00E37D2E" w:rsidP="009A3A02">
      <w:pPr>
        <w:rPr>
          <w:lang w:val="fr-CH"/>
        </w:rPr>
      </w:pPr>
      <w:r>
        <w:rPr>
          <w:lang w:val="fr-CH"/>
        </w:rPr>
        <w:t>L</w:t>
      </w:r>
      <w:r w:rsidRPr="00140EB3">
        <w:rPr>
          <w:lang w:val="fr-CH"/>
        </w:rPr>
        <w:t>a Conférence mondiale de développement des télécommunications (</w:t>
      </w:r>
      <w:r>
        <w:rPr>
          <w:lang w:val="fr-CH"/>
        </w:rPr>
        <w:t>CMDT-17</w:t>
      </w:r>
      <w:r w:rsidRPr="00140EB3">
        <w:rPr>
          <w:lang w:val="fr-CH"/>
        </w:rPr>
        <w:t xml:space="preserve">) appelle les Etats Membres, les Membres de Secteur, les Associés de l'UIT, les établissements universitaires participant à ses travaux ainsi que tous les autres partenaires et parties prenantes à contribuer au succès de la mise en </w:t>
      </w:r>
      <w:r>
        <w:rPr>
          <w:lang w:val="fr-CH"/>
        </w:rPr>
        <w:t>œu</w:t>
      </w:r>
      <w:r w:rsidRPr="00140EB3">
        <w:rPr>
          <w:lang w:val="fr-CH"/>
        </w:rPr>
        <w:t xml:space="preserve">vre du Plan d'action de </w:t>
      </w:r>
      <w:r>
        <w:rPr>
          <w:lang w:val="fr-CH"/>
        </w:rPr>
        <w:t>Buenos Aires.</w:t>
      </w:r>
    </w:p>
    <w:p w:rsidR="002747B2" w:rsidRDefault="002747B2" w:rsidP="0032202E">
      <w:pPr>
        <w:pStyle w:val="Reasons"/>
      </w:pPr>
    </w:p>
    <w:p w:rsidR="002747B2" w:rsidRDefault="002747B2">
      <w:pPr>
        <w:jc w:val="center"/>
      </w:pPr>
      <w:r>
        <w:t>______________</w:t>
      </w:r>
    </w:p>
    <w:p w:rsidR="008016AF" w:rsidRDefault="008016AF">
      <w:pPr>
        <w:pStyle w:val="Reasons"/>
      </w:pPr>
    </w:p>
    <w:sectPr w:rsidR="008016AF">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FA" w:rsidRDefault="00D223FA">
      <w:r>
        <w:separator/>
      </w:r>
    </w:p>
  </w:endnote>
  <w:endnote w:type="continuationSeparator" w:id="0">
    <w:p w:rsidR="00D223FA" w:rsidRDefault="00D2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4" w:rsidRDefault="00B35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B35184" w:rsidRDefault="004915E8" w:rsidP="002747B2">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6AF" w:rsidRDefault="008016AF"/>
  <w:tbl>
    <w:tblPr>
      <w:tblW w:w="0" w:type="auto"/>
      <w:tblLook w:val="04A0" w:firstRow="1" w:lastRow="0" w:firstColumn="1" w:lastColumn="0" w:noHBand="0" w:noVBand="1"/>
    </w:tblPr>
    <w:tblGrid>
      <w:gridCol w:w="1413"/>
      <w:gridCol w:w="2365"/>
      <w:gridCol w:w="5248"/>
    </w:tblGrid>
    <w:tr w:rsidR="008016AF" w:rsidRPr="002747B2" w:rsidTr="00EB48FC">
      <w:tc>
        <w:tcPr>
          <w:tcW w:w="1413" w:type="dxa"/>
          <w:tcBorders>
            <w:top w:val="single" w:sz="4" w:space="0" w:color="000000"/>
          </w:tcBorders>
        </w:tcPr>
        <w:p w:rsidR="008016AF" w:rsidRDefault="00E37D2E">
          <w:pPr>
            <w:pStyle w:val="FirstFooter"/>
            <w:tabs>
              <w:tab w:val="left" w:pos="1559"/>
              <w:tab w:val="left" w:pos="3828"/>
            </w:tabs>
            <w:rPr>
              <w:sz w:val="18"/>
            </w:rPr>
          </w:pPr>
          <w:r>
            <w:rPr>
              <w:sz w:val="18"/>
            </w:rPr>
            <w:t>Contact:</w:t>
          </w:r>
        </w:p>
      </w:tc>
      <w:tc>
        <w:tcPr>
          <w:tcW w:w="2365" w:type="dxa"/>
          <w:tcBorders>
            <w:top w:val="single" w:sz="4" w:space="0" w:color="000000"/>
          </w:tcBorders>
        </w:tcPr>
        <w:p w:rsidR="008016AF" w:rsidRDefault="00E37D2E" w:rsidP="002747B2">
          <w:pPr>
            <w:pStyle w:val="FirstFooter"/>
            <w:tabs>
              <w:tab w:val="left" w:pos="2302"/>
            </w:tabs>
            <w:rPr>
              <w:sz w:val="18"/>
            </w:rPr>
          </w:pPr>
          <w:r>
            <w:rPr>
              <w:sz w:val="18"/>
            </w:rPr>
            <w:t>N</w:t>
          </w:r>
          <w:r w:rsidR="002747B2">
            <w:rPr>
              <w:sz w:val="18"/>
            </w:rPr>
            <w:t>om</w:t>
          </w:r>
          <w:r>
            <w:rPr>
              <w:sz w:val="18"/>
            </w:rPr>
            <w:t>/Organi</w:t>
          </w:r>
          <w:r w:rsidR="002747B2">
            <w:rPr>
              <w:sz w:val="18"/>
            </w:rPr>
            <w:t>s</w:t>
          </w:r>
          <w:r>
            <w:rPr>
              <w:sz w:val="18"/>
            </w:rPr>
            <w:t>ation/Entit</w:t>
          </w:r>
          <w:r w:rsidR="002747B2">
            <w:rPr>
              <w:sz w:val="18"/>
            </w:rPr>
            <w:t>é</w:t>
          </w:r>
          <w:r>
            <w:rPr>
              <w:sz w:val="18"/>
            </w:rPr>
            <w:t>:</w:t>
          </w:r>
        </w:p>
      </w:tc>
      <w:tc>
        <w:tcPr>
          <w:tcW w:w="5248" w:type="dxa"/>
          <w:tcBorders>
            <w:top w:val="single" w:sz="4" w:space="0" w:color="000000"/>
          </w:tcBorders>
        </w:tcPr>
        <w:p w:rsidR="008016AF" w:rsidRPr="002747B2" w:rsidRDefault="002747B2" w:rsidP="007631A4">
          <w:pPr>
            <w:pStyle w:val="FirstFooter"/>
            <w:tabs>
              <w:tab w:val="left" w:pos="2302"/>
            </w:tabs>
            <w:rPr>
              <w:sz w:val="18"/>
              <w:lang w:val="fr-CH"/>
            </w:rPr>
          </w:pPr>
          <w:r w:rsidRPr="002747B2">
            <w:rPr>
              <w:sz w:val="18"/>
              <w:lang w:val="fr-CH"/>
            </w:rPr>
            <w:t xml:space="preserve">M. Yushi Torigoe, </w:t>
          </w:r>
          <w:r w:rsidR="007631A4">
            <w:rPr>
              <w:sz w:val="18"/>
              <w:lang w:val="fr-CH"/>
            </w:rPr>
            <w:t>Adjoint au Directeur</w:t>
          </w:r>
          <w:r w:rsidRPr="002747B2">
            <w:rPr>
              <w:sz w:val="18"/>
              <w:lang w:val="fr-CH"/>
            </w:rPr>
            <w:t>, Bureau de développement des télécommunications</w:t>
          </w:r>
        </w:p>
      </w:tc>
    </w:tr>
    <w:tr w:rsidR="008016AF" w:rsidRPr="002747B2" w:rsidTr="00EB48FC">
      <w:tc>
        <w:tcPr>
          <w:tcW w:w="1413" w:type="dxa"/>
        </w:tcPr>
        <w:p w:rsidR="008016AF" w:rsidRPr="002747B2" w:rsidRDefault="008016AF">
          <w:pPr>
            <w:pStyle w:val="FirstFooter"/>
            <w:tabs>
              <w:tab w:val="left" w:pos="1559"/>
              <w:tab w:val="left" w:pos="3828"/>
            </w:tabs>
            <w:rPr>
              <w:sz w:val="18"/>
              <w:lang w:val="fr-CH"/>
            </w:rPr>
          </w:pPr>
        </w:p>
      </w:tc>
      <w:tc>
        <w:tcPr>
          <w:tcW w:w="2365" w:type="dxa"/>
        </w:tcPr>
        <w:p w:rsidR="008016AF" w:rsidRPr="002747B2" w:rsidRDefault="002747B2" w:rsidP="002747B2">
          <w:pPr>
            <w:pStyle w:val="FirstFooter"/>
            <w:tabs>
              <w:tab w:val="left" w:pos="2302"/>
            </w:tabs>
            <w:rPr>
              <w:sz w:val="18"/>
              <w:lang w:val="en-GB"/>
            </w:rPr>
          </w:pPr>
          <w:proofErr w:type="spellStart"/>
          <w:r>
            <w:rPr>
              <w:sz w:val="18"/>
              <w:lang w:val="en-GB"/>
            </w:rPr>
            <w:t>Numéro</w:t>
          </w:r>
          <w:proofErr w:type="spellEnd"/>
          <w:r>
            <w:rPr>
              <w:sz w:val="18"/>
              <w:lang w:val="en-GB"/>
            </w:rPr>
            <w:t xml:space="preserve"> de </w:t>
          </w:r>
          <w:proofErr w:type="spellStart"/>
          <w:r>
            <w:rPr>
              <w:sz w:val="18"/>
              <w:lang w:val="en-GB"/>
            </w:rPr>
            <w:t>téléphone</w:t>
          </w:r>
          <w:proofErr w:type="spellEnd"/>
          <w:r w:rsidR="00E37D2E" w:rsidRPr="002747B2">
            <w:rPr>
              <w:sz w:val="18"/>
              <w:lang w:val="en-GB"/>
            </w:rPr>
            <w:t>:</w:t>
          </w:r>
        </w:p>
      </w:tc>
      <w:tc>
        <w:tcPr>
          <w:tcW w:w="5248" w:type="dxa"/>
        </w:tcPr>
        <w:p w:rsidR="008016AF" w:rsidRPr="002747B2" w:rsidRDefault="002747B2">
          <w:pPr>
            <w:pStyle w:val="FirstFooter"/>
            <w:tabs>
              <w:tab w:val="left" w:pos="2302"/>
            </w:tabs>
            <w:rPr>
              <w:sz w:val="18"/>
              <w:lang w:val="en-GB"/>
            </w:rPr>
          </w:pPr>
          <w:r>
            <w:rPr>
              <w:sz w:val="18"/>
            </w:rPr>
            <w:t>+41 22 730 5784</w:t>
          </w:r>
        </w:p>
      </w:tc>
    </w:tr>
    <w:tr w:rsidR="008016AF" w:rsidRPr="002747B2" w:rsidTr="00EB48FC">
      <w:tc>
        <w:tcPr>
          <w:tcW w:w="1413" w:type="dxa"/>
        </w:tcPr>
        <w:p w:rsidR="008016AF" w:rsidRPr="002747B2" w:rsidRDefault="008016AF">
          <w:pPr>
            <w:pStyle w:val="FirstFooter"/>
            <w:tabs>
              <w:tab w:val="left" w:pos="1559"/>
              <w:tab w:val="left" w:pos="3828"/>
            </w:tabs>
            <w:rPr>
              <w:sz w:val="18"/>
              <w:lang w:val="en-GB"/>
            </w:rPr>
          </w:pPr>
        </w:p>
      </w:tc>
      <w:tc>
        <w:tcPr>
          <w:tcW w:w="2365" w:type="dxa"/>
        </w:tcPr>
        <w:p w:rsidR="008016AF" w:rsidRPr="002747B2" w:rsidRDefault="002747B2">
          <w:pPr>
            <w:pStyle w:val="FirstFooter"/>
            <w:tabs>
              <w:tab w:val="left" w:pos="2302"/>
            </w:tabs>
            <w:rPr>
              <w:sz w:val="18"/>
              <w:lang w:val="en-GB"/>
            </w:rPr>
          </w:pPr>
          <w:proofErr w:type="spellStart"/>
          <w:r>
            <w:rPr>
              <w:sz w:val="18"/>
              <w:lang w:val="en-GB"/>
            </w:rPr>
            <w:t>Courriel</w:t>
          </w:r>
          <w:proofErr w:type="spellEnd"/>
          <w:r w:rsidR="00E37D2E" w:rsidRPr="002747B2">
            <w:rPr>
              <w:sz w:val="18"/>
              <w:lang w:val="en-GB"/>
            </w:rPr>
            <w:t>:</w:t>
          </w:r>
        </w:p>
      </w:tc>
      <w:tc>
        <w:tcPr>
          <w:tcW w:w="5248" w:type="dxa"/>
        </w:tcPr>
        <w:p w:rsidR="008016AF" w:rsidRPr="002747B2" w:rsidRDefault="00EB48FC">
          <w:pPr>
            <w:pStyle w:val="FirstFooter"/>
            <w:tabs>
              <w:tab w:val="left" w:pos="2302"/>
            </w:tabs>
            <w:rPr>
              <w:sz w:val="18"/>
              <w:lang w:val="en-GB"/>
            </w:rPr>
          </w:pPr>
          <w:hyperlink r:id="rId1" w:history="1">
            <w:r w:rsidR="002747B2" w:rsidRPr="00657E33">
              <w:rPr>
                <w:rStyle w:val="Hyperlink"/>
                <w:sz w:val="18"/>
              </w:rPr>
              <w:t>yushi.torigoe@itu.int</w:t>
            </w:r>
          </w:hyperlink>
        </w:p>
      </w:tc>
    </w:tr>
  </w:tbl>
  <w:p w:rsidR="00EB48FC" w:rsidRPr="00784E03" w:rsidRDefault="00EB48FC" w:rsidP="00EB48FC">
    <w:pPr>
      <w:jc w:val="center"/>
      <w:rPr>
        <w:sz w:val="20"/>
      </w:rPr>
    </w:pPr>
    <w:hyperlink r:id="rId2" w:history="1">
      <w:r w:rsidRPr="007F7A8C">
        <w:rPr>
          <w:rStyle w:val="Hyperlink"/>
          <w:sz w:val="20"/>
          <w:lang w:val="fr-CH"/>
        </w:rPr>
        <w:t>C</w:t>
      </w:r>
      <w:r>
        <w:rPr>
          <w:rStyle w:val="Hyperlink"/>
          <w:sz w:val="20"/>
        </w:rPr>
        <w:t>MDT</w:t>
      </w:r>
      <w:r w:rsidRPr="008B61EA">
        <w:rPr>
          <w:rStyle w:val="Hyperlink"/>
          <w:sz w:val="20"/>
        </w:rPr>
        <w:t>-17</w:t>
      </w:r>
    </w:hyperlink>
    <w:bookmarkStart w:id="11" w:name="_GoBack"/>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FA" w:rsidRDefault="00D223FA">
      <w:r>
        <w:t>____________________</w:t>
      </w:r>
    </w:p>
  </w:footnote>
  <w:footnote w:type="continuationSeparator" w:id="0">
    <w:p w:rsidR="00D223FA" w:rsidRDefault="00D22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4" w:rsidRDefault="00B3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013358">
    <w:pPr>
      <w:tabs>
        <w:tab w:val="clear" w:pos="794"/>
        <w:tab w:val="clear" w:pos="1191"/>
        <w:tab w:val="clear" w:pos="1588"/>
        <w:tab w:val="clear" w:pos="1985"/>
        <w:tab w:val="center" w:pos="4820"/>
        <w:tab w:val="right" w:pos="10206"/>
      </w:tabs>
      <w:ind w:right="1"/>
      <w:rPr>
        <w:sz w:val="22"/>
        <w:szCs w:val="22"/>
        <w:lang w:val="en-GB"/>
      </w:rPr>
    </w:pPr>
    <w:r w:rsidRPr="00FB312D">
      <w:rPr>
        <w:sz w:val="22"/>
        <w:szCs w:val="22"/>
        <w:lang w:val="en-GB"/>
      </w:rPr>
      <w:tab/>
    </w:r>
    <w:r w:rsidR="002747B2">
      <w:rPr>
        <w:sz w:val="22"/>
        <w:szCs w:val="22"/>
        <w:lang w:val="en-GB"/>
      </w:rPr>
      <w:tab/>
    </w:r>
    <w:r w:rsidR="002747B2">
      <w:rPr>
        <w:sz w:val="22"/>
        <w:szCs w:val="22"/>
        <w:lang w:val="en-GB"/>
      </w:rPr>
      <w:tab/>
    </w:r>
    <w:r w:rsidR="000766DA">
      <w:rPr>
        <w:sz w:val="22"/>
        <w:szCs w:val="22"/>
        <w:lang w:val="de-CH"/>
      </w:rPr>
      <w:t>CMDT</w:t>
    </w:r>
    <w:r w:rsidR="007934DB" w:rsidRPr="00A74B99">
      <w:rPr>
        <w:sz w:val="22"/>
        <w:szCs w:val="22"/>
        <w:lang w:val="de-CH"/>
      </w:rPr>
      <w:t>-17/</w:t>
    </w:r>
    <w:bookmarkStart w:id="8" w:name="OLE_LINK3"/>
    <w:bookmarkStart w:id="9" w:name="OLE_LINK2"/>
    <w:bookmarkStart w:id="10" w:name="OLE_LINK1"/>
    <w:r w:rsidR="007934DB" w:rsidRPr="00A74B99">
      <w:rPr>
        <w:sz w:val="22"/>
        <w:szCs w:val="22"/>
      </w:rPr>
      <w:t>9</w:t>
    </w:r>
    <w:bookmarkEnd w:id="8"/>
    <w:bookmarkEnd w:id="9"/>
    <w:bookmarkEnd w:id="1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B48FC">
      <w:rPr>
        <w:noProof/>
        <w:sz w:val="22"/>
        <w:szCs w:val="22"/>
        <w:lang w:val="en-GB"/>
      </w:rPr>
      <w:t>4</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84" w:rsidRDefault="00B35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A2C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8AE5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B02B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00F9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A65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D241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8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BAC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5C8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EC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26ED"/>
    <w:rsid w:val="00053EF2"/>
    <w:rsid w:val="000559CC"/>
    <w:rsid w:val="00067970"/>
    <w:rsid w:val="000766DA"/>
    <w:rsid w:val="000D06F1"/>
    <w:rsid w:val="000E7659"/>
    <w:rsid w:val="0010289F"/>
    <w:rsid w:val="00122ADA"/>
    <w:rsid w:val="00133BF6"/>
    <w:rsid w:val="00135DDB"/>
    <w:rsid w:val="00176A8B"/>
    <w:rsid w:val="00180706"/>
    <w:rsid w:val="00184F7B"/>
    <w:rsid w:val="00193BAB"/>
    <w:rsid w:val="00194FDD"/>
    <w:rsid w:val="001A5EE2"/>
    <w:rsid w:val="001D264E"/>
    <w:rsid w:val="001E5AA3"/>
    <w:rsid w:val="001E6D58"/>
    <w:rsid w:val="00200C7F"/>
    <w:rsid w:val="00201540"/>
    <w:rsid w:val="00212DA6"/>
    <w:rsid w:val="0021388F"/>
    <w:rsid w:val="00231120"/>
    <w:rsid w:val="002451C0"/>
    <w:rsid w:val="0026716A"/>
    <w:rsid w:val="002747B2"/>
    <w:rsid w:val="00294005"/>
    <w:rsid w:val="00297118"/>
    <w:rsid w:val="002A5F44"/>
    <w:rsid w:val="002C496A"/>
    <w:rsid w:val="002C53DC"/>
    <w:rsid w:val="002E1D00"/>
    <w:rsid w:val="00300AC8"/>
    <w:rsid w:val="00301454"/>
    <w:rsid w:val="00325FE5"/>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72685"/>
    <w:rsid w:val="005860FF"/>
    <w:rsid w:val="00586DCD"/>
    <w:rsid w:val="005A0607"/>
    <w:rsid w:val="005B5E2D"/>
    <w:rsid w:val="005B6CE3"/>
    <w:rsid w:val="005C03FC"/>
    <w:rsid w:val="005D30D5"/>
    <w:rsid w:val="005D3705"/>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631A4"/>
    <w:rsid w:val="0076554A"/>
    <w:rsid w:val="00772137"/>
    <w:rsid w:val="00783838"/>
    <w:rsid w:val="00790A74"/>
    <w:rsid w:val="007934DB"/>
    <w:rsid w:val="00794165"/>
    <w:rsid w:val="007A553A"/>
    <w:rsid w:val="007C09B2"/>
    <w:rsid w:val="007E4D4C"/>
    <w:rsid w:val="007F5ACF"/>
    <w:rsid w:val="008016AF"/>
    <w:rsid w:val="008150E2"/>
    <w:rsid w:val="00821623"/>
    <w:rsid w:val="00821978"/>
    <w:rsid w:val="00824420"/>
    <w:rsid w:val="008471EF"/>
    <w:rsid w:val="008534D0"/>
    <w:rsid w:val="008B269A"/>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5304F"/>
    <w:rsid w:val="00A547B7"/>
    <w:rsid w:val="00A737BC"/>
    <w:rsid w:val="00A90394"/>
    <w:rsid w:val="00A944FF"/>
    <w:rsid w:val="00A94B33"/>
    <w:rsid w:val="00A961F4"/>
    <w:rsid w:val="00A964CA"/>
    <w:rsid w:val="00AD4E1C"/>
    <w:rsid w:val="00AD7EE5"/>
    <w:rsid w:val="00B35184"/>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73F"/>
    <w:rsid w:val="00E23F4B"/>
    <w:rsid w:val="00E256D7"/>
    <w:rsid w:val="00E37D2E"/>
    <w:rsid w:val="00E46146"/>
    <w:rsid w:val="00E50A67"/>
    <w:rsid w:val="00E54997"/>
    <w:rsid w:val="00E71FC7"/>
    <w:rsid w:val="00E930C4"/>
    <w:rsid w:val="00E94B57"/>
    <w:rsid w:val="00EB44F8"/>
    <w:rsid w:val="00EB48FC"/>
    <w:rsid w:val="00EB68B5"/>
    <w:rsid w:val="00EC3B94"/>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A2AEB"/>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9/" TargetMode="External"/><Relationship Id="rId18" Type="http://schemas.openxmlformats.org/officeDocument/2006/relationships/hyperlink" Target="https://www.itu.int/md/D14-RPMEUR-C-000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SP-C-0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9/"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9/"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b39d04-2f64-444e-a16a-a78fd8b1cb63">DPM</DPM_x0020_Author>
    <DPM_x0020_File_x0020_name xmlns="b2b39d04-2f64-444e-a16a-a78fd8b1cb63">D14-WTDC17-C-0009!!MSW-F</DPM_x0020_File_x0020_name>
    <DPM_x0020_Version xmlns="b2b39d04-2f64-444e-a16a-a78fd8b1cb63">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b39d04-2f64-444e-a16a-a78fd8b1cb63" targetNamespace="http://schemas.microsoft.com/office/2006/metadata/properties" ma:root="true" ma:fieldsID="d41af5c836d734370eb92e7ee5f83852" ns2:_="" ns3:_="">
    <xsd:import namespace="996b2e75-67fd-4955-a3b0-5ab9934cb50b"/>
    <xsd:import namespace="b2b39d04-2f64-444e-a16a-a78fd8b1cb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b39d04-2f64-444e-a16a-a78fd8b1cb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elements/1.1/"/>
    <ds:schemaRef ds:uri="http://purl.org/dc/dcmitype/"/>
    <ds:schemaRef ds:uri="b2b39d04-2f64-444e-a16a-a78fd8b1cb63"/>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b39d04-2f64-444e-a16a-a78fd8b1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B33CD-713D-4AB5-9F4B-109EF4BE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D14-WTDC17-C-0009!!MSW-F</vt:lpstr>
    </vt:vector>
  </TitlesOfParts>
  <Manager>General Secretariat - Pool</Manager>
  <Company>International Telecommunication Union (ITU)</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D14-WTDC17-C-0009!!MSW-F</dc:title>
  <dc:creator>Documents Proposals Manager (DPM)</dc:creator>
  <cp:keywords>DPM_v2017.6.15.1_prod</cp:keywords>
  <dc:description/>
  <cp:lastModifiedBy>BDT - nd</cp:lastModifiedBy>
  <cp:revision>7</cp:revision>
  <cp:lastPrinted>2006-02-14T19:11:00Z</cp:lastPrinted>
  <dcterms:created xsi:type="dcterms:W3CDTF">2017-06-19T14:00:00Z</dcterms:created>
  <dcterms:modified xsi:type="dcterms:W3CDTF">2017-08-22T09:38:00Z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