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D2165D" w:rsidTr="005E1050">
        <w:trPr>
          <w:cantSplit/>
          <w:trHeight w:val="1134"/>
        </w:trPr>
        <w:tc>
          <w:tcPr>
            <w:tcW w:w="1276" w:type="dxa"/>
          </w:tcPr>
          <w:p w:rsidR="00B951D0" w:rsidRPr="000B1248" w:rsidRDefault="00B951D0" w:rsidP="00B951D0">
            <w:pPr>
              <w:spacing w:before="180"/>
              <w:ind w:left="1168"/>
              <w:rPr>
                <w:b/>
                <w:bCs/>
                <w:sz w:val="28"/>
                <w:szCs w:val="28"/>
                <w:lang w:val="es-ES"/>
              </w:rPr>
            </w:pPr>
            <w:r w:rsidRPr="000B1248">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1248">
              <w:rPr>
                <w:b/>
                <w:bCs/>
                <w:sz w:val="28"/>
                <w:szCs w:val="28"/>
                <w:lang w:val="es-ES"/>
              </w:rPr>
              <w:t xml:space="preserve"> </w:t>
            </w:r>
          </w:p>
        </w:tc>
        <w:tc>
          <w:tcPr>
            <w:tcW w:w="5670" w:type="dxa"/>
          </w:tcPr>
          <w:p w:rsidR="00B951D0" w:rsidRPr="000B1248" w:rsidRDefault="000B1248" w:rsidP="005E1050">
            <w:pPr>
              <w:spacing w:before="20" w:after="48" w:line="240" w:lineRule="atLeast"/>
              <w:ind w:left="34"/>
              <w:rPr>
                <w:b/>
                <w:bCs/>
                <w:sz w:val="28"/>
                <w:szCs w:val="28"/>
                <w:lang w:val="es-ES"/>
              </w:rPr>
            </w:pPr>
            <w:r>
              <w:rPr>
                <w:b/>
                <w:bCs/>
                <w:sz w:val="28"/>
                <w:szCs w:val="28"/>
                <w:lang w:val="es-ES"/>
              </w:rPr>
              <w:t>Conferencia Mundial de Desarrollo de las Telecomunicaciones</w:t>
            </w:r>
            <w:r w:rsidR="00B951D0" w:rsidRPr="000B1248">
              <w:rPr>
                <w:b/>
                <w:bCs/>
                <w:sz w:val="28"/>
                <w:szCs w:val="28"/>
                <w:lang w:val="es-ES"/>
              </w:rPr>
              <w:t xml:space="preserve"> 2017 (</w:t>
            </w:r>
            <w:r w:rsidR="005E1050">
              <w:rPr>
                <w:b/>
                <w:bCs/>
                <w:sz w:val="28"/>
                <w:szCs w:val="28"/>
                <w:lang w:val="es-ES"/>
              </w:rPr>
              <w:t>CMDT</w:t>
            </w:r>
            <w:r w:rsidR="00B951D0" w:rsidRPr="000B1248">
              <w:rPr>
                <w:b/>
                <w:bCs/>
                <w:sz w:val="28"/>
                <w:szCs w:val="28"/>
                <w:lang w:val="es-ES"/>
              </w:rPr>
              <w:t>-17)</w:t>
            </w:r>
          </w:p>
          <w:p w:rsidR="00BC0382" w:rsidRPr="000B1248" w:rsidRDefault="00BC0382" w:rsidP="000B1248">
            <w:pPr>
              <w:spacing w:after="48" w:line="240" w:lineRule="atLeast"/>
              <w:ind w:left="34"/>
              <w:rPr>
                <w:b/>
                <w:bCs/>
                <w:sz w:val="28"/>
                <w:szCs w:val="28"/>
                <w:lang w:val="es-ES"/>
              </w:rPr>
            </w:pPr>
            <w:r w:rsidRPr="000B1248">
              <w:rPr>
                <w:b/>
                <w:bCs/>
                <w:sz w:val="26"/>
                <w:szCs w:val="26"/>
                <w:lang w:val="es-ES"/>
              </w:rPr>
              <w:t xml:space="preserve">Buenos Aires, Argentina, 9-20 </w:t>
            </w:r>
            <w:r w:rsidR="000B1248">
              <w:rPr>
                <w:b/>
                <w:bCs/>
                <w:sz w:val="26"/>
                <w:szCs w:val="26"/>
                <w:lang w:val="es-ES"/>
              </w:rPr>
              <w:t>de octubre de</w:t>
            </w:r>
            <w:r w:rsidRPr="000B1248">
              <w:rPr>
                <w:b/>
                <w:bCs/>
                <w:sz w:val="26"/>
                <w:szCs w:val="26"/>
                <w:lang w:val="es-ES"/>
              </w:rPr>
              <w:t xml:space="preserve"> 2017</w:t>
            </w:r>
          </w:p>
        </w:tc>
        <w:tc>
          <w:tcPr>
            <w:tcW w:w="3085" w:type="dxa"/>
          </w:tcPr>
          <w:p w:rsidR="00B951D0" w:rsidRPr="000B1248" w:rsidRDefault="00012949" w:rsidP="00B951D0">
            <w:pPr>
              <w:spacing w:before="0" w:line="240" w:lineRule="atLeast"/>
              <w:jc w:val="right"/>
              <w:rPr>
                <w:rFonts w:cstheme="minorHAnsi"/>
                <w:lang w:val="es-ES"/>
              </w:rPr>
            </w:pPr>
            <w:bookmarkStart w:id="0" w:name="ditulogo"/>
            <w:bookmarkEnd w:id="0"/>
            <w:r w:rsidRPr="00746B65">
              <w:rPr>
                <w:noProof/>
                <w:lang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D2165D" w:rsidTr="005E1050">
        <w:trPr>
          <w:cantSplit/>
        </w:trPr>
        <w:tc>
          <w:tcPr>
            <w:tcW w:w="6946" w:type="dxa"/>
            <w:gridSpan w:val="2"/>
            <w:tcBorders>
              <w:top w:val="single" w:sz="12" w:space="0" w:color="auto"/>
            </w:tcBorders>
          </w:tcPr>
          <w:p w:rsidR="00D83BF5" w:rsidRPr="000B1248" w:rsidRDefault="00D83BF5" w:rsidP="00B951D0">
            <w:pPr>
              <w:spacing w:before="0" w:after="48" w:line="240" w:lineRule="atLeast"/>
              <w:rPr>
                <w:rFonts w:cstheme="minorHAnsi"/>
                <w:b/>
                <w:smallCaps/>
                <w:sz w:val="20"/>
                <w:lang w:val="es-ES"/>
              </w:rPr>
            </w:pPr>
            <w:bookmarkStart w:id="1" w:name="dhead"/>
          </w:p>
        </w:tc>
        <w:tc>
          <w:tcPr>
            <w:tcW w:w="3085" w:type="dxa"/>
            <w:tcBorders>
              <w:top w:val="single" w:sz="12" w:space="0" w:color="auto"/>
            </w:tcBorders>
          </w:tcPr>
          <w:p w:rsidR="00D83BF5" w:rsidRPr="000B1248" w:rsidRDefault="00D83BF5" w:rsidP="00B951D0">
            <w:pPr>
              <w:spacing w:before="0" w:line="240" w:lineRule="atLeast"/>
              <w:rPr>
                <w:rFonts w:cstheme="minorHAnsi"/>
                <w:sz w:val="20"/>
                <w:lang w:val="es-ES"/>
              </w:rPr>
            </w:pPr>
          </w:p>
        </w:tc>
      </w:tr>
      <w:tr w:rsidR="00D83BF5" w:rsidRPr="000B1248" w:rsidTr="005E1050">
        <w:trPr>
          <w:cantSplit/>
          <w:trHeight w:val="23"/>
        </w:trPr>
        <w:tc>
          <w:tcPr>
            <w:tcW w:w="6946" w:type="dxa"/>
            <w:gridSpan w:val="2"/>
            <w:shd w:val="clear" w:color="auto" w:fill="auto"/>
          </w:tcPr>
          <w:p w:rsidR="00D83BF5" w:rsidRPr="000B1248" w:rsidRDefault="00D83BF5" w:rsidP="00CB2BB6">
            <w:pPr>
              <w:pStyle w:val="Committee"/>
              <w:framePr w:hSpace="0" w:wrap="auto" w:hAnchor="text" w:yAlign="inline"/>
              <w:rPr>
                <w:lang w:val="es-ES"/>
              </w:rPr>
            </w:pPr>
            <w:bookmarkStart w:id="2" w:name="dnum" w:colFirst="1" w:colLast="1"/>
            <w:bookmarkStart w:id="3" w:name="dmeeting" w:colFirst="0" w:colLast="0"/>
            <w:bookmarkEnd w:id="1"/>
          </w:p>
        </w:tc>
        <w:tc>
          <w:tcPr>
            <w:tcW w:w="3085" w:type="dxa"/>
          </w:tcPr>
          <w:p w:rsidR="00D83BF5" w:rsidRPr="000B1248" w:rsidRDefault="00D83BF5" w:rsidP="00D2165D">
            <w:pPr>
              <w:tabs>
                <w:tab w:val="left" w:pos="851"/>
              </w:tabs>
              <w:spacing w:before="0" w:line="240" w:lineRule="atLeast"/>
              <w:rPr>
                <w:rFonts w:cstheme="minorHAnsi"/>
                <w:szCs w:val="24"/>
                <w:lang w:val="es-ES"/>
              </w:rPr>
            </w:pPr>
            <w:r w:rsidRPr="000B1248">
              <w:rPr>
                <w:b/>
                <w:bCs/>
                <w:szCs w:val="24"/>
                <w:lang w:val="es-ES"/>
              </w:rPr>
              <w:t>Document</w:t>
            </w:r>
            <w:r w:rsidR="000B1248">
              <w:rPr>
                <w:b/>
                <w:bCs/>
                <w:szCs w:val="24"/>
                <w:lang w:val="es-ES"/>
              </w:rPr>
              <w:t>o</w:t>
            </w:r>
            <w:r w:rsidRPr="000B1248">
              <w:rPr>
                <w:b/>
                <w:bCs/>
                <w:szCs w:val="24"/>
                <w:lang w:val="es-ES"/>
              </w:rPr>
              <w:t xml:space="preserve"> </w:t>
            </w:r>
            <w:bookmarkStart w:id="4" w:name="DocRef1"/>
            <w:bookmarkEnd w:id="4"/>
            <w:r w:rsidR="0038489B" w:rsidRPr="000B1248">
              <w:rPr>
                <w:b/>
                <w:bCs/>
                <w:szCs w:val="24"/>
                <w:lang w:val="es-ES"/>
              </w:rPr>
              <w:t>WTDC</w:t>
            </w:r>
            <w:r w:rsidR="001060C0">
              <w:rPr>
                <w:b/>
                <w:bCs/>
                <w:szCs w:val="24"/>
                <w:lang w:val="es-ES"/>
              </w:rPr>
              <w:t>-</w:t>
            </w:r>
            <w:r w:rsidR="0038489B" w:rsidRPr="000B1248">
              <w:rPr>
                <w:b/>
                <w:bCs/>
                <w:szCs w:val="24"/>
                <w:lang w:val="es-ES"/>
              </w:rPr>
              <w:t>17</w:t>
            </w:r>
            <w:r w:rsidR="00D2165D">
              <w:rPr>
                <w:b/>
                <w:bCs/>
                <w:szCs w:val="24"/>
                <w:lang w:val="es-ES"/>
              </w:rPr>
              <w:t>/5</w:t>
            </w:r>
            <w:r w:rsidRPr="000B1248">
              <w:rPr>
                <w:b/>
                <w:bCs/>
                <w:szCs w:val="24"/>
                <w:lang w:val="es-ES"/>
              </w:rPr>
              <w:t>-</w:t>
            </w:r>
            <w:r w:rsidR="005E1050">
              <w:rPr>
                <w:b/>
                <w:bCs/>
                <w:szCs w:val="24"/>
                <w:lang w:val="es-ES"/>
              </w:rPr>
              <w:t>S</w:t>
            </w:r>
          </w:p>
        </w:tc>
      </w:tr>
      <w:tr w:rsidR="00D83BF5" w:rsidRPr="000B1248" w:rsidTr="005E1050">
        <w:trPr>
          <w:cantSplit/>
          <w:trHeight w:val="23"/>
        </w:trPr>
        <w:tc>
          <w:tcPr>
            <w:tcW w:w="6946" w:type="dxa"/>
            <w:gridSpan w:val="2"/>
            <w:shd w:val="clear" w:color="auto" w:fill="auto"/>
          </w:tcPr>
          <w:p w:rsidR="00D83BF5" w:rsidRPr="000B1248" w:rsidRDefault="00D83BF5" w:rsidP="00B951D0">
            <w:pPr>
              <w:tabs>
                <w:tab w:val="left" w:pos="851"/>
              </w:tabs>
              <w:spacing w:before="0" w:line="240" w:lineRule="atLeast"/>
              <w:rPr>
                <w:rFonts w:cstheme="minorHAnsi"/>
                <w:b/>
                <w:szCs w:val="24"/>
                <w:lang w:val="es-ES"/>
              </w:rPr>
            </w:pPr>
            <w:bookmarkStart w:id="5" w:name="ddate" w:colFirst="1" w:colLast="1"/>
            <w:bookmarkStart w:id="6" w:name="dblank" w:colFirst="0" w:colLast="0"/>
            <w:bookmarkEnd w:id="2"/>
            <w:bookmarkEnd w:id="3"/>
          </w:p>
        </w:tc>
        <w:tc>
          <w:tcPr>
            <w:tcW w:w="3085" w:type="dxa"/>
          </w:tcPr>
          <w:p w:rsidR="00D83BF5" w:rsidRPr="000B1248" w:rsidRDefault="00D2165D" w:rsidP="000B1248">
            <w:pPr>
              <w:spacing w:before="0" w:line="240" w:lineRule="atLeast"/>
              <w:rPr>
                <w:rFonts w:cstheme="minorHAnsi"/>
                <w:szCs w:val="24"/>
                <w:lang w:val="es-ES"/>
              </w:rPr>
            </w:pPr>
            <w:r>
              <w:rPr>
                <w:b/>
                <w:bCs/>
                <w:szCs w:val="28"/>
              </w:rPr>
              <w:t xml:space="preserve">12 </w:t>
            </w:r>
            <w:r w:rsidRPr="00C5465C">
              <w:rPr>
                <w:b/>
                <w:bCs/>
                <w:szCs w:val="28"/>
                <w:lang w:val="es-ES_tradnl"/>
              </w:rPr>
              <w:t xml:space="preserve">de junio de </w:t>
            </w:r>
            <w:r w:rsidR="00252ACF" w:rsidRPr="008F5D48">
              <w:rPr>
                <w:b/>
                <w:bCs/>
                <w:szCs w:val="28"/>
              </w:rPr>
              <w:t>2017</w:t>
            </w:r>
          </w:p>
        </w:tc>
      </w:tr>
      <w:tr w:rsidR="00D83BF5" w:rsidRPr="000B1248" w:rsidTr="005E1050">
        <w:trPr>
          <w:cantSplit/>
          <w:trHeight w:val="23"/>
        </w:trPr>
        <w:tc>
          <w:tcPr>
            <w:tcW w:w="6946" w:type="dxa"/>
            <w:gridSpan w:val="2"/>
            <w:shd w:val="clear" w:color="auto" w:fill="auto"/>
          </w:tcPr>
          <w:p w:rsidR="00D83BF5" w:rsidRPr="000B1248" w:rsidRDefault="00D83BF5" w:rsidP="00B951D0">
            <w:pPr>
              <w:tabs>
                <w:tab w:val="left" w:pos="851"/>
              </w:tabs>
              <w:spacing w:before="0" w:line="240" w:lineRule="atLeast"/>
              <w:rPr>
                <w:rFonts w:cstheme="minorHAnsi"/>
                <w:szCs w:val="24"/>
                <w:lang w:val="es-ES"/>
              </w:rPr>
            </w:pPr>
            <w:bookmarkStart w:id="7" w:name="dbluepink" w:colFirst="0" w:colLast="0"/>
            <w:bookmarkStart w:id="8" w:name="dorlang" w:colFirst="1" w:colLast="1"/>
            <w:bookmarkEnd w:id="5"/>
            <w:bookmarkEnd w:id="6"/>
          </w:p>
        </w:tc>
        <w:tc>
          <w:tcPr>
            <w:tcW w:w="3085" w:type="dxa"/>
          </w:tcPr>
          <w:p w:rsidR="00D83BF5" w:rsidRPr="000B1248" w:rsidRDefault="00D83BF5" w:rsidP="00D2165D">
            <w:pPr>
              <w:tabs>
                <w:tab w:val="left" w:pos="993"/>
              </w:tabs>
              <w:spacing w:before="0"/>
              <w:rPr>
                <w:rFonts w:cstheme="minorHAnsi"/>
                <w:b/>
                <w:szCs w:val="24"/>
                <w:lang w:val="es-ES"/>
              </w:rPr>
            </w:pPr>
            <w:r w:rsidRPr="000B1248">
              <w:rPr>
                <w:b/>
                <w:bCs/>
                <w:szCs w:val="24"/>
                <w:lang w:val="es-ES"/>
              </w:rPr>
              <w:t>Original:</w:t>
            </w:r>
            <w:r w:rsidR="00D2165D" w:rsidRPr="00C5465C">
              <w:rPr>
                <w:b/>
                <w:lang w:val="es-ES_tradnl"/>
              </w:rPr>
              <w:t xml:space="preserve"> inglés</w:t>
            </w:r>
          </w:p>
        </w:tc>
      </w:tr>
      <w:tr w:rsidR="00D83BF5" w:rsidRPr="00D2165D" w:rsidTr="007F735C">
        <w:trPr>
          <w:cantSplit/>
          <w:trHeight w:val="23"/>
        </w:trPr>
        <w:tc>
          <w:tcPr>
            <w:tcW w:w="10031" w:type="dxa"/>
            <w:gridSpan w:val="3"/>
            <w:shd w:val="clear" w:color="auto" w:fill="auto"/>
          </w:tcPr>
          <w:p w:rsidR="00D83BF5" w:rsidRPr="000B1248" w:rsidRDefault="00D2165D" w:rsidP="000B1248">
            <w:pPr>
              <w:pStyle w:val="Source"/>
              <w:spacing w:before="240" w:after="240"/>
              <w:rPr>
                <w:lang w:val="es-ES"/>
              </w:rPr>
            </w:pPr>
            <w:r w:rsidRPr="00C5465C">
              <w:rPr>
                <w:lang w:val="es-ES_tradnl"/>
              </w:rPr>
              <w:t xml:space="preserve">Presidente del Grupo Asesor de Desarrollo de </w:t>
            </w:r>
            <w:r w:rsidR="001241BD">
              <w:rPr>
                <w:lang w:val="es-ES_tradnl"/>
              </w:rPr>
              <w:br/>
            </w:r>
            <w:r w:rsidRPr="00C5465C">
              <w:rPr>
                <w:lang w:val="es-ES_tradnl"/>
              </w:rPr>
              <w:t>las Telecomunicaciones (GADT)</w:t>
            </w:r>
          </w:p>
        </w:tc>
      </w:tr>
      <w:tr w:rsidR="00D83BF5" w:rsidRPr="00D2165D" w:rsidTr="007F735C">
        <w:trPr>
          <w:cantSplit/>
          <w:trHeight w:val="23"/>
        </w:trPr>
        <w:tc>
          <w:tcPr>
            <w:tcW w:w="10031" w:type="dxa"/>
            <w:gridSpan w:val="3"/>
            <w:shd w:val="clear" w:color="auto" w:fill="auto"/>
            <w:vAlign w:val="center"/>
          </w:tcPr>
          <w:p w:rsidR="00D83BF5" w:rsidRPr="000B1248" w:rsidRDefault="00D2165D" w:rsidP="000B1248">
            <w:pPr>
              <w:pStyle w:val="Title1"/>
              <w:spacing w:before="120" w:after="120"/>
              <w:rPr>
                <w:lang w:val="es-ES"/>
              </w:rPr>
            </w:pPr>
            <w:r w:rsidRPr="00C5465C">
              <w:rPr>
                <w:lang w:val="es-ES_tradnl"/>
              </w:rPr>
              <w:t xml:space="preserve">Informe sobre las actividades del Grupo Asesor de Desarrollo </w:t>
            </w:r>
            <w:r>
              <w:rPr>
                <w:lang w:val="es-ES_tradnl"/>
              </w:rPr>
              <w:br/>
            </w:r>
            <w:r w:rsidRPr="00C5465C">
              <w:rPr>
                <w:lang w:val="es-ES_tradnl"/>
              </w:rPr>
              <w:t>de las Telecomunicaciones (GADT) a la cmdt-17</w:t>
            </w:r>
          </w:p>
        </w:tc>
      </w:tr>
      <w:tr w:rsidR="00D83BF5" w:rsidRPr="00D2165D" w:rsidTr="00B951D0">
        <w:trPr>
          <w:cantSplit/>
          <w:trHeight w:val="23"/>
        </w:trPr>
        <w:tc>
          <w:tcPr>
            <w:tcW w:w="10031" w:type="dxa"/>
            <w:gridSpan w:val="3"/>
            <w:tcBorders>
              <w:bottom w:val="single" w:sz="4" w:space="0" w:color="auto"/>
            </w:tcBorders>
            <w:shd w:val="clear" w:color="auto" w:fill="auto"/>
          </w:tcPr>
          <w:p w:rsidR="00D83BF5" w:rsidRPr="000B1248" w:rsidRDefault="00D83BF5" w:rsidP="00B911B2">
            <w:pPr>
              <w:pStyle w:val="Title1"/>
              <w:spacing w:before="120" w:after="120"/>
              <w:jc w:val="left"/>
              <w:rPr>
                <w:rFonts w:cs="Times New Roman Bold"/>
                <w:caps w:val="0"/>
                <w:szCs w:val="28"/>
                <w:lang w:val="es-ES"/>
              </w:rPr>
            </w:pPr>
          </w:p>
        </w:tc>
      </w:tr>
      <w:tr w:rsidR="0064322F" w:rsidRPr="00D2165D"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0B1248" w:rsidRDefault="000B1248" w:rsidP="00B951D0">
            <w:pPr>
              <w:rPr>
                <w:b/>
                <w:bCs/>
                <w:szCs w:val="24"/>
                <w:lang w:val="es-ES"/>
              </w:rPr>
            </w:pPr>
            <w:r>
              <w:rPr>
                <w:b/>
                <w:bCs/>
                <w:szCs w:val="24"/>
                <w:lang w:val="es-ES"/>
              </w:rPr>
              <w:t>Resumen</w:t>
            </w:r>
            <w:r w:rsidR="00D9621A" w:rsidRPr="000B1248">
              <w:rPr>
                <w:b/>
                <w:bCs/>
                <w:szCs w:val="24"/>
                <w:lang w:val="es-ES"/>
              </w:rPr>
              <w:t>:</w:t>
            </w:r>
          </w:p>
          <w:p w:rsidR="00D9621A" w:rsidRPr="000B1248" w:rsidRDefault="00D2165D" w:rsidP="000B1248">
            <w:pPr>
              <w:rPr>
                <w:szCs w:val="24"/>
                <w:lang w:val="es-ES"/>
              </w:rPr>
            </w:pPr>
            <w:r w:rsidRPr="00C5465C">
              <w:rPr>
                <w:lang w:val="es-ES_tradnl"/>
              </w:rPr>
              <w:t>El presente informe contiene un resumen del trabajo realizado por el Grupo Asesor de Desarrollo de las Telecomunicaciones (GADT) durante el periodo 2014-2017.</w:t>
            </w:r>
          </w:p>
          <w:p w:rsidR="00D9621A" w:rsidRPr="000B1248" w:rsidRDefault="000B1248" w:rsidP="00B951D0">
            <w:pPr>
              <w:rPr>
                <w:b/>
                <w:bCs/>
                <w:szCs w:val="24"/>
                <w:lang w:val="es-ES"/>
              </w:rPr>
            </w:pPr>
            <w:r>
              <w:rPr>
                <w:b/>
                <w:bCs/>
                <w:szCs w:val="24"/>
                <w:lang w:val="es-ES"/>
              </w:rPr>
              <w:t>Resultados previstos</w:t>
            </w:r>
            <w:r w:rsidR="00D9621A" w:rsidRPr="000B1248">
              <w:rPr>
                <w:b/>
                <w:bCs/>
                <w:szCs w:val="24"/>
                <w:lang w:val="es-ES"/>
              </w:rPr>
              <w:t>:</w:t>
            </w:r>
          </w:p>
          <w:p w:rsidR="00D9621A" w:rsidRPr="000B1248" w:rsidRDefault="00D2165D" w:rsidP="00B951D0">
            <w:pPr>
              <w:rPr>
                <w:szCs w:val="24"/>
                <w:lang w:val="es-ES"/>
              </w:rPr>
            </w:pPr>
            <w:r w:rsidRPr="00C5465C">
              <w:rPr>
                <w:lang w:val="es-ES_tradnl"/>
              </w:rPr>
              <w:t>Se invita a</w:t>
            </w:r>
            <w:r>
              <w:rPr>
                <w:lang w:val="es-ES_tradnl"/>
              </w:rPr>
              <w:t xml:space="preserve"> la CMDT-17</w:t>
            </w:r>
            <w:r w:rsidRPr="00C5465C">
              <w:rPr>
                <w:lang w:val="es-ES_tradnl"/>
              </w:rPr>
              <w:t xml:space="preserve"> a tomar </w:t>
            </w:r>
            <w:r>
              <w:rPr>
                <w:lang w:val="es-ES_tradnl"/>
              </w:rPr>
              <w:t>nota del presente informe</w:t>
            </w:r>
            <w:r w:rsidRPr="00C5465C">
              <w:rPr>
                <w:lang w:val="es-ES_tradnl"/>
              </w:rPr>
              <w:t>.</w:t>
            </w:r>
          </w:p>
          <w:p w:rsidR="00D9621A" w:rsidRPr="000B1248" w:rsidRDefault="00D9621A" w:rsidP="000B1248">
            <w:pPr>
              <w:rPr>
                <w:b/>
                <w:bCs/>
                <w:szCs w:val="24"/>
                <w:lang w:val="es-ES"/>
              </w:rPr>
            </w:pPr>
            <w:r w:rsidRPr="000B1248">
              <w:rPr>
                <w:b/>
                <w:bCs/>
                <w:szCs w:val="24"/>
                <w:lang w:val="es-ES"/>
              </w:rPr>
              <w:t>Referenc</w:t>
            </w:r>
            <w:r w:rsidR="000B1248">
              <w:rPr>
                <w:b/>
                <w:bCs/>
                <w:szCs w:val="24"/>
                <w:lang w:val="es-ES"/>
              </w:rPr>
              <w:t>ia</w:t>
            </w:r>
            <w:r w:rsidRPr="000B1248">
              <w:rPr>
                <w:b/>
                <w:bCs/>
                <w:szCs w:val="24"/>
                <w:lang w:val="es-ES"/>
              </w:rPr>
              <w:t>s:</w:t>
            </w:r>
          </w:p>
          <w:p w:rsidR="00D9621A" w:rsidRPr="000B1248" w:rsidRDefault="00D2165D" w:rsidP="00D2165D">
            <w:pPr>
              <w:spacing w:after="120"/>
              <w:rPr>
                <w:lang w:val="es-ES"/>
              </w:rPr>
            </w:pPr>
            <w:hyperlink r:id="rId14" w:history="1">
              <w:r w:rsidRPr="00C5465C">
                <w:rPr>
                  <w:rStyle w:val="Hyperlink"/>
                  <w:lang w:val="es-ES_tradnl"/>
                </w:rPr>
                <w:t>TDAG14-19/26</w:t>
              </w:r>
            </w:hyperlink>
            <w:r w:rsidRPr="00C5465C">
              <w:rPr>
                <w:lang w:val="es-ES_tradnl"/>
              </w:rPr>
              <w:t xml:space="preserve">, </w:t>
            </w:r>
            <w:hyperlink r:id="rId15" w:history="1">
              <w:r w:rsidRPr="00C5465C">
                <w:rPr>
                  <w:rStyle w:val="Hyperlink"/>
                  <w:lang w:val="es-ES_tradnl"/>
                </w:rPr>
                <w:t>TDAG15-20/32</w:t>
              </w:r>
            </w:hyperlink>
            <w:r w:rsidRPr="00C5465C">
              <w:rPr>
                <w:lang w:val="es-ES_tradnl"/>
              </w:rPr>
              <w:t xml:space="preserve">, </w:t>
            </w:r>
            <w:hyperlink r:id="rId16" w:history="1">
              <w:r w:rsidRPr="00C5465C">
                <w:rPr>
                  <w:rStyle w:val="Hyperlink"/>
                  <w:lang w:val="es-ES_tradnl"/>
                </w:rPr>
                <w:t>TDAG16-21/43</w:t>
              </w:r>
            </w:hyperlink>
            <w:r w:rsidRPr="00C5465C">
              <w:rPr>
                <w:lang w:val="es-ES_tradnl"/>
              </w:rPr>
              <w:t xml:space="preserve">, </w:t>
            </w:r>
            <w:hyperlink r:id="rId17" w:history="1">
              <w:r w:rsidRPr="00C5465C">
                <w:rPr>
                  <w:rStyle w:val="Hyperlink"/>
                  <w:lang w:val="es-ES_tradnl"/>
                </w:rPr>
                <w:t>TDAG17-22/76</w:t>
              </w:r>
            </w:hyperlink>
          </w:p>
        </w:tc>
      </w:tr>
    </w:tbl>
    <w:p w:rsidR="00D2165D" w:rsidRDefault="00D2165D" w:rsidP="00D2165D">
      <w:pPr>
        <w:spacing w:before="0"/>
        <w:rPr>
          <w:lang w:val="es-ES_tradnl"/>
        </w:rPr>
      </w:pPr>
      <w:bookmarkStart w:id="9" w:name="lt_pId028"/>
      <w:bookmarkEnd w:id="7"/>
      <w:bookmarkEnd w:id="8"/>
    </w:p>
    <w:p w:rsidR="00D2165D" w:rsidRDefault="00D2165D">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sdt>
      <w:sdtPr>
        <w:rPr>
          <w:lang w:val="es-ES_tradnl"/>
        </w:rPr>
        <w:id w:val="935324650"/>
        <w:docPartObj>
          <w:docPartGallery w:val="Table of Contents"/>
          <w:docPartUnique/>
        </w:docPartObj>
      </w:sdtPr>
      <w:sdtEndPr>
        <w:rPr>
          <w:b/>
          <w:bCs/>
          <w:noProof/>
        </w:rPr>
      </w:sdtEndPr>
      <w:sdtContent>
        <w:p w:rsidR="00D2165D" w:rsidRDefault="00D2165D">
          <w:pPr>
            <w:pStyle w:val="TOC1"/>
            <w:rPr>
              <w:rFonts w:eastAsiaTheme="minorEastAsia" w:cstheme="minorBidi"/>
              <w:noProof/>
              <w:sz w:val="22"/>
              <w:szCs w:val="22"/>
              <w:lang w:val="en-US" w:eastAsia="zh-CN"/>
            </w:rPr>
          </w:pPr>
          <w:r>
            <w:rPr>
              <w:lang w:val="es-ES_tradnl"/>
            </w:rPr>
            <w:fldChar w:fldCharType="begin"/>
          </w:r>
          <w:r>
            <w:rPr>
              <w:lang w:val="es-ES_tradnl"/>
            </w:rPr>
            <w:instrText xml:space="preserve"> TOC \o "1-2" \h \z \u </w:instrText>
          </w:r>
          <w:r>
            <w:rPr>
              <w:lang w:val="es-ES_tradnl"/>
            </w:rPr>
            <w:fldChar w:fldCharType="separate"/>
          </w:r>
          <w:hyperlink w:anchor="_Toc487791217" w:history="1">
            <w:r w:rsidRPr="0014739E">
              <w:rPr>
                <w:rStyle w:val="Hyperlink"/>
                <w:noProof/>
                <w:lang w:val="es-ES_tradnl"/>
              </w:rPr>
              <w:t>1</w:t>
            </w:r>
            <w:r>
              <w:rPr>
                <w:rFonts w:eastAsiaTheme="minorEastAsia" w:cstheme="minorBidi"/>
                <w:noProof/>
                <w:sz w:val="22"/>
                <w:szCs w:val="22"/>
                <w:lang w:val="en-US" w:eastAsia="zh-CN"/>
              </w:rPr>
              <w:tab/>
            </w:r>
            <w:r w:rsidRPr="0014739E">
              <w:rPr>
                <w:rStyle w:val="Hyperlink"/>
                <w:noProof/>
                <w:lang w:val="es-ES_tradnl"/>
              </w:rPr>
              <w:t>Introducción</w:t>
            </w:r>
            <w:r>
              <w:rPr>
                <w:noProof/>
                <w:webHidden/>
              </w:rPr>
              <w:tab/>
            </w:r>
            <w:r w:rsidR="00E12BAB">
              <w:rPr>
                <w:noProof/>
                <w:webHidden/>
              </w:rPr>
              <w:tab/>
            </w:r>
            <w:r w:rsidR="00E12BAB">
              <w:rPr>
                <w:noProof/>
                <w:webHidden/>
              </w:rPr>
              <w:tab/>
            </w:r>
            <w:r>
              <w:rPr>
                <w:noProof/>
                <w:webHidden/>
              </w:rPr>
              <w:fldChar w:fldCharType="begin"/>
            </w:r>
            <w:r>
              <w:rPr>
                <w:noProof/>
                <w:webHidden/>
              </w:rPr>
              <w:instrText xml:space="preserve"> PAGEREF _Toc487791217 \h </w:instrText>
            </w:r>
            <w:r>
              <w:rPr>
                <w:noProof/>
                <w:webHidden/>
              </w:rPr>
            </w:r>
            <w:r>
              <w:rPr>
                <w:noProof/>
                <w:webHidden/>
              </w:rPr>
              <w:fldChar w:fldCharType="separate"/>
            </w:r>
            <w:r>
              <w:rPr>
                <w:noProof/>
                <w:webHidden/>
              </w:rPr>
              <w:t>3</w:t>
            </w:r>
            <w:r>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18" w:history="1">
            <w:r w:rsidR="00D2165D" w:rsidRPr="0014739E">
              <w:rPr>
                <w:rStyle w:val="Hyperlink"/>
                <w:noProof/>
                <w:lang w:val="es-ES_tradnl"/>
              </w:rPr>
              <w:t>1.1</w:t>
            </w:r>
            <w:r w:rsidR="00D2165D">
              <w:rPr>
                <w:rFonts w:eastAsiaTheme="minorEastAsia" w:cstheme="minorBidi"/>
                <w:noProof/>
                <w:sz w:val="22"/>
                <w:szCs w:val="22"/>
                <w:lang w:val="en-US" w:eastAsia="zh-CN"/>
              </w:rPr>
              <w:tab/>
            </w:r>
            <w:r w:rsidR="00D2165D" w:rsidRPr="0014739E">
              <w:rPr>
                <w:rStyle w:val="Hyperlink"/>
                <w:noProof/>
                <w:lang w:val="es-ES_tradnl"/>
              </w:rPr>
              <w:t>Mandato del GADT</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_Toc487791218 \h </w:instrText>
            </w:r>
            <w:r w:rsidR="00D2165D">
              <w:rPr>
                <w:noProof/>
                <w:webHidden/>
              </w:rPr>
            </w:r>
            <w:r w:rsidR="00D2165D">
              <w:rPr>
                <w:noProof/>
                <w:webHidden/>
              </w:rPr>
              <w:fldChar w:fldCharType="separate"/>
            </w:r>
            <w:r w:rsidR="00D2165D">
              <w:rPr>
                <w:noProof/>
                <w:webHidden/>
              </w:rPr>
              <w:t>3</w:t>
            </w:r>
            <w:r w:rsidR="00D2165D">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19" w:history="1">
            <w:r w:rsidR="00D2165D" w:rsidRPr="0014739E">
              <w:rPr>
                <w:rStyle w:val="Hyperlink"/>
                <w:noProof/>
                <w:lang w:val="es-ES_tradnl"/>
              </w:rPr>
              <w:t>1.2</w:t>
            </w:r>
            <w:r w:rsidR="00D2165D">
              <w:rPr>
                <w:rFonts w:eastAsiaTheme="minorEastAsia" w:cstheme="minorBidi"/>
                <w:noProof/>
                <w:sz w:val="22"/>
                <w:szCs w:val="22"/>
                <w:lang w:val="en-US" w:eastAsia="zh-CN"/>
              </w:rPr>
              <w:tab/>
            </w:r>
            <w:r w:rsidR="00D2165D" w:rsidRPr="0014739E">
              <w:rPr>
                <w:rStyle w:val="Hyperlink"/>
                <w:noProof/>
                <w:lang w:val="es-ES_tradnl"/>
              </w:rPr>
              <w:t>Oficina del Grupo Asesor de Desarrollo de las Telecomunicaciones</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_Toc487791219 \h </w:instrText>
            </w:r>
            <w:r w:rsidR="00D2165D">
              <w:rPr>
                <w:noProof/>
                <w:webHidden/>
              </w:rPr>
            </w:r>
            <w:r w:rsidR="00D2165D">
              <w:rPr>
                <w:noProof/>
                <w:webHidden/>
              </w:rPr>
              <w:fldChar w:fldCharType="separate"/>
            </w:r>
            <w:r w:rsidR="00D2165D">
              <w:rPr>
                <w:noProof/>
                <w:webHidden/>
              </w:rPr>
              <w:t>3</w:t>
            </w:r>
            <w:r w:rsidR="00D2165D">
              <w:rPr>
                <w:noProof/>
                <w:webHidden/>
              </w:rPr>
              <w:fldChar w:fldCharType="end"/>
            </w:r>
          </w:hyperlink>
        </w:p>
        <w:p w:rsidR="00D2165D" w:rsidRDefault="008E5C4B">
          <w:pPr>
            <w:pStyle w:val="TOC1"/>
            <w:rPr>
              <w:rFonts w:eastAsiaTheme="minorEastAsia" w:cstheme="minorBidi"/>
              <w:noProof/>
              <w:sz w:val="22"/>
              <w:szCs w:val="22"/>
              <w:lang w:val="en-US" w:eastAsia="zh-CN"/>
            </w:rPr>
          </w:pPr>
          <w:hyperlink w:anchor="_Toc487791220" w:history="1">
            <w:r w:rsidR="00D2165D" w:rsidRPr="0014739E">
              <w:rPr>
                <w:rStyle w:val="Hyperlink"/>
                <w:noProof/>
                <w:lang w:val="es-ES_tradnl"/>
              </w:rPr>
              <w:t>2</w:t>
            </w:r>
            <w:r w:rsidR="00D2165D">
              <w:rPr>
                <w:rFonts w:eastAsiaTheme="minorEastAsia" w:cstheme="minorBidi"/>
                <w:noProof/>
                <w:sz w:val="22"/>
                <w:szCs w:val="22"/>
                <w:lang w:val="en-US" w:eastAsia="zh-CN"/>
              </w:rPr>
              <w:tab/>
            </w:r>
            <w:r w:rsidR="00D2165D" w:rsidRPr="0014739E">
              <w:rPr>
                <w:rStyle w:val="Hyperlink"/>
                <w:noProof/>
                <w:lang w:val="es-ES_tradnl"/>
              </w:rPr>
              <w:t>Reuniones del GADT</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_Toc487791220 \h </w:instrText>
            </w:r>
            <w:r w:rsidR="00D2165D">
              <w:rPr>
                <w:noProof/>
                <w:webHidden/>
              </w:rPr>
            </w:r>
            <w:r w:rsidR="00D2165D">
              <w:rPr>
                <w:noProof/>
                <w:webHidden/>
              </w:rPr>
              <w:fldChar w:fldCharType="separate"/>
            </w:r>
            <w:r w:rsidR="00D2165D">
              <w:rPr>
                <w:noProof/>
                <w:webHidden/>
              </w:rPr>
              <w:t>3</w:t>
            </w:r>
            <w:r w:rsidR="00D2165D">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21" w:history="1">
            <w:r w:rsidR="00D2165D" w:rsidRPr="0014739E">
              <w:rPr>
                <w:rStyle w:val="Hyperlink"/>
                <w:noProof/>
                <w:lang w:val="es-ES_tradnl"/>
              </w:rPr>
              <w:t>2.1</w:t>
            </w:r>
            <w:r w:rsidR="00D2165D">
              <w:rPr>
                <w:rFonts w:eastAsiaTheme="minorEastAsia" w:cstheme="minorBidi"/>
                <w:noProof/>
                <w:sz w:val="22"/>
                <w:szCs w:val="22"/>
                <w:lang w:val="en-US" w:eastAsia="zh-CN"/>
              </w:rPr>
              <w:tab/>
            </w:r>
            <w:r w:rsidR="00D2165D" w:rsidRPr="0014739E">
              <w:rPr>
                <w:rStyle w:val="Hyperlink"/>
                <w:noProof/>
                <w:lang w:val="es-ES_tradnl"/>
              </w:rPr>
              <w:t>Decimonovena reunión del GADT</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_Toc487791221 \h </w:instrText>
            </w:r>
            <w:r w:rsidR="00D2165D">
              <w:rPr>
                <w:noProof/>
                <w:webHidden/>
              </w:rPr>
            </w:r>
            <w:r w:rsidR="00D2165D">
              <w:rPr>
                <w:noProof/>
                <w:webHidden/>
              </w:rPr>
              <w:fldChar w:fldCharType="separate"/>
            </w:r>
            <w:r w:rsidR="00D2165D">
              <w:rPr>
                <w:noProof/>
                <w:webHidden/>
              </w:rPr>
              <w:t>3</w:t>
            </w:r>
            <w:r w:rsidR="00D2165D">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22" w:history="1">
            <w:r w:rsidR="00D2165D" w:rsidRPr="0014739E">
              <w:rPr>
                <w:rStyle w:val="Hyperlink"/>
                <w:noProof/>
                <w:lang w:val="es-ES_tradnl"/>
              </w:rPr>
              <w:t>2.2</w:t>
            </w:r>
            <w:r w:rsidR="00D2165D">
              <w:rPr>
                <w:rFonts w:eastAsiaTheme="minorEastAsia" w:cstheme="minorBidi"/>
                <w:noProof/>
                <w:sz w:val="22"/>
                <w:szCs w:val="22"/>
                <w:lang w:val="en-US" w:eastAsia="zh-CN"/>
              </w:rPr>
              <w:tab/>
            </w:r>
            <w:r w:rsidR="00D2165D" w:rsidRPr="0014739E">
              <w:rPr>
                <w:rStyle w:val="Hyperlink"/>
                <w:noProof/>
                <w:lang w:val="es-ES_tradnl"/>
              </w:rPr>
              <w:t>20ª reunión del GADT</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_Toc487791222 \h </w:instrText>
            </w:r>
            <w:r w:rsidR="00D2165D">
              <w:rPr>
                <w:noProof/>
                <w:webHidden/>
              </w:rPr>
            </w:r>
            <w:r w:rsidR="00D2165D">
              <w:rPr>
                <w:noProof/>
                <w:webHidden/>
              </w:rPr>
              <w:fldChar w:fldCharType="separate"/>
            </w:r>
            <w:r w:rsidR="00D2165D">
              <w:rPr>
                <w:noProof/>
                <w:webHidden/>
              </w:rPr>
              <w:t>8</w:t>
            </w:r>
            <w:r w:rsidR="00D2165D">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23" w:history="1">
            <w:r w:rsidR="00D2165D" w:rsidRPr="0014739E">
              <w:rPr>
                <w:rStyle w:val="Hyperlink"/>
                <w:noProof/>
                <w:lang w:val="es-ES_tradnl"/>
              </w:rPr>
              <w:t>2.3</w:t>
            </w:r>
            <w:r w:rsidR="00D2165D">
              <w:rPr>
                <w:rFonts w:eastAsiaTheme="minorEastAsia" w:cstheme="minorBidi"/>
                <w:noProof/>
                <w:sz w:val="22"/>
                <w:szCs w:val="22"/>
                <w:lang w:val="en-US" w:eastAsia="zh-CN"/>
              </w:rPr>
              <w:tab/>
            </w:r>
            <w:r w:rsidR="00D2165D" w:rsidRPr="0014739E">
              <w:rPr>
                <w:rStyle w:val="Hyperlink"/>
                <w:noProof/>
                <w:lang w:val="es-ES_tradnl"/>
              </w:rPr>
              <w:t>21ª reunión del GADT</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_Toc487791223 \h </w:instrText>
            </w:r>
            <w:r w:rsidR="00D2165D">
              <w:rPr>
                <w:noProof/>
                <w:webHidden/>
              </w:rPr>
            </w:r>
            <w:r w:rsidR="00D2165D">
              <w:rPr>
                <w:noProof/>
                <w:webHidden/>
              </w:rPr>
              <w:fldChar w:fldCharType="separate"/>
            </w:r>
            <w:r w:rsidR="00D2165D">
              <w:rPr>
                <w:noProof/>
                <w:webHidden/>
              </w:rPr>
              <w:t>12</w:t>
            </w:r>
            <w:r w:rsidR="00D2165D">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24" w:history="1">
            <w:r w:rsidR="00D2165D" w:rsidRPr="0014739E">
              <w:rPr>
                <w:rStyle w:val="Hyperlink"/>
                <w:noProof/>
                <w:lang w:val="es-ES_tradnl"/>
              </w:rPr>
              <w:t>2.4</w:t>
            </w:r>
            <w:r w:rsidR="00D2165D">
              <w:rPr>
                <w:rFonts w:eastAsiaTheme="minorEastAsia" w:cstheme="minorBidi"/>
                <w:noProof/>
                <w:sz w:val="22"/>
                <w:szCs w:val="22"/>
                <w:lang w:val="en-US" w:eastAsia="zh-CN"/>
              </w:rPr>
              <w:tab/>
            </w:r>
            <w:r w:rsidR="00D2165D" w:rsidRPr="0014739E">
              <w:rPr>
                <w:rStyle w:val="Hyperlink"/>
                <w:noProof/>
                <w:lang w:val="es-ES_tradnl"/>
              </w:rPr>
              <w:t>22ª reunión del GADT</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_Toc487791224 \h </w:instrText>
            </w:r>
            <w:r w:rsidR="00D2165D">
              <w:rPr>
                <w:noProof/>
                <w:webHidden/>
              </w:rPr>
            </w:r>
            <w:r w:rsidR="00D2165D">
              <w:rPr>
                <w:noProof/>
                <w:webHidden/>
              </w:rPr>
              <w:fldChar w:fldCharType="separate"/>
            </w:r>
            <w:r w:rsidR="00D2165D">
              <w:rPr>
                <w:noProof/>
                <w:webHidden/>
              </w:rPr>
              <w:t>17</w:t>
            </w:r>
            <w:r w:rsidR="00D2165D">
              <w:rPr>
                <w:noProof/>
                <w:webHidden/>
              </w:rPr>
              <w:fldChar w:fldCharType="end"/>
            </w:r>
          </w:hyperlink>
        </w:p>
        <w:p w:rsidR="00D2165D" w:rsidRDefault="008E5C4B">
          <w:pPr>
            <w:pStyle w:val="TOC1"/>
            <w:rPr>
              <w:rFonts w:eastAsiaTheme="minorEastAsia" w:cstheme="minorBidi"/>
              <w:noProof/>
              <w:sz w:val="22"/>
              <w:szCs w:val="22"/>
              <w:lang w:val="en-US" w:eastAsia="zh-CN"/>
            </w:rPr>
          </w:pPr>
          <w:hyperlink w:anchor="_Toc487791225" w:history="1">
            <w:r w:rsidR="00D2165D" w:rsidRPr="0014739E">
              <w:rPr>
                <w:rStyle w:val="Hyperlink"/>
                <w:noProof/>
                <w:lang w:val="es-ES_tradnl"/>
              </w:rPr>
              <w:t>3</w:t>
            </w:r>
            <w:r w:rsidR="00D2165D">
              <w:rPr>
                <w:rFonts w:eastAsiaTheme="minorEastAsia" w:cstheme="minorBidi"/>
                <w:noProof/>
                <w:sz w:val="22"/>
                <w:szCs w:val="22"/>
                <w:lang w:val="en-US" w:eastAsia="zh-CN"/>
              </w:rPr>
              <w:tab/>
            </w:r>
            <w:r w:rsidR="00D2165D" w:rsidRPr="0014739E">
              <w:rPr>
                <w:rStyle w:val="Hyperlink"/>
                <w:noProof/>
                <w:lang w:val="es-ES_tradnl"/>
              </w:rPr>
              <w:t>Reuniones del Grupo por Correspondencia del GADT</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_Toc487791225 \h </w:instrText>
            </w:r>
            <w:r w:rsidR="00D2165D">
              <w:rPr>
                <w:noProof/>
                <w:webHidden/>
              </w:rPr>
            </w:r>
            <w:r w:rsidR="00D2165D">
              <w:rPr>
                <w:noProof/>
                <w:webHidden/>
              </w:rPr>
              <w:fldChar w:fldCharType="separate"/>
            </w:r>
            <w:r w:rsidR="00D2165D">
              <w:rPr>
                <w:noProof/>
                <w:webHidden/>
              </w:rPr>
              <w:t>24</w:t>
            </w:r>
            <w:r w:rsidR="00D2165D">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26" w:history="1">
            <w:r w:rsidR="00D2165D" w:rsidRPr="0014739E">
              <w:rPr>
                <w:rStyle w:val="Hyperlink"/>
                <w:noProof/>
                <w:lang w:val="es-ES_tradnl"/>
              </w:rPr>
              <w:t>3.1</w:t>
            </w:r>
            <w:r w:rsidR="00D2165D">
              <w:rPr>
                <w:rFonts w:eastAsiaTheme="minorEastAsia" w:cstheme="minorBidi"/>
                <w:noProof/>
                <w:sz w:val="22"/>
                <w:szCs w:val="22"/>
                <w:lang w:val="en-US" w:eastAsia="zh-CN"/>
              </w:rPr>
              <w:tab/>
            </w:r>
            <w:r w:rsidR="00D2165D" w:rsidRPr="0014739E">
              <w:rPr>
                <w:rStyle w:val="Hyperlink"/>
                <w:noProof/>
                <w:lang w:val="es-ES_tradnl"/>
              </w:rPr>
              <w:t xml:space="preserve">Grupo por Correspondencia del GADT sobre el Reglamento interno </w:t>
            </w:r>
            <w:r w:rsidR="00E12BAB">
              <w:rPr>
                <w:rStyle w:val="Hyperlink"/>
                <w:noProof/>
                <w:lang w:val="es-ES_tradnl"/>
              </w:rPr>
              <w:br/>
            </w:r>
            <w:r w:rsidR="00D2165D" w:rsidRPr="0014739E">
              <w:rPr>
                <w:rStyle w:val="Hyperlink"/>
                <w:noProof/>
                <w:lang w:val="es-ES_tradnl"/>
              </w:rPr>
              <w:t>del UIT-D (Resolución 1)</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_Toc487791226 \h </w:instrText>
            </w:r>
            <w:r w:rsidR="00D2165D">
              <w:rPr>
                <w:noProof/>
                <w:webHidden/>
              </w:rPr>
            </w:r>
            <w:r w:rsidR="00D2165D">
              <w:rPr>
                <w:noProof/>
                <w:webHidden/>
              </w:rPr>
              <w:fldChar w:fldCharType="separate"/>
            </w:r>
            <w:r w:rsidR="00D2165D">
              <w:rPr>
                <w:noProof/>
                <w:webHidden/>
              </w:rPr>
              <w:t>24</w:t>
            </w:r>
            <w:r w:rsidR="00D2165D">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27" w:history="1">
            <w:r w:rsidR="00D2165D" w:rsidRPr="0014739E">
              <w:rPr>
                <w:rStyle w:val="Hyperlink"/>
                <w:noProof/>
                <w:lang w:val="es-ES_tradnl"/>
              </w:rPr>
              <w:t>3.2</w:t>
            </w:r>
            <w:r w:rsidR="00D2165D">
              <w:rPr>
                <w:rFonts w:eastAsiaTheme="minorEastAsia" w:cstheme="minorBidi"/>
                <w:noProof/>
                <w:sz w:val="22"/>
                <w:szCs w:val="22"/>
                <w:lang w:val="en-US" w:eastAsia="zh-CN"/>
              </w:rPr>
              <w:tab/>
            </w:r>
            <w:r w:rsidR="00D2165D" w:rsidRPr="0014739E">
              <w:rPr>
                <w:rStyle w:val="Hyperlink"/>
                <w:noProof/>
                <w:lang w:val="es-ES_tradnl"/>
              </w:rPr>
              <w:t xml:space="preserve">Grupo por Correspondencia del GADT sobre el Plan Estratégico, el Plan Operacional </w:t>
            </w:r>
            <w:r w:rsidR="00E12BAB">
              <w:rPr>
                <w:rStyle w:val="Hyperlink"/>
                <w:noProof/>
                <w:lang w:val="es-ES_tradnl"/>
              </w:rPr>
              <w:br/>
            </w:r>
            <w:r w:rsidR="00D2165D" w:rsidRPr="0014739E">
              <w:rPr>
                <w:rStyle w:val="Hyperlink"/>
                <w:noProof/>
                <w:lang w:val="es-ES_tradnl"/>
              </w:rPr>
              <w:t>y la Declaración</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_Toc487791227 \h </w:instrText>
            </w:r>
            <w:r w:rsidR="00D2165D">
              <w:rPr>
                <w:noProof/>
                <w:webHidden/>
              </w:rPr>
            </w:r>
            <w:r w:rsidR="00D2165D">
              <w:rPr>
                <w:noProof/>
                <w:webHidden/>
              </w:rPr>
              <w:fldChar w:fldCharType="separate"/>
            </w:r>
            <w:r w:rsidR="00D2165D">
              <w:rPr>
                <w:noProof/>
                <w:webHidden/>
              </w:rPr>
              <w:t>25</w:t>
            </w:r>
            <w:r w:rsidR="00D2165D">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28" w:history="1">
            <w:r w:rsidR="00D2165D" w:rsidRPr="0014739E">
              <w:rPr>
                <w:rStyle w:val="Hyperlink"/>
                <w:noProof/>
                <w:lang w:val="es-ES_tradnl"/>
              </w:rPr>
              <w:t>3.3</w:t>
            </w:r>
            <w:r w:rsidR="00D2165D">
              <w:rPr>
                <w:rFonts w:eastAsiaTheme="minorEastAsia" w:cstheme="minorBidi"/>
                <w:noProof/>
                <w:sz w:val="22"/>
                <w:szCs w:val="22"/>
                <w:lang w:val="en-US" w:eastAsia="zh-CN"/>
              </w:rPr>
              <w:tab/>
            </w:r>
            <w:r w:rsidR="00D2165D" w:rsidRPr="0014739E">
              <w:rPr>
                <w:rStyle w:val="Hyperlink"/>
                <w:noProof/>
                <w:lang w:val="es-ES_tradnl"/>
              </w:rPr>
              <w:t xml:space="preserve">Grupo por Correspondencia del GADT sobre racionalización de las </w:t>
            </w:r>
            <w:r w:rsidR="00E12BAB">
              <w:rPr>
                <w:rStyle w:val="Hyperlink"/>
                <w:noProof/>
                <w:lang w:val="es-ES_tradnl"/>
              </w:rPr>
              <w:br/>
            </w:r>
            <w:r w:rsidR="00D2165D" w:rsidRPr="0014739E">
              <w:rPr>
                <w:rStyle w:val="Hyperlink"/>
                <w:noProof/>
                <w:lang w:val="es-ES_tradnl"/>
              </w:rPr>
              <w:t>Resoluciones de la CMDT</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_Toc487791228 \h </w:instrText>
            </w:r>
            <w:r w:rsidR="00D2165D">
              <w:rPr>
                <w:noProof/>
                <w:webHidden/>
              </w:rPr>
            </w:r>
            <w:r w:rsidR="00D2165D">
              <w:rPr>
                <w:noProof/>
                <w:webHidden/>
              </w:rPr>
              <w:fldChar w:fldCharType="separate"/>
            </w:r>
            <w:r w:rsidR="00D2165D">
              <w:rPr>
                <w:noProof/>
                <w:webHidden/>
              </w:rPr>
              <w:t>26</w:t>
            </w:r>
            <w:r w:rsidR="00D2165D">
              <w:rPr>
                <w:noProof/>
                <w:webHidden/>
              </w:rPr>
              <w:fldChar w:fldCharType="end"/>
            </w:r>
          </w:hyperlink>
        </w:p>
        <w:p w:rsidR="00D2165D" w:rsidRDefault="008E5C4B">
          <w:pPr>
            <w:pStyle w:val="TOC1"/>
            <w:rPr>
              <w:rFonts w:eastAsiaTheme="minorEastAsia" w:cstheme="minorBidi"/>
              <w:noProof/>
              <w:sz w:val="22"/>
              <w:szCs w:val="22"/>
              <w:lang w:val="en-US" w:eastAsia="zh-CN"/>
            </w:rPr>
          </w:pPr>
          <w:hyperlink w:anchor="_Toc487791229" w:history="1">
            <w:r w:rsidR="00D2165D" w:rsidRPr="0014739E">
              <w:rPr>
                <w:rStyle w:val="Hyperlink"/>
                <w:noProof/>
                <w:lang w:val="es-ES_tradnl"/>
              </w:rPr>
              <w:t>4</w:t>
            </w:r>
            <w:r w:rsidR="00D2165D">
              <w:rPr>
                <w:rFonts w:eastAsiaTheme="minorEastAsia" w:cstheme="minorBidi"/>
                <w:noProof/>
                <w:sz w:val="22"/>
                <w:szCs w:val="22"/>
                <w:lang w:val="en-US" w:eastAsia="zh-CN"/>
              </w:rPr>
              <w:tab/>
            </w:r>
            <w:r w:rsidR="00D2165D" w:rsidRPr="0014739E">
              <w:rPr>
                <w:rStyle w:val="Hyperlink"/>
                <w:noProof/>
                <w:lang w:val="es-ES_tradnl"/>
              </w:rPr>
              <w:t>Asuntos asignados al GADT en la Resolución 24 (Rev. Dubái, 2014) de la CMDT</w:t>
            </w:r>
            <w:r w:rsidR="00D2165D">
              <w:rPr>
                <w:noProof/>
                <w:webHidden/>
              </w:rPr>
              <w:tab/>
            </w:r>
            <w:r w:rsidR="00D2165D">
              <w:rPr>
                <w:noProof/>
                <w:webHidden/>
              </w:rPr>
              <w:fldChar w:fldCharType="begin"/>
            </w:r>
            <w:r w:rsidR="00D2165D">
              <w:rPr>
                <w:noProof/>
                <w:webHidden/>
              </w:rPr>
              <w:instrText xml:space="preserve"> PAGEREF _Toc487791229 \h </w:instrText>
            </w:r>
            <w:r w:rsidR="00D2165D">
              <w:rPr>
                <w:noProof/>
                <w:webHidden/>
              </w:rPr>
            </w:r>
            <w:r w:rsidR="00D2165D">
              <w:rPr>
                <w:noProof/>
                <w:webHidden/>
              </w:rPr>
              <w:fldChar w:fldCharType="separate"/>
            </w:r>
            <w:r w:rsidR="00D2165D">
              <w:rPr>
                <w:noProof/>
                <w:webHidden/>
              </w:rPr>
              <w:t>27</w:t>
            </w:r>
            <w:r w:rsidR="00D2165D">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30" w:history="1">
            <w:r w:rsidR="00D2165D" w:rsidRPr="0014739E">
              <w:rPr>
                <w:rStyle w:val="Hyperlink"/>
                <w:noProof/>
                <w:lang w:val="es-ES_tradnl"/>
              </w:rPr>
              <w:t>4.1</w:t>
            </w:r>
            <w:r w:rsidR="00D2165D">
              <w:rPr>
                <w:rFonts w:eastAsiaTheme="minorEastAsia" w:cstheme="minorBidi"/>
                <w:noProof/>
                <w:sz w:val="22"/>
                <w:szCs w:val="22"/>
                <w:lang w:val="en-US" w:eastAsia="zh-CN"/>
              </w:rPr>
              <w:tab/>
            </w:r>
            <w:r w:rsidR="00D2165D" w:rsidRPr="0014739E">
              <w:rPr>
                <w:rStyle w:val="Hyperlink"/>
                <w:noProof/>
                <w:lang w:val="es-ES_tradnl"/>
              </w:rPr>
              <w:t>Antecedentes</w:t>
            </w:r>
            <w:r w:rsidR="00D2165D">
              <w:rPr>
                <w:noProof/>
                <w:webHidden/>
              </w:rPr>
              <w:tab/>
            </w:r>
            <w:r w:rsidR="00D2165D">
              <w:rPr>
                <w:noProof/>
                <w:webHidden/>
              </w:rPr>
              <w:fldChar w:fldCharType="begin"/>
            </w:r>
            <w:r w:rsidR="00D2165D">
              <w:rPr>
                <w:noProof/>
                <w:webHidden/>
              </w:rPr>
              <w:instrText xml:space="preserve"> PAGEREF _Toc487791230 \h </w:instrText>
            </w:r>
            <w:r w:rsidR="00D2165D">
              <w:rPr>
                <w:noProof/>
                <w:webHidden/>
              </w:rPr>
            </w:r>
            <w:r w:rsidR="00D2165D">
              <w:rPr>
                <w:noProof/>
                <w:webHidden/>
              </w:rPr>
              <w:fldChar w:fldCharType="separate"/>
            </w:r>
            <w:r w:rsidR="00D2165D">
              <w:rPr>
                <w:noProof/>
                <w:webHidden/>
              </w:rPr>
              <w:t>27</w:t>
            </w:r>
            <w:r w:rsidR="00D2165D">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31" w:history="1">
            <w:r w:rsidR="00D2165D" w:rsidRPr="0014739E">
              <w:rPr>
                <w:rStyle w:val="Hyperlink"/>
                <w:noProof/>
                <w:lang w:val="es-ES_tradnl"/>
              </w:rPr>
              <w:t>4.2</w:t>
            </w:r>
            <w:r w:rsidR="00D2165D">
              <w:rPr>
                <w:rFonts w:eastAsiaTheme="minorEastAsia" w:cstheme="minorBidi"/>
                <w:noProof/>
                <w:sz w:val="22"/>
                <w:szCs w:val="22"/>
                <w:lang w:val="en-US" w:eastAsia="zh-CN"/>
              </w:rPr>
              <w:tab/>
            </w:r>
            <w:r w:rsidR="00D2165D" w:rsidRPr="0014739E">
              <w:rPr>
                <w:rStyle w:val="Hyperlink"/>
                <w:noProof/>
                <w:lang w:val="es-ES_tradnl"/>
              </w:rPr>
              <w:t>Mantenimiento de directrices de trabajo actualizadas, eficientes y flexibles</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_Toc487791231 \h </w:instrText>
            </w:r>
            <w:r w:rsidR="00D2165D">
              <w:rPr>
                <w:noProof/>
                <w:webHidden/>
              </w:rPr>
            </w:r>
            <w:r w:rsidR="00D2165D">
              <w:rPr>
                <w:noProof/>
                <w:webHidden/>
              </w:rPr>
              <w:fldChar w:fldCharType="separate"/>
            </w:r>
            <w:r w:rsidR="00D2165D">
              <w:rPr>
                <w:noProof/>
                <w:webHidden/>
              </w:rPr>
              <w:t>28</w:t>
            </w:r>
            <w:r w:rsidR="00D2165D">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32" w:history="1">
            <w:r w:rsidR="00D2165D" w:rsidRPr="0014739E">
              <w:rPr>
                <w:rStyle w:val="Hyperlink"/>
                <w:noProof/>
                <w:lang w:val="es-ES_tradnl"/>
              </w:rPr>
              <w:t>4.3</w:t>
            </w:r>
            <w:r w:rsidR="00D2165D">
              <w:rPr>
                <w:rFonts w:eastAsiaTheme="minorEastAsia" w:cstheme="minorBidi"/>
                <w:noProof/>
                <w:sz w:val="22"/>
                <w:szCs w:val="22"/>
                <w:lang w:val="en-US" w:eastAsia="zh-CN"/>
              </w:rPr>
              <w:tab/>
            </w:r>
            <w:r w:rsidR="00D2165D" w:rsidRPr="0014739E">
              <w:rPr>
                <w:rStyle w:val="Hyperlink"/>
                <w:noProof/>
                <w:lang w:val="es-ES_tradnl"/>
              </w:rPr>
              <w:t xml:space="preserve">Evaluación de los métodos de trabajo y el funcionamiento de las Comisiones de Estudio </w:t>
            </w:r>
            <w:r w:rsidR="0035052A">
              <w:rPr>
                <w:rStyle w:val="Hyperlink"/>
                <w:noProof/>
                <w:lang w:val="es-ES_tradnl"/>
              </w:rPr>
              <w:br/>
            </w:r>
            <w:r w:rsidR="00D2165D" w:rsidRPr="0014739E">
              <w:rPr>
                <w:rStyle w:val="Hyperlink"/>
                <w:noProof/>
                <w:lang w:val="es-ES_tradnl"/>
              </w:rPr>
              <w:t xml:space="preserve">del UIT D, y aprobación de cambios para mejorar la eficiencia y lograr la máxima </w:t>
            </w:r>
            <w:r w:rsidR="0035052A">
              <w:rPr>
                <w:rStyle w:val="Hyperlink"/>
                <w:noProof/>
                <w:lang w:val="es-ES_tradnl"/>
              </w:rPr>
              <w:br/>
            </w:r>
            <w:r w:rsidR="00D2165D" w:rsidRPr="0014739E">
              <w:rPr>
                <w:rStyle w:val="Hyperlink"/>
                <w:noProof/>
                <w:lang w:val="es-ES_tradnl"/>
              </w:rPr>
              <w:t>eficacia en la ejecución de programas</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_Toc487791232 \h </w:instrText>
            </w:r>
            <w:r w:rsidR="00D2165D">
              <w:rPr>
                <w:noProof/>
                <w:webHidden/>
              </w:rPr>
            </w:r>
            <w:r w:rsidR="00D2165D">
              <w:rPr>
                <w:noProof/>
                <w:webHidden/>
              </w:rPr>
              <w:fldChar w:fldCharType="separate"/>
            </w:r>
            <w:r w:rsidR="00D2165D">
              <w:rPr>
                <w:noProof/>
                <w:webHidden/>
              </w:rPr>
              <w:t>29</w:t>
            </w:r>
            <w:r w:rsidR="00D2165D">
              <w:rPr>
                <w:noProof/>
                <w:webHidden/>
              </w:rPr>
              <w:fldChar w:fldCharType="end"/>
            </w:r>
          </w:hyperlink>
        </w:p>
        <w:p w:rsidR="00D2165D" w:rsidRDefault="008E5C4B">
          <w:pPr>
            <w:pStyle w:val="TOC2"/>
            <w:rPr>
              <w:rFonts w:eastAsiaTheme="minorEastAsia" w:cstheme="minorBidi"/>
              <w:noProof/>
              <w:sz w:val="22"/>
              <w:szCs w:val="22"/>
              <w:lang w:val="en-US" w:eastAsia="zh-CN"/>
            </w:rPr>
          </w:pPr>
          <w:hyperlink w:anchor="_Toc487791233" w:history="1">
            <w:r w:rsidR="00D2165D" w:rsidRPr="0014739E">
              <w:rPr>
                <w:rStyle w:val="Hyperlink"/>
                <w:noProof/>
                <w:lang w:val="es-ES_tradnl"/>
              </w:rPr>
              <w:t>4.4</w:t>
            </w:r>
            <w:r w:rsidR="00D2165D">
              <w:rPr>
                <w:rFonts w:eastAsiaTheme="minorEastAsia" w:cstheme="minorBidi"/>
                <w:noProof/>
                <w:sz w:val="22"/>
                <w:szCs w:val="22"/>
                <w:lang w:val="en-US" w:eastAsia="zh-CN"/>
              </w:rPr>
              <w:tab/>
            </w:r>
            <w:r w:rsidR="00D2165D" w:rsidRPr="0014739E">
              <w:rPr>
                <w:rStyle w:val="Hyperlink"/>
                <w:noProof/>
                <w:lang w:val="es-ES_tradnl"/>
              </w:rPr>
              <w:t>Asesoramiento al Director de la BDT sobre las cuestiones financieras y de otra índole que sean pertinentes</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_Toc487791233 \h </w:instrText>
            </w:r>
            <w:r w:rsidR="00D2165D">
              <w:rPr>
                <w:noProof/>
                <w:webHidden/>
              </w:rPr>
            </w:r>
            <w:r w:rsidR="00D2165D">
              <w:rPr>
                <w:noProof/>
                <w:webHidden/>
              </w:rPr>
              <w:fldChar w:fldCharType="separate"/>
            </w:r>
            <w:r w:rsidR="00D2165D">
              <w:rPr>
                <w:noProof/>
                <w:webHidden/>
              </w:rPr>
              <w:t>29</w:t>
            </w:r>
            <w:r w:rsidR="00D2165D">
              <w:rPr>
                <w:noProof/>
                <w:webHidden/>
              </w:rPr>
              <w:fldChar w:fldCharType="end"/>
            </w:r>
          </w:hyperlink>
        </w:p>
        <w:p w:rsidR="00D2165D" w:rsidRDefault="008E5C4B">
          <w:pPr>
            <w:pStyle w:val="TOC1"/>
            <w:rPr>
              <w:rFonts w:eastAsiaTheme="minorEastAsia" w:cstheme="minorBidi"/>
              <w:noProof/>
              <w:sz w:val="22"/>
              <w:szCs w:val="22"/>
              <w:lang w:val="en-US" w:eastAsia="zh-CN"/>
            </w:rPr>
          </w:pPr>
          <w:hyperlink w:anchor="_Toc487791234" w:history="1">
            <w:r w:rsidR="00D2165D" w:rsidRPr="0014739E">
              <w:rPr>
                <w:rStyle w:val="Hyperlink"/>
                <w:noProof/>
                <w:lang w:val="es-ES_tradnl"/>
              </w:rPr>
              <w:t>5</w:t>
            </w:r>
            <w:r w:rsidR="00D2165D">
              <w:rPr>
                <w:rFonts w:eastAsiaTheme="minorEastAsia" w:cstheme="minorBidi"/>
                <w:noProof/>
                <w:sz w:val="22"/>
                <w:szCs w:val="22"/>
                <w:lang w:val="en-US" w:eastAsia="zh-CN"/>
              </w:rPr>
              <w:tab/>
            </w:r>
            <w:r w:rsidR="00D2165D" w:rsidRPr="0014739E">
              <w:rPr>
                <w:rStyle w:val="Hyperlink"/>
                <w:noProof/>
                <w:lang w:val="es-ES_tradnl"/>
              </w:rPr>
              <w:t>Cooperación y colaboración</w:t>
            </w:r>
            <w:r w:rsidR="00D2165D">
              <w:rPr>
                <w:noProof/>
                <w:webHidden/>
              </w:rPr>
              <w:tab/>
            </w:r>
            <w:r w:rsidR="00E12BAB">
              <w:rPr>
                <w:noProof/>
                <w:webHidden/>
              </w:rPr>
              <w:tab/>
            </w:r>
            <w:r w:rsidR="00D2165D">
              <w:rPr>
                <w:noProof/>
                <w:webHidden/>
              </w:rPr>
              <w:fldChar w:fldCharType="begin"/>
            </w:r>
            <w:r w:rsidR="00D2165D">
              <w:rPr>
                <w:noProof/>
                <w:webHidden/>
              </w:rPr>
              <w:instrText xml:space="preserve"> PAGEREF _Toc487791234 \h </w:instrText>
            </w:r>
            <w:r w:rsidR="00D2165D">
              <w:rPr>
                <w:noProof/>
                <w:webHidden/>
              </w:rPr>
            </w:r>
            <w:r w:rsidR="00D2165D">
              <w:rPr>
                <w:noProof/>
                <w:webHidden/>
              </w:rPr>
              <w:fldChar w:fldCharType="separate"/>
            </w:r>
            <w:r w:rsidR="00D2165D">
              <w:rPr>
                <w:noProof/>
                <w:webHidden/>
              </w:rPr>
              <w:t>30</w:t>
            </w:r>
            <w:r w:rsidR="00D2165D">
              <w:rPr>
                <w:noProof/>
                <w:webHidden/>
              </w:rPr>
              <w:fldChar w:fldCharType="end"/>
            </w:r>
          </w:hyperlink>
        </w:p>
        <w:p w:rsidR="00D2165D" w:rsidRPr="00C5465C" w:rsidRDefault="00D2165D" w:rsidP="00D2165D">
          <w:pPr>
            <w:pStyle w:val="TOC1"/>
            <w:rPr>
              <w:lang w:val="es-ES_tradnl"/>
            </w:rPr>
          </w:pPr>
          <w:r>
            <w:rPr>
              <w:lang w:val="es-ES_tradnl"/>
            </w:rPr>
            <w:fldChar w:fldCharType="end"/>
          </w:r>
        </w:p>
      </w:sdtContent>
    </w:sdt>
    <w:p w:rsidR="00D2165D" w:rsidRPr="00C5465C" w:rsidRDefault="00D2165D" w:rsidP="00D2165D">
      <w:pPr>
        <w:rPr>
          <w:lang w:val="es-ES_tradnl"/>
        </w:rPr>
      </w:pPr>
      <w:r w:rsidRPr="00C5465C">
        <w:rPr>
          <w:lang w:val="es-ES_tradnl"/>
        </w:rPr>
        <w:br w:type="page"/>
      </w:r>
    </w:p>
    <w:p w:rsidR="00D2165D" w:rsidRPr="00C5465C" w:rsidRDefault="00D2165D" w:rsidP="00D2165D">
      <w:pPr>
        <w:pStyle w:val="Heading1"/>
        <w:rPr>
          <w:lang w:val="es-ES_tradnl"/>
        </w:rPr>
      </w:pPr>
      <w:bookmarkStart w:id="10" w:name="_Toc487791217"/>
      <w:r w:rsidRPr="00C5465C">
        <w:rPr>
          <w:lang w:val="es-ES_tradnl"/>
        </w:rPr>
        <w:lastRenderedPageBreak/>
        <w:t>1</w:t>
      </w:r>
      <w:r w:rsidRPr="00C5465C">
        <w:rPr>
          <w:lang w:val="es-ES_tradnl"/>
        </w:rPr>
        <w:tab/>
        <w:t>Introducción</w:t>
      </w:r>
      <w:bookmarkEnd w:id="9"/>
      <w:bookmarkEnd w:id="10"/>
    </w:p>
    <w:p w:rsidR="00D2165D" w:rsidRPr="00C5465C" w:rsidRDefault="00D2165D" w:rsidP="00D2165D">
      <w:pPr>
        <w:rPr>
          <w:szCs w:val="24"/>
          <w:lang w:val="es-ES_tradnl"/>
        </w:rPr>
      </w:pPr>
      <w:r w:rsidRPr="00C5465C">
        <w:rPr>
          <w:szCs w:val="24"/>
          <w:lang w:val="es-ES_tradnl"/>
        </w:rPr>
        <w:t>El presente informe contiene un resumen del trabajo realizado por el Grupo Asesor de Desarrollo de las Telecomunicaciones (GADT) durante el periodo 2014-2017.</w:t>
      </w:r>
    </w:p>
    <w:p w:rsidR="00D2165D" w:rsidRPr="00C5465C" w:rsidRDefault="00D2165D" w:rsidP="00D2165D">
      <w:pPr>
        <w:pStyle w:val="Heading2"/>
        <w:rPr>
          <w:lang w:val="es-ES_tradnl"/>
        </w:rPr>
      </w:pPr>
      <w:bookmarkStart w:id="11" w:name="_Toc482178266"/>
      <w:bookmarkStart w:id="12" w:name="_Toc487791218"/>
      <w:r w:rsidRPr="00C5465C">
        <w:rPr>
          <w:lang w:val="es-ES_tradnl"/>
        </w:rPr>
        <w:t>1.1</w:t>
      </w:r>
      <w:r w:rsidRPr="00C5465C">
        <w:rPr>
          <w:lang w:val="es-ES_tradnl"/>
        </w:rPr>
        <w:tab/>
        <w:t>Mandato del G</w:t>
      </w:r>
      <w:bookmarkStart w:id="13" w:name="_GoBack"/>
      <w:bookmarkEnd w:id="13"/>
      <w:r w:rsidRPr="00C5465C">
        <w:rPr>
          <w:lang w:val="es-ES_tradnl"/>
        </w:rPr>
        <w:t>ADT</w:t>
      </w:r>
      <w:bookmarkEnd w:id="11"/>
      <w:bookmarkEnd w:id="12"/>
    </w:p>
    <w:p w:rsidR="00D2165D" w:rsidRPr="00C5465C" w:rsidRDefault="00D2165D" w:rsidP="00D2165D">
      <w:pPr>
        <w:rPr>
          <w:lang w:val="es-ES_tradnl"/>
        </w:rPr>
      </w:pPr>
      <w:r w:rsidRPr="00C5465C">
        <w:rPr>
          <w:lang w:val="es-ES_tradnl"/>
        </w:rPr>
        <w:t xml:space="preserve">El mandato del GADT se puede consultar en </w:t>
      </w:r>
      <w:hyperlink r:id="rId18" w:history="1">
        <w:r w:rsidRPr="00C5465C">
          <w:rPr>
            <w:rStyle w:val="Hyperlink"/>
            <w:lang w:val="es-ES_tradnl"/>
          </w:rPr>
          <w:t>www.itu.int/ITU-D/tdag/</w:t>
        </w:r>
      </w:hyperlink>
    </w:p>
    <w:p w:rsidR="00D2165D" w:rsidRPr="00C5465C" w:rsidRDefault="00D2165D" w:rsidP="00D2165D">
      <w:pPr>
        <w:pStyle w:val="Heading2"/>
        <w:rPr>
          <w:lang w:val="es-ES_tradnl"/>
        </w:rPr>
      </w:pPr>
      <w:bookmarkStart w:id="14" w:name="_Toc487791219"/>
      <w:r w:rsidRPr="00C5465C">
        <w:rPr>
          <w:lang w:val="es-ES_tradnl"/>
        </w:rPr>
        <w:t>1.2</w:t>
      </w:r>
      <w:r w:rsidRPr="00C5465C">
        <w:rPr>
          <w:lang w:val="es-ES_tradnl"/>
        </w:rPr>
        <w:tab/>
        <w:t>Oficina del Grupo Asesor de Desarrollo de las Telecomunicaciones</w:t>
      </w:r>
      <w:bookmarkEnd w:id="14"/>
    </w:p>
    <w:p w:rsidR="00D2165D" w:rsidRPr="00C5465C" w:rsidRDefault="00D2165D" w:rsidP="00D2165D">
      <w:pPr>
        <w:spacing w:after="120"/>
        <w:rPr>
          <w:szCs w:val="24"/>
          <w:lang w:val="es-ES_tradnl"/>
        </w:rPr>
      </w:pPr>
      <w:r w:rsidRPr="00C5465C">
        <w:rPr>
          <w:szCs w:val="24"/>
          <w:lang w:val="es-ES_tradnl"/>
        </w:rPr>
        <w:t>En aplicación de la Resolución 61 (Rev. Dubái, 2014), la CMDT-14 adoptó la composición de la Oficina del GADT y nombró al Presidente y a los Vicepresidentes siguientes: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02"/>
        <w:gridCol w:w="2268"/>
        <w:gridCol w:w="1701"/>
      </w:tblGrid>
      <w:tr w:rsidR="00D2165D" w:rsidRPr="00C5465C" w:rsidTr="001241BD">
        <w:trPr>
          <w:trHeight w:val="567"/>
        </w:trPr>
        <w:tc>
          <w:tcPr>
            <w:tcW w:w="1838" w:type="dxa"/>
            <w:shd w:val="clear" w:color="auto" w:fill="F2F2F2" w:themeFill="background1" w:themeFillShade="F2"/>
            <w:vAlign w:val="center"/>
          </w:tcPr>
          <w:p w:rsidR="00D2165D" w:rsidRPr="00C5465C" w:rsidRDefault="00D2165D">
            <w:pPr>
              <w:pStyle w:val="BDTNormal"/>
              <w:tabs>
                <w:tab w:val="left" w:pos="3375"/>
                <w:tab w:val="center" w:pos="4706"/>
              </w:tabs>
              <w:spacing w:before="0" w:after="0"/>
              <w:jc w:val="center"/>
              <w:rPr>
                <w:rFonts w:asciiTheme="minorHAnsi" w:hAnsiTheme="minorHAnsi"/>
                <w:b/>
                <w:bCs/>
                <w:noProof/>
                <w:sz w:val="24"/>
                <w:szCs w:val="24"/>
                <w:lang w:val="es-ES_tradnl"/>
              </w:rPr>
            </w:pPr>
            <w:r w:rsidRPr="00C5465C">
              <w:rPr>
                <w:rFonts w:asciiTheme="minorHAnsi" w:hAnsiTheme="minorHAnsi"/>
                <w:b/>
                <w:bCs/>
                <w:noProof/>
                <w:sz w:val="24"/>
                <w:szCs w:val="24"/>
                <w:lang w:val="es-ES_tradnl"/>
              </w:rPr>
              <w:t>Presidente/</w:t>
            </w:r>
            <w:r w:rsidRPr="00C5465C">
              <w:rPr>
                <w:rFonts w:asciiTheme="minorHAnsi" w:hAnsiTheme="minorHAnsi"/>
                <w:b/>
                <w:bCs/>
                <w:noProof/>
                <w:sz w:val="24"/>
                <w:szCs w:val="24"/>
                <w:lang w:val="es-ES_tradnl"/>
              </w:rPr>
              <w:br/>
              <w:t>Vicepresidente</w:t>
            </w:r>
          </w:p>
        </w:tc>
        <w:tc>
          <w:tcPr>
            <w:tcW w:w="3402" w:type="dxa"/>
            <w:shd w:val="clear" w:color="auto" w:fill="F2F2F2" w:themeFill="background1" w:themeFillShade="F2"/>
            <w:vAlign w:val="center"/>
          </w:tcPr>
          <w:p w:rsidR="00D2165D" w:rsidRPr="00C5465C" w:rsidRDefault="00D2165D" w:rsidP="00D2165D">
            <w:pPr>
              <w:pStyle w:val="BDTNormal"/>
              <w:tabs>
                <w:tab w:val="left" w:pos="3375"/>
                <w:tab w:val="center" w:pos="4706"/>
              </w:tabs>
              <w:spacing w:before="0" w:after="0"/>
              <w:jc w:val="center"/>
              <w:rPr>
                <w:rFonts w:asciiTheme="minorHAnsi" w:hAnsiTheme="minorHAnsi"/>
                <w:b/>
                <w:bCs/>
                <w:noProof/>
                <w:sz w:val="24"/>
                <w:szCs w:val="24"/>
                <w:lang w:val="es-ES_tradnl"/>
              </w:rPr>
            </w:pPr>
            <w:r w:rsidRPr="00C5465C">
              <w:rPr>
                <w:rFonts w:asciiTheme="minorHAnsi" w:hAnsiTheme="minorHAnsi"/>
                <w:b/>
                <w:bCs/>
                <w:noProof/>
                <w:sz w:val="24"/>
                <w:szCs w:val="24"/>
                <w:lang w:val="es-ES_tradnl"/>
              </w:rPr>
              <w:t>Nombre</w:t>
            </w:r>
          </w:p>
        </w:tc>
        <w:tc>
          <w:tcPr>
            <w:tcW w:w="2268" w:type="dxa"/>
            <w:shd w:val="clear" w:color="auto" w:fill="F2F2F2" w:themeFill="background1" w:themeFillShade="F2"/>
            <w:vAlign w:val="center"/>
          </w:tcPr>
          <w:p w:rsidR="00D2165D" w:rsidRPr="00C5465C" w:rsidRDefault="00D2165D" w:rsidP="00D2165D">
            <w:pPr>
              <w:pStyle w:val="BDTNormal"/>
              <w:tabs>
                <w:tab w:val="left" w:pos="3375"/>
                <w:tab w:val="center" w:pos="4706"/>
              </w:tabs>
              <w:spacing w:before="0" w:after="0"/>
              <w:jc w:val="center"/>
              <w:rPr>
                <w:rFonts w:asciiTheme="minorHAnsi" w:hAnsiTheme="minorHAnsi"/>
                <w:b/>
                <w:bCs/>
                <w:noProof/>
                <w:sz w:val="24"/>
                <w:szCs w:val="24"/>
                <w:lang w:val="es-ES_tradnl"/>
              </w:rPr>
            </w:pPr>
            <w:r w:rsidRPr="00C5465C">
              <w:rPr>
                <w:rFonts w:asciiTheme="minorHAnsi" w:hAnsiTheme="minorHAnsi"/>
                <w:b/>
                <w:bCs/>
                <w:noProof/>
                <w:sz w:val="24"/>
                <w:szCs w:val="24"/>
                <w:lang w:val="es-ES_tradnl"/>
              </w:rPr>
              <w:t>País</w:t>
            </w:r>
          </w:p>
        </w:tc>
        <w:tc>
          <w:tcPr>
            <w:tcW w:w="1701" w:type="dxa"/>
            <w:shd w:val="clear" w:color="auto" w:fill="F2F2F2" w:themeFill="background1" w:themeFillShade="F2"/>
            <w:vAlign w:val="center"/>
          </w:tcPr>
          <w:p w:rsidR="00D2165D" w:rsidRPr="00C5465C" w:rsidRDefault="00D2165D">
            <w:pPr>
              <w:pStyle w:val="BDTNormal"/>
              <w:tabs>
                <w:tab w:val="left" w:pos="3375"/>
                <w:tab w:val="center" w:pos="4706"/>
              </w:tabs>
              <w:spacing w:before="0" w:after="0"/>
              <w:jc w:val="center"/>
              <w:rPr>
                <w:rFonts w:asciiTheme="minorHAnsi" w:hAnsiTheme="minorHAnsi"/>
                <w:b/>
                <w:bCs/>
                <w:noProof/>
                <w:sz w:val="24"/>
                <w:szCs w:val="24"/>
                <w:lang w:val="es-ES_tradnl"/>
              </w:rPr>
            </w:pPr>
            <w:r w:rsidRPr="00C5465C">
              <w:rPr>
                <w:rFonts w:asciiTheme="minorHAnsi" w:hAnsiTheme="minorHAnsi"/>
                <w:b/>
                <w:bCs/>
                <w:noProof/>
                <w:sz w:val="24"/>
                <w:szCs w:val="24"/>
                <w:lang w:val="es-ES_tradnl"/>
              </w:rPr>
              <w:t>Región BDT</w:t>
            </w:r>
          </w:p>
        </w:tc>
      </w:tr>
      <w:tr w:rsidR="00D2165D" w:rsidRPr="00C5465C" w:rsidTr="001241BD">
        <w:trPr>
          <w:trHeight w:val="397"/>
        </w:trPr>
        <w:tc>
          <w:tcPr>
            <w:tcW w:w="1838" w:type="dxa"/>
            <w:vAlign w:val="center"/>
          </w:tcPr>
          <w:p w:rsidR="00D2165D" w:rsidRPr="00C5465C" w:rsidRDefault="00D2165D" w:rsidP="00D2165D">
            <w:pPr>
              <w:spacing w:before="0"/>
              <w:rPr>
                <w:noProof/>
                <w:szCs w:val="24"/>
                <w:lang w:val="es-ES_tradnl"/>
              </w:rPr>
            </w:pPr>
            <w:r w:rsidRPr="00C5465C">
              <w:rPr>
                <w:lang w:val="es-ES_tradnl"/>
              </w:rPr>
              <w:t>Presidente</w:t>
            </w:r>
          </w:p>
        </w:tc>
        <w:tc>
          <w:tcPr>
            <w:tcW w:w="3402" w:type="dxa"/>
            <w:vAlign w:val="center"/>
          </w:tcPr>
          <w:p w:rsidR="00D2165D" w:rsidRPr="00C5465C" w:rsidRDefault="00D2165D" w:rsidP="00D2165D">
            <w:pPr>
              <w:spacing w:before="0"/>
              <w:rPr>
                <w:noProof/>
                <w:szCs w:val="24"/>
                <w:lang w:val="es-ES_tradnl"/>
              </w:rPr>
            </w:pPr>
            <w:r w:rsidRPr="00C5465C">
              <w:rPr>
                <w:noProof/>
                <w:szCs w:val="24"/>
                <w:lang w:val="es-ES_tradnl"/>
              </w:rPr>
              <w:t>Prof. Dr. Vladimir Minkin</w:t>
            </w:r>
          </w:p>
        </w:tc>
        <w:tc>
          <w:tcPr>
            <w:tcW w:w="2268" w:type="dxa"/>
            <w:vAlign w:val="center"/>
          </w:tcPr>
          <w:p w:rsidR="00D2165D" w:rsidRPr="00C5465C" w:rsidRDefault="00D2165D" w:rsidP="00D2165D">
            <w:pPr>
              <w:spacing w:before="0"/>
              <w:ind w:right="-113"/>
              <w:rPr>
                <w:noProof/>
                <w:szCs w:val="24"/>
                <w:lang w:val="es-ES_tradnl"/>
              </w:rPr>
            </w:pPr>
            <w:r w:rsidRPr="00C5465C">
              <w:rPr>
                <w:lang w:val="es-ES_tradnl"/>
              </w:rPr>
              <w:t>Federación de Rusia</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CEI</w:t>
            </w:r>
          </w:p>
        </w:tc>
      </w:tr>
      <w:tr w:rsidR="00D2165D" w:rsidRPr="00C5465C" w:rsidTr="001241BD">
        <w:trPr>
          <w:trHeight w:val="397"/>
        </w:trPr>
        <w:tc>
          <w:tcPr>
            <w:tcW w:w="1838" w:type="dxa"/>
            <w:vAlign w:val="center"/>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C5465C">
              <w:rPr>
                <w:lang w:val="es-ES_tradnl"/>
              </w:rPr>
              <w:t>Sra.</w:t>
            </w:r>
            <w:r w:rsidRPr="00C5465C">
              <w:rPr>
                <w:noProof/>
                <w:szCs w:val="24"/>
                <w:lang w:val="es-ES_tradnl"/>
              </w:rPr>
              <w:t xml:space="preserve"> Roxanne McElvane Webber</w:t>
            </w:r>
          </w:p>
        </w:tc>
        <w:tc>
          <w:tcPr>
            <w:tcW w:w="2268" w:type="dxa"/>
            <w:vAlign w:val="center"/>
          </w:tcPr>
          <w:p w:rsidR="00D2165D" w:rsidRPr="00C5465C" w:rsidRDefault="00D2165D" w:rsidP="00D2165D">
            <w:pPr>
              <w:spacing w:before="0"/>
              <w:rPr>
                <w:noProof/>
                <w:szCs w:val="24"/>
                <w:lang w:val="es-ES_tradnl"/>
              </w:rPr>
            </w:pPr>
            <w:r w:rsidRPr="00C5465C">
              <w:rPr>
                <w:noProof/>
                <w:szCs w:val="24"/>
                <w:lang w:val="es-ES_tradnl"/>
              </w:rPr>
              <w:t>Estados Unidos de América</w:t>
            </w:r>
          </w:p>
        </w:tc>
        <w:tc>
          <w:tcPr>
            <w:tcW w:w="1701" w:type="dxa"/>
            <w:vAlign w:val="center"/>
          </w:tcPr>
          <w:p w:rsidR="00D2165D" w:rsidRPr="00C5465C" w:rsidRDefault="00D2165D">
            <w:pPr>
              <w:spacing w:before="0"/>
              <w:rPr>
                <w:noProof/>
                <w:szCs w:val="24"/>
                <w:lang w:val="es-ES_tradnl"/>
              </w:rPr>
            </w:pPr>
            <w:r w:rsidRPr="00C5465C">
              <w:rPr>
                <w:lang w:val="es-ES_tradnl"/>
              </w:rPr>
              <w:t>Presidente</w:t>
            </w:r>
            <w:r w:rsidRPr="00C5465C">
              <w:rPr>
                <w:noProof/>
                <w:szCs w:val="24"/>
                <w:lang w:val="es-ES_tradnl"/>
              </w:rPr>
              <w:t xml:space="preserve"> CE 1</w:t>
            </w:r>
          </w:p>
        </w:tc>
      </w:tr>
      <w:tr w:rsidR="00D2165D" w:rsidRPr="00C5465C"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C5465C">
              <w:rPr>
                <w:lang w:val="es-ES_tradnl"/>
              </w:rPr>
              <w:t>Sr.</w:t>
            </w:r>
            <w:r w:rsidRPr="00C5465C">
              <w:rPr>
                <w:noProof/>
                <w:szCs w:val="24"/>
                <w:lang w:val="es-ES_tradnl"/>
              </w:rPr>
              <w:t xml:space="preserve"> Ahmad Reza Sharafat</w:t>
            </w:r>
          </w:p>
        </w:tc>
        <w:tc>
          <w:tcPr>
            <w:tcW w:w="2268" w:type="dxa"/>
            <w:vAlign w:val="center"/>
          </w:tcPr>
          <w:p w:rsidR="00D2165D" w:rsidRPr="00C5465C" w:rsidRDefault="00D2165D" w:rsidP="00D2165D">
            <w:pPr>
              <w:spacing w:before="0"/>
              <w:rPr>
                <w:noProof/>
                <w:szCs w:val="24"/>
                <w:lang w:val="es-ES_tradnl"/>
              </w:rPr>
            </w:pPr>
            <w:r w:rsidRPr="00C5465C">
              <w:rPr>
                <w:noProof/>
                <w:szCs w:val="24"/>
                <w:lang w:val="es-ES_tradnl"/>
              </w:rPr>
              <w:t>Irán (República Islámica del)</w:t>
            </w:r>
          </w:p>
        </w:tc>
        <w:tc>
          <w:tcPr>
            <w:tcW w:w="1701" w:type="dxa"/>
            <w:vAlign w:val="center"/>
          </w:tcPr>
          <w:p w:rsidR="00D2165D" w:rsidRPr="00C5465C" w:rsidRDefault="00D2165D">
            <w:pPr>
              <w:spacing w:before="0"/>
              <w:rPr>
                <w:noProof/>
                <w:szCs w:val="24"/>
                <w:lang w:val="es-ES_tradnl"/>
              </w:rPr>
            </w:pPr>
            <w:r w:rsidRPr="00C5465C">
              <w:rPr>
                <w:lang w:val="es-ES_tradnl"/>
              </w:rPr>
              <w:t>Presidente</w:t>
            </w:r>
            <w:r w:rsidRPr="00C5465C">
              <w:rPr>
                <w:noProof/>
                <w:szCs w:val="24"/>
                <w:lang w:val="es-ES_tradnl"/>
              </w:rPr>
              <w:t xml:space="preserve"> CE 2</w:t>
            </w:r>
          </w:p>
        </w:tc>
      </w:tr>
      <w:tr w:rsidR="00D2165D" w:rsidRPr="00C5465C"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C5465C">
              <w:rPr>
                <w:lang w:val="es-ES_tradnl"/>
              </w:rPr>
              <w:t>Sr.</w:t>
            </w:r>
            <w:r w:rsidRPr="00C5465C">
              <w:rPr>
                <w:noProof/>
                <w:szCs w:val="24"/>
                <w:lang w:val="es-ES_tradnl"/>
              </w:rPr>
              <w:t xml:space="preserve"> Elie Djerambete</w:t>
            </w:r>
          </w:p>
        </w:tc>
        <w:tc>
          <w:tcPr>
            <w:tcW w:w="2268" w:type="dxa"/>
            <w:vAlign w:val="center"/>
          </w:tcPr>
          <w:p w:rsidR="00D2165D" w:rsidRPr="00C5465C" w:rsidRDefault="00D2165D" w:rsidP="00D2165D">
            <w:pPr>
              <w:spacing w:before="0"/>
              <w:rPr>
                <w:noProof/>
                <w:szCs w:val="24"/>
                <w:lang w:val="es-ES_tradnl"/>
              </w:rPr>
            </w:pPr>
            <w:r w:rsidRPr="00C5465C">
              <w:rPr>
                <w:lang w:val="es-ES_tradnl"/>
              </w:rPr>
              <w:t>República de Chad</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AFR</w:t>
            </w:r>
          </w:p>
        </w:tc>
      </w:tr>
      <w:tr w:rsidR="00D2165D" w:rsidRPr="00C5465C"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C5465C">
              <w:rPr>
                <w:lang w:val="es-ES_tradnl"/>
              </w:rPr>
              <w:t>Sr.</w:t>
            </w:r>
            <w:r w:rsidRPr="00C5465C">
              <w:rPr>
                <w:noProof/>
                <w:szCs w:val="24"/>
                <w:lang w:val="es-ES_tradnl"/>
              </w:rPr>
              <w:t xml:space="preserve"> Ahmadou Traoré</w:t>
            </w:r>
          </w:p>
        </w:tc>
        <w:tc>
          <w:tcPr>
            <w:tcW w:w="2268" w:type="dxa"/>
            <w:vAlign w:val="center"/>
          </w:tcPr>
          <w:p w:rsidR="00D2165D" w:rsidRPr="00C5465C" w:rsidRDefault="00D2165D" w:rsidP="00D2165D">
            <w:pPr>
              <w:spacing w:before="0"/>
              <w:rPr>
                <w:noProof/>
                <w:szCs w:val="24"/>
                <w:lang w:val="es-ES_tradnl"/>
              </w:rPr>
            </w:pPr>
            <w:r w:rsidRPr="00C5465C">
              <w:rPr>
                <w:lang w:val="es-ES_tradnl"/>
              </w:rPr>
              <w:t>República de Malí</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AFR</w:t>
            </w:r>
          </w:p>
        </w:tc>
      </w:tr>
      <w:tr w:rsidR="00D2165D" w:rsidRPr="00C5465C"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C5465C">
              <w:rPr>
                <w:lang w:val="es-ES_tradnl"/>
              </w:rPr>
              <w:t>Sra.</w:t>
            </w:r>
            <w:r w:rsidRPr="00C5465C">
              <w:rPr>
                <w:noProof/>
                <w:szCs w:val="24"/>
                <w:lang w:val="es-ES_tradnl"/>
              </w:rPr>
              <w:t xml:space="preserve"> Clarisa Estol</w:t>
            </w:r>
          </w:p>
        </w:tc>
        <w:tc>
          <w:tcPr>
            <w:tcW w:w="2268" w:type="dxa"/>
            <w:vAlign w:val="center"/>
          </w:tcPr>
          <w:p w:rsidR="00D2165D" w:rsidRPr="00C5465C" w:rsidRDefault="00D2165D" w:rsidP="00D2165D">
            <w:pPr>
              <w:spacing w:before="0"/>
              <w:rPr>
                <w:noProof/>
                <w:szCs w:val="24"/>
                <w:lang w:val="es-ES_tradnl"/>
              </w:rPr>
            </w:pPr>
            <w:r w:rsidRPr="00C5465C">
              <w:rPr>
                <w:lang w:val="es-ES_tradnl"/>
              </w:rPr>
              <w:t>República Argentina</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AMS</w:t>
            </w:r>
          </w:p>
        </w:tc>
      </w:tr>
      <w:tr w:rsidR="00D2165D" w:rsidRPr="00C5465C"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8E5C4B">
              <w:rPr>
                <w:lang w:val="es-ES_tradnl"/>
              </w:rPr>
              <w:t>Sr</w:t>
            </w:r>
            <w:r>
              <w:rPr>
                <w:lang w:val="es-ES_tradnl"/>
              </w:rPr>
              <w:t>.</w:t>
            </w:r>
            <w:r w:rsidRPr="00C5465C">
              <w:rPr>
                <w:noProof/>
                <w:szCs w:val="24"/>
                <w:lang w:val="es-ES_tradnl"/>
              </w:rPr>
              <w:t xml:space="preserve"> Héctor Edmundo Valdés Moreno</w:t>
            </w:r>
          </w:p>
        </w:tc>
        <w:tc>
          <w:tcPr>
            <w:tcW w:w="2268" w:type="dxa"/>
            <w:vAlign w:val="center"/>
          </w:tcPr>
          <w:p w:rsidR="00D2165D" w:rsidRPr="00C5465C" w:rsidRDefault="00D2165D" w:rsidP="00D2165D">
            <w:pPr>
              <w:spacing w:before="0"/>
              <w:rPr>
                <w:noProof/>
                <w:szCs w:val="24"/>
                <w:lang w:val="es-ES_tradnl"/>
              </w:rPr>
            </w:pPr>
            <w:r w:rsidRPr="00C5465C">
              <w:rPr>
                <w:lang w:val="es-ES_tradnl"/>
              </w:rPr>
              <w:t>México</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AMS</w:t>
            </w:r>
          </w:p>
        </w:tc>
      </w:tr>
      <w:tr w:rsidR="00D2165D" w:rsidRPr="00290631"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8E5C4B">
              <w:rPr>
                <w:lang w:val="es-ES_tradnl"/>
              </w:rPr>
              <w:t>Sr</w:t>
            </w:r>
            <w:r>
              <w:rPr>
                <w:lang w:val="es-ES_tradnl"/>
              </w:rPr>
              <w:t>.</w:t>
            </w:r>
            <w:r w:rsidRPr="00C5465C">
              <w:rPr>
                <w:noProof/>
                <w:szCs w:val="24"/>
                <w:lang w:val="es-ES_tradnl"/>
              </w:rPr>
              <w:t xml:space="preserve"> Al-Ansari Al-Mashagbah </w:t>
            </w:r>
          </w:p>
        </w:tc>
        <w:tc>
          <w:tcPr>
            <w:tcW w:w="2268" w:type="dxa"/>
            <w:vAlign w:val="center"/>
          </w:tcPr>
          <w:p w:rsidR="00D2165D" w:rsidRPr="00C5465C" w:rsidRDefault="00D2165D" w:rsidP="00D2165D">
            <w:pPr>
              <w:spacing w:before="0"/>
              <w:rPr>
                <w:noProof/>
                <w:szCs w:val="24"/>
                <w:lang w:val="es-ES_tradnl"/>
              </w:rPr>
            </w:pPr>
            <w:r w:rsidRPr="00C5465C">
              <w:rPr>
                <w:lang w:val="es-ES_tradnl"/>
              </w:rPr>
              <w:t>Jordania</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ARB</w:t>
            </w:r>
          </w:p>
        </w:tc>
      </w:tr>
      <w:tr w:rsidR="00D2165D" w:rsidRPr="00290631"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C5465C">
              <w:rPr>
                <w:lang w:val="es-ES_tradnl"/>
              </w:rPr>
              <w:t>Sr</w:t>
            </w:r>
            <w:r>
              <w:rPr>
                <w:lang w:val="es-ES_tradnl"/>
              </w:rPr>
              <w:t>.</w:t>
            </w:r>
            <w:r w:rsidRPr="00C5465C">
              <w:rPr>
                <w:noProof/>
                <w:szCs w:val="24"/>
                <w:lang w:val="es-ES_tradnl"/>
              </w:rPr>
              <w:t xml:space="preserve"> Mohamed Saeed Ali Al Muathen Al Mazrooei</w:t>
            </w:r>
          </w:p>
        </w:tc>
        <w:tc>
          <w:tcPr>
            <w:tcW w:w="2268" w:type="dxa"/>
            <w:vAlign w:val="center"/>
          </w:tcPr>
          <w:p w:rsidR="00D2165D" w:rsidRPr="00C5465C" w:rsidRDefault="00D2165D" w:rsidP="00D2165D">
            <w:pPr>
              <w:spacing w:before="0" w:after="60"/>
              <w:ind w:right="-113"/>
              <w:rPr>
                <w:noProof/>
                <w:szCs w:val="24"/>
                <w:lang w:val="es-ES_tradnl"/>
              </w:rPr>
            </w:pPr>
            <w:r w:rsidRPr="00C5465C">
              <w:rPr>
                <w:lang w:val="es-ES_tradnl"/>
              </w:rPr>
              <w:t>Emiratos Árabes Unidos</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ARB</w:t>
            </w:r>
          </w:p>
        </w:tc>
      </w:tr>
      <w:tr w:rsidR="00D2165D" w:rsidRPr="00A16E70"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C5465C">
              <w:rPr>
                <w:lang w:val="es-ES_tradnl"/>
              </w:rPr>
              <w:t>Sr</w:t>
            </w:r>
            <w:r>
              <w:rPr>
                <w:lang w:val="es-ES_tradnl"/>
              </w:rPr>
              <w:t>.</w:t>
            </w:r>
            <w:r w:rsidRPr="00C5465C">
              <w:rPr>
                <w:noProof/>
                <w:szCs w:val="24"/>
                <w:lang w:val="es-ES_tradnl"/>
              </w:rPr>
              <w:t xml:space="preserve"> Kishore Babu</w:t>
            </w:r>
          </w:p>
        </w:tc>
        <w:tc>
          <w:tcPr>
            <w:tcW w:w="2268" w:type="dxa"/>
            <w:vAlign w:val="center"/>
          </w:tcPr>
          <w:p w:rsidR="00D2165D" w:rsidRPr="00C5465C" w:rsidRDefault="00D2165D" w:rsidP="00D2165D">
            <w:pPr>
              <w:spacing w:before="0"/>
              <w:rPr>
                <w:noProof/>
                <w:szCs w:val="24"/>
                <w:lang w:val="es-ES_tradnl"/>
              </w:rPr>
            </w:pPr>
            <w:r w:rsidRPr="00C5465C">
              <w:rPr>
                <w:noProof/>
                <w:szCs w:val="24"/>
                <w:lang w:val="es-ES_tradnl"/>
              </w:rPr>
              <w:t>India</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ASP</w:t>
            </w:r>
          </w:p>
        </w:tc>
      </w:tr>
      <w:tr w:rsidR="00D2165D" w:rsidRPr="00A16E70"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C5465C">
              <w:rPr>
                <w:lang w:val="es-ES_tradnl"/>
              </w:rPr>
              <w:t>Sr</w:t>
            </w:r>
            <w:r>
              <w:rPr>
                <w:lang w:val="es-ES_tradnl"/>
              </w:rPr>
              <w:t>.</w:t>
            </w:r>
            <w:r w:rsidRPr="00C5465C">
              <w:rPr>
                <w:noProof/>
                <w:szCs w:val="24"/>
                <w:lang w:val="es-ES_tradnl"/>
              </w:rPr>
              <w:t xml:space="preserve"> Bohyun Seo</w:t>
            </w:r>
          </w:p>
        </w:tc>
        <w:tc>
          <w:tcPr>
            <w:tcW w:w="2268" w:type="dxa"/>
            <w:vAlign w:val="center"/>
          </w:tcPr>
          <w:p w:rsidR="00D2165D" w:rsidRPr="00C5465C" w:rsidRDefault="00D2165D" w:rsidP="00D2165D">
            <w:pPr>
              <w:spacing w:before="0"/>
              <w:rPr>
                <w:noProof/>
                <w:szCs w:val="24"/>
                <w:lang w:val="es-ES_tradnl"/>
              </w:rPr>
            </w:pPr>
            <w:r w:rsidRPr="00C5465C">
              <w:rPr>
                <w:lang w:val="es-ES_tradnl"/>
              </w:rPr>
              <w:t>República de Corea</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ASP</w:t>
            </w:r>
          </w:p>
        </w:tc>
      </w:tr>
      <w:tr w:rsidR="00D2165D" w:rsidRPr="00A16E70"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C5465C">
              <w:rPr>
                <w:lang w:val="es-ES_tradnl"/>
              </w:rPr>
              <w:t>Sr</w:t>
            </w:r>
            <w:r>
              <w:rPr>
                <w:lang w:val="es-ES_tradnl"/>
              </w:rPr>
              <w:t>.</w:t>
            </w:r>
            <w:r w:rsidRPr="00C5465C">
              <w:rPr>
                <w:noProof/>
                <w:szCs w:val="24"/>
                <w:lang w:val="es-ES_tradnl"/>
              </w:rPr>
              <w:t xml:space="preserve"> Rufat Taghizadeh</w:t>
            </w:r>
          </w:p>
        </w:tc>
        <w:tc>
          <w:tcPr>
            <w:tcW w:w="2268" w:type="dxa"/>
            <w:vAlign w:val="center"/>
          </w:tcPr>
          <w:p w:rsidR="00D2165D" w:rsidRPr="00C5465C" w:rsidRDefault="00D2165D" w:rsidP="00D2165D">
            <w:pPr>
              <w:spacing w:before="0"/>
              <w:rPr>
                <w:noProof/>
                <w:szCs w:val="24"/>
                <w:lang w:val="es-ES_tradnl"/>
              </w:rPr>
            </w:pPr>
            <w:r w:rsidRPr="00C5465C">
              <w:rPr>
                <w:lang w:val="es-ES_tradnl"/>
              </w:rPr>
              <w:t>Azerbaiyán</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CEI</w:t>
            </w:r>
          </w:p>
        </w:tc>
      </w:tr>
      <w:tr w:rsidR="00D2165D" w:rsidRPr="00A16E70"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C5465C">
              <w:rPr>
                <w:lang w:val="es-ES_tradnl"/>
              </w:rPr>
              <w:t>Sr</w:t>
            </w:r>
            <w:r>
              <w:rPr>
                <w:lang w:val="es-ES_tradnl"/>
              </w:rPr>
              <w:t>.</w:t>
            </w:r>
            <w:r w:rsidRPr="00C5465C">
              <w:rPr>
                <w:noProof/>
                <w:szCs w:val="24"/>
                <w:lang w:val="es-ES_tradnl"/>
              </w:rPr>
              <w:t xml:space="preserve"> Nurzat Boljobekova</w:t>
            </w:r>
          </w:p>
        </w:tc>
        <w:tc>
          <w:tcPr>
            <w:tcW w:w="2268" w:type="dxa"/>
            <w:vAlign w:val="center"/>
          </w:tcPr>
          <w:p w:rsidR="00D2165D" w:rsidRPr="00C5465C" w:rsidRDefault="00D2165D" w:rsidP="00D2165D">
            <w:pPr>
              <w:spacing w:before="0"/>
              <w:rPr>
                <w:noProof/>
                <w:szCs w:val="24"/>
                <w:lang w:val="es-ES_tradnl"/>
              </w:rPr>
            </w:pPr>
            <w:r w:rsidRPr="00C5465C">
              <w:rPr>
                <w:lang w:val="es-ES_tradnl"/>
              </w:rPr>
              <w:t>República Kirguisa</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CEI</w:t>
            </w:r>
          </w:p>
        </w:tc>
      </w:tr>
      <w:tr w:rsidR="00D2165D" w:rsidRPr="00A16E70"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C5465C">
              <w:rPr>
                <w:lang w:val="es-ES_tradnl"/>
              </w:rPr>
              <w:t>Sr</w:t>
            </w:r>
            <w:r>
              <w:rPr>
                <w:lang w:val="es-ES_tradnl"/>
              </w:rPr>
              <w:t>.</w:t>
            </w:r>
            <w:r w:rsidRPr="00C5465C">
              <w:rPr>
                <w:noProof/>
                <w:szCs w:val="24"/>
                <w:lang w:val="es-ES_tradnl"/>
              </w:rPr>
              <w:t xml:space="preserve"> Dominique Würges</w:t>
            </w:r>
          </w:p>
        </w:tc>
        <w:tc>
          <w:tcPr>
            <w:tcW w:w="2268" w:type="dxa"/>
            <w:vAlign w:val="center"/>
          </w:tcPr>
          <w:p w:rsidR="00D2165D" w:rsidRPr="00C5465C" w:rsidRDefault="00D2165D" w:rsidP="00D2165D">
            <w:pPr>
              <w:spacing w:before="0"/>
              <w:rPr>
                <w:noProof/>
                <w:szCs w:val="24"/>
                <w:lang w:val="es-ES_tradnl"/>
              </w:rPr>
            </w:pPr>
            <w:r w:rsidRPr="00C5465C">
              <w:rPr>
                <w:lang w:val="es-ES_tradnl"/>
              </w:rPr>
              <w:t>Francia</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EUR</w:t>
            </w:r>
          </w:p>
        </w:tc>
      </w:tr>
      <w:tr w:rsidR="00D2165D" w:rsidRPr="00A16E70" w:rsidTr="008E5C4B">
        <w:trPr>
          <w:trHeight w:val="397"/>
        </w:trPr>
        <w:tc>
          <w:tcPr>
            <w:tcW w:w="1838" w:type="dxa"/>
          </w:tcPr>
          <w:p w:rsidR="00D2165D" w:rsidRPr="00C5465C" w:rsidRDefault="00D2165D" w:rsidP="00D2165D">
            <w:pPr>
              <w:spacing w:before="0"/>
              <w:rPr>
                <w:noProof/>
                <w:szCs w:val="24"/>
                <w:lang w:val="es-ES_tradnl"/>
              </w:rPr>
            </w:pPr>
            <w:r w:rsidRPr="00C5465C">
              <w:rPr>
                <w:lang w:val="es-ES_tradnl"/>
              </w:rPr>
              <w:t>Vicepresidente</w:t>
            </w:r>
          </w:p>
        </w:tc>
        <w:tc>
          <w:tcPr>
            <w:tcW w:w="3402" w:type="dxa"/>
            <w:vAlign w:val="center"/>
          </w:tcPr>
          <w:p w:rsidR="00D2165D" w:rsidRPr="00C5465C" w:rsidRDefault="00D2165D" w:rsidP="00D2165D">
            <w:pPr>
              <w:spacing w:before="0"/>
              <w:rPr>
                <w:noProof/>
                <w:szCs w:val="24"/>
                <w:lang w:val="es-ES_tradnl"/>
              </w:rPr>
            </w:pPr>
            <w:r w:rsidRPr="00C5465C">
              <w:rPr>
                <w:lang w:val="es-ES_tradnl"/>
              </w:rPr>
              <w:t>Sr</w:t>
            </w:r>
            <w:r>
              <w:rPr>
                <w:lang w:val="es-ES_tradnl"/>
              </w:rPr>
              <w:t>.</w:t>
            </w:r>
            <w:r w:rsidRPr="00C5465C">
              <w:rPr>
                <w:noProof/>
                <w:szCs w:val="24"/>
                <w:lang w:val="es-ES_tradnl"/>
              </w:rPr>
              <w:t xml:space="preserve"> Fabio Bigi</w:t>
            </w:r>
          </w:p>
        </w:tc>
        <w:tc>
          <w:tcPr>
            <w:tcW w:w="2268" w:type="dxa"/>
            <w:vAlign w:val="center"/>
          </w:tcPr>
          <w:p w:rsidR="00D2165D" w:rsidRPr="00C5465C" w:rsidRDefault="00D2165D" w:rsidP="00D2165D">
            <w:pPr>
              <w:spacing w:before="0"/>
              <w:rPr>
                <w:noProof/>
                <w:szCs w:val="24"/>
                <w:lang w:val="es-ES_tradnl"/>
              </w:rPr>
            </w:pPr>
            <w:r w:rsidRPr="00C5465C">
              <w:rPr>
                <w:lang w:val="es-ES_tradnl"/>
              </w:rPr>
              <w:t>Italia</w:t>
            </w:r>
          </w:p>
        </w:tc>
        <w:tc>
          <w:tcPr>
            <w:tcW w:w="1701" w:type="dxa"/>
            <w:vAlign w:val="center"/>
          </w:tcPr>
          <w:p w:rsidR="00D2165D" w:rsidRPr="00C5465C" w:rsidRDefault="00D2165D" w:rsidP="00D2165D">
            <w:pPr>
              <w:spacing w:before="0"/>
              <w:rPr>
                <w:noProof/>
                <w:szCs w:val="24"/>
                <w:lang w:val="es-ES_tradnl"/>
              </w:rPr>
            </w:pPr>
            <w:r w:rsidRPr="00C5465C">
              <w:rPr>
                <w:noProof/>
                <w:szCs w:val="24"/>
                <w:lang w:val="es-ES_tradnl"/>
              </w:rPr>
              <w:t>EUR</w:t>
            </w:r>
          </w:p>
        </w:tc>
      </w:tr>
    </w:tbl>
    <w:p w:rsidR="00D2165D" w:rsidRPr="00C5465C" w:rsidRDefault="00D2165D" w:rsidP="00D2165D">
      <w:pPr>
        <w:pStyle w:val="Heading1"/>
        <w:rPr>
          <w:lang w:val="es-ES_tradnl"/>
        </w:rPr>
      </w:pPr>
      <w:bookmarkStart w:id="15" w:name="_Toc381274941"/>
      <w:bookmarkStart w:id="16" w:name="_Toc482178267"/>
      <w:bookmarkStart w:id="17" w:name="_Toc487791220"/>
      <w:r w:rsidRPr="00C5465C">
        <w:rPr>
          <w:lang w:val="es-ES_tradnl"/>
        </w:rPr>
        <w:t>2</w:t>
      </w:r>
      <w:r w:rsidRPr="00C5465C">
        <w:rPr>
          <w:lang w:val="es-ES_tradnl"/>
        </w:rPr>
        <w:tab/>
        <w:t>Reuniones del GADT</w:t>
      </w:r>
      <w:bookmarkEnd w:id="15"/>
      <w:bookmarkEnd w:id="16"/>
      <w:bookmarkEnd w:id="17"/>
    </w:p>
    <w:p w:rsidR="00D2165D" w:rsidRPr="00C5465C" w:rsidRDefault="00D2165D" w:rsidP="00D2165D">
      <w:pPr>
        <w:rPr>
          <w:lang w:val="es-ES_tradnl"/>
        </w:rPr>
      </w:pPr>
      <w:r w:rsidRPr="00C5465C">
        <w:rPr>
          <w:lang w:val="es-ES_tradnl"/>
        </w:rPr>
        <w:t xml:space="preserve">Durante el periodo abarcado por el presente Informe el GADT celebró tres reuniones bajo la presidencia del Profesor Vladimir Minkin (Federación de Rusia). El resumen completo de las conclusiones de esas reuniones se puede consultar en </w:t>
      </w:r>
      <w:hyperlink r:id="rId19" w:history="1">
        <w:r w:rsidRPr="00C5465C">
          <w:rPr>
            <w:rStyle w:val="Hyperlink"/>
            <w:lang w:val="es-ES_tradnl"/>
          </w:rPr>
          <w:t>www.itu.int/ITU-D/tdag/</w:t>
        </w:r>
      </w:hyperlink>
      <w:r w:rsidRPr="00C5465C">
        <w:rPr>
          <w:lang w:val="es-ES_tradnl"/>
        </w:rPr>
        <w:t>.</w:t>
      </w:r>
    </w:p>
    <w:p w:rsidR="00D2165D" w:rsidRPr="00C5465C" w:rsidRDefault="00D2165D" w:rsidP="00D2165D">
      <w:pPr>
        <w:pStyle w:val="Heading2"/>
        <w:rPr>
          <w:lang w:val="es-ES_tradnl"/>
        </w:rPr>
      </w:pPr>
      <w:bookmarkStart w:id="18" w:name="_Toc381274942"/>
      <w:bookmarkStart w:id="19" w:name="_Toc482178268"/>
      <w:bookmarkStart w:id="20" w:name="_Toc487791221"/>
      <w:r w:rsidRPr="00C5465C">
        <w:rPr>
          <w:lang w:val="es-ES_tradnl"/>
        </w:rPr>
        <w:t>2.1</w:t>
      </w:r>
      <w:r w:rsidRPr="00C5465C">
        <w:rPr>
          <w:lang w:val="es-ES_tradnl"/>
        </w:rPr>
        <w:tab/>
        <w:t>Decimonovena reunión del GADT</w:t>
      </w:r>
      <w:bookmarkEnd w:id="18"/>
      <w:bookmarkEnd w:id="19"/>
      <w:bookmarkEnd w:id="20"/>
    </w:p>
    <w:p w:rsidR="00D2165D" w:rsidRPr="00C5465C" w:rsidRDefault="00D2165D" w:rsidP="00D2165D">
      <w:pPr>
        <w:rPr>
          <w:lang w:val="es-ES_tradnl"/>
        </w:rPr>
      </w:pPr>
      <w:r w:rsidRPr="00C5465C">
        <w:rPr>
          <w:lang w:val="es-ES_tradnl"/>
        </w:rPr>
        <w:t>a)</w:t>
      </w:r>
      <w:r w:rsidRPr="00C5465C">
        <w:rPr>
          <w:lang w:val="es-ES_tradnl"/>
        </w:rPr>
        <w:tab/>
      </w:r>
      <w:r w:rsidRPr="00C5465C">
        <w:rPr>
          <w:rFonts w:cstheme="minorHAnsi"/>
          <w:lang w:val="es-ES_tradnl"/>
        </w:rPr>
        <w:t xml:space="preserve">La 19ª reunión del Grupo Asesor de Desarrollo de las Telecomunicaciones (GADT) se celebró </w:t>
      </w:r>
      <w:r w:rsidRPr="002A57F0">
        <w:rPr>
          <w:lang w:val="es-ES_tradnl"/>
        </w:rPr>
        <w:t>e</w:t>
      </w:r>
      <w:r w:rsidRPr="00C5465C">
        <w:rPr>
          <w:rFonts w:cstheme="minorHAnsi"/>
          <w:lang w:val="es-ES_tradnl"/>
        </w:rPr>
        <w:t xml:space="preserve">n la </w:t>
      </w:r>
      <w:r w:rsidRPr="002A57F0">
        <w:rPr>
          <w:lang w:val="es-ES_tradnl"/>
        </w:rPr>
        <w:t>Sede</w:t>
      </w:r>
      <w:r w:rsidRPr="00C5465C">
        <w:rPr>
          <w:rFonts w:cstheme="minorHAnsi"/>
          <w:lang w:val="es-ES_tradnl"/>
        </w:rPr>
        <w:t xml:space="preserve"> de la UIT en Ginebra, del 29 de septiembre al 1 de octubre de 2014 bajo la presidencia del </w:t>
      </w:r>
      <w:r w:rsidRPr="00C5465C">
        <w:rPr>
          <w:lang w:val="es-ES_tradnl"/>
        </w:rPr>
        <w:t>Profesor</w:t>
      </w:r>
      <w:r w:rsidRPr="00C5465C">
        <w:rPr>
          <w:rFonts w:cstheme="minorHAnsi"/>
          <w:lang w:val="es-ES_tradnl"/>
        </w:rPr>
        <w:t xml:space="preserve"> Dr. Vladimir Minkin.</w:t>
      </w:r>
    </w:p>
    <w:p w:rsidR="00D2165D" w:rsidRPr="00C5465C" w:rsidRDefault="00D2165D" w:rsidP="008E5C4B">
      <w:pPr>
        <w:rPr>
          <w:lang w:val="es-ES_tradnl"/>
        </w:rPr>
      </w:pPr>
      <w:r w:rsidRPr="00C5465C">
        <w:rPr>
          <w:lang w:val="es-ES_tradnl"/>
        </w:rPr>
        <w:lastRenderedPageBreak/>
        <w:t xml:space="preserve">El informe completo de la reunión en los seis idiomas oficiales de la UIT figura en la dirección </w:t>
      </w:r>
      <w:hyperlink r:id="rId20" w:history="1">
        <w:r w:rsidRPr="00C5465C">
          <w:rPr>
            <w:rStyle w:val="Hyperlink"/>
            <w:lang w:val="es-ES_tradnl"/>
          </w:rPr>
          <w:t>https://www.itu.int/md/D14-TDAG19-C-0026/en</w:t>
        </w:r>
      </w:hyperlink>
      <w:r w:rsidRPr="00C5465C">
        <w:rPr>
          <w:lang w:val="es-ES_tradnl"/>
        </w:rPr>
        <w:t>.</w:t>
      </w:r>
    </w:p>
    <w:p w:rsidR="00D2165D" w:rsidRPr="00C5465C" w:rsidRDefault="00D2165D" w:rsidP="00D2165D">
      <w:pPr>
        <w:pStyle w:val="enumlev1"/>
        <w:rPr>
          <w:lang w:val="es-ES_tradnl"/>
        </w:rPr>
      </w:pPr>
      <w:bookmarkStart w:id="21" w:name="lt_pId029"/>
      <w:r w:rsidRPr="00C5465C">
        <w:rPr>
          <w:lang w:val="es-ES_tradnl"/>
        </w:rPr>
        <w:t>b)</w:t>
      </w:r>
      <w:r w:rsidRPr="00C5465C">
        <w:rPr>
          <w:lang w:val="es-ES_tradnl"/>
        </w:rPr>
        <w:tab/>
      </w:r>
      <w:bookmarkEnd w:id="21"/>
      <w:r w:rsidRPr="00C5465C">
        <w:rPr>
          <w:lang w:val="es-ES_tradnl"/>
        </w:rPr>
        <w:t>Participantes</w:t>
      </w:r>
    </w:p>
    <w:p w:rsidR="00D2165D" w:rsidRPr="00C5465C" w:rsidRDefault="00D2165D" w:rsidP="00D2165D">
      <w:pPr>
        <w:rPr>
          <w:lang w:val="es-ES_tradnl"/>
        </w:rPr>
      </w:pPr>
      <w:bookmarkStart w:id="22" w:name="lt_pId030"/>
      <w:r w:rsidRPr="00C5465C">
        <w:rPr>
          <w:lang w:val="es-ES_tradnl"/>
        </w:rPr>
        <w:t>En el siguiente gráfico se facilita el desglose de participantes por categoría:</w:t>
      </w:r>
      <w:bookmarkEnd w:id="22"/>
    </w:p>
    <w:p w:rsidR="00D2165D" w:rsidRPr="00C5465C" w:rsidRDefault="00D2165D" w:rsidP="00D2165D">
      <w:pPr>
        <w:jc w:val="center"/>
        <w:rPr>
          <w:lang w:val="es-ES_tradnl"/>
        </w:rPr>
      </w:pPr>
      <w:bookmarkStart w:id="23" w:name="_MON_1555436832"/>
      <w:bookmarkEnd w:id="23"/>
      <w:r w:rsidRPr="00C5465C">
        <w:rPr>
          <w:noProof/>
          <w:lang w:eastAsia="zh-CN"/>
        </w:rPr>
        <w:drawing>
          <wp:inline distT="0" distB="0" distL="0" distR="0" wp14:anchorId="0DC74E83" wp14:editId="321BB8A1">
            <wp:extent cx="5850890" cy="2406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50890" cy="2406650"/>
                    </a:xfrm>
                    <a:prstGeom prst="rect">
                      <a:avLst/>
                    </a:prstGeom>
                  </pic:spPr>
                </pic:pic>
              </a:graphicData>
            </a:graphic>
          </wp:inline>
        </w:drawing>
      </w:r>
    </w:p>
    <w:p w:rsidR="00D2165D" w:rsidRPr="00153F01" w:rsidRDefault="00D2165D" w:rsidP="00D2165D">
      <w:pPr>
        <w:pStyle w:val="Figurelegend"/>
        <w:rPr>
          <w:b/>
          <w:bCs/>
          <w:lang w:val="es-ES_tradnl"/>
        </w:rPr>
      </w:pPr>
      <w:r w:rsidRPr="00153F01">
        <w:rPr>
          <w:b/>
          <w:bCs/>
          <w:lang w:val="es-ES_tradnl"/>
        </w:rPr>
        <w:t>Leyenda:</w:t>
      </w:r>
    </w:p>
    <w:p w:rsidR="00D2165D" w:rsidRPr="00C5465C" w:rsidRDefault="00D2165D" w:rsidP="00D2165D">
      <w:pPr>
        <w:pStyle w:val="Figurelegend"/>
        <w:rPr>
          <w:lang w:val="es-ES_tradnl"/>
        </w:rPr>
      </w:pPr>
      <w:r w:rsidRPr="00C5465C">
        <w:rPr>
          <w:lang w:val="es-ES_tradnl"/>
        </w:rPr>
        <w:t>Estados Miembros</w:t>
      </w:r>
    </w:p>
    <w:p w:rsidR="00D2165D" w:rsidRPr="00C5465C" w:rsidRDefault="00D2165D" w:rsidP="00D2165D">
      <w:pPr>
        <w:pStyle w:val="Figurelegend"/>
        <w:keepNext w:val="0"/>
        <w:keepLines w:val="0"/>
        <w:rPr>
          <w:lang w:val="es-ES_tradnl"/>
        </w:rPr>
      </w:pPr>
      <w:r w:rsidRPr="00C5465C">
        <w:rPr>
          <w:lang w:val="es-ES_tradnl"/>
        </w:rPr>
        <w:t>Resolución 99 (Rev. Guadalajara, 2010)</w:t>
      </w:r>
    </w:p>
    <w:p w:rsidR="00D2165D" w:rsidRPr="00C5465C" w:rsidRDefault="00D2165D" w:rsidP="00D2165D">
      <w:pPr>
        <w:pStyle w:val="Figurelegend"/>
        <w:keepNext w:val="0"/>
        <w:keepLines w:val="0"/>
        <w:rPr>
          <w:lang w:val="es-ES_tradnl"/>
        </w:rPr>
      </w:pPr>
      <w:r w:rsidRPr="00C5465C">
        <w:rPr>
          <w:lang w:val="es-ES_tradnl"/>
        </w:rPr>
        <w:t>Miembros de Sector del UIT-D – Empresas de explotación reconocidas</w:t>
      </w:r>
    </w:p>
    <w:p w:rsidR="00D2165D" w:rsidRPr="00C5465C" w:rsidRDefault="00D2165D" w:rsidP="00D2165D">
      <w:pPr>
        <w:pStyle w:val="Figurelegend"/>
        <w:keepNext w:val="0"/>
        <w:keepLines w:val="0"/>
        <w:rPr>
          <w:lang w:val="es-ES_tradnl"/>
        </w:rPr>
      </w:pPr>
      <w:r w:rsidRPr="00C5465C">
        <w:rPr>
          <w:lang w:val="es-ES_tradnl"/>
        </w:rPr>
        <w:t>Miembros de Sector del UIT-D – Organizaciones científicas o industriales</w:t>
      </w:r>
    </w:p>
    <w:p w:rsidR="00D2165D" w:rsidRPr="00C5465C" w:rsidRDefault="00D2165D" w:rsidP="00D2165D">
      <w:pPr>
        <w:pStyle w:val="Figurelegend"/>
        <w:keepNext w:val="0"/>
        <w:keepLines w:val="0"/>
        <w:rPr>
          <w:lang w:val="es-ES_tradnl"/>
        </w:rPr>
      </w:pPr>
      <w:r w:rsidRPr="00C5465C">
        <w:rPr>
          <w:lang w:val="es-ES_tradnl"/>
        </w:rPr>
        <w:t xml:space="preserve">Miembros de Sector del UIT-D – Otras entidades de telecomunicaciones </w:t>
      </w:r>
    </w:p>
    <w:p w:rsidR="00D2165D" w:rsidRPr="00C5465C" w:rsidRDefault="00D2165D" w:rsidP="00D2165D">
      <w:pPr>
        <w:pStyle w:val="Figurelegend"/>
        <w:keepNext w:val="0"/>
        <w:keepLines w:val="0"/>
        <w:rPr>
          <w:lang w:val="es-ES_tradnl"/>
        </w:rPr>
      </w:pPr>
      <w:r w:rsidRPr="00C5465C">
        <w:rPr>
          <w:lang w:val="es-ES_tradnl"/>
        </w:rPr>
        <w:t>Miembros de Sector del UIT-D – Organizaciones regionales y otras</w:t>
      </w:r>
      <w:r>
        <w:rPr>
          <w:lang w:val="es-ES_tradnl"/>
        </w:rPr>
        <w:t xml:space="preserve"> organizaciones internacionales</w:t>
      </w:r>
    </w:p>
    <w:p w:rsidR="00D2165D" w:rsidRPr="00C5465C" w:rsidRDefault="00D2165D" w:rsidP="00D2165D">
      <w:pPr>
        <w:pStyle w:val="Figurelegend"/>
        <w:keepNext w:val="0"/>
        <w:keepLines w:val="0"/>
        <w:rPr>
          <w:lang w:val="es-ES_tradnl"/>
        </w:rPr>
      </w:pPr>
      <w:r w:rsidRPr="00C5465C">
        <w:rPr>
          <w:lang w:val="es-ES_tradnl"/>
        </w:rPr>
        <w:t>Miembros de Sector del UIT-D – Organizaciones r</w:t>
      </w:r>
      <w:r>
        <w:rPr>
          <w:lang w:val="es-ES_tradnl"/>
        </w:rPr>
        <w:t>egionales de telecomunicaciones</w:t>
      </w:r>
    </w:p>
    <w:p w:rsidR="00D2165D" w:rsidRPr="00C5465C" w:rsidRDefault="00D2165D" w:rsidP="00D2165D">
      <w:pPr>
        <w:pStyle w:val="Figurelegend"/>
        <w:keepNext w:val="0"/>
        <w:keepLines w:val="0"/>
        <w:rPr>
          <w:lang w:val="es-ES_tradnl"/>
        </w:rPr>
      </w:pPr>
      <w:r w:rsidRPr="00C5465C">
        <w:rPr>
          <w:lang w:val="es-ES_tradnl"/>
        </w:rPr>
        <w:t>Instituciones Académicas</w:t>
      </w:r>
    </w:p>
    <w:p w:rsidR="00D2165D" w:rsidRPr="00C5465C" w:rsidRDefault="00D2165D" w:rsidP="00D2165D">
      <w:pPr>
        <w:pStyle w:val="Figurelegend"/>
        <w:keepNext w:val="0"/>
        <w:keepLines w:val="0"/>
        <w:rPr>
          <w:lang w:val="es-ES_tradnl"/>
        </w:rPr>
      </w:pPr>
      <w:r w:rsidRPr="00C5465C">
        <w:rPr>
          <w:lang w:val="es-ES_tradnl"/>
        </w:rPr>
        <w:t>Organizaciones regionales y otras organizaciones internacionales invitadas</w:t>
      </w:r>
    </w:p>
    <w:p w:rsidR="00D2165D" w:rsidRPr="00C5465C" w:rsidRDefault="00D2165D" w:rsidP="00D2165D">
      <w:pPr>
        <w:spacing w:before="360"/>
        <w:rPr>
          <w:noProof/>
          <w:lang w:val="es-ES_tradnl"/>
        </w:rPr>
      </w:pPr>
      <w:bookmarkStart w:id="24" w:name="lt_pId031"/>
      <w:r w:rsidRPr="00C5465C">
        <w:rPr>
          <w:lang w:val="es-ES_tradnl"/>
        </w:rPr>
        <w:t>En el siguiente gráfico se facilita el desglose de participantes por región:</w:t>
      </w:r>
      <w:bookmarkEnd w:id="24"/>
    </w:p>
    <w:p w:rsidR="00D2165D" w:rsidRPr="00C5465C" w:rsidRDefault="00D2165D" w:rsidP="00D2165D">
      <w:pPr>
        <w:rPr>
          <w:lang w:val="es-ES_tradnl"/>
        </w:rPr>
      </w:pPr>
      <w:r w:rsidRPr="00C5465C">
        <w:rPr>
          <w:noProof/>
          <w:lang w:eastAsia="zh-CN"/>
        </w:rPr>
        <w:drawing>
          <wp:inline distT="0" distB="0" distL="0" distR="0" wp14:anchorId="6C86C570" wp14:editId="0951486F">
            <wp:extent cx="5924550" cy="24260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25881" cy="2426563"/>
                    </a:xfrm>
                    <a:prstGeom prst="rect">
                      <a:avLst/>
                    </a:prstGeom>
                  </pic:spPr>
                </pic:pic>
              </a:graphicData>
            </a:graphic>
          </wp:inline>
        </w:drawing>
      </w:r>
    </w:p>
    <w:p w:rsidR="00D2165D" w:rsidRPr="0016760B" w:rsidRDefault="00D2165D" w:rsidP="00D2165D">
      <w:pPr>
        <w:pStyle w:val="Figurelegend"/>
        <w:keepNext w:val="0"/>
        <w:keepLines w:val="0"/>
        <w:rPr>
          <w:b/>
          <w:bCs/>
          <w:lang w:val="es-ES_tradnl"/>
        </w:rPr>
      </w:pPr>
      <w:bookmarkStart w:id="25" w:name="lt_pId032"/>
      <w:r w:rsidRPr="0016760B">
        <w:rPr>
          <w:b/>
          <w:bCs/>
          <w:lang w:val="es-ES_tradnl"/>
        </w:rPr>
        <w:t>Leyenda:</w:t>
      </w:r>
    </w:p>
    <w:p w:rsidR="00D2165D" w:rsidRDefault="00D2165D" w:rsidP="00D2165D">
      <w:pPr>
        <w:pStyle w:val="Figurelegend"/>
        <w:keepNext w:val="0"/>
        <w:keepLines w:val="0"/>
        <w:rPr>
          <w:lang w:val="es-ES_tradnl"/>
        </w:rPr>
      </w:pPr>
      <w:r w:rsidRPr="00AA5698">
        <w:rPr>
          <w:lang w:val="es-ES_tradnl"/>
        </w:rPr>
        <w:t xml:space="preserve">AFR; AMS; ARB; ASP; CEI; EUR; </w:t>
      </w:r>
      <w:r w:rsidRPr="00C5465C">
        <w:rPr>
          <w:lang w:val="es-ES_tradnl"/>
        </w:rPr>
        <w:t>Sin identificar</w:t>
      </w:r>
    </w:p>
    <w:p w:rsidR="00D2165D" w:rsidRPr="00C5465C" w:rsidRDefault="00D2165D" w:rsidP="00D2165D">
      <w:pPr>
        <w:pStyle w:val="enumlev1"/>
        <w:keepNext/>
        <w:rPr>
          <w:lang w:val="es-ES_tradnl"/>
        </w:rPr>
      </w:pPr>
      <w:r w:rsidRPr="00C5465C">
        <w:rPr>
          <w:lang w:val="es-ES_tradnl"/>
        </w:rPr>
        <w:lastRenderedPageBreak/>
        <w:t>c)</w:t>
      </w:r>
      <w:r w:rsidRPr="00C5465C">
        <w:rPr>
          <w:lang w:val="es-ES_tradnl"/>
        </w:rPr>
        <w:tab/>
      </w:r>
      <w:bookmarkEnd w:id="25"/>
      <w:r w:rsidRPr="00C5465C">
        <w:rPr>
          <w:lang w:val="es-ES_tradnl"/>
        </w:rPr>
        <w:t>Documentos</w:t>
      </w:r>
    </w:p>
    <w:p w:rsidR="00D2165D" w:rsidRPr="00C5465C" w:rsidRDefault="00D2165D" w:rsidP="00D2165D">
      <w:pPr>
        <w:keepNext/>
        <w:rPr>
          <w:lang w:val="es-ES_tradnl"/>
        </w:rPr>
      </w:pPr>
      <w:bookmarkStart w:id="26" w:name="lt_pId033"/>
      <w:r w:rsidRPr="00C5465C">
        <w:rPr>
          <w:lang w:val="es-ES_tradnl"/>
        </w:rPr>
        <w:t>En el siguiente gráfico se presenta el número de documentos desglosado por categoría de documentos:</w:t>
      </w:r>
      <w:bookmarkEnd w:id="26"/>
    </w:p>
    <w:p w:rsidR="00D2165D" w:rsidRPr="00C5465C" w:rsidRDefault="00D2165D" w:rsidP="00D2165D">
      <w:pPr>
        <w:overflowPunct/>
        <w:autoSpaceDE/>
        <w:autoSpaceDN/>
        <w:adjustRightInd/>
        <w:spacing w:before="0"/>
        <w:textAlignment w:val="auto"/>
        <w:rPr>
          <w:lang w:val="es-ES_tradnl"/>
        </w:rPr>
      </w:pPr>
      <w:r w:rsidRPr="00C5465C">
        <w:rPr>
          <w:noProof/>
          <w:lang w:eastAsia="zh-CN"/>
        </w:rPr>
        <w:drawing>
          <wp:inline distT="0" distB="0" distL="0" distR="0" wp14:anchorId="0E548FC9" wp14:editId="5D1CD41B">
            <wp:extent cx="5546725" cy="2941320"/>
            <wp:effectExtent l="0" t="0" r="15875"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2165D" w:rsidRPr="00153F01" w:rsidRDefault="00D2165D" w:rsidP="00D2165D">
      <w:pPr>
        <w:pStyle w:val="Figurelegend"/>
        <w:rPr>
          <w:b/>
          <w:bCs/>
          <w:lang w:val="es-ES_tradnl"/>
        </w:rPr>
      </w:pPr>
      <w:bookmarkStart w:id="27" w:name="lt_pId034"/>
      <w:r>
        <w:rPr>
          <w:b/>
          <w:bCs/>
          <w:lang w:val="es-ES_tradnl"/>
        </w:rPr>
        <w:t>Leyenda:</w:t>
      </w:r>
    </w:p>
    <w:p w:rsidR="00D2165D" w:rsidRPr="00C5465C" w:rsidRDefault="00D2165D" w:rsidP="00D2165D">
      <w:pPr>
        <w:pStyle w:val="Figurelegend"/>
        <w:keepNext w:val="0"/>
        <w:keepLines w:val="0"/>
        <w:rPr>
          <w:lang w:val="es-ES_tradnl"/>
        </w:rPr>
      </w:pPr>
      <w:r>
        <w:rPr>
          <w:lang w:val="es-ES_tradnl"/>
        </w:rPr>
        <w:t>Contribuciones</w:t>
      </w:r>
    </w:p>
    <w:p w:rsidR="00D2165D" w:rsidRPr="00C5465C" w:rsidRDefault="00D2165D" w:rsidP="00D2165D">
      <w:pPr>
        <w:pStyle w:val="Figurelegend"/>
        <w:keepNext w:val="0"/>
        <w:keepLines w:val="0"/>
        <w:rPr>
          <w:lang w:val="es-ES_tradnl"/>
        </w:rPr>
      </w:pPr>
      <w:r w:rsidRPr="00C5465C">
        <w:rPr>
          <w:lang w:val="es-ES_tradnl"/>
        </w:rPr>
        <w:t>Documentos de información</w:t>
      </w:r>
    </w:p>
    <w:p w:rsidR="00D2165D" w:rsidRPr="00C5465C" w:rsidRDefault="00D2165D" w:rsidP="00D2165D">
      <w:pPr>
        <w:pStyle w:val="Figurelegend"/>
        <w:keepNext w:val="0"/>
        <w:keepLines w:val="0"/>
        <w:rPr>
          <w:lang w:val="es-ES_tradnl"/>
        </w:rPr>
      </w:pPr>
      <w:r w:rsidRPr="00C5465C">
        <w:rPr>
          <w:lang w:val="es-ES_tradnl"/>
        </w:rPr>
        <w:t>Documentos temporales</w:t>
      </w:r>
    </w:p>
    <w:p w:rsidR="00D2165D" w:rsidRPr="00C5465C" w:rsidRDefault="00D2165D" w:rsidP="00D2165D">
      <w:pPr>
        <w:pStyle w:val="Figurelegend"/>
        <w:keepNext w:val="0"/>
        <w:keepLines w:val="0"/>
        <w:rPr>
          <w:lang w:val="es-ES_tradnl"/>
        </w:rPr>
      </w:pPr>
      <w:r w:rsidRPr="00C5465C">
        <w:rPr>
          <w:lang w:val="es-ES_tradnl"/>
        </w:rPr>
        <w:t>Documentos administrativos</w:t>
      </w:r>
    </w:p>
    <w:p w:rsidR="00D2165D" w:rsidRPr="00C5465C" w:rsidRDefault="00D2165D" w:rsidP="001060C0">
      <w:pPr>
        <w:pStyle w:val="enumlev1"/>
        <w:spacing w:before="360"/>
        <w:rPr>
          <w:lang w:val="es-ES_tradnl"/>
        </w:rPr>
      </w:pPr>
      <w:r w:rsidRPr="00C5465C">
        <w:rPr>
          <w:lang w:val="es-ES_tradnl"/>
        </w:rPr>
        <w:t>d)</w:t>
      </w:r>
      <w:r w:rsidRPr="00C5465C">
        <w:rPr>
          <w:lang w:val="es-ES_tradnl"/>
        </w:rPr>
        <w:tab/>
        <w:t>Resultados de la 19ª reunión del GADT</w:t>
      </w:r>
      <w:bookmarkEnd w:id="27"/>
    </w:p>
    <w:p w:rsidR="00D2165D" w:rsidRPr="00C5465C" w:rsidRDefault="00D2165D" w:rsidP="00D2165D">
      <w:pPr>
        <w:spacing w:after="120"/>
        <w:rPr>
          <w:lang w:val="es-ES_tradnl"/>
        </w:rPr>
      </w:pPr>
      <w:bookmarkStart w:id="28" w:name="lt_pId035"/>
      <w:r w:rsidRPr="00C5465C">
        <w:rPr>
          <w:lang w:val="es-ES_tradnl"/>
        </w:rPr>
        <w:t>En el siguiente cuadro se facilita el resumen de los resultados de la 19ª reunión del GADT, por temas:</w:t>
      </w:r>
      <w:bookmarkEnd w:id="28"/>
    </w:p>
    <w:tbl>
      <w:tblPr>
        <w:tblW w:w="9214" w:type="dxa"/>
        <w:tblInd w:w="-5" w:type="dxa"/>
        <w:tblLook w:val="04A0" w:firstRow="1" w:lastRow="0" w:firstColumn="1" w:lastColumn="0" w:noHBand="0" w:noVBand="1"/>
      </w:tblPr>
      <w:tblGrid>
        <w:gridCol w:w="3220"/>
        <w:gridCol w:w="5994"/>
      </w:tblGrid>
      <w:tr w:rsidR="00D2165D" w:rsidRPr="00C5465C" w:rsidTr="00D2165D">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D2165D" w:rsidRPr="00C5465C" w:rsidRDefault="00D2165D" w:rsidP="00D2165D">
            <w:pPr>
              <w:pStyle w:val="Tabletitle"/>
              <w:rPr>
                <w:i/>
                <w:iCs/>
                <w:lang w:val="es-ES_tradnl" w:eastAsia="zh-CN"/>
              </w:rPr>
            </w:pPr>
            <w:r w:rsidRPr="00C5465C">
              <w:rPr>
                <w:i/>
                <w:iCs/>
                <w:lang w:val="es-ES_tradnl" w:eastAsia="zh-CN"/>
              </w:rPr>
              <w:t>Tema</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D2165D" w:rsidRPr="00C5465C" w:rsidRDefault="00D2165D" w:rsidP="00D2165D">
            <w:pPr>
              <w:pStyle w:val="Tabletitle"/>
              <w:rPr>
                <w:i/>
                <w:iCs/>
                <w:lang w:val="es-ES_tradnl" w:eastAsia="zh-CN"/>
              </w:rPr>
            </w:pPr>
            <w:bookmarkStart w:id="29" w:name="lt_pId037"/>
            <w:r w:rsidRPr="00C5465C">
              <w:rPr>
                <w:i/>
                <w:iCs/>
                <w:lang w:val="es-ES_tradnl" w:eastAsia="zh-CN"/>
              </w:rPr>
              <w:t>Conclusiones/Resultados del GADT</w:t>
            </w:r>
            <w:bookmarkEnd w:id="29"/>
          </w:p>
        </w:tc>
      </w:tr>
      <w:tr w:rsidR="00D2165D" w:rsidRPr="008E5C4B"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lang w:val="es-ES_tradnl" w:eastAsia="zh-CN"/>
              </w:rPr>
            </w:pPr>
            <w:r w:rsidRPr="00C5465C">
              <w:rPr>
                <w:lang w:val="es-ES_tradnl" w:eastAsia="zh-CN"/>
              </w:rPr>
              <w:t xml:space="preserve">Conferencia Mundial de Desarrollo </w:t>
            </w:r>
            <w:r w:rsidR="001060C0">
              <w:rPr>
                <w:lang w:val="es-ES_tradnl" w:eastAsia="zh-CN"/>
              </w:rPr>
              <w:t>de las Telecomunicaciones (CMDT</w:t>
            </w:r>
            <w:r w:rsidRPr="00C5465C">
              <w:rPr>
                <w:lang w:val="es-ES_tradnl" w:eastAsia="zh-CN"/>
              </w:rPr>
              <w:t>14)</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bookmarkStart w:id="30" w:name="lt_pId039"/>
            <w:r w:rsidRPr="00C5465C">
              <w:rPr>
                <w:rFonts w:ascii="Calibri" w:hAnsi="Calibri"/>
                <w:color w:val="000000"/>
                <w:szCs w:val="22"/>
                <w:lang w:val="es-ES_tradnl" w:eastAsia="zh-CN"/>
              </w:rPr>
              <w:t>Se tomó nota del informe res</w:t>
            </w:r>
            <w:r>
              <w:rPr>
                <w:rFonts w:ascii="Calibri" w:hAnsi="Calibri"/>
                <w:color w:val="000000"/>
                <w:szCs w:val="22"/>
                <w:lang w:val="es-ES_tradnl" w:eastAsia="zh-CN"/>
              </w:rPr>
              <w:t>umido de las conclusiones de la </w:t>
            </w:r>
            <w:r w:rsidR="001060C0">
              <w:rPr>
                <w:rFonts w:ascii="Calibri" w:hAnsi="Calibri"/>
                <w:color w:val="000000"/>
                <w:szCs w:val="22"/>
                <w:lang w:val="es-ES_tradnl" w:eastAsia="zh-CN"/>
              </w:rPr>
              <w:t>CMDT</w:t>
            </w:r>
            <w:r w:rsidR="001060C0">
              <w:rPr>
                <w:rFonts w:ascii="Calibri" w:hAnsi="Calibri"/>
                <w:color w:val="000000"/>
                <w:szCs w:val="22"/>
                <w:lang w:val="es-ES_tradnl" w:eastAsia="zh-CN"/>
              </w:rPr>
              <w:noBreakHyphen/>
            </w:r>
            <w:r w:rsidRPr="00C5465C">
              <w:rPr>
                <w:rFonts w:ascii="Calibri" w:hAnsi="Calibri"/>
                <w:color w:val="000000"/>
                <w:szCs w:val="22"/>
                <w:lang w:val="es-ES_tradnl" w:eastAsia="zh-CN"/>
              </w:rPr>
              <w:t>14.</w:t>
            </w:r>
            <w:bookmarkEnd w:id="30"/>
          </w:p>
        </w:tc>
      </w:tr>
      <w:tr w:rsidR="00D2165D" w:rsidRPr="008E5C4B"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Nueva esfera de actividades GADT – Resolución 24 (Rev. Dubái, 2014)</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tomó nota del documento e insistió en que el contenido servirá de útil guía para su trabajo futuro.</w:t>
            </w:r>
          </w:p>
        </w:tc>
      </w:tr>
      <w:tr w:rsidR="00D2165D" w:rsidRPr="008E5C4B"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Consideraciones estratégicas para la aplicación del Plan de Acción de Dubái</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bookmarkStart w:id="31" w:name="lt_pId043"/>
            <w:r w:rsidRPr="00C5465C">
              <w:rPr>
                <w:rFonts w:ascii="Calibri" w:hAnsi="Calibri"/>
                <w:color w:val="000000"/>
                <w:szCs w:val="22"/>
                <w:lang w:val="es-ES_tradnl" w:eastAsia="zh-CN"/>
              </w:rPr>
              <w:t>El GADT agradeció y tomó nota del Documento 4 en que se presenta la versión revisada de la Resolución 24 de la CMDT-14;</w:t>
            </w:r>
            <w:bookmarkEnd w:id="31"/>
            <w:r w:rsidRPr="00C5465C">
              <w:rPr>
                <w:rFonts w:ascii="Calibri" w:hAnsi="Calibri"/>
                <w:color w:val="000000"/>
                <w:szCs w:val="22"/>
                <w:lang w:val="es-ES_tradnl" w:eastAsia="zh-CN"/>
              </w:rPr>
              <w:t xml:space="preserve"> </w:t>
            </w:r>
            <w:bookmarkStart w:id="32" w:name="lt_pId044"/>
            <w:r w:rsidRPr="00C5465C">
              <w:rPr>
                <w:rFonts w:ascii="Calibri" w:hAnsi="Calibri"/>
                <w:color w:val="000000"/>
                <w:szCs w:val="22"/>
                <w:lang w:val="es-ES_tradnl" w:eastAsia="zh-CN"/>
              </w:rPr>
              <w:t>el GADT creó un Grupo por Correspondencia para revisar la Resolución 1; el GADT elaboró los indicadores de resultados y los indicadores fundamentales de rendimiento</w:t>
            </w:r>
            <w:bookmarkStart w:id="33" w:name="lt_pId045"/>
            <w:bookmarkEnd w:id="32"/>
            <w:r w:rsidRPr="00C5465C">
              <w:rPr>
                <w:rFonts w:ascii="Calibri" w:hAnsi="Calibri"/>
                <w:color w:val="000000"/>
                <w:szCs w:val="22"/>
                <w:lang w:val="es-ES_tradnl" w:eastAsia="zh-CN"/>
              </w:rPr>
              <w:t>.</w:t>
            </w:r>
            <w:bookmarkEnd w:id="33"/>
          </w:p>
        </w:tc>
      </w:tr>
      <w:tr w:rsidR="00D2165D" w:rsidRPr="008E5C4B"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Actividades intersectoriales</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Se hizo hincapié en que el objetivo del grupo intersectorial es facilitar la comprensión de los trabajos que realizan los otros dos Sectores a fin de que los países en desarrollo puedan acceder fácilmente a esa información. El GADT acordó enviar a sus representantes a participar en el grupo intersectorial.</w:t>
            </w:r>
          </w:p>
        </w:tc>
      </w:tr>
      <w:tr w:rsidR="00D2165D" w:rsidRPr="008E5C4B"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lastRenderedPageBreak/>
              <w:t>Examen de la aplicación del Plan Operacional del UIT-D</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keepLines/>
              <w:rPr>
                <w:rFonts w:ascii="Calibri" w:hAnsi="Calibri"/>
                <w:color w:val="000000"/>
                <w:szCs w:val="22"/>
                <w:lang w:val="es-ES_tradnl" w:eastAsia="zh-CN"/>
              </w:rPr>
            </w:pPr>
            <w:r w:rsidRPr="00C5465C">
              <w:rPr>
                <w:rFonts w:ascii="Calibri" w:hAnsi="Calibri"/>
                <w:color w:val="000000"/>
                <w:szCs w:val="22"/>
                <w:lang w:val="es-ES_tradnl" w:eastAsia="zh-CN"/>
              </w:rPr>
              <w:t>El GADT tomó nota del Informe sobre el Rendimiento en 2013 y del Informe trimestral sobre</w:t>
            </w:r>
            <w:r>
              <w:rPr>
                <w:rFonts w:ascii="Calibri" w:hAnsi="Calibri"/>
                <w:color w:val="000000"/>
                <w:szCs w:val="22"/>
                <w:lang w:val="es-ES_tradnl" w:eastAsia="zh-CN"/>
              </w:rPr>
              <w:t xml:space="preserve"> el Rendimiento: enero-junio de </w:t>
            </w:r>
            <w:r w:rsidRPr="00C5465C">
              <w:rPr>
                <w:rFonts w:ascii="Calibri" w:hAnsi="Calibri"/>
                <w:color w:val="000000"/>
                <w:szCs w:val="22"/>
                <w:lang w:val="es-ES_tradnl" w:eastAsia="zh-CN"/>
              </w:rPr>
              <w:t>2014, y dio su apoyo a las actividades de la BDT. En el marco de la mejora de la efectividad en la implementación de las iniciativas aprobadas a nivel regional en los planos nacional, region</w:t>
            </w:r>
            <w:r w:rsidR="001060C0">
              <w:rPr>
                <w:rFonts w:ascii="Calibri" w:hAnsi="Calibri"/>
                <w:color w:val="000000"/>
                <w:szCs w:val="22"/>
                <w:lang w:val="es-ES_tradnl" w:eastAsia="zh-CN"/>
              </w:rPr>
              <w:t>al, interregional y mundial, el </w:t>
            </w:r>
            <w:r w:rsidRPr="00C5465C">
              <w:rPr>
                <w:rFonts w:ascii="Calibri" w:hAnsi="Calibri"/>
                <w:color w:val="000000"/>
                <w:szCs w:val="22"/>
                <w:lang w:val="es-ES_tradnl" w:eastAsia="zh-CN"/>
              </w:rPr>
              <w:t>GADT aconsejó que se procurara siempre que fuera posible organizar reuniones anuales de los Foros de Desarrollo Regional habida cuenta de la importancia de dichas reuniones en lo que respecta a la implementación de las Iniciativas Regionales.</w:t>
            </w:r>
          </w:p>
        </w:tc>
      </w:tr>
      <w:tr w:rsidR="00D2165D" w:rsidRPr="008E5C4B"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Asuntos relacionados con las Comisiones de Estudio del UIT-D</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Se examinó el alcance de las labores de las Comisiones de Estudio 1 y 2 del UIT-D para el periodo 2014-2018. El GADT dio las gracias a los miembros por el número excepcionalmente elevado de contribuciones recibidas para las primeras reuniones, lo que muestra el interés que despierta los trabajos del Sector de Desarrollo. El GADT dio las gracias a los Presidentes, Vicepresidentes y Relatores de las Comisiones de Estudio por su excelente labor.</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Contribución del UIT-D a la ejecución del Plan de Acción de la CMSI</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 xml:space="preserve">Se destacó la función de la BDT en el proceso de la CMSI, especialmente en la aplicación de los resultados de la CMSI y los trabajos preparatorios para el Evento de Alto Nivel CMSI+10. </w:t>
            </w:r>
            <w:bookmarkStart w:id="34" w:name="lt_pId059"/>
            <w:r>
              <w:rPr>
                <w:rFonts w:ascii="Calibri" w:hAnsi="Calibri"/>
                <w:color w:val="000000"/>
                <w:szCs w:val="22"/>
                <w:lang w:val="es-ES_tradnl" w:eastAsia="zh-CN"/>
              </w:rPr>
              <w:t>El </w:t>
            </w:r>
            <w:r w:rsidRPr="00C5465C">
              <w:rPr>
                <w:rFonts w:ascii="Calibri" w:hAnsi="Calibri"/>
                <w:color w:val="000000"/>
                <w:szCs w:val="22"/>
                <w:lang w:val="es-ES_tradnl" w:eastAsia="zh-CN"/>
              </w:rPr>
              <w:t xml:space="preserve">GADT expresó su agradecimiento, </w:t>
            </w:r>
            <w:bookmarkEnd w:id="34"/>
            <w:r w:rsidRPr="00C5465C">
              <w:rPr>
                <w:rFonts w:ascii="Calibri" w:hAnsi="Calibri"/>
                <w:color w:val="000000"/>
                <w:szCs w:val="22"/>
                <w:lang w:val="es-ES_tradnl" w:eastAsia="zh-CN"/>
              </w:rPr>
              <w:t>especialmente en lo que atañe a la importante labor de la BDT en cuanto facilitador de las Líneas de Acción C2, C5 y C6 de la CMSI y otras Líneas de Acción en las que la UIT es cofacilitador, y la BDT su coordinador.</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Contribución del UIT-D a la ejecución del Plan de Acción de la CMSI</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Se destacó la función de la BDT en el proceso de la CMSI, especialmente en la aplicación de los resultados de la CMSI y los trabajos preparatorios para el E</w:t>
            </w:r>
            <w:r>
              <w:rPr>
                <w:rFonts w:ascii="Calibri" w:hAnsi="Calibri"/>
                <w:color w:val="000000"/>
                <w:szCs w:val="22"/>
                <w:lang w:val="es-ES_tradnl" w:eastAsia="zh-CN"/>
              </w:rPr>
              <w:t>vento de Alto Nivel CMSI+10. El </w:t>
            </w:r>
            <w:r w:rsidRPr="00C5465C">
              <w:rPr>
                <w:rFonts w:ascii="Calibri" w:hAnsi="Calibri"/>
                <w:color w:val="000000"/>
                <w:szCs w:val="22"/>
                <w:lang w:val="es-ES_tradnl" w:eastAsia="zh-CN"/>
              </w:rPr>
              <w:t>GADT expresó su agradecimiento, especialmente en lo que atañe a la importante labor de la BDT en cuanto facilitador de las Líneas de Acción C2, C5 y C6 de la CMSI y otras Líneas de Acción en las que la UIT es cofacilitador, y la BDT su coordinador.</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Plan Operacional cuad</w:t>
            </w:r>
            <w:r>
              <w:rPr>
                <w:rFonts w:ascii="Calibri" w:hAnsi="Calibri"/>
                <w:color w:val="000000"/>
                <w:szCs w:val="22"/>
                <w:lang w:val="es-ES_tradnl" w:eastAsia="zh-CN"/>
              </w:rPr>
              <w:t>rienal renovable del UIT-D para </w:t>
            </w:r>
            <w:r w:rsidRPr="00C5465C">
              <w:rPr>
                <w:rFonts w:ascii="Calibri" w:hAnsi="Calibri"/>
                <w:color w:val="000000"/>
                <w:szCs w:val="22"/>
                <w:lang w:val="es-ES_tradnl" w:eastAsia="zh-CN"/>
              </w:rPr>
              <w:t>2015</w:t>
            </w:r>
            <w:r w:rsidRPr="00C5465C">
              <w:rPr>
                <w:rFonts w:ascii="Calibri" w:hAnsi="Calibri"/>
                <w:color w:val="000000"/>
                <w:szCs w:val="22"/>
                <w:lang w:val="es-ES_tradnl" w:eastAsia="zh-CN"/>
              </w:rPr>
              <w:noBreakHyphen/>
              <w:t>2018</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En el Plan Operacional revisado se propone recoger los siguientes cambios, adoptados en la CMDT-14 y que constituyen la contribución del UIT-D al Pl</w:t>
            </w:r>
            <w:r>
              <w:rPr>
                <w:rFonts w:ascii="Calibri" w:hAnsi="Calibri"/>
                <w:color w:val="000000"/>
                <w:szCs w:val="22"/>
                <w:lang w:val="es-ES_tradnl" w:eastAsia="zh-CN"/>
              </w:rPr>
              <w:t>an Estratégico de la Unión para </w:t>
            </w:r>
            <w:r w:rsidRPr="00C5465C">
              <w:rPr>
                <w:rFonts w:ascii="Calibri" w:hAnsi="Calibri"/>
                <w:color w:val="000000"/>
                <w:szCs w:val="22"/>
                <w:lang w:val="es-ES_tradnl" w:eastAsia="zh-CN"/>
              </w:rPr>
              <w:t>2016-2019. El GADT solicitó al Grupo por Correspondencia que examinara el Plan Operación del UIT-D para 2016-2019 y el de la Secretaría General en lo que atañe al UIT-D y que diera asesoramiento al Director antes del Consejo de 2015.</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 xml:space="preserve">Métodos de trabajo de </w:t>
            </w:r>
            <w:r>
              <w:rPr>
                <w:rFonts w:ascii="Calibri" w:hAnsi="Calibri"/>
                <w:color w:val="000000"/>
                <w:szCs w:val="22"/>
                <w:lang w:val="es-ES_tradnl" w:eastAsia="zh-CN"/>
              </w:rPr>
              <w:t>las Comisiones de Estudio y del </w:t>
            </w:r>
            <w:r w:rsidRPr="00C5465C">
              <w:rPr>
                <w:rFonts w:ascii="Calibri" w:hAnsi="Calibri"/>
                <w:color w:val="000000"/>
                <w:szCs w:val="22"/>
                <w:lang w:val="es-ES_tradnl" w:eastAsia="zh-CN"/>
              </w:rPr>
              <w:t>GADT</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observó que los métodos de trabajo electrónicos han sido muy eficaces para ahorrar costes, reducir la huella de carbono y aumentar la participación. El GADT también expresó su agradecimiento por la aplicación móvil sobre eventos UIT-D y espera que se expanda su utilización a los otros Sectores.</w:t>
            </w:r>
            <w:r w:rsidRPr="00C5465C">
              <w:rPr>
                <w:rFonts w:ascii="Calibri" w:hAnsi="Calibri"/>
                <w:color w:val="000000"/>
                <w:szCs w:val="22"/>
                <w:lang w:val="es-ES_tradnl" w:eastAsia="zh-CN"/>
              </w:rPr>
              <w:br/>
              <w:t>El GADT invitó al Director a examinar la posibilidad de ampliar la aplicación móvil de eventos del UIT-D a toda la UIT.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Informe del Grupo sobre Iniciativas de Capacitación (GCBI)</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dio las gracias al Presidente del Grupo sobre Iniciativas de Capacitación por la excelente labor que este Grupo está desempeñando. El GADT solicitó que la labor del grupo fuera más visible en el sitio web de la BDT.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1060C0">
            <w:pPr>
              <w:pStyle w:val="Tabletext"/>
              <w:keepNext/>
              <w:rPr>
                <w:rFonts w:ascii="Calibri" w:hAnsi="Calibri"/>
                <w:color w:val="000000"/>
                <w:szCs w:val="22"/>
                <w:lang w:val="es-ES_tradnl" w:eastAsia="zh-CN"/>
              </w:rPr>
            </w:pPr>
            <w:r w:rsidRPr="00C5465C">
              <w:rPr>
                <w:rFonts w:ascii="Calibri" w:hAnsi="Calibri"/>
                <w:color w:val="000000"/>
                <w:szCs w:val="22"/>
                <w:lang w:val="es-ES_tradnl" w:eastAsia="zh-CN"/>
              </w:rPr>
              <w:lastRenderedPageBreak/>
              <w:t>Asuntos relacionados con los Miembros y las Asociaciones</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observó con satisfacción los informes y la labor realizada por la BDT para promover la afiliación de nuevos Miembros de Sector y mejorar la asociación en los trabajos del UIT-D, así como la excelente contribución de Japón titulada "Propuesta para acelerar la movilización de recursos para los proyectos".</w:t>
            </w:r>
          </w:p>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también recomendó al Director de la BDT que al determinar los indicadores fundamentales de rendimiento tenga en cuenta los resultados relativos a la afiliación e implicación de nuevos Miembros en los trabajos del Sector.</w:t>
            </w:r>
          </w:p>
        </w:tc>
      </w:tr>
    </w:tbl>
    <w:p w:rsidR="00D2165D" w:rsidRDefault="00D2165D" w:rsidP="00D2165D">
      <w:pPr>
        <w:rPr>
          <w:lang w:val="es-ES_tradnl"/>
        </w:rPr>
      </w:pPr>
      <w:bookmarkStart w:id="35" w:name="_Toc482178269"/>
    </w:p>
    <w:p w:rsidR="00D2165D" w:rsidRPr="00C5465C" w:rsidRDefault="00D2165D" w:rsidP="00D2165D">
      <w:pPr>
        <w:pStyle w:val="Heading2"/>
        <w:rPr>
          <w:lang w:val="es-ES_tradnl"/>
        </w:rPr>
      </w:pPr>
      <w:bookmarkStart w:id="36" w:name="_Toc487791222"/>
      <w:r w:rsidRPr="00C5465C">
        <w:rPr>
          <w:lang w:val="es-ES_tradnl"/>
        </w:rPr>
        <w:t>2.2</w:t>
      </w:r>
      <w:r w:rsidRPr="00C5465C">
        <w:rPr>
          <w:lang w:val="es-ES_tradnl"/>
        </w:rPr>
        <w:tab/>
        <w:t>20ª reunión del GADT</w:t>
      </w:r>
      <w:bookmarkEnd w:id="35"/>
      <w:bookmarkEnd w:id="36"/>
    </w:p>
    <w:p w:rsidR="00D2165D" w:rsidRPr="00C5465C" w:rsidRDefault="00D2165D" w:rsidP="008E5C4B">
      <w:pPr>
        <w:rPr>
          <w:lang w:val="es-ES_tradnl"/>
        </w:rPr>
      </w:pPr>
      <w:r w:rsidRPr="00C5465C">
        <w:rPr>
          <w:lang w:val="es-ES_tradnl"/>
        </w:rPr>
        <w:t>a)</w:t>
      </w:r>
      <w:r w:rsidRPr="00C5465C">
        <w:rPr>
          <w:lang w:val="es-ES_tradnl"/>
        </w:rPr>
        <w:tab/>
        <w:t xml:space="preserve">La 20ª </w:t>
      </w:r>
      <w:r w:rsidRPr="008E5C4B">
        <w:rPr>
          <w:szCs w:val="24"/>
          <w:lang w:val="es-ES_tradnl"/>
        </w:rPr>
        <w:t>reunión</w:t>
      </w:r>
      <w:r w:rsidRPr="00C5465C">
        <w:rPr>
          <w:lang w:val="es-ES_tradnl"/>
        </w:rPr>
        <w:t xml:space="preserve"> del Grupo Asesor de Desarrollo de las Telecomunicaciones (GADT) tuvo lugar en la Sede de la UIT en Ginebra del 28 al 30 de abril de 2015, bajo la Presidencia del Profesor Dr. Vladimir Minkin.</w:t>
      </w:r>
    </w:p>
    <w:p w:rsidR="00D2165D" w:rsidRPr="00C5465C" w:rsidRDefault="00D2165D" w:rsidP="00D2165D">
      <w:pPr>
        <w:rPr>
          <w:szCs w:val="24"/>
          <w:lang w:val="es-ES_tradnl"/>
        </w:rPr>
      </w:pPr>
      <w:r w:rsidRPr="00C5465C">
        <w:rPr>
          <w:szCs w:val="24"/>
          <w:lang w:val="es-ES_tradnl"/>
        </w:rPr>
        <w:t>En su 19ª reunión (29 de septiembre-1 de octubre de 2014), el GADT estableció un Grupo por Correspondencia sobre el Plan Estratégico, el Plan Operacional y la Declaración, un Grupo por Correspondencia sobre la Resolución 1 (Rev. Dubái, 2014) de la CMDT, "Reglamento Interno del Sector de Desarrollo de las Telecomunicaciones de la UIT", y un equipo intersectorial sobre cuestiones de interés mutuo. Esos Grupos por Correspondencia y el equipo intersectorial celebraron sus primeras reuniones físicas en Ginebra el 27 abril de 2015 e informaron al GADT sobre sus progresos preliminares.</w:t>
      </w:r>
    </w:p>
    <w:p w:rsidR="00D2165D" w:rsidRPr="00C5465C" w:rsidRDefault="00D2165D" w:rsidP="00D2165D">
      <w:pPr>
        <w:rPr>
          <w:szCs w:val="24"/>
          <w:lang w:val="es-ES_tradnl"/>
        </w:rPr>
      </w:pPr>
      <w:r w:rsidRPr="00C5465C">
        <w:rPr>
          <w:szCs w:val="24"/>
          <w:lang w:val="es-ES_tradnl"/>
        </w:rPr>
        <w:t xml:space="preserve">El informe completo de la reunión en los seis idiomas oficiales de la UIT figura en la dirección </w:t>
      </w:r>
      <w:hyperlink r:id="rId24" w:history="1">
        <w:r w:rsidRPr="00C5465C">
          <w:rPr>
            <w:rStyle w:val="Hyperlink"/>
            <w:szCs w:val="24"/>
            <w:lang w:val="es-ES_tradnl"/>
          </w:rPr>
          <w:t>https://www.itu.int/md/D14-TDAG20-C-0032/en</w:t>
        </w:r>
      </w:hyperlink>
      <w:r w:rsidRPr="00C5465C">
        <w:rPr>
          <w:szCs w:val="24"/>
          <w:lang w:val="es-ES_tradnl"/>
        </w:rPr>
        <w:t>.</w:t>
      </w:r>
    </w:p>
    <w:p w:rsidR="00507968" w:rsidRDefault="00507968">
      <w:pPr>
        <w:tabs>
          <w:tab w:val="clear" w:pos="794"/>
          <w:tab w:val="clear" w:pos="1191"/>
          <w:tab w:val="clear" w:pos="1588"/>
          <w:tab w:val="clear" w:pos="1985"/>
        </w:tabs>
        <w:overflowPunct/>
        <w:autoSpaceDE/>
        <w:autoSpaceDN/>
        <w:adjustRightInd/>
        <w:spacing w:before="0"/>
        <w:textAlignment w:val="auto"/>
        <w:rPr>
          <w:lang w:val="es-ES_tradnl"/>
        </w:rPr>
      </w:pPr>
      <w:bookmarkStart w:id="37" w:name="lt_pId082"/>
      <w:r>
        <w:rPr>
          <w:lang w:val="es-ES_tradnl"/>
        </w:rPr>
        <w:br w:type="page"/>
      </w:r>
    </w:p>
    <w:p w:rsidR="00D2165D" w:rsidRPr="00C5465C" w:rsidRDefault="00D2165D" w:rsidP="00507968">
      <w:pPr>
        <w:pStyle w:val="enumlev1"/>
        <w:rPr>
          <w:lang w:val="es-ES_tradnl"/>
        </w:rPr>
      </w:pPr>
      <w:r w:rsidRPr="00C5465C">
        <w:rPr>
          <w:lang w:val="es-ES_tradnl"/>
        </w:rPr>
        <w:lastRenderedPageBreak/>
        <w:t>b)</w:t>
      </w:r>
      <w:r w:rsidRPr="00C5465C">
        <w:rPr>
          <w:lang w:val="es-ES_tradnl"/>
        </w:rPr>
        <w:tab/>
      </w:r>
      <w:bookmarkEnd w:id="37"/>
      <w:r w:rsidRPr="00C5465C">
        <w:rPr>
          <w:lang w:val="es-ES_tradnl"/>
        </w:rPr>
        <w:t>Participantes</w:t>
      </w:r>
    </w:p>
    <w:p w:rsidR="00D2165D" w:rsidRPr="00C5465C" w:rsidRDefault="00D2165D" w:rsidP="00D2165D">
      <w:pPr>
        <w:rPr>
          <w:lang w:val="es-ES_tradnl"/>
        </w:rPr>
      </w:pPr>
      <w:r w:rsidRPr="00C5465C">
        <w:rPr>
          <w:lang w:val="es-ES_tradnl"/>
        </w:rPr>
        <w:t>En el siguiente gráfico se facilita el desglose de participantes por categoría:</w:t>
      </w:r>
    </w:p>
    <w:p w:rsidR="00D2165D" w:rsidRPr="00C5465C" w:rsidRDefault="00D2165D" w:rsidP="00D2165D">
      <w:pPr>
        <w:rPr>
          <w:lang w:val="es-ES_tradnl"/>
        </w:rPr>
      </w:pPr>
      <w:r w:rsidRPr="00C5465C">
        <w:rPr>
          <w:noProof/>
          <w:lang w:eastAsia="zh-CN"/>
        </w:rPr>
        <w:drawing>
          <wp:inline distT="0" distB="0" distL="0" distR="0" wp14:anchorId="685BF346" wp14:editId="2A90A025">
            <wp:extent cx="5850890" cy="23958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50890" cy="2395855"/>
                    </a:xfrm>
                    <a:prstGeom prst="rect">
                      <a:avLst/>
                    </a:prstGeom>
                  </pic:spPr>
                </pic:pic>
              </a:graphicData>
            </a:graphic>
          </wp:inline>
        </w:drawing>
      </w:r>
    </w:p>
    <w:p w:rsidR="00D2165D" w:rsidRPr="00153F01" w:rsidRDefault="00D2165D" w:rsidP="00D2165D">
      <w:pPr>
        <w:pStyle w:val="Figurelegend"/>
        <w:rPr>
          <w:b/>
          <w:bCs/>
          <w:lang w:val="es-ES_tradnl"/>
        </w:rPr>
      </w:pPr>
      <w:bookmarkStart w:id="38" w:name="lt_pId084"/>
      <w:r w:rsidRPr="00153F01">
        <w:rPr>
          <w:b/>
          <w:bCs/>
          <w:lang w:val="es-ES_tradnl"/>
        </w:rPr>
        <w:t>Leyenda:</w:t>
      </w:r>
    </w:p>
    <w:p w:rsidR="00D2165D" w:rsidRPr="00C5465C" w:rsidRDefault="00D2165D" w:rsidP="00D2165D">
      <w:pPr>
        <w:pStyle w:val="Figurelegend"/>
        <w:keepNext w:val="0"/>
        <w:keepLines w:val="0"/>
        <w:rPr>
          <w:lang w:val="es-ES_tradnl"/>
        </w:rPr>
      </w:pPr>
      <w:r w:rsidRPr="00C5465C">
        <w:rPr>
          <w:lang w:val="es-ES_tradnl"/>
        </w:rPr>
        <w:t>Estados Miembros</w:t>
      </w:r>
    </w:p>
    <w:p w:rsidR="00D2165D" w:rsidRPr="00C5465C" w:rsidRDefault="00D2165D" w:rsidP="00D2165D">
      <w:pPr>
        <w:pStyle w:val="Figurelegend"/>
        <w:keepNext w:val="0"/>
        <w:keepLines w:val="0"/>
        <w:rPr>
          <w:lang w:val="es-ES_tradnl"/>
        </w:rPr>
      </w:pPr>
      <w:r w:rsidRPr="00C5465C">
        <w:rPr>
          <w:lang w:val="es-ES_tradnl"/>
        </w:rPr>
        <w:t>Resolución 99 (Rev. Guadalajara, 2010)</w:t>
      </w:r>
    </w:p>
    <w:p w:rsidR="00D2165D" w:rsidRPr="00C5465C" w:rsidRDefault="00D2165D" w:rsidP="00D2165D">
      <w:pPr>
        <w:pStyle w:val="Figurelegend"/>
        <w:keepNext w:val="0"/>
        <w:keepLines w:val="0"/>
        <w:rPr>
          <w:lang w:val="es-ES_tradnl"/>
        </w:rPr>
      </w:pPr>
      <w:r w:rsidRPr="00C5465C">
        <w:rPr>
          <w:lang w:val="es-ES_tradnl"/>
        </w:rPr>
        <w:t>Miembros de Sector del UIT-D – Empresas de explotación reconocidas</w:t>
      </w:r>
    </w:p>
    <w:p w:rsidR="00D2165D" w:rsidRPr="00C5465C" w:rsidRDefault="00D2165D" w:rsidP="00D2165D">
      <w:pPr>
        <w:pStyle w:val="Figurelegend"/>
        <w:keepNext w:val="0"/>
        <w:keepLines w:val="0"/>
        <w:rPr>
          <w:lang w:val="es-ES_tradnl"/>
        </w:rPr>
      </w:pPr>
      <w:r w:rsidRPr="00C5465C">
        <w:rPr>
          <w:lang w:val="es-ES_tradnl"/>
        </w:rPr>
        <w:t>Miembros de Sector del UIT-D – Organizaciones científicas o industriales</w:t>
      </w:r>
    </w:p>
    <w:p w:rsidR="00D2165D" w:rsidRPr="00C5465C" w:rsidRDefault="00D2165D" w:rsidP="00D2165D">
      <w:pPr>
        <w:pStyle w:val="Figurelegend"/>
        <w:keepNext w:val="0"/>
        <w:keepLines w:val="0"/>
        <w:rPr>
          <w:lang w:val="es-ES_tradnl"/>
        </w:rPr>
      </w:pPr>
      <w:r w:rsidRPr="00C5465C">
        <w:rPr>
          <w:lang w:val="es-ES_tradnl"/>
        </w:rPr>
        <w:t xml:space="preserve">Miembros de Sector del UIT-D – Otras entidades de telecomunicaciones </w:t>
      </w:r>
    </w:p>
    <w:p w:rsidR="00D2165D" w:rsidRPr="00C5465C" w:rsidRDefault="00D2165D" w:rsidP="00D2165D">
      <w:pPr>
        <w:pStyle w:val="Figurelegend"/>
        <w:keepNext w:val="0"/>
        <w:keepLines w:val="0"/>
        <w:rPr>
          <w:lang w:val="es-ES_tradnl"/>
        </w:rPr>
      </w:pPr>
      <w:r w:rsidRPr="00C5465C">
        <w:rPr>
          <w:lang w:val="es-ES_tradnl"/>
        </w:rPr>
        <w:t>Miembros de Sector del UIT-D – Organizaciones regionales y otras</w:t>
      </w:r>
      <w:r>
        <w:rPr>
          <w:lang w:val="es-ES_tradnl"/>
        </w:rPr>
        <w:t xml:space="preserve"> organizaciones internacionales</w:t>
      </w:r>
    </w:p>
    <w:p w:rsidR="00D2165D" w:rsidRPr="00C5465C" w:rsidRDefault="00D2165D" w:rsidP="00D2165D">
      <w:pPr>
        <w:pStyle w:val="Figurelegend"/>
        <w:keepNext w:val="0"/>
        <w:keepLines w:val="0"/>
        <w:rPr>
          <w:lang w:val="es-ES_tradnl"/>
        </w:rPr>
      </w:pPr>
      <w:r w:rsidRPr="00C5465C">
        <w:rPr>
          <w:lang w:val="es-ES_tradnl"/>
        </w:rPr>
        <w:t>Miembros de Sector del UIT-D – Organizaciones r</w:t>
      </w:r>
      <w:r>
        <w:rPr>
          <w:lang w:val="es-ES_tradnl"/>
        </w:rPr>
        <w:t>egionales de telecomunicaciones</w:t>
      </w:r>
    </w:p>
    <w:p w:rsidR="00D2165D" w:rsidRPr="00C5465C" w:rsidRDefault="00D2165D" w:rsidP="00D2165D">
      <w:pPr>
        <w:pStyle w:val="Figurelegend"/>
        <w:keepNext w:val="0"/>
        <w:keepLines w:val="0"/>
        <w:rPr>
          <w:lang w:val="es-ES_tradnl"/>
        </w:rPr>
      </w:pPr>
      <w:r w:rsidRPr="00C5465C">
        <w:rPr>
          <w:lang w:val="es-ES_tradnl"/>
        </w:rPr>
        <w:t>Instituciones financieras internacionales de desarrollo</w:t>
      </w:r>
    </w:p>
    <w:p w:rsidR="00D2165D" w:rsidRPr="00C5465C" w:rsidRDefault="00D2165D" w:rsidP="00D2165D">
      <w:pPr>
        <w:pStyle w:val="Figurelegend"/>
        <w:keepNext w:val="0"/>
        <w:keepLines w:val="0"/>
        <w:rPr>
          <w:lang w:val="es-ES_tradnl"/>
        </w:rPr>
      </w:pPr>
      <w:r w:rsidRPr="00C5465C">
        <w:rPr>
          <w:lang w:val="es-ES_tradnl"/>
        </w:rPr>
        <w:t>Asociados del UIT-D (Comisión de Estudio 2)</w:t>
      </w:r>
    </w:p>
    <w:p w:rsidR="00D2165D" w:rsidRPr="00C5465C" w:rsidRDefault="00D2165D" w:rsidP="00D2165D">
      <w:pPr>
        <w:pStyle w:val="Figurelegend"/>
        <w:keepNext w:val="0"/>
        <w:keepLines w:val="0"/>
        <w:rPr>
          <w:lang w:val="es-ES_tradnl"/>
        </w:rPr>
      </w:pPr>
      <w:r w:rsidRPr="00C5465C">
        <w:rPr>
          <w:lang w:val="es-ES_tradnl"/>
        </w:rPr>
        <w:t>Instituciones Académicas</w:t>
      </w:r>
    </w:p>
    <w:p w:rsidR="00D2165D" w:rsidRPr="00C5465C" w:rsidRDefault="00D2165D" w:rsidP="00D2165D">
      <w:pPr>
        <w:pStyle w:val="Figurelegend"/>
        <w:keepNext w:val="0"/>
        <w:keepLines w:val="0"/>
        <w:rPr>
          <w:lang w:val="es-ES_tradnl"/>
        </w:rPr>
      </w:pPr>
      <w:r w:rsidRPr="00C5465C">
        <w:rPr>
          <w:lang w:val="es-ES_tradnl"/>
        </w:rPr>
        <w:t>Organizaciones regionales y otras organizaciones internacionales invitadas</w:t>
      </w:r>
    </w:p>
    <w:p w:rsidR="00D2165D" w:rsidRPr="00C5465C" w:rsidRDefault="00D2165D" w:rsidP="00507968">
      <w:pPr>
        <w:keepNext/>
        <w:spacing w:before="360"/>
        <w:rPr>
          <w:lang w:val="es-ES_tradnl"/>
        </w:rPr>
      </w:pPr>
      <w:r w:rsidRPr="00C5465C">
        <w:rPr>
          <w:lang w:val="es-ES_tradnl"/>
        </w:rPr>
        <w:t>En el siguiente gráfico se facilita el desglose de participantes por región:</w:t>
      </w:r>
      <w:bookmarkEnd w:id="38"/>
    </w:p>
    <w:p w:rsidR="00D2165D" w:rsidRPr="00C5465C" w:rsidRDefault="00D2165D" w:rsidP="00D2165D">
      <w:pPr>
        <w:rPr>
          <w:lang w:val="es-ES_tradnl"/>
        </w:rPr>
      </w:pPr>
      <w:r w:rsidRPr="00C5465C">
        <w:rPr>
          <w:noProof/>
          <w:lang w:eastAsia="zh-CN"/>
        </w:rPr>
        <w:drawing>
          <wp:inline distT="0" distB="0" distL="0" distR="0" wp14:anchorId="095C6B82" wp14:editId="39951951">
            <wp:extent cx="5850890" cy="23958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50890" cy="2395855"/>
                    </a:xfrm>
                    <a:prstGeom prst="rect">
                      <a:avLst/>
                    </a:prstGeom>
                  </pic:spPr>
                </pic:pic>
              </a:graphicData>
            </a:graphic>
          </wp:inline>
        </w:drawing>
      </w:r>
    </w:p>
    <w:p w:rsidR="00D2165D" w:rsidRPr="00153F01" w:rsidRDefault="00D2165D" w:rsidP="00D2165D">
      <w:pPr>
        <w:pStyle w:val="Figurelegend"/>
        <w:rPr>
          <w:b/>
          <w:bCs/>
          <w:lang w:val="es-ES_tradnl"/>
        </w:rPr>
      </w:pPr>
      <w:r w:rsidRPr="00153F01">
        <w:rPr>
          <w:b/>
          <w:bCs/>
          <w:lang w:val="es-ES_tradnl"/>
        </w:rPr>
        <w:t>Leyenda:</w:t>
      </w:r>
    </w:p>
    <w:p w:rsidR="00D2165D" w:rsidRPr="00C5465C" w:rsidRDefault="00D2165D" w:rsidP="00D2165D">
      <w:pPr>
        <w:pStyle w:val="Figurelegend"/>
        <w:keepNext w:val="0"/>
        <w:keepLines w:val="0"/>
        <w:rPr>
          <w:lang w:val="es-ES_tradnl"/>
        </w:rPr>
      </w:pPr>
      <w:r w:rsidRPr="00C5465C">
        <w:rPr>
          <w:lang w:val="es-ES_tradnl"/>
        </w:rPr>
        <w:t>AFR</w:t>
      </w:r>
      <w:r>
        <w:rPr>
          <w:lang w:val="es-ES_tradnl"/>
        </w:rPr>
        <w:t xml:space="preserve">; </w:t>
      </w:r>
      <w:r w:rsidRPr="00C5465C">
        <w:rPr>
          <w:lang w:val="es-ES_tradnl"/>
        </w:rPr>
        <w:t>AMS</w:t>
      </w:r>
      <w:r>
        <w:rPr>
          <w:lang w:val="es-ES_tradnl"/>
        </w:rPr>
        <w:t xml:space="preserve">; </w:t>
      </w:r>
      <w:r w:rsidRPr="00C5465C">
        <w:rPr>
          <w:lang w:val="es-ES_tradnl"/>
        </w:rPr>
        <w:t>ARB</w:t>
      </w:r>
      <w:r>
        <w:rPr>
          <w:lang w:val="es-ES_tradnl"/>
        </w:rPr>
        <w:t xml:space="preserve">; </w:t>
      </w:r>
      <w:r w:rsidRPr="00C5465C">
        <w:rPr>
          <w:lang w:val="es-ES_tradnl"/>
        </w:rPr>
        <w:t>ASP</w:t>
      </w:r>
      <w:r>
        <w:rPr>
          <w:lang w:val="es-ES_tradnl"/>
        </w:rPr>
        <w:t xml:space="preserve">; </w:t>
      </w:r>
      <w:r w:rsidRPr="00C5465C">
        <w:rPr>
          <w:lang w:val="es-ES_tradnl"/>
        </w:rPr>
        <w:t>CEI</w:t>
      </w:r>
      <w:r>
        <w:rPr>
          <w:lang w:val="es-ES_tradnl"/>
        </w:rPr>
        <w:t xml:space="preserve">; </w:t>
      </w:r>
      <w:r w:rsidRPr="00C5465C">
        <w:rPr>
          <w:lang w:val="es-ES_tradnl"/>
        </w:rPr>
        <w:t>EUR</w:t>
      </w:r>
      <w:r>
        <w:rPr>
          <w:lang w:val="es-ES_tradnl"/>
        </w:rPr>
        <w:t xml:space="preserve">; </w:t>
      </w:r>
      <w:r w:rsidRPr="00C5465C">
        <w:rPr>
          <w:lang w:val="es-ES_tradnl"/>
        </w:rPr>
        <w:t>Sin identificar</w:t>
      </w:r>
    </w:p>
    <w:p w:rsidR="00D2165D" w:rsidRPr="00C5465C" w:rsidRDefault="00D2165D" w:rsidP="001113E0">
      <w:pPr>
        <w:keepNext/>
        <w:spacing w:before="480"/>
        <w:rPr>
          <w:lang w:val="es-ES_tradnl"/>
        </w:rPr>
      </w:pPr>
      <w:r w:rsidRPr="00C5465C">
        <w:rPr>
          <w:lang w:val="es-ES_tradnl"/>
        </w:rPr>
        <w:lastRenderedPageBreak/>
        <w:t>c)</w:t>
      </w:r>
      <w:r w:rsidRPr="00C5465C">
        <w:rPr>
          <w:lang w:val="es-ES_tradnl"/>
        </w:rPr>
        <w:tab/>
        <w:t>Documentos</w:t>
      </w:r>
    </w:p>
    <w:p w:rsidR="00D2165D" w:rsidRPr="00C5465C" w:rsidRDefault="00D2165D" w:rsidP="001113E0">
      <w:pPr>
        <w:keepNext/>
        <w:rPr>
          <w:lang w:val="es-ES_tradnl"/>
        </w:rPr>
      </w:pPr>
      <w:r w:rsidRPr="00C5465C">
        <w:rPr>
          <w:lang w:val="es-ES_tradnl"/>
        </w:rPr>
        <w:t>En el siguiente gráfico se presenta el número de documentos desglosado por categoría de documentos:</w:t>
      </w:r>
    </w:p>
    <w:p w:rsidR="00D2165D" w:rsidRPr="00C5465C" w:rsidRDefault="00D2165D" w:rsidP="00D2165D">
      <w:pPr>
        <w:overflowPunct/>
        <w:autoSpaceDE/>
        <w:autoSpaceDN/>
        <w:adjustRightInd/>
        <w:spacing w:before="0"/>
        <w:textAlignment w:val="auto"/>
        <w:rPr>
          <w:lang w:val="es-ES_tradnl"/>
        </w:rPr>
      </w:pPr>
      <w:r w:rsidRPr="00C5465C">
        <w:rPr>
          <w:noProof/>
          <w:lang w:eastAsia="zh-CN"/>
        </w:rPr>
        <w:drawing>
          <wp:inline distT="0" distB="0" distL="0" distR="0" wp14:anchorId="27F91005" wp14:editId="18E85042">
            <wp:extent cx="5179161" cy="2670048"/>
            <wp:effectExtent l="0" t="0" r="254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2165D" w:rsidRPr="00153F01" w:rsidRDefault="00D2165D" w:rsidP="00D2165D">
      <w:pPr>
        <w:pStyle w:val="Figurelegend"/>
        <w:rPr>
          <w:b/>
          <w:bCs/>
          <w:lang w:val="es-ES_tradnl"/>
        </w:rPr>
      </w:pPr>
      <w:bookmarkStart w:id="39" w:name="lt_pId088"/>
      <w:r>
        <w:rPr>
          <w:b/>
          <w:bCs/>
          <w:lang w:val="es-ES_tradnl"/>
        </w:rPr>
        <w:t>Leyenda:</w:t>
      </w:r>
    </w:p>
    <w:p w:rsidR="00D2165D" w:rsidRPr="00C5465C" w:rsidRDefault="00D2165D" w:rsidP="00D2165D">
      <w:pPr>
        <w:pStyle w:val="Figurelegend"/>
        <w:keepNext w:val="0"/>
        <w:keepLines w:val="0"/>
        <w:rPr>
          <w:lang w:val="es-ES_tradnl"/>
        </w:rPr>
      </w:pPr>
      <w:r>
        <w:rPr>
          <w:lang w:val="es-ES_tradnl"/>
        </w:rPr>
        <w:t>Contribuciones</w:t>
      </w:r>
    </w:p>
    <w:p w:rsidR="00D2165D" w:rsidRPr="00C5465C" w:rsidRDefault="00D2165D" w:rsidP="00D2165D">
      <w:pPr>
        <w:pStyle w:val="Figurelegend"/>
        <w:keepNext w:val="0"/>
        <w:keepLines w:val="0"/>
        <w:rPr>
          <w:lang w:val="es-ES_tradnl"/>
        </w:rPr>
      </w:pPr>
      <w:r w:rsidRPr="00C5465C">
        <w:rPr>
          <w:lang w:val="es-ES_tradnl"/>
        </w:rPr>
        <w:t>Documentos de información</w:t>
      </w:r>
    </w:p>
    <w:p w:rsidR="00D2165D" w:rsidRPr="00C5465C" w:rsidRDefault="00D2165D" w:rsidP="00D2165D">
      <w:pPr>
        <w:pStyle w:val="Figurelegend"/>
        <w:keepNext w:val="0"/>
        <w:keepLines w:val="0"/>
        <w:rPr>
          <w:lang w:val="es-ES_tradnl"/>
        </w:rPr>
      </w:pPr>
      <w:r w:rsidRPr="00C5465C">
        <w:rPr>
          <w:lang w:val="es-ES_tradnl"/>
        </w:rPr>
        <w:t>Documentos temporales</w:t>
      </w:r>
    </w:p>
    <w:p w:rsidR="00D2165D" w:rsidRPr="00C5465C" w:rsidRDefault="00D2165D" w:rsidP="00D2165D">
      <w:pPr>
        <w:pStyle w:val="Figurelegend"/>
        <w:keepNext w:val="0"/>
        <w:keepLines w:val="0"/>
        <w:rPr>
          <w:lang w:val="es-ES_tradnl"/>
        </w:rPr>
      </w:pPr>
      <w:r w:rsidRPr="00C5465C">
        <w:rPr>
          <w:lang w:val="es-ES_tradnl"/>
        </w:rPr>
        <w:t>Documentos administrativos</w:t>
      </w:r>
    </w:p>
    <w:p w:rsidR="00D2165D" w:rsidRPr="00C5465C" w:rsidRDefault="00D2165D" w:rsidP="00D2165D">
      <w:pPr>
        <w:pStyle w:val="enumlev1"/>
        <w:keepNext/>
        <w:spacing w:before="360"/>
        <w:rPr>
          <w:lang w:val="es-ES_tradnl"/>
        </w:rPr>
      </w:pPr>
      <w:r w:rsidRPr="00C5465C">
        <w:rPr>
          <w:lang w:val="es-ES_tradnl"/>
        </w:rPr>
        <w:t>d)</w:t>
      </w:r>
      <w:r w:rsidRPr="00C5465C">
        <w:rPr>
          <w:lang w:val="es-ES_tradnl"/>
        </w:rPr>
        <w:tab/>
        <w:t>Result</w:t>
      </w:r>
      <w:r>
        <w:rPr>
          <w:lang w:val="es-ES_tradnl"/>
        </w:rPr>
        <w:t>ados de la 20ª reunión del GADT</w:t>
      </w:r>
    </w:p>
    <w:bookmarkEnd w:id="39"/>
    <w:p w:rsidR="00D2165D" w:rsidRPr="00C5465C" w:rsidRDefault="00D2165D" w:rsidP="00D2165D">
      <w:pPr>
        <w:keepNext/>
        <w:spacing w:after="120"/>
        <w:rPr>
          <w:lang w:val="es-ES_tradnl"/>
        </w:rPr>
      </w:pPr>
      <w:r w:rsidRPr="00C5465C">
        <w:rPr>
          <w:lang w:val="es-ES_tradnl"/>
        </w:rPr>
        <w:t>En el siguiente cuadro se facilita el resumen de los resultados de la 2</w:t>
      </w:r>
      <w:r>
        <w:rPr>
          <w:lang w:val="es-ES_tradnl"/>
        </w:rPr>
        <w:t>0ª reunión del GADT, por temas:</w:t>
      </w:r>
    </w:p>
    <w:tbl>
      <w:tblPr>
        <w:tblW w:w="9214" w:type="dxa"/>
        <w:tblInd w:w="-5" w:type="dxa"/>
        <w:tblLook w:val="04A0" w:firstRow="1" w:lastRow="0" w:firstColumn="1" w:lastColumn="0" w:noHBand="0" w:noVBand="1"/>
      </w:tblPr>
      <w:tblGrid>
        <w:gridCol w:w="3220"/>
        <w:gridCol w:w="5994"/>
      </w:tblGrid>
      <w:tr w:rsidR="00D2165D" w:rsidRPr="00C5465C" w:rsidTr="00D2165D">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D2165D" w:rsidRPr="00C5465C" w:rsidRDefault="00D2165D" w:rsidP="00D2165D">
            <w:pPr>
              <w:pStyle w:val="Tablehead"/>
              <w:rPr>
                <w:i/>
                <w:iCs/>
                <w:lang w:val="es-ES_tradnl" w:eastAsia="zh-CN"/>
              </w:rPr>
            </w:pPr>
            <w:r w:rsidRPr="00C5465C">
              <w:rPr>
                <w:i/>
                <w:iCs/>
                <w:lang w:val="es-ES_tradnl" w:eastAsia="zh-CN"/>
              </w:rPr>
              <w:t>Tema</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D2165D" w:rsidRPr="00C5465C" w:rsidRDefault="00D2165D" w:rsidP="00D2165D">
            <w:pPr>
              <w:pStyle w:val="Tablehead"/>
              <w:rPr>
                <w:i/>
                <w:iCs/>
                <w:sz w:val="24"/>
                <w:lang w:val="es-ES_tradnl" w:eastAsia="zh-CN"/>
              </w:rPr>
            </w:pPr>
            <w:r w:rsidRPr="00C5465C">
              <w:rPr>
                <w:i/>
                <w:iCs/>
                <w:sz w:val="24"/>
                <w:lang w:val="es-ES_tradnl" w:eastAsia="zh-CN"/>
              </w:rPr>
              <w:t>Conclusiones/Resultados del GADT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Resultados de la PP-14 relacionados con el UIT-D</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lang w:val="es-ES_tradnl" w:eastAsia="zh-CN"/>
              </w:rPr>
            </w:pPr>
            <w:r w:rsidRPr="00C5465C">
              <w:rPr>
                <w:lang w:val="es-ES_tradnl" w:eastAsia="zh-CN"/>
              </w:rPr>
              <w:t>El GADT tomó nota de los principales resultados de la 19ª Conferencia de Plenipotenciarios relacionados con el UIT-D. Se informó al GADT de que la BDT ya ha elaborado un Plan de Acción para abordar y seguir todos esos resultados, que comprenden decisiones, resoluciones y recomendaciones.</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Examen de la ejecución del Plan Estrat</w:t>
            </w:r>
            <w:r w:rsidR="00A33C0E">
              <w:rPr>
                <w:rFonts w:ascii="Calibri" w:hAnsi="Calibri"/>
                <w:color w:val="000000"/>
                <w:szCs w:val="22"/>
                <w:lang w:val="es-ES_tradnl" w:eastAsia="zh-CN"/>
              </w:rPr>
              <w:t>égico y el Plan Operacional del </w:t>
            </w:r>
            <w:r w:rsidRPr="00C5465C">
              <w:rPr>
                <w:rFonts w:ascii="Calibri" w:hAnsi="Calibri"/>
                <w:color w:val="000000"/>
                <w:szCs w:val="22"/>
                <w:lang w:val="es-ES_tradnl" w:eastAsia="zh-CN"/>
              </w:rPr>
              <w:t>UIT-D para 2014, en pa</w:t>
            </w:r>
            <w:r>
              <w:rPr>
                <w:rFonts w:ascii="Calibri" w:hAnsi="Calibri"/>
                <w:color w:val="000000"/>
                <w:szCs w:val="22"/>
                <w:lang w:val="es-ES_tradnl" w:eastAsia="zh-CN"/>
              </w:rPr>
              <w:t>rticular las Resoluciones de la </w:t>
            </w:r>
            <w:r w:rsidR="00A33C0E">
              <w:rPr>
                <w:rFonts w:ascii="Calibri" w:hAnsi="Calibri"/>
                <w:color w:val="000000"/>
                <w:szCs w:val="22"/>
                <w:lang w:val="es-ES_tradnl" w:eastAsia="zh-CN"/>
              </w:rPr>
              <w:t>CMDT-14 y de la </w:t>
            </w:r>
            <w:r w:rsidRPr="00C5465C">
              <w:rPr>
                <w:rFonts w:ascii="Calibri" w:hAnsi="Calibri"/>
                <w:color w:val="000000"/>
                <w:szCs w:val="22"/>
                <w:lang w:val="es-ES_tradnl" w:eastAsia="zh-CN"/>
              </w:rPr>
              <w:t>PP</w:t>
            </w:r>
            <w:r w:rsidR="00A33C0E">
              <w:rPr>
                <w:rFonts w:ascii="Calibri" w:hAnsi="Calibri"/>
                <w:color w:val="000000"/>
                <w:szCs w:val="22"/>
                <w:lang w:val="es-ES_tradnl" w:eastAsia="zh-CN"/>
              </w:rPr>
              <w:t>-14 relacionadas con el UIT-D e </w:t>
            </w:r>
            <w:r w:rsidRPr="00C5465C">
              <w:rPr>
                <w:rFonts w:ascii="Calibri" w:hAnsi="Calibri"/>
                <w:color w:val="000000"/>
                <w:szCs w:val="22"/>
                <w:lang w:val="es-ES_tradnl" w:eastAsia="zh-CN"/>
              </w:rPr>
              <w:t>Iniciativas Regionales</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bookmarkStart w:id="40" w:name="lt_pId095"/>
            <w:r w:rsidRPr="00C5465C">
              <w:rPr>
                <w:rFonts w:ascii="Calibri" w:hAnsi="Calibri"/>
                <w:color w:val="000000"/>
                <w:szCs w:val="22"/>
                <w:lang w:val="es-ES_tradnl" w:eastAsia="zh-CN"/>
              </w:rPr>
              <w:t>El GADT tomó nota de los principales resultados de la CMDT-14 a saber, la Declaración de Dubái, la contribución del UIT-D al Plan Estratégico de la UIT para 2016-2019 y el nuevo ámbito de trabajo para las Comisiones de Estudio.</w:t>
            </w:r>
            <w:bookmarkEnd w:id="40"/>
            <w:r w:rsidRPr="00C5465C">
              <w:rPr>
                <w:rFonts w:ascii="Calibri" w:hAnsi="Calibri"/>
                <w:color w:val="000000"/>
                <w:szCs w:val="22"/>
                <w:lang w:val="es-ES_tradnl" w:eastAsia="zh-CN"/>
              </w:rPr>
              <w:t xml:space="preserve"> El GADT también tomó nota del Informe sobre el Rendimiento en 2014, en el que se indica el grado de ejecución de los objetivos y resultados definidos en los Planes Estratégico y Operacional del UIT-D. Por último, el GADT tomó nota del documento sobre las iniciativas regionales y agradeció a la Secretaría los informes presentados.</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Asuntos relacionados con Comisiones de Estudio del UIT-D</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dio las gracias a ambos presidentes de las Comisiones de Estudio y a los Relatores por su ingente labor y su colaboración y cooperación con las demás Comisiones de Estudio de la UIT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A33C0E">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lastRenderedPageBreak/>
              <w:t>Contribución del UIT-D a la aplicación del Plan de Acción de la</w:t>
            </w:r>
            <w:r w:rsidR="00A33C0E">
              <w:rPr>
                <w:rFonts w:ascii="Calibri" w:hAnsi="Calibri"/>
                <w:color w:val="000000"/>
                <w:szCs w:val="22"/>
                <w:lang w:val="es-ES_tradnl" w:eastAsia="zh-CN"/>
              </w:rPr>
              <w:t> </w:t>
            </w:r>
            <w:r w:rsidRPr="00C5465C">
              <w:rPr>
                <w:rFonts w:ascii="Calibri" w:hAnsi="Calibri"/>
                <w:color w:val="000000"/>
                <w:szCs w:val="22"/>
                <w:lang w:val="es-ES_tradnl" w:eastAsia="zh-CN"/>
              </w:rPr>
              <w:t>CMSI</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A33C0E">
            <w:pPr>
              <w:pStyle w:val="Tabletext"/>
              <w:keepLines/>
              <w:rPr>
                <w:rFonts w:ascii="Calibri" w:hAnsi="Calibri"/>
                <w:b/>
                <w:color w:val="800000"/>
                <w:szCs w:val="22"/>
                <w:lang w:val="es-ES_tradnl" w:eastAsia="zh-CN"/>
              </w:rPr>
            </w:pPr>
            <w:bookmarkStart w:id="41" w:name="lt_pId101"/>
            <w:r w:rsidRPr="00C5465C">
              <w:rPr>
                <w:lang w:val="es-ES_tradnl" w:eastAsia="zh-CN"/>
              </w:rPr>
              <w:t>El</w:t>
            </w:r>
            <w:r w:rsidRPr="00C5465C">
              <w:rPr>
                <w:rFonts w:ascii="Calibri" w:hAnsi="Calibri"/>
                <w:color w:val="000000"/>
                <w:szCs w:val="22"/>
                <w:lang w:val="es-ES_tradnl" w:eastAsia="zh-CN"/>
              </w:rPr>
              <w:t xml:space="preserve"> GADT tomó nota de la contribución de la Secretaría </w:t>
            </w:r>
            <w:bookmarkEnd w:id="41"/>
            <w:r w:rsidRPr="00C5465C">
              <w:rPr>
                <w:rFonts w:ascii="Calibri" w:hAnsi="Calibri"/>
                <w:color w:val="000000"/>
                <w:szCs w:val="22"/>
                <w:lang w:val="es-ES_tradnl" w:eastAsia="zh-CN"/>
              </w:rPr>
              <w:t>y propuso que se actualizaran las hojas de ruta que están bajo la responsabi</w:t>
            </w:r>
            <w:r w:rsidR="00A33C0E">
              <w:rPr>
                <w:rFonts w:ascii="Calibri" w:hAnsi="Calibri"/>
                <w:color w:val="000000"/>
                <w:szCs w:val="22"/>
                <w:lang w:val="es-ES_tradnl" w:eastAsia="zh-CN"/>
              </w:rPr>
              <w:t>lidad del </w:t>
            </w:r>
            <w:r w:rsidRPr="00C5465C">
              <w:rPr>
                <w:rFonts w:ascii="Calibri" w:hAnsi="Calibri"/>
                <w:color w:val="000000"/>
                <w:szCs w:val="22"/>
                <w:lang w:val="es-ES_tradnl" w:eastAsia="zh-CN"/>
              </w:rPr>
              <w:t>UIT-D teniendo en cuenta los resu</w:t>
            </w:r>
            <w:r w:rsidR="00A33C0E">
              <w:rPr>
                <w:rFonts w:ascii="Calibri" w:hAnsi="Calibri"/>
                <w:color w:val="000000"/>
                <w:szCs w:val="22"/>
                <w:lang w:val="es-ES_tradnl" w:eastAsia="zh-CN"/>
              </w:rPr>
              <w:t>ltados del Evento de Alto Nivel </w:t>
            </w:r>
            <w:r w:rsidRPr="00C5465C">
              <w:rPr>
                <w:rFonts w:ascii="Calibri" w:hAnsi="Calibri"/>
                <w:color w:val="000000"/>
                <w:szCs w:val="22"/>
                <w:lang w:val="es-ES_tradnl" w:eastAsia="zh-CN"/>
              </w:rPr>
              <w:t>CMSI+10, de la Cumbre y la Reunión de Alto Nivel sobre los objetivos de desarrollo sostenible, y la implementación de los resultados de la CMSI en el 70º Periodo de Sesiones de la Asamblea General de las Naciones Unidas en</w:t>
            </w:r>
            <w:r>
              <w:rPr>
                <w:rFonts w:ascii="Calibri" w:hAnsi="Calibri"/>
                <w:color w:val="000000"/>
                <w:szCs w:val="22"/>
                <w:lang w:val="es-ES_tradnl" w:eastAsia="zh-CN"/>
              </w:rPr>
              <w:t> </w:t>
            </w:r>
            <w:r w:rsidRPr="00C5465C">
              <w:rPr>
                <w:rFonts w:ascii="Calibri" w:hAnsi="Calibri"/>
                <w:color w:val="000000"/>
                <w:szCs w:val="22"/>
                <w:lang w:val="es-ES_tradnl" w:eastAsia="zh-CN"/>
              </w:rPr>
              <w:t>2015.</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Reglamento interno del UIT-D (Resolución 1 de la CMDT – Métodos de trabajo), comprendido el Grupo por Correspondencia del GADT</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felicitó al Grupo por los progresos realizados hasta la fecha y lo alentó a seguir elaborando propuestas para seguir mejorando la Resolución 1 de la CMDT.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Plan Operacional cuadriena</w:t>
            </w:r>
            <w:r>
              <w:rPr>
                <w:rFonts w:ascii="Calibri" w:hAnsi="Calibri"/>
                <w:color w:val="000000"/>
                <w:szCs w:val="22"/>
                <w:lang w:val="es-ES_tradnl" w:eastAsia="zh-CN"/>
              </w:rPr>
              <w:t>l renovable del UIT-D para 2016</w:t>
            </w:r>
            <w:r>
              <w:rPr>
                <w:rFonts w:ascii="Calibri" w:hAnsi="Calibri"/>
                <w:color w:val="000000"/>
                <w:szCs w:val="22"/>
                <w:lang w:val="es-ES_tradnl" w:eastAsia="zh-CN"/>
              </w:rPr>
              <w:noBreakHyphen/>
            </w:r>
            <w:r w:rsidRPr="00C5465C">
              <w:rPr>
                <w:rFonts w:ascii="Calibri" w:hAnsi="Calibri"/>
                <w:color w:val="000000"/>
                <w:szCs w:val="22"/>
                <w:lang w:val="es-ES_tradnl" w:eastAsia="zh-CN"/>
              </w:rPr>
              <w:t>2019, comprendido e</w:t>
            </w:r>
            <w:r>
              <w:rPr>
                <w:rFonts w:ascii="Calibri" w:hAnsi="Calibri"/>
                <w:color w:val="000000"/>
                <w:szCs w:val="22"/>
                <w:lang w:val="es-ES_tradnl" w:eastAsia="zh-CN"/>
              </w:rPr>
              <w:t>l Grupo por Correspondencia del </w:t>
            </w:r>
            <w:r w:rsidRPr="00C5465C">
              <w:rPr>
                <w:rFonts w:ascii="Calibri" w:hAnsi="Calibri"/>
                <w:color w:val="000000"/>
                <w:szCs w:val="22"/>
                <w:lang w:val="es-ES_tradnl" w:eastAsia="zh-CN"/>
              </w:rPr>
              <w:t>GADT</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bookmarkStart w:id="42" w:name="lt_pId105"/>
            <w:r w:rsidRPr="00C5465C">
              <w:rPr>
                <w:lang w:val="es-ES_tradnl" w:eastAsia="zh-CN"/>
              </w:rPr>
              <w:t>El</w:t>
            </w:r>
            <w:r w:rsidRPr="00C5465C">
              <w:rPr>
                <w:rFonts w:ascii="Calibri" w:hAnsi="Calibri"/>
                <w:color w:val="000000"/>
                <w:szCs w:val="22"/>
                <w:lang w:val="es-ES_tradnl" w:eastAsia="zh-CN"/>
              </w:rPr>
              <w:t xml:space="preserve"> GADT refrendó el Plan Operacional y se declaró satisfecho con su calidad.</w:t>
            </w:r>
            <w:bookmarkEnd w:id="42"/>
            <w:r w:rsidRPr="00C5465C">
              <w:rPr>
                <w:rFonts w:ascii="Calibri" w:hAnsi="Calibri"/>
                <w:color w:val="000000"/>
                <w:szCs w:val="22"/>
                <w:lang w:val="es-ES_tradnl" w:eastAsia="zh-CN"/>
              </w:rPr>
              <w:t xml:space="preserve"> El Grupo por Correspondencia ha empezado a preparar el Plan Estratégico del UIT-D para 2020-2023. A ese respecto, el GADT tomó nota d</w:t>
            </w:r>
            <w:r>
              <w:rPr>
                <w:rFonts w:ascii="Calibri" w:hAnsi="Calibri"/>
                <w:color w:val="000000"/>
                <w:szCs w:val="22"/>
                <w:lang w:val="es-ES_tradnl" w:eastAsia="zh-CN"/>
              </w:rPr>
              <w:t>el proyecto de contribución del </w:t>
            </w:r>
            <w:r w:rsidRPr="00C5465C">
              <w:rPr>
                <w:rFonts w:ascii="Calibri" w:hAnsi="Calibri"/>
                <w:color w:val="000000"/>
                <w:szCs w:val="22"/>
                <w:lang w:val="es-ES_tradnl" w:eastAsia="zh-CN"/>
              </w:rPr>
              <w:t>UIT-D al proyecto de Plan Estrat</w:t>
            </w:r>
            <w:r>
              <w:rPr>
                <w:rFonts w:ascii="Calibri" w:hAnsi="Calibri"/>
                <w:color w:val="000000"/>
                <w:szCs w:val="22"/>
                <w:lang w:val="es-ES_tradnl" w:eastAsia="zh-CN"/>
              </w:rPr>
              <w:t>égico de la UIT para el periodo </w:t>
            </w:r>
            <w:r w:rsidRPr="00C5465C">
              <w:rPr>
                <w:rFonts w:ascii="Calibri" w:hAnsi="Calibri"/>
                <w:color w:val="000000"/>
                <w:szCs w:val="22"/>
                <w:lang w:val="es-ES_tradnl" w:eastAsia="zh-CN"/>
              </w:rPr>
              <w:t>2020-2023 que le había sometido el Presidente de su Grupo por Correspondencia sobre el Plan Estratégico, la Declaración y el Plan Operacional, fruto de la reunión del Grupo del 27 de abril de 2015.</w:t>
            </w:r>
          </w:p>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convino en que el Grupo por Correspondencia debía continuar sus trabajos en ambos ámbitos sobre la base del proyecto de Plan Estratégico del UIT-D para 2020-2023 y el proyecto de Declaración de la CMDT-17.</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lang w:val="es-ES_tradnl" w:eastAsia="zh-CN"/>
              </w:rPr>
              <w:t>Colaboración</w:t>
            </w:r>
            <w:r w:rsidRPr="00C5465C">
              <w:rPr>
                <w:rFonts w:ascii="Calibri" w:hAnsi="Calibri"/>
                <w:color w:val="000000"/>
                <w:szCs w:val="22"/>
                <w:lang w:val="es-ES_tradnl" w:eastAsia="zh-CN"/>
              </w:rPr>
              <w:t xml:space="preserve"> con los otros Sectores, en particular el informe de situación sobre el equipo intersectorial</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insistió en la importancia de las IXP e invitó a Argentina a tomar nota de los comentarios e informaciones compartidos durante la reunión, a preparar una propuesta concreta en la que el asunto de las IXP pudiera abordarse en el marco de las actividades de las Comisiones de Estudio del UIT-D, y a contemplar la posibilidad de proponer que se añada ese punto a una Cuestión existente o que</w:t>
            </w:r>
            <w:r>
              <w:rPr>
                <w:rFonts w:ascii="Calibri" w:hAnsi="Calibri"/>
                <w:color w:val="000000"/>
                <w:szCs w:val="22"/>
                <w:lang w:val="es-ES_tradnl" w:eastAsia="zh-CN"/>
              </w:rPr>
              <w:t xml:space="preserve"> se cree una nueva Cuestión del </w:t>
            </w:r>
            <w:r w:rsidRPr="00C5465C">
              <w:rPr>
                <w:rFonts w:ascii="Calibri" w:hAnsi="Calibri"/>
                <w:color w:val="000000"/>
                <w:szCs w:val="22"/>
                <w:lang w:val="es-ES_tradnl" w:eastAsia="zh-CN"/>
              </w:rPr>
              <w:t>UIT-D específicamente relacionada con las IXP. En lo que respecta a la colaboración e</w:t>
            </w:r>
            <w:r w:rsidR="001E3EB3">
              <w:rPr>
                <w:rFonts w:ascii="Calibri" w:hAnsi="Calibri"/>
                <w:color w:val="000000"/>
                <w:szCs w:val="22"/>
                <w:lang w:val="es-ES_tradnl" w:eastAsia="zh-CN"/>
              </w:rPr>
              <w:t>ntre el UIT-T/TSB y el </w:t>
            </w:r>
            <w:r w:rsidRPr="00C5465C">
              <w:rPr>
                <w:rFonts w:ascii="Calibri" w:hAnsi="Calibri"/>
                <w:color w:val="000000"/>
                <w:szCs w:val="22"/>
                <w:lang w:val="es-ES_tradnl" w:eastAsia="zh-CN"/>
              </w:rPr>
              <w:t xml:space="preserve">UIT-D/BDT, </w:t>
            </w:r>
            <w:r>
              <w:rPr>
                <w:rFonts w:ascii="Calibri" w:hAnsi="Calibri"/>
                <w:color w:val="000000"/>
                <w:szCs w:val="22"/>
                <w:lang w:val="es-ES_tradnl" w:eastAsia="zh-CN"/>
              </w:rPr>
              <w:t>el </w:t>
            </w:r>
            <w:r w:rsidRPr="00C5465C">
              <w:rPr>
                <w:rFonts w:ascii="Calibri" w:hAnsi="Calibri"/>
                <w:color w:val="000000"/>
                <w:szCs w:val="22"/>
                <w:lang w:val="es-ES_tradnl" w:eastAsia="zh-CN"/>
              </w:rPr>
              <w:t xml:space="preserve">GADT llegó a la conclusión de que la primera etapa consistía en determinar varios asuntos de interés mutuo, y se consideró que el Documento 8 era un buen punto de partida. </w:t>
            </w:r>
            <w:bookmarkStart w:id="43" w:name="lt_pId112"/>
            <w:r w:rsidRPr="00C5465C">
              <w:rPr>
                <w:rFonts w:ascii="Calibri" w:hAnsi="Calibri"/>
                <w:color w:val="000000"/>
                <w:szCs w:val="22"/>
                <w:lang w:val="es-ES_tradnl" w:eastAsia="zh-CN"/>
              </w:rPr>
              <w:t>En lo que atañe a las páginas web del UIT-D, el GADT consideró la contribución en la que se resumen propuestas para mejorar el sitio web del UIT</w:t>
            </w:r>
            <w:r w:rsidRPr="00C5465C">
              <w:rPr>
                <w:rFonts w:ascii="Calibri" w:hAnsi="Calibri"/>
                <w:color w:val="000000"/>
                <w:szCs w:val="22"/>
                <w:lang w:val="es-ES_tradnl" w:eastAsia="zh-CN"/>
              </w:rPr>
              <w:noBreakHyphen/>
              <w:t>D prestando atención, en particular, a la cuestión de la traducción de las páginas web.</w:t>
            </w:r>
            <w:bookmarkEnd w:id="43"/>
            <w:r w:rsidRPr="00C5465C">
              <w:rPr>
                <w:rFonts w:ascii="Calibri" w:hAnsi="Calibri"/>
                <w:color w:val="000000"/>
                <w:szCs w:val="22"/>
                <w:lang w:val="es-ES_tradnl" w:eastAsia="zh-CN"/>
              </w:rPr>
              <w:t xml:space="preserve"> En la contribución se destacan enlaces específicos con páginas que plantean problemas de traducción.</w:t>
            </w:r>
          </w:p>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aconsejó que el Director de la BDT examinara estas propuestas. El GADT también señaló que esas propuestas pueden tener consecuencias para el presupuesto de la BDT y aconsejó que el Director tuviera en cuenta esas propuestas al implementar el Plan Operacional del UIT-D.</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Informe del Grupo sobre Iniciativas de Capacitación</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tomó nota del documento, di</w:t>
            </w:r>
            <w:r w:rsidR="001E3EB3">
              <w:rPr>
                <w:rFonts w:ascii="Calibri" w:hAnsi="Calibri"/>
                <w:color w:val="000000"/>
                <w:szCs w:val="22"/>
                <w:lang w:val="es-ES_tradnl" w:eastAsia="zh-CN"/>
              </w:rPr>
              <w:t>o las gracias al Presidente del </w:t>
            </w:r>
            <w:r w:rsidRPr="00C5465C">
              <w:rPr>
                <w:rFonts w:ascii="Calibri" w:hAnsi="Calibri"/>
                <w:color w:val="000000"/>
                <w:szCs w:val="22"/>
                <w:lang w:val="es-ES_tradnl" w:eastAsia="zh-CN"/>
              </w:rPr>
              <w:t>GIC, y pidió que el trabajo del Grupo fuera más visible en el sitio web del UIT-D.</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lastRenderedPageBreak/>
              <w:t>Info</w:t>
            </w:r>
            <w:r w:rsidR="00FB3D24">
              <w:rPr>
                <w:rFonts w:ascii="Calibri" w:hAnsi="Calibri"/>
                <w:color w:val="000000"/>
                <w:szCs w:val="22"/>
                <w:lang w:val="es-ES_tradnl" w:eastAsia="zh-CN"/>
              </w:rPr>
              <w:t>rme sobre otras actividades del </w:t>
            </w:r>
            <w:r w:rsidRPr="00C5465C">
              <w:rPr>
                <w:rFonts w:ascii="Calibri" w:hAnsi="Calibri"/>
                <w:color w:val="000000"/>
                <w:szCs w:val="22"/>
                <w:lang w:val="es-ES_tradnl" w:eastAsia="zh-CN"/>
              </w:rPr>
              <w:t>UIT-D</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1E3EB3">
            <w:pPr>
              <w:pStyle w:val="Tabletext"/>
              <w:keepLines/>
              <w:rPr>
                <w:rFonts w:ascii="Calibri" w:hAnsi="Calibri"/>
                <w:color w:val="000000"/>
                <w:szCs w:val="22"/>
                <w:lang w:val="es-ES_tradnl" w:eastAsia="zh-CN"/>
              </w:rPr>
            </w:pPr>
            <w:r w:rsidRPr="00C5465C">
              <w:rPr>
                <w:rFonts w:ascii="Calibri" w:hAnsi="Calibri"/>
                <w:color w:val="000000"/>
                <w:szCs w:val="22"/>
                <w:lang w:val="es-ES_tradnl" w:eastAsia="zh-CN"/>
              </w:rPr>
              <w:t>El GADT insistió en la importancia de la 15ª edición del Simposio Mundial para Organismos Reguladores (GSR-15). El GADT consideró que el trabajo sobre indicadores y estadíst</w:t>
            </w:r>
            <w:r>
              <w:rPr>
                <w:rFonts w:ascii="Calibri" w:hAnsi="Calibri"/>
                <w:color w:val="000000"/>
                <w:szCs w:val="22"/>
                <w:lang w:val="es-ES_tradnl" w:eastAsia="zh-CN"/>
              </w:rPr>
              <w:t>icas de las </w:t>
            </w:r>
            <w:r w:rsidRPr="00C5465C">
              <w:rPr>
                <w:rFonts w:ascii="Calibri" w:hAnsi="Calibri"/>
                <w:color w:val="000000"/>
                <w:szCs w:val="22"/>
                <w:lang w:val="es-ES_tradnl" w:eastAsia="zh-CN"/>
              </w:rPr>
              <w:t>TIC es sumamente importante para la elabora</w:t>
            </w:r>
            <w:r w:rsidR="001E3EB3">
              <w:rPr>
                <w:rFonts w:ascii="Calibri" w:hAnsi="Calibri"/>
                <w:color w:val="000000"/>
                <w:szCs w:val="22"/>
                <w:lang w:val="es-ES_tradnl" w:eastAsia="zh-CN"/>
              </w:rPr>
              <w:t>ción de políticas adecuadas. El </w:t>
            </w:r>
            <w:r w:rsidRPr="00C5465C">
              <w:rPr>
                <w:rFonts w:ascii="Calibri" w:hAnsi="Calibri"/>
                <w:color w:val="000000"/>
                <w:szCs w:val="22"/>
                <w:lang w:val="es-ES_tradnl" w:eastAsia="zh-CN"/>
              </w:rPr>
              <w:t>GADT reconoció que era necesario elevar el nivel de los participantes en el WTIS a la categoría de ministros e instancias decisorias. El GADT convino en que la cuestión de las emergencias es pertinente para todos los países, ya sean desarrollados o en desarrollo, y que por consiguiente esta cuestión r</w:t>
            </w:r>
            <w:r w:rsidR="00FB3D24">
              <w:rPr>
                <w:rFonts w:ascii="Calibri" w:hAnsi="Calibri"/>
                <w:color w:val="000000"/>
                <w:szCs w:val="22"/>
                <w:lang w:val="es-ES_tradnl" w:eastAsia="zh-CN"/>
              </w:rPr>
              <w:t>eviste un interés universal. El </w:t>
            </w:r>
            <w:r w:rsidRPr="00C5465C">
              <w:rPr>
                <w:rFonts w:ascii="Calibri" w:hAnsi="Calibri"/>
                <w:color w:val="000000"/>
                <w:szCs w:val="22"/>
                <w:lang w:val="es-ES_tradnl" w:eastAsia="zh-CN"/>
              </w:rPr>
              <w:t>GADT aconsejó que los Foros Regionales de Desarrollo se celebrasen durante el primer trimestre del año a fin de que los resultados estuvieran disponibles para las reuniones del GADT.</w:t>
            </w:r>
            <w:bookmarkStart w:id="44" w:name="lt_pId124"/>
            <w:r w:rsidRPr="00C5465C">
              <w:rPr>
                <w:rFonts w:ascii="Calibri" w:hAnsi="Calibri"/>
                <w:color w:val="000000"/>
                <w:szCs w:val="22"/>
                <w:lang w:val="es-ES_tradnl" w:eastAsia="zh-CN"/>
              </w:rPr>
              <w:t xml:space="preserve"> El GADT apoyó además la celebración anual de Foros Regionales de Desarrollo.</w:t>
            </w:r>
            <w:bookmarkEnd w:id="44"/>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Asuntos relacionados con los miembros, las asociaciones y la innovación</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tomó nota de las actividades realizadas a escala mundial y regional para fomentar asociaciones y, en particular, asociaciones público-privadas. El GADT también examinó las estrategias y acciones propuestas para facilitar la agenda de la innovación en el UIT D y en sus miembros.</w:t>
            </w:r>
          </w:p>
        </w:tc>
      </w:tr>
      <w:tr w:rsidR="00D2165D" w:rsidRPr="009F2DF9" w:rsidTr="00D2165D">
        <w:tc>
          <w:tcPr>
            <w:tcW w:w="3220" w:type="dxa"/>
            <w:tcBorders>
              <w:top w:val="nil"/>
              <w:left w:val="single" w:sz="4" w:space="0" w:color="auto"/>
              <w:bottom w:val="nil"/>
              <w:right w:val="single" w:sz="4" w:space="0" w:color="auto"/>
            </w:tcBorders>
            <w:shd w:val="clear" w:color="auto" w:fill="auto"/>
            <w:vAlign w:val="center"/>
            <w:hideMark/>
          </w:tcPr>
          <w:p w:rsidR="00D2165D" w:rsidRPr="00C5465C" w:rsidRDefault="00D2165D" w:rsidP="00D2165D">
            <w:pPr>
              <w:pStyle w:val="Tabletext"/>
              <w:keepNext/>
              <w:rPr>
                <w:rFonts w:ascii="Calibri" w:hAnsi="Calibri"/>
                <w:color w:val="000000"/>
                <w:szCs w:val="22"/>
                <w:lang w:val="es-ES_tradnl" w:eastAsia="zh-CN"/>
              </w:rPr>
            </w:pPr>
            <w:r w:rsidRPr="00C5465C">
              <w:rPr>
                <w:rFonts w:ascii="Calibri" w:hAnsi="Calibri"/>
                <w:color w:val="000000"/>
                <w:szCs w:val="22"/>
                <w:lang w:val="es-ES_tradnl" w:eastAsia="zh-CN"/>
              </w:rPr>
              <w:t>Informe de situación sobre la p</w:t>
            </w:r>
            <w:r w:rsidR="00FB3D24">
              <w:rPr>
                <w:rFonts w:ascii="Calibri" w:hAnsi="Calibri"/>
                <w:color w:val="000000"/>
                <w:szCs w:val="22"/>
                <w:lang w:val="es-ES_tradnl" w:eastAsia="zh-CN"/>
              </w:rPr>
              <w:t>reparación del presupuesto para </w:t>
            </w:r>
            <w:r w:rsidRPr="00C5465C">
              <w:rPr>
                <w:rFonts w:ascii="Calibri" w:hAnsi="Calibri"/>
                <w:color w:val="000000"/>
                <w:szCs w:val="22"/>
                <w:lang w:val="es-ES_tradnl" w:eastAsia="zh-CN"/>
              </w:rPr>
              <w:t>2016-2017</w:t>
            </w:r>
          </w:p>
        </w:tc>
        <w:tc>
          <w:tcPr>
            <w:tcW w:w="5994" w:type="dxa"/>
            <w:tcBorders>
              <w:top w:val="nil"/>
              <w:left w:val="nil"/>
              <w:bottom w:val="nil"/>
              <w:right w:val="single" w:sz="4" w:space="0" w:color="auto"/>
            </w:tcBorders>
            <w:shd w:val="clear" w:color="auto" w:fill="auto"/>
            <w:vAlign w:val="center"/>
            <w:hideMark/>
          </w:tcPr>
          <w:p w:rsidR="00D2165D" w:rsidRPr="00C5465C" w:rsidRDefault="00D2165D" w:rsidP="00D2165D">
            <w:pPr>
              <w:pStyle w:val="Tabletext"/>
              <w:keepNext/>
              <w:rPr>
                <w:rFonts w:ascii="Calibri" w:hAnsi="Calibri"/>
                <w:color w:val="000000"/>
                <w:szCs w:val="22"/>
                <w:lang w:val="es-ES_tradnl" w:eastAsia="zh-CN"/>
              </w:rPr>
            </w:pPr>
            <w:r w:rsidRPr="00C5465C">
              <w:rPr>
                <w:rFonts w:ascii="Calibri" w:hAnsi="Calibri"/>
                <w:color w:val="000000"/>
                <w:szCs w:val="22"/>
                <w:lang w:val="es-ES_tradnl" w:eastAsia="zh-CN"/>
              </w:rPr>
              <w:t>El GADT agradeció a la Secretaría el presupuesto equilibrado y, sobre todo, las medidas adoptadas para no detraer fondos de la Cuenta de Provisión.</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Calendario de eventos del UIT-D</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dio las gracias a la Secretaría p</w:t>
            </w:r>
            <w:r w:rsidR="00FB3D24">
              <w:rPr>
                <w:rFonts w:ascii="Calibri" w:hAnsi="Calibri"/>
                <w:color w:val="000000"/>
                <w:szCs w:val="22"/>
                <w:lang w:val="es-ES_tradnl" w:eastAsia="zh-CN"/>
              </w:rPr>
              <w:t>or el calendario de eventos del </w:t>
            </w:r>
            <w:r w:rsidRPr="00C5465C">
              <w:rPr>
                <w:rFonts w:ascii="Calibri" w:hAnsi="Calibri"/>
                <w:color w:val="000000"/>
                <w:szCs w:val="22"/>
                <w:lang w:val="es-ES_tradnl" w:eastAsia="zh-CN"/>
              </w:rPr>
              <w:t>UIT-D, que es un documento muy útil, y señaló que después del Consejo se incorporarían algunas modificaciones a ese documento.</w:t>
            </w:r>
          </w:p>
        </w:tc>
      </w:tr>
    </w:tbl>
    <w:p w:rsidR="00D2165D" w:rsidRPr="00C5465C" w:rsidRDefault="00D2165D" w:rsidP="00D2165D">
      <w:pPr>
        <w:pStyle w:val="Heading2"/>
        <w:spacing w:before="360"/>
        <w:rPr>
          <w:lang w:val="es-ES_tradnl"/>
        </w:rPr>
      </w:pPr>
      <w:bookmarkStart w:id="45" w:name="_Toc482178270"/>
      <w:bookmarkStart w:id="46" w:name="_Toc487791223"/>
      <w:bookmarkStart w:id="47" w:name="lt_pId133"/>
      <w:r w:rsidRPr="00C5465C">
        <w:rPr>
          <w:lang w:val="es-ES_tradnl"/>
        </w:rPr>
        <w:t>2.3</w:t>
      </w:r>
      <w:r w:rsidRPr="00C5465C">
        <w:rPr>
          <w:lang w:val="es-ES_tradnl"/>
        </w:rPr>
        <w:tab/>
        <w:t>21ª reunión del GADT</w:t>
      </w:r>
      <w:bookmarkEnd w:id="45"/>
      <w:bookmarkEnd w:id="46"/>
    </w:p>
    <w:p w:rsidR="00D2165D" w:rsidRPr="00C5465C" w:rsidRDefault="00D2165D" w:rsidP="00D2165D">
      <w:pPr>
        <w:rPr>
          <w:lang w:val="es-ES_tradnl"/>
        </w:rPr>
      </w:pPr>
      <w:bookmarkStart w:id="48" w:name="lt_pId134"/>
      <w:bookmarkEnd w:id="47"/>
      <w:r w:rsidRPr="00C5465C">
        <w:rPr>
          <w:lang w:val="es-ES_tradnl"/>
        </w:rPr>
        <w:t>a)</w:t>
      </w:r>
      <w:r w:rsidRPr="00C5465C">
        <w:rPr>
          <w:lang w:val="es-ES_tradnl"/>
        </w:rPr>
        <w:tab/>
        <w:t>La 21ª reunión del Grupo Asesor de Desarrollo de las Telecomunicaciones (GADT) tuvo lugar en la Sede de la UIT en Ginebra, del 16 al 18 de marzo de 2016, bajo la Presidencia del Profesor Dr. Vladimir Minkin.</w:t>
      </w:r>
    </w:p>
    <w:p w:rsidR="00D2165D" w:rsidRPr="00C5465C" w:rsidRDefault="00D2165D" w:rsidP="00B84E60">
      <w:pPr>
        <w:keepLines/>
        <w:rPr>
          <w:lang w:val="es-ES_tradnl"/>
        </w:rPr>
      </w:pPr>
      <w:bookmarkStart w:id="49" w:name="lt_pId135"/>
      <w:bookmarkEnd w:id="48"/>
      <w:r w:rsidRPr="00C5465C">
        <w:rPr>
          <w:lang w:val="es-ES_tradnl"/>
        </w:rPr>
        <w:t>El Grupo por Correspondencia del GADT sobre el Plan Estratégico, el Plan Operacional y la Declaración, el Grupo por Correspondencia sobre la Resolución 1 (Rev. Dubái, 2014) de la CMDT, "Reglamento Interno del Sector de Desarrollo de las Telecomunicaciones de la UIT", y el equipo intersectorial sobre cuestiones de interés mutuo se reunieron en Ginebra el 15 de marzo de 2016 e informaron al GADT sobre sus progresos.</w:t>
      </w:r>
    </w:p>
    <w:bookmarkEnd w:id="49"/>
    <w:p w:rsidR="00D2165D" w:rsidRPr="006270EF" w:rsidRDefault="00D2165D" w:rsidP="00D2165D">
      <w:pPr>
        <w:rPr>
          <w:lang w:val="es-ES_tradnl"/>
        </w:rPr>
      </w:pPr>
      <w:r w:rsidRPr="00C5465C">
        <w:rPr>
          <w:lang w:val="es-ES_tradnl"/>
        </w:rPr>
        <w:t xml:space="preserve">El informe completo de la reunión en los seis idiomas oficiales de la UIT figura en la dirección </w:t>
      </w:r>
      <w:hyperlink r:id="rId28" w:history="1">
        <w:bookmarkStart w:id="50" w:name="lt_pId136"/>
        <w:r w:rsidRPr="00C5465C">
          <w:rPr>
            <w:rStyle w:val="Hyperlink"/>
            <w:lang w:val="es-ES_tradnl"/>
          </w:rPr>
          <w:t>https://www.itu.int/md/D14-TDAG21-C-0043/en</w:t>
        </w:r>
        <w:bookmarkEnd w:id="50"/>
      </w:hyperlink>
      <w:r w:rsidRPr="00C5465C">
        <w:rPr>
          <w:lang w:val="es-ES_tradnl"/>
        </w:rPr>
        <w:t>.</w:t>
      </w:r>
    </w:p>
    <w:p w:rsidR="00FB3D24" w:rsidRDefault="00FB3D24">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rsidR="00D2165D" w:rsidRPr="00C5465C" w:rsidRDefault="00D2165D" w:rsidP="00D2165D">
      <w:pPr>
        <w:pStyle w:val="enumlev1"/>
        <w:rPr>
          <w:lang w:val="es-ES_tradnl"/>
        </w:rPr>
      </w:pPr>
      <w:r w:rsidRPr="00C5465C">
        <w:rPr>
          <w:lang w:val="es-ES_tradnl"/>
        </w:rPr>
        <w:lastRenderedPageBreak/>
        <w:t>b)</w:t>
      </w:r>
      <w:r w:rsidRPr="00C5465C">
        <w:rPr>
          <w:lang w:val="es-ES_tradnl"/>
        </w:rPr>
        <w:tab/>
        <w:t>Participantes</w:t>
      </w:r>
    </w:p>
    <w:p w:rsidR="00D2165D" w:rsidRPr="00C5465C" w:rsidRDefault="00D2165D" w:rsidP="00D2165D">
      <w:pPr>
        <w:rPr>
          <w:lang w:val="es-ES_tradnl"/>
        </w:rPr>
      </w:pPr>
      <w:r w:rsidRPr="00C5465C">
        <w:rPr>
          <w:lang w:val="es-ES_tradnl"/>
        </w:rPr>
        <w:t>En el siguiente gráfico se facilita el desglose de participantes por categoría:</w:t>
      </w:r>
    </w:p>
    <w:p w:rsidR="00D2165D" w:rsidRPr="00C5465C" w:rsidRDefault="00D2165D" w:rsidP="00D2165D">
      <w:pPr>
        <w:rPr>
          <w:lang w:val="es-ES_tradnl"/>
        </w:rPr>
      </w:pPr>
      <w:r w:rsidRPr="00C5465C">
        <w:rPr>
          <w:noProof/>
          <w:lang w:eastAsia="zh-CN"/>
        </w:rPr>
        <w:drawing>
          <wp:inline distT="0" distB="0" distL="0" distR="0" wp14:anchorId="5D153746" wp14:editId="11F67198">
            <wp:extent cx="5850890" cy="23958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50890" cy="2395855"/>
                    </a:xfrm>
                    <a:prstGeom prst="rect">
                      <a:avLst/>
                    </a:prstGeom>
                  </pic:spPr>
                </pic:pic>
              </a:graphicData>
            </a:graphic>
          </wp:inline>
        </w:drawing>
      </w:r>
    </w:p>
    <w:p w:rsidR="00D2165D" w:rsidRPr="00D02E7A" w:rsidRDefault="00D2165D" w:rsidP="00D2165D">
      <w:pPr>
        <w:pStyle w:val="Figurelegend"/>
        <w:keepNext w:val="0"/>
        <w:keepLines w:val="0"/>
        <w:rPr>
          <w:b/>
          <w:bCs/>
          <w:lang w:val="es-ES_tradnl"/>
        </w:rPr>
      </w:pPr>
      <w:r w:rsidRPr="00D02E7A">
        <w:rPr>
          <w:b/>
          <w:bCs/>
          <w:lang w:val="es-ES_tradnl"/>
        </w:rPr>
        <w:t>Leyenda:</w:t>
      </w:r>
    </w:p>
    <w:p w:rsidR="00D2165D" w:rsidRPr="00C5465C" w:rsidRDefault="00D2165D" w:rsidP="00D2165D">
      <w:pPr>
        <w:pStyle w:val="Figurelegend"/>
        <w:keepNext w:val="0"/>
        <w:keepLines w:val="0"/>
        <w:rPr>
          <w:lang w:val="es-ES_tradnl"/>
        </w:rPr>
      </w:pPr>
      <w:r w:rsidRPr="00C5465C">
        <w:rPr>
          <w:lang w:val="es-ES_tradnl"/>
        </w:rPr>
        <w:t>Estados Miembros</w:t>
      </w:r>
    </w:p>
    <w:p w:rsidR="00D2165D" w:rsidRPr="00C5465C" w:rsidRDefault="00D2165D" w:rsidP="00D2165D">
      <w:pPr>
        <w:pStyle w:val="Figurelegend"/>
        <w:keepNext w:val="0"/>
        <w:keepLines w:val="0"/>
        <w:rPr>
          <w:lang w:val="es-ES_tradnl"/>
        </w:rPr>
      </w:pPr>
      <w:r w:rsidRPr="00C5465C">
        <w:rPr>
          <w:lang w:val="es-ES_tradnl"/>
        </w:rPr>
        <w:t>Miembros de Sector del UIT-D – Empresas de explotación reconocidas</w:t>
      </w:r>
    </w:p>
    <w:p w:rsidR="00D2165D" w:rsidRPr="00C5465C" w:rsidRDefault="00D2165D" w:rsidP="00D2165D">
      <w:pPr>
        <w:pStyle w:val="Figurelegend"/>
        <w:keepNext w:val="0"/>
        <w:keepLines w:val="0"/>
        <w:rPr>
          <w:lang w:val="es-ES_tradnl"/>
        </w:rPr>
      </w:pPr>
      <w:r w:rsidRPr="00C5465C">
        <w:rPr>
          <w:lang w:val="es-ES_tradnl"/>
        </w:rPr>
        <w:t>Miembros de Sector del UIT-D – Organizaciones científicas o industriales</w:t>
      </w:r>
    </w:p>
    <w:p w:rsidR="00D2165D" w:rsidRPr="00C5465C" w:rsidRDefault="00D2165D" w:rsidP="00D2165D">
      <w:pPr>
        <w:pStyle w:val="Figurelegend"/>
        <w:keepNext w:val="0"/>
        <w:keepLines w:val="0"/>
        <w:rPr>
          <w:lang w:val="es-ES_tradnl"/>
        </w:rPr>
      </w:pPr>
      <w:r w:rsidRPr="00C5465C">
        <w:rPr>
          <w:lang w:val="es-ES_tradnl"/>
        </w:rPr>
        <w:t xml:space="preserve">Miembros de Sector del UIT-D – Otras </w:t>
      </w:r>
      <w:r>
        <w:rPr>
          <w:lang w:val="es-ES_tradnl"/>
        </w:rPr>
        <w:t>entidades de telecomunicaciones</w:t>
      </w:r>
    </w:p>
    <w:p w:rsidR="00D2165D" w:rsidRPr="00C5465C" w:rsidRDefault="00D2165D" w:rsidP="00D2165D">
      <w:pPr>
        <w:pStyle w:val="Figurelegend"/>
        <w:keepNext w:val="0"/>
        <w:keepLines w:val="0"/>
        <w:rPr>
          <w:lang w:val="es-ES_tradnl"/>
        </w:rPr>
      </w:pPr>
      <w:r w:rsidRPr="00C5465C">
        <w:rPr>
          <w:lang w:val="es-ES_tradnl"/>
        </w:rPr>
        <w:t>Miembros de Sector del UIT-D – Organizaciones regionales y otras</w:t>
      </w:r>
      <w:r>
        <w:rPr>
          <w:lang w:val="es-ES_tradnl"/>
        </w:rPr>
        <w:t xml:space="preserve"> organizaciones internacionales</w:t>
      </w:r>
    </w:p>
    <w:p w:rsidR="00D2165D" w:rsidRPr="00C5465C" w:rsidRDefault="00D2165D" w:rsidP="00D2165D">
      <w:pPr>
        <w:pStyle w:val="Figurelegend"/>
        <w:keepNext w:val="0"/>
        <w:keepLines w:val="0"/>
        <w:rPr>
          <w:lang w:val="es-ES_tradnl"/>
        </w:rPr>
      </w:pPr>
      <w:r w:rsidRPr="00C5465C">
        <w:rPr>
          <w:lang w:val="es-ES_tradnl"/>
        </w:rPr>
        <w:t>Miembros de Sector del UIT-D – Organizaciones r</w:t>
      </w:r>
      <w:r>
        <w:rPr>
          <w:lang w:val="es-ES_tradnl"/>
        </w:rPr>
        <w:t>egionales de telecomunicaciones</w:t>
      </w:r>
    </w:p>
    <w:p w:rsidR="00D2165D" w:rsidRPr="00C5465C" w:rsidRDefault="00D2165D" w:rsidP="008C382B">
      <w:pPr>
        <w:keepNext/>
        <w:spacing w:before="360"/>
        <w:rPr>
          <w:lang w:val="es-ES_tradnl"/>
        </w:rPr>
      </w:pPr>
      <w:r w:rsidRPr="00C5465C">
        <w:rPr>
          <w:lang w:val="es-ES_tradnl"/>
        </w:rPr>
        <w:t>En el siguiente gráfico se facilita el desglose de participantes por región:</w:t>
      </w:r>
    </w:p>
    <w:p w:rsidR="00D2165D" w:rsidRPr="00C5465C" w:rsidRDefault="00D2165D" w:rsidP="00D2165D">
      <w:pPr>
        <w:rPr>
          <w:lang w:val="es-ES_tradnl"/>
        </w:rPr>
      </w:pPr>
      <w:r w:rsidRPr="00C5465C">
        <w:rPr>
          <w:noProof/>
          <w:lang w:eastAsia="zh-CN"/>
        </w:rPr>
        <w:drawing>
          <wp:inline distT="0" distB="0" distL="0" distR="0" wp14:anchorId="36707CAE" wp14:editId="146BFC5A">
            <wp:extent cx="5850890" cy="23958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50890" cy="2395855"/>
                    </a:xfrm>
                    <a:prstGeom prst="rect">
                      <a:avLst/>
                    </a:prstGeom>
                  </pic:spPr>
                </pic:pic>
              </a:graphicData>
            </a:graphic>
          </wp:inline>
        </w:drawing>
      </w:r>
    </w:p>
    <w:p w:rsidR="00D2165D" w:rsidRPr="00D02E7A" w:rsidRDefault="00D2165D" w:rsidP="00D2165D">
      <w:pPr>
        <w:pStyle w:val="Figurelegend"/>
        <w:rPr>
          <w:b/>
          <w:bCs/>
          <w:lang w:val="es-ES_tradnl"/>
        </w:rPr>
      </w:pPr>
      <w:r w:rsidRPr="00D02E7A">
        <w:rPr>
          <w:b/>
          <w:bCs/>
          <w:lang w:val="es-ES_tradnl"/>
        </w:rPr>
        <w:t>Leyenda:</w:t>
      </w:r>
    </w:p>
    <w:p w:rsidR="00D2165D" w:rsidRPr="00C5465C" w:rsidRDefault="00D2165D" w:rsidP="00D2165D">
      <w:pPr>
        <w:pStyle w:val="Figurelegend"/>
        <w:keepNext w:val="0"/>
        <w:keepLines w:val="0"/>
        <w:rPr>
          <w:lang w:val="es-ES_tradnl"/>
        </w:rPr>
      </w:pPr>
      <w:r w:rsidRPr="00D02E7A">
        <w:rPr>
          <w:lang w:val="es-ES_tradnl"/>
        </w:rPr>
        <w:t xml:space="preserve">AFR; AMS; ARB; ASP; CEI; EUR; </w:t>
      </w:r>
      <w:r w:rsidRPr="00C5465C">
        <w:rPr>
          <w:lang w:val="es-ES_tradnl"/>
        </w:rPr>
        <w:t>Sin identificar</w:t>
      </w:r>
    </w:p>
    <w:p w:rsidR="008C382B" w:rsidRDefault="008C382B">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rsidR="00D2165D" w:rsidRPr="00C5465C" w:rsidRDefault="00D2165D" w:rsidP="00D2165D">
      <w:pPr>
        <w:pStyle w:val="enumlev1"/>
        <w:keepNext/>
        <w:spacing w:before="360"/>
        <w:rPr>
          <w:lang w:val="es-ES_tradnl"/>
        </w:rPr>
      </w:pPr>
      <w:r w:rsidRPr="00C5465C">
        <w:rPr>
          <w:lang w:val="es-ES_tradnl"/>
        </w:rPr>
        <w:lastRenderedPageBreak/>
        <w:t>c)</w:t>
      </w:r>
      <w:r w:rsidRPr="00C5465C">
        <w:rPr>
          <w:lang w:val="es-ES_tradnl"/>
        </w:rPr>
        <w:tab/>
        <w:t>Documentos</w:t>
      </w:r>
    </w:p>
    <w:p w:rsidR="00D2165D" w:rsidRPr="00C5465C" w:rsidRDefault="00D2165D" w:rsidP="00D2165D">
      <w:pPr>
        <w:rPr>
          <w:lang w:val="es-ES_tradnl"/>
        </w:rPr>
      </w:pPr>
      <w:r w:rsidRPr="00C5465C">
        <w:rPr>
          <w:lang w:val="es-ES_tradnl"/>
        </w:rPr>
        <w:t>En el siguiente gráfico se presenta el número de documentos desglosado por categoría de documentos:</w:t>
      </w:r>
    </w:p>
    <w:p w:rsidR="00D2165D" w:rsidRPr="00C5465C" w:rsidRDefault="00D2165D" w:rsidP="00D2165D">
      <w:pPr>
        <w:overflowPunct/>
        <w:autoSpaceDE/>
        <w:autoSpaceDN/>
        <w:adjustRightInd/>
        <w:spacing w:before="0"/>
        <w:textAlignment w:val="auto"/>
        <w:rPr>
          <w:lang w:val="es-ES_tradnl"/>
        </w:rPr>
      </w:pPr>
      <w:r w:rsidRPr="00C5465C">
        <w:rPr>
          <w:noProof/>
          <w:lang w:eastAsia="zh-CN"/>
        </w:rPr>
        <w:drawing>
          <wp:inline distT="0" distB="0" distL="0" distR="0" wp14:anchorId="0DBCB3B5" wp14:editId="1B46E446">
            <wp:extent cx="5157216" cy="2648102"/>
            <wp:effectExtent l="0" t="0" r="571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2165D" w:rsidRPr="00D02E7A" w:rsidRDefault="00D2165D" w:rsidP="00D2165D">
      <w:pPr>
        <w:pStyle w:val="Figurelegend"/>
        <w:rPr>
          <w:b/>
          <w:bCs/>
          <w:lang w:val="es-ES_tradnl"/>
        </w:rPr>
      </w:pPr>
      <w:bookmarkStart w:id="51" w:name="lt_pId143"/>
      <w:r w:rsidRPr="00D02E7A">
        <w:rPr>
          <w:b/>
          <w:bCs/>
          <w:lang w:val="es-ES_tradnl"/>
        </w:rPr>
        <w:t xml:space="preserve">Leyenda: </w:t>
      </w:r>
    </w:p>
    <w:p w:rsidR="00D2165D" w:rsidRPr="00C5465C" w:rsidRDefault="00D2165D" w:rsidP="00D2165D">
      <w:pPr>
        <w:pStyle w:val="Figurelegend"/>
        <w:keepNext w:val="0"/>
        <w:keepLines w:val="0"/>
        <w:rPr>
          <w:lang w:val="es-ES_tradnl"/>
        </w:rPr>
      </w:pPr>
      <w:r w:rsidRPr="00C5465C">
        <w:rPr>
          <w:lang w:val="es-ES_tradnl"/>
        </w:rPr>
        <w:t xml:space="preserve">Contribuciones </w:t>
      </w:r>
    </w:p>
    <w:p w:rsidR="00D2165D" w:rsidRPr="00C5465C" w:rsidRDefault="00D2165D" w:rsidP="00D2165D">
      <w:pPr>
        <w:pStyle w:val="Figurelegend"/>
        <w:keepNext w:val="0"/>
        <w:keepLines w:val="0"/>
        <w:rPr>
          <w:lang w:val="es-ES_tradnl"/>
        </w:rPr>
      </w:pPr>
      <w:r w:rsidRPr="00C5465C">
        <w:rPr>
          <w:lang w:val="es-ES_tradnl"/>
        </w:rPr>
        <w:t>Documentos de información</w:t>
      </w:r>
    </w:p>
    <w:p w:rsidR="00D2165D" w:rsidRPr="00C5465C" w:rsidRDefault="00D2165D" w:rsidP="00D2165D">
      <w:pPr>
        <w:pStyle w:val="Figurelegend"/>
        <w:keepNext w:val="0"/>
        <w:keepLines w:val="0"/>
        <w:rPr>
          <w:lang w:val="es-ES_tradnl"/>
        </w:rPr>
      </w:pPr>
      <w:r w:rsidRPr="00C5465C">
        <w:rPr>
          <w:lang w:val="es-ES_tradnl"/>
        </w:rPr>
        <w:t>Documentos temporales</w:t>
      </w:r>
    </w:p>
    <w:p w:rsidR="00D2165D" w:rsidRPr="00C5465C" w:rsidRDefault="00D2165D" w:rsidP="00D2165D">
      <w:pPr>
        <w:pStyle w:val="Figurelegend"/>
        <w:keepNext w:val="0"/>
        <w:keepLines w:val="0"/>
        <w:rPr>
          <w:lang w:val="es-ES_tradnl"/>
        </w:rPr>
      </w:pPr>
      <w:r w:rsidRPr="00C5465C">
        <w:rPr>
          <w:lang w:val="es-ES_tradnl"/>
        </w:rPr>
        <w:t>Documentos administrativos</w:t>
      </w:r>
    </w:p>
    <w:p w:rsidR="00D2165D" w:rsidRPr="00C5465C" w:rsidRDefault="00D2165D" w:rsidP="00D2165D">
      <w:pPr>
        <w:pStyle w:val="enumlev1"/>
        <w:keepNext/>
        <w:spacing w:before="360"/>
        <w:rPr>
          <w:lang w:val="es-ES_tradnl"/>
        </w:rPr>
      </w:pPr>
      <w:r w:rsidRPr="00C5465C">
        <w:rPr>
          <w:lang w:val="es-ES_tradnl"/>
        </w:rPr>
        <w:t>d)</w:t>
      </w:r>
      <w:r w:rsidRPr="00C5465C">
        <w:rPr>
          <w:lang w:val="es-ES_tradnl"/>
        </w:rPr>
        <w:tab/>
        <w:t>Result</w:t>
      </w:r>
      <w:r>
        <w:rPr>
          <w:lang w:val="es-ES_tradnl"/>
        </w:rPr>
        <w:t>ados de la 21ª reunión del GADT</w:t>
      </w:r>
    </w:p>
    <w:p w:rsidR="00D2165D" w:rsidRPr="00C5465C" w:rsidRDefault="00D2165D" w:rsidP="00D2165D">
      <w:pPr>
        <w:keepNext/>
        <w:spacing w:after="120"/>
        <w:rPr>
          <w:lang w:val="es-ES_tradnl"/>
        </w:rPr>
      </w:pPr>
      <w:r w:rsidRPr="00C5465C">
        <w:rPr>
          <w:lang w:val="es-ES_tradnl"/>
        </w:rPr>
        <w:t>En el siguiente cuadro se facilita el resumen de los resultados de la 21ª re</w:t>
      </w:r>
      <w:r>
        <w:rPr>
          <w:lang w:val="es-ES_tradnl"/>
        </w:rPr>
        <w:t>unión del GADT, por temas:</w:t>
      </w:r>
    </w:p>
    <w:tbl>
      <w:tblPr>
        <w:tblW w:w="9214" w:type="dxa"/>
        <w:tblInd w:w="-5" w:type="dxa"/>
        <w:tblLook w:val="04A0" w:firstRow="1" w:lastRow="0" w:firstColumn="1" w:lastColumn="0" w:noHBand="0" w:noVBand="1"/>
      </w:tblPr>
      <w:tblGrid>
        <w:gridCol w:w="3220"/>
        <w:gridCol w:w="5994"/>
      </w:tblGrid>
      <w:tr w:rsidR="00D2165D" w:rsidRPr="00C5465C" w:rsidTr="00D2165D">
        <w:trPr>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bookmarkEnd w:id="51"/>
          <w:p w:rsidR="00D2165D" w:rsidRPr="00C5465C" w:rsidRDefault="00D2165D" w:rsidP="00D2165D">
            <w:pPr>
              <w:pStyle w:val="Tablehead"/>
              <w:rPr>
                <w:i/>
                <w:iCs/>
                <w:lang w:val="es-ES_tradnl" w:eastAsia="zh-CN"/>
              </w:rPr>
            </w:pPr>
            <w:r w:rsidRPr="00C5465C">
              <w:rPr>
                <w:i/>
                <w:iCs/>
                <w:lang w:val="es-ES_tradnl" w:eastAsia="zh-CN"/>
              </w:rPr>
              <w:t>Tema</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D2165D" w:rsidRPr="00C5465C" w:rsidRDefault="00D2165D" w:rsidP="00D2165D">
            <w:pPr>
              <w:pStyle w:val="Tablehead"/>
              <w:rPr>
                <w:i/>
                <w:iCs/>
                <w:lang w:val="es-ES_tradnl" w:eastAsia="zh-CN"/>
              </w:rPr>
            </w:pPr>
            <w:r w:rsidRPr="00C5465C">
              <w:rPr>
                <w:i/>
                <w:iCs/>
                <w:lang w:val="es-ES_tradnl" w:eastAsia="zh-CN"/>
              </w:rPr>
              <w:t>Conclusiones/Resultados del GADT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b/>
                <w:color w:val="800000"/>
                <w:lang w:val="es-ES_tradnl" w:eastAsia="zh-CN"/>
              </w:rPr>
            </w:pPr>
            <w:r w:rsidRPr="00C5465C">
              <w:rPr>
                <w:lang w:val="es-ES_tradnl" w:eastAsia="zh-CN"/>
              </w:rPr>
              <w:t>Resultados de la AR-15 y CMR-15 que atañen al UIT-D</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tomó nota de este documento e invitó a las Comisiones de Estudio del UIT-D a tomar en consideración los resultados de la AR-15, la CMR-15 y la RPC19-1 en sus futuros trabajos.</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b/>
                <w:color w:val="800000"/>
                <w:szCs w:val="22"/>
                <w:lang w:val="es-ES_tradnl" w:eastAsia="zh-CN"/>
              </w:rPr>
            </w:pPr>
            <w:r w:rsidRPr="00C5465C">
              <w:rPr>
                <w:lang w:val="es-ES_tradnl" w:eastAsia="zh-CN"/>
              </w:rPr>
              <w:t>Examen</w:t>
            </w:r>
            <w:r w:rsidRPr="00C5465C">
              <w:rPr>
                <w:rFonts w:ascii="Calibri" w:hAnsi="Calibri"/>
                <w:color w:val="000000"/>
                <w:szCs w:val="22"/>
                <w:lang w:val="es-ES_tradnl" w:eastAsia="zh-CN"/>
              </w:rPr>
              <w:t xml:space="preserve"> de la ejecución del Plan Estrat</w:t>
            </w:r>
            <w:r w:rsidR="008C382B">
              <w:rPr>
                <w:rFonts w:ascii="Calibri" w:hAnsi="Calibri"/>
                <w:color w:val="000000"/>
                <w:szCs w:val="22"/>
                <w:lang w:val="es-ES_tradnl" w:eastAsia="zh-CN"/>
              </w:rPr>
              <w:t>égico y el Plan Operacional del </w:t>
            </w:r>
            <w:r w:rsidRPr="00C5465C">
              <w:rPr>
                <w:rFonts w:ascii="Calibri" w:hAnsi="Calibri"/>
                <w:color w:val="000000"/>
                <w:szCs w:val="22"/>
                <w:lang w:val="es-ES_tradnl" w:eastAsia="zh-CN"/>
              </w:rPr>
              <w:t>UIT-D para 2015, en particular las iniciativas regionales</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lang w:val="es-ES_tradnl" w:eastAsia="zh-CN"/>
              </w:rPr>
              <w:t>El</w:t>
            </w:r>
            <w:r w:rsidRPr="00C5465C">
              <w:rPr>
                <w:rFonts w:ascii="Calibri" w:hAnsi="Calibri"/>
                <w:color w:val="000000"/>
                <w:szCs w:val="22"/>
                <w:lang w:val="es-ES_tradnl" w:eastAsia="zh-CN"/>
              </w:rPr>
              <w:t xml:space="preserve"> GADT dio una opinión positiva acerca del Informe sobre el rendimiento en 2015 y las iniciativas regionales, felicitó a la BDT por el elevado nivel de las ponencias y acogió con satisfacción la eficiente colaboración entre las Oficinas Regionales y los tres Sectores de la UIT.</w:t>
            </w:r>
            <w:bookmarkStart w:id="52" w:name="lt_pId150"/>
            <w:r w:rsidRPr="00C5465C">
              <w:rPr>
                <w:rFonts w:ascii="Calibri" w:hAnsi="Calibri"/>
                <w:color w:val="000000"/>
                <w:szCs w:val="22"/>
                <w:lang w:val="es-ES_tradnl" w:eastAsia="zh-CN"/>
              </w:rPr>
              <w:t xml:space="preserve"> </w:t>
            </w:r>
            <w:bookmarkEnd w:id="52"/>
            <w:r w:rsidRPr="00C5465C">
              <w:rPr>
                <w:rFonts w:ascii="Calibri" w:hAnsi="Calibri"/>
                <w:color w:val="000000"/>
                <w:szCs w:val="22"/>
                <w:lang w:val="es-ES_tradnl" w:eastAsia="zh-CN"/>
              </w:rPr>
              <w:t>El GADT observó que el proyecto de encuesta sobre la satisfacción se refiere n</w:t>
            </w:r>
            <w:r>
              <w:rPr>
                <w:rFonts w:ascii="Calibri" w:hAnsi="Calibri"/>
                <w:color w:val="000000"/>
                <w:szCs w:val="22"/>
                <w:lang w:val="es-ES_tradnl" w:eastAsia="zh-CN"/>
              </w:rPr>
              <w:t>o sólo a la BDT, sino a toda la </w:t>
            </w:r>
            <w:r w:rsidRPr="00C5465C">
              <w:rPr>
                <w:rFonts w:ascii="Calibri" w:hAnsi="Calibri"/>
                <w:color w:val="000000"/>
                <w:szCs w:val="22"/>
                <w:lang w:val="es-ES_tradnl" w:eastAsia="zh-CN"/>
              </w:rPr>
              <w:t>UIT. El GADT observó también que el proyecto de encuesta se iba a enviar al Consejo-16.</w:t>
            </w:r>
            <w:bookmarkStart w:id="53" w:name="lt_pId151"/>
            <w:r w:rsidRPr="00C5465C">
              <w:rPr>
                <w:rFonts w:ascii="Calibri" w:hAnsi="Calibri"/>
                <w:color w:val="000000"/>
                <w:szCs w:val="22"/>
                <w:lang w:val="es-ES_tradnl" w:eastAsia="zh-CN"/>
              </w:rPr>
              <w:t xml:space="preserve"> En lo que atañe a los estudios de caso y al intercambio de información de los proyectos e iniciativas regionales de la UIT, </w:t>
            </w:r>
            <w:bookmarkEnd w:id="53"/>
            <w:r w:rsidRPr="00C5465C">
              <w:rPr>
                <w:rFonts w:ascii="Calibri" w:hAnsi="Calibri"/>
                <w:color w:val="000000"/>
                <w:szCs w:val="22"/>
                <w:lang w:val="es-ES_tradnl" w:eastAsia="zh-CN"/>
              </w:rPr>
              <w:t>el GADT observó que la UIT ha acumulado experiencia e información abundantes y valiosas sobre la ejecución de proyectos e iniciativas regionales, que puede ser una referencia importante para los países en desarrollo.</w:t>
            </w:r>
            <w:bookmarkStart w:id="54" w:name="lt_pId152"/>
            <w:r w:rsidRPr="00C5465C">
              <w:rPr>
                <w:rFonts w:ascii="Calibri" w:hAnsi="Calibri"/>
                <w:color w:val="000000"/>
                <w:szCs w:val="22"/>
                <w:lang w:val="es-ES_tradnl" w:eastAsia="zh-CN"/>
              </w:rPr>
              <w:t xml:space="preserve"> El GADT pidió a la BDT y la UIT que mejoraran su sitio web para hacer accesible esta información.</w:t>
            </w:r>
            <w:bookmarkEnd w:id="54"/>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lastRenderedPageBreak/>
              <w:t>Cuestiones relacionadas con las Comisiones de Estudio del UIT-D</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8C382B">
            <w:pPr>
              <w:pStyle w:val="Tabletext"/>
              <w:keepLines/>
              <w:rPr>
                <w:rFonts w:ascii="Calibri" w:hAnsi="Calibri"/>
                <w:color w:val="000000"/>
                <w:szCs w:val="22"/>
                <w:lang w:val="es-ES_tradnl" w:eastAsia="zh-CN"/>
              </w:rPr>
            </w:pPr>
            <w:r w:rsidRPr="00C5465C">
              <w:rPr>
                <w:rFonts w:ascii="Calibri" w:hAnsi="Calibri"/>
                <w:color w:val="000000"/>
                <w:szCs w:val="22"/>
                <w:lang w:val="es-ES_tradnl" w:eastAsia="zh-CN"/>
              </w:rPr>
              <w:t>El GADT dio una opinión positiva a los Presidentes de las Comisiones de Estudio 1 y 2 del UIT-D en relación con la situación actual de los trabajos de las Comisiones.</w:t>
            </w:r>
            <w:r w:rsidRPr="00C5465C">
              <w:rPr>
                <w:rFonts w:ascii="Calibri" w:hAnsi="Calibri"/>
                <w:color w:val="000000"/>
                <w:szCs w:val="22"/>
                <w:lang w:val="es-ES_tradnl" w:eastAsia="zh-CN"/>
              </w:rPr>
              <w:br/>
              <w:t>El GADT pidió al UIT-D, y en particular a los Presidentes de las Comisiones de Estudio del UIT-D que coordinen las actividades de las Comisiones de Estudio del UIT-D y del UIT-T.</w:t>
            </w:r>
            <w:bookmarkStart w:id="55" w:name="lt_pId156"/>
          </w:p>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observó las relaciones entre las Cuestiones de la Comisión de Estudio 2 y las de la Comisión de Estudio 1, así como las Cuestiones de las Comisiones de Estudio del UIT-R y del UIT-T, y emitió una opinión positiva sobre las medidas iniciadas de intercambio de información y declaraciones de coordinación con objeto de iniciar y mantener la cooperación.</w:t>
            </w:r>
            <w:bookmarkEnd w:id="55"/>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b/>
                <w:color w:val="800000"/>
                <w:szCs w:val="22"/>
                <w:lang w:val="es-ES_tradnl" w:eastAsia="zh-CN"/>
              </w:rPr>
            </w:pPr>
            <w:r w:rsidRPr="00C5465C">
              <w:rPr>
                <w:lang w:val="es-ES_tradnl" w:eastAsia="zh-CN"/>
              </w:rPr>
              <w:t>Contribución</w:t>
            </w:r>
            <w:r w:rsidRPr="00C5465C">
              <w:rPr>
                <w:rFonts w:ascii="Calibri" w:hAnsi="Calibri"/>
                <w:color w:val="000000"/>
                <w:szCs w:val="22"/>
                <w:lang w:val="es-ES_tradnl" w:eastAsia="zh-CN"/>
              </w:rPr>
              <w:t xml:space="preserve"> del UIT-D a la ejecución del Plan of Acción de la</w:t>
            </w:r>
            <w:r>
              <w:rPr>
                <w:rFonts w:ascii="Calibri" w:hAnsi="Calibri"/>
                <w:color w:val="000000"/>
                <w:szCs w:val="22"/>
                <w:lang w:val="es-ES_tradnl" w:eastAsia="zh-CN"/>
              </w:rPr>
              <w:t> </w:t>
            </w:r>
            <w:r w:rsidRPr="00C5465C">
              <w:rPr>
                <w:rFonts w:ascii="Calibri" w:hAnsi="Calibri"/>
                <w:color w:val="000000"/>
                <w:szCs w:val="22"/>
                <w:lang w:val="es-ES_tradnl" w:eastAsia="zh-CN"/>
              </w:rPr>
              <w:t>CMSI, comprendido el Examen General de la Asamblea General de las Naciones Unidas y los Objetivos de Desarrollo Sostenible</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lang w:val="es-ES_tradnl" w:eastAsia="zh-CN"/>
              </w:rPr>
              <w:t>El</w:t>
            </w:r>
            <w:r w:rsidRPr="00C5465C">
              <w:rPr>
                <w:rFonts w:ascii="Calibri" w:hAnsi="Calibri"/>
                <w:color w:val="000000"/>
                <w:szCs w:val="22"/>
                <w:lang w:val="es-ES_tradnl" w:eastAsia="zh-CN"/>
              </w:rPr>
              <w:t xml:space="preserve"> GADT tomó nota de la contribución del UIT-D para la ejecución de los resultados de la CMSI, en particular las actividades realizadas por la BDT en el contexto del Examen General de la Asamblea General de las Naciones Unidas de la puesta en práctica de los resultados de la CMSI.</w:t>
            </w:r>
            <w:r w:rsidRPr="00C5465C">
              <w:rPr>
                <w:rFonts w:ascii="Calibri" w:hAnsi="Calibri"/>
                <w:color w:val="000000"/>
                <w:szCs w:val="22"/>
                <w:lang w:val="es-ES_tradnl" w:eastAsia="zh-CN"/>
              </w:rPr>
              <w:br/>
              <w:t>El GADT agradeció la contribución sustantiva del UIT-D para la ejecución del Plan de Acción de la CMSI.</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Métodos de trabajo, incluidos un informe sobre la marcha de los trabajos del Grupo por Correspondencia del GADT sobre el Reglamento Interno del UIT-D</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bookmarkStart w:id="56" w:name="lt_pId161"/>
            <w:r w:rsidRPr="00C5465C">
              <w:rPr>
                <w:rFonts w:ascii="Calibri" w:hAnsi="Calibri"/>
                <w:color w:val="000000"/>
                <w:szCs w:val="22"/>
                <w:lang w:val="es-ES_tradnl" w:eastAsia="zh-CN"/>
              </w:rPr>
              <w:t xml:space="preserve">El GADT dio las gracias a la Presidenta del Grupo por Correspondencia </w:t>
            </w:r>
            <w:bookmarkEnd w:id="56"/>
            <w:r w:rsidRPr="00C5465C">
              <w:rPr>
                <w:rFonts w:ascii="Calibri" w:hAnsi="Calibri"/>
                <w:color w:val="000000"/>
                <w:szCs w:val="22"/>
                <w:lang w:val="es-ES_tradnl" w:eastAsia="zh-CN"/>
              </w:rPr>
              <w:t xml:space="preserve">por su inestimable labor. El GADT recomendó que el Grupo examine los aspectos sacados a colación durante el debate. </w:t>
            </w:r>
            <w:bookmarkStart w:id="57" w:name="lt_pId163"/>
            <w:r w:rsidRPr="00C5465C">
              <w:rPr>
                <w:rFonts w:ascii="Calibri" w:hAnsi="Calibri"/>
                <w:color w:val="000000"/>
                <w:szCs w:val="22"/>
                <w:lang w:val="es-ES_tradnl" w:eastAsia="zh-CN"/>
              </w:rPr>
              <w:t>En lo que atañe al uso de recursos electrónicos para mejorar la eficiencia de la labor de las Comisiones de Estudio y sus Grupos de Relator, el GADT invitó al Director de la BDT a investigar la posibilidad de utilizar SharePoint en el Sector de Desarrollo, habida cuenta de la contribución de la Federación de Rusia y las posibles dificultades antes mencionadas.</w:t>
            </w:r>
            <w:bookmarkEnd w:id="57"/>
            <w:r w:rsidRPr="00C5465C">
              <w:rPr>
                <w:rFonts w:ascii="Calibri" w:hAnsi="Calibri"/>
                <w:color w:val="000000"/>
                <w:szCs w:val="22"/>
                <w:lang w:val="es-ES_tradnl" w:eastAsia="zh-CN"/>
              </w:rPr>
              <w:t xml:space="preserve"> </w:t>
            </w:r>
            <w:bookmarkStart w:id="58" w:name="lt_pId164"/>
            <w:r w:rsidRPr="00C5465C">
              <w:rPr>
                <w:rFonts w:ascii="Calibri" w:hAnsi="Calibri"/>
                <w:color w:val="000000"/>
                <w:szCs w:val="22"/>
                <w:lang w:val="es-ES_tradnl" w:eastAsia="zh-CN"/>
              </w:rPr>
              <w:t>Por último, el GADT invitó a la BDT a examinar las propuestas relativas a la simplificación del acceso a los documentos del UIT-D, teniendo en cuenta, en la medida de lo posible, las prácticas idóneas de la Oficina de Radiocomunicaciones (BR).</w:t>
            </w:r>
            <w:bookmarkEnd w:id="58"/>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t>Plan operacional cuadriena</w:t>
            </w:r>
            <w:r>
              <w:rPr>
                <w:rFonts w:ascii="Calibri" w:hAnsi="Calibri"/>
                <w:color w:val="000000"/>
                <w:szCs w:val="22"/>
                <w:lang w:val="es-ES_tradnl" w:eastAsia="zh-CN"/>
              </w:rPr>
              <w:t>l renovable del UIT-D para 2017</w:t>
            </w:r>
            <w:r>
              <w:rPr>
                <w:rFonts w:ascii="Calibri" w:hAnsi="Calibri"/>
                <w:color w:val="000000"/>
                <w:szCs w:val="22"/>
                <w:lang w:val="es-ES_tradnl" w:eastAsia="zh-CN"/>
              </w:rPr>
              <w:noBreakHyphen/>
            </w:r>
            <w:r w:rsidRPr="00C5465C">
              <w:rPr>
                <w:rFonts w:ascii="Calibri" w:hAnsi="Calibri"/>
                <w:color w:val="000000"/>
                <w:szCs w:val="22"/>
                <w:lang w:val="es-ES_tradnl" w:eastAsia="zh-CN"/>
              </w:rPr>
              <w:t>2020, comprendido un informe del Grupo por Correspondencia del GADT sobre el Plan Estratégico, el Plan Operacional y la Declaración</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t xml:space="preserve">El GADT tomó nota del Plan Operacional cuadrienal renovable del UIT-D. El GADT también manifestó su agradecimiento por los trabajos de la BDT en la movilización de recursos e instó a la BDT a que siguiera esta labor, en particular que fomentara la colaboración y alianzas con los Miembros de Sector, los Asociados y las Instituciones Académicas. </w:t>
            </w:r>
            <w:bookmarkStart w:id="59" w:name="lt_pId168"/>
            <w:r w:rsidRPr="00C5465C">
              <w:rPr>
                <w:rFonts w:ascii="Calibri" w:hAnsi="Calibri"/>
                <w:color w:val="000000"/>
                <w:szCs w:val="22"/>
                <w:lang w:val="es-ES_tradnl" w:eastAsia="zh-CN"/>
              </w:rPr>
              <w:t xml:space="preserve">Por último, </w:t>
            </w:r>
            <w:bookmarkEnd w:id="59"/>
            <w:r w:rsidRPr="00C5465C">
              <w:rPr>
                <w:rFonts w:ascii="Calibri" w:hAnsi="Calibri"/>
                <w:color w:val="000000"/>
                <w:szCs w:val="22"/>
                <w:lang w:val="es-ES_tradnl" w:eastAsia="zh-CN"/>
              </w:rPr>
              <w:t>el GADT acordó incluir en el informe las deliberaciones sobre este asunto en la reunión del Grupo por Correspondencia.</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t>Preparativos de la CMDT-17</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bookmarkStart w:id="60" w:name="lt_pId170"/>
            <w:r w:rsidRPr="00C5465C">
              <w:rPr>
                <w:rFonts w:ascii="Calibri" w:hAnsi="Calibri"/>
                <w:color w:val="000000"/>
                <w:szCs w:val="22"/>
                <w:lang w:val="es-ES_tradnl" w:eastAsia="zh-CN"/>
              </w:rPr>
              <w:t>En lo que respecta al informe sobre los avances a cargo del Grupo por Correspondencia del GADT sobre el Plan Estratégico, el Plan Operacional y la Declaración, el GADT pidió que todos los documentos de resultados del GC-PEPOD (40(Rev.1), 10, 30 y 31(Rev.1)), junto con los resúmenes de las discusiones del Grupo por Correspondencia, se</w:t>
            </w:r>
            <w:r>
              <w:rPr>
                <w:rFonts w:ascii="Calibri" w:hAnsi="Calibri"/>
                <w:color w:val="000000"/>
                <w:szCs w:val="22"/>
                <w:lang w:val="es-ES_tradnl" w:eastAsia="zh-CN"/>
              </w:rPr>
              <w:t xml:space="preserve"> publicaran en el sitio web del </w:t>
            </w:r>
            <w:r w:rsidRPr="00C5465C">
              <w:rPr>
                <w:rFonts w:ascii="Calibri" w:hAnsi="Calibri"/>
                <w:color w:val="000000"/>
                <w:szCs w:val="22"/>
                <w:lang w:val="es-ES_tradnl" w:eastAsia="zh-CN"/>
              </w:rPr>
              <w:t xml:space="preserve">GC-PEPOD para darlos a conocer. </w:t>
            </w:r>
            <w:bookmarkEnd w:id="60"/>
            <w:r w:rsidRPr="00C5465C">
              <w:rPr>
                <w:rFonts w:ascii="Calibri" w:hAnsi="Calibri"/>
                <w:color w:val="000000"/>
                <w:szCs w:val="22"/>
                <w:lang w:val="es-ES_tradnl" w:eastAsia="zh-CN"/>
              </w:rPr>
              <w:t xml:space="preserve">En lo que atañe al anteproyecto de contribución del </w:t>
            </w:r>
            <w:r>
              <w:rPr>
                <w:rFonts w:ascii="Calibri" w:hAnsi="Calibri"/>
                <w:color w:val="000000"/>
                <w:szCs w:val="22"/>
                <w:lang w:val="es-ES_tradnl" w:eastAsia="zh-CN"/>
              </w:rPr>
              <w:t>UIT-D al Plan Estratégico de la </w:t>
            </w:r>
            <w:r w:rsidRPr="00C5465C">
              <w:rPr>
                <w:rFonts w:ascii="Calibri" w:hAnsi="Calibri"/>
                <w:color w:val="000000"/>
                <w:szCs w:val="22"/>
                <w:lang w:val="es-ES_tradnl" w:eastAsia="zh-CN"/>
              </w:rPr>
              <w:t xml:space="preserve">UIT para </w:t>
            </w:r>
            <w:bookmarkStart w:id="61" w:name="lt_pId171"/>
            <w:r w:rsidRPr="00C5465C">
              <w:rPr>
                <w:rFonts w:ascii="Calibri" w:hAnsi="Calibri"/>
                <w:color w:val="000000"/>
                <w:szCs w:val="22"/>
                <w:lang w:val="es-ES_tradnl" w:eastAsia="zh-CN"/>
              </w:rPr>
              <w:t xml:space="preserve">2020-2023, el GADT refrendó la contribución revisada del UIT-D al Plan Estratégico de la UIT para 2020-2023 al tiempo que tomaba nota de la orientación del GC-PEPOD definida en su reunión del 15 de marzo de 2016, incluyendo que el UIT-D está adaptando su labor </w:t>
            </w:r>
            <w:r>
              <w:rPr>
                <w:rFonts w:ascii="Calibri" w:hAnsi="Calibri"/>
                <w:color w:val="000000"/>
                <w:szCs w:val="22"/>
                <w:lang w:val="es-ES_tradnl" w:eastAsia="zh-CN"/>
              </w:rPr>
              <w:t>para contribuir al logro de los </w:t>
            </w:r>
            <w:r w:rsidRPr="00C5465C">
              <w:rPr>
                <w:rFonts w:ascii="Calibri" w:hAnsi="Calibri"/>
                <w:color w:val="000000"/>
                <w:szCs w:val="22"/>
                <w:lang w:val="es-ES_tradnl" w:eastAsia="zh-CN"/>
              </w:rPr>
              <w:t xml:space="preserve">ODS y a la facilitación de las Líneas de Acción de la CMSI a las que se hacía referencia. </w:t>
            </w:r>
            <w:bookmarkEnd w:id="61"/>
            <w:r w:rsidRPr="00C5465C">
              <w:rPr>
                <w:rFonts w:ascii="Calibri" w:hAnsi="Calibri"/>
                <w:color w:val="000000"/>
                <w:szCs w:val="22"/>
                <w:lang w:val="es-ES_tradnl" w:eastAsia="zh-CN"/>
              </w:rPr>
              <w:t xml:space="preserve">El GADT solicitó que el Grupo por Correspondencia sobre el Plan Estratégico, el Plan Operacional y la Declaración (GC-PEPOD) continuara su trabajo en línea con las conclusiones arriba señaladas. </w:t>
            </w:r>
            <w:bookmarkStart w:id="62" w:name="lt_pId173"/>
            <w:r w:rsidRPr="00C5465C">
              <w:rPr>
                <w:rFonts w:ascii="Calibri" w:hAnsi="Calibri"/>
                <w:color w:val="000000"/>
                <w:szCs w:val="22"/>
                <w:lang w:val="es-ES_tradnl" w:eastAsia="zh-CN"/>
              </w:rPr>
              <w:lastRenderedPageBreak/>
              <w:t>Por último, en lo que se refiere al anteproyecto de Declaración de la CMDT-17, el GADT tomó nota de los avances logrados en la preparación del anteproyecto de Declaración y solicitó que e</w:t>
            </w:r>
            <w:r>
              <w:rPr>
                <w:rFonts w:ascii="Calibri" w:hAnsi="Calibri"/>
                <w:color w:val="000000"/>
                <w:szCs w:val="22"/>
                <w:lang w:val="es-ES_tradnl" w:eastAsia="zh-CN"/>
              </w:rPr>
              <w:t>l Grupo por Correspondencia del </w:t>
            </w:r>
            <w:r w:rsidRPr="00C5465C">
              <w:rPr>
                <w:rFonts w:ascii="Calibri" w:hAnsi="Calibri"/>
                <w:color w:val="000000"/>
                <w:szCs w:val="22"/>
                <w:lang w:val="es-ES_tradnl" w:eastAsia="zh-CN"/>
              </w:rPr>
              <w:t xml:space="preserve">GADT sobre el Plan Estratégico, el Plan Operacional y la Declaración prosiguiera su labor de acuerdo con las conclusiones arriba citadas. Conclusiones sobre los preparativos para la CMDT-17, los FDR y las RPR: </w:t>
            </w:r>
            <w:bookmarkStart w:id="63" w:name="lt_pId175"/>
            <w:bookmarkEnd w:id="62"/>
            <w:r w:rsidRPr="00C5465C">
              <w:rPr>
                <w:rFonts w:ascii="Calibri" w:hAnsi="Calibri"/>
                <w:color w:val="000000"/>
                <w:szCs w:val="22"/>
                <w:lang w:val="es-ES_tradnl" w:eastAsia="zh-CN"/>
              </w:rPr>
              <w:t>El GADT tomó nota de la situación de los preparativos para la CMDT-17 y sus Reuniones Preparatorias Regionales y Foros Regionales de Desarrollo asociados.</w:t>
            </w:r>
            <w:bookmarkEnd w:id="63"/>
            <w:r w:rsidRPr="00C5465C">
              <w:rPr>
                <w:rFonts w:ascii="Calibri" w:hAnsi="Calibri"/>
                <w:color w:val="000000"/>
                <w:szCs w:val="22"/>
                <w:lang w:val="es-ES_tradnl" w:eastAsia="zh-CN"/>
              </w:rPr>
              <w:t xml:space="preserve"> El GADT recibió con beneplácito el hecho de que los lugares de celebración de la conferencia y reuniones conexas sean conocidos con tanta antelación y señaló que la participación y contribución a las Reuniones Preparatorias Regionales es una oportunidad para que los miembros contribuyan a la preparación de la CMDT. El GADT consideró el Documento 39 presentado por Argentina, apoyó los comentarios y propuestas realizados en el documento y recomendó al Director de la BDT que utilice estas propuestas en sus trabajos para la preparación de la Conferencia. El GADT también señaló que en 2017 el UIT-D celebrará el 25 Aniversario de su creación como Sector.</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lastRenderedPageBreak/>
              <w:t>Colaboración con los otros Sectores, en particular el informe de situación sobre el Equipo de Coordinación Intersectorial sobre temas de interés común</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aprobó el mandato actualizado del Equipo de Coordinación Intersectorial sobre asuntos de interés mutuo y acordó enviar la lista actualizada de temas de interés mutuo y el mandato junto con el informe del Documento 12 a los Grupos Asesores de los otros dos Sectores.</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t>Informe del Grupo sobre Iniciativas de</w:t>
            </w:r>
            <w:r w:rsidR="00F86C14">
              <w:rPr>
                <w:rFonts w:ascii="Calibri" w:hAnsi="Calibri"/>
                <w:color w:val="000000"/>
                <w:szCs w:val="22"/>
                <w:lang w:val="es-ES_tradnl" w:eastAsia="zh-CN"/>
              </w:rPr>
              <w:t xml:space="preserve"> Capacitación (GIC), (Documento </w:t>
            </w:r>
            <w:r w:rsidRPr="00C5465C">
              <w:rPr>
                <w:rFonts w:ascii="Calibri" w:hAnsi="Calibri"/>
                <w:color w:val="000000"/>
                <w:szCs w:val="22"/>
                <w:lang w:val="es-ES_tradnl" w:eastAsia="zh-CN"/>
              </w:rPr>
              <w:t>13) e Informe sobre las actividades de capacitación</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expresó su opinión favorable al informe del Presidente del Grupo sobre Iniciativas de Capacitación (GIC) y al informe sobre mejoras futuras de la estrategia de los Centros de Excelencia de la UIT (CoE).</w:t>
            </w:r>
          </w:p>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expresó su deseo de que aumente la transparencia del trabajo de los comités de dirección de los CoE de las regiones. Por ejemplo, los participantes sugirieron que se defina un mecanismo para que los comités de dirección de las regiones compartan sus experiencias.</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Info</w:t>
            </w:r>
            <w:r w:rsidR="00F86C14">
              <w:rPr>
                <w:rFonts w:ascii="Calibri" w:hAnsi="Calibri"/>
                <w:color w:val="000000"/>
                <w:szCs w:val="22"/>
                <w:lang w:val="es-ES_tradnl" w:eastAsia="zh-CN"/>
              </w:rPr>
              <w:t>rme sobre otras actividades del </w:t>
            </w:r>
            <w:r w:rsidRPr="00C5465C">
              <w:rPr>
                <w:rFonts w:ascii="Calibri" w:hAnsi="Calibri"/>
                <w:color w:val="000000"/>
                <w:szCs w:val="22"/>
                <w:lang w:val="es-ES_tradnl" w:eastAsia="zh-CN"/>
              </w:rPr>
              <w:t>UIT-D</w:t>
            </w:r>
          </w:p>
        </w:tc>
        <w:tc>
          <w:tcPr>
            <w:tcW w:w="5994" w:type="dxa"/>
            <w:tcBorders>
              <w:top w:val="nil"/>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agradeció a la BDT el excelente trabajo realizado en la organización de este singular foro anual para reguladores e invitó a los miembros a participar activamente en el próximo Simposio Mundial para Organismos Reguladores (GSR). El GADT expresó su agradecimiento por la información proporcionada durante el 13º SMIT y agradeció al Gobierno de Japón y a la BDT la organización del evento.</w:t>
            </w:r>
          </w:p>
          <w:p w:rsidR="00D2165D" w:rsidRPr="00C5465C" w:rsidRDefault="00D2165D" w:rsidP="00D2165D">
            <w:pPr>
              <w:pStyle w:val="Tabletext"/>
              <w:rPr>
                <w:rFonts w:ascii="Calibri" w:hAnsi="Calibri"/>
                <w:b/>
                <w:color w:val="800000"/>
                <w:szCs w:val="22"/>
                <w:lang w:val="es-ES_tradnl" w:eastAsia="zh-CN"/>
              </w:rPr>
            </w:pPr>
            <w:r w:rsidRPr="00C5465C">
              <w:rPr>
                <w:rFonts w:ascii="Calibri" w:hAnsi="Calibri"/>
                <w:color w:val="000000"/>
                <w:szCs w:val="22"/>
                <w:lang w:val="es-ES_tradnl" w:eastAsia="zh-CN"/>
              </w:rPr>
              <w:t>El GADT consideró que la labor sobre indicadores y estadísticas de las TIC es muy importante para la toma correcta de decisiones políticas. Con miras a</w:t>
            </w:r>
            <w:r>
              <w:rPr>
                <w:rFonts w:ascii="Calibri" w:hAnsi="Calibri"/>
                <w:color w:val="000000"/>
                <w:szCs w:val="22"/>
                <w:lang w:val="es-ES_tradnl" w:eastAsia="zh-CN"/>
              </w:rPr>
              <w:t xml:space="preserve"> la preparación del SMIT-16, el </w:t>
            </w:r>
            <w:r w:rsidRPr="00C5465C">
              <w:rPr>
                <w:rFonts w:ascii="Calibri" w:hAnsi="Calibri"/>
                <w:color w:val="000000"/>
                <w:szCs w:val="22"/>
                <w:lang w:val="es-ES_tradnl" w:eastAsia="zh-CN"/>
              </w:rPr>
              <w:t>GADT recomendó el desarrollo de indicadores de las TIC para la medición de la aplicación de la Agenda 2020 para el Desarrollo Sostenible de las Naciones Unidas. El GADT recomendó que la BDT proporcione más información sobre los resultados de las actividades realizadas en relación con la utilización de recursos humanos y financieros para las telecomunicaciones de emergencia y destacó la importancia de la capacitación en esta área.</w:t>
            </w:r>
          </w:p>
        </w:tc>
      </w:tr>
      <w:tr w:rsidR="00D2165D" w:rsidRPr="009F2DF9" w:rsidTr="00D2165D">
        <w:tc>
          <w:tcPr>
            <w:tcW w:w="3220" w:type="dxa"/>
            <w:tcBorders>
              <w:top w:val="nil"/>
              <w:left w:val="single" w:sz="4" w:space="0" w:color="auto"/>
              <w:bottom w:val="nil"/>
              <w:right w:val="single" w:sz="4" w:space="0" w:color="auto"/>
            </w:tcBorders>
            <w:shd w:val="clear" w:color="auto" w:fill="auto"/>
            <w:vAlign w:val="center"/>
            <w:hideMark/>
          </w:tcPr>
          <w:p w:rsidR="00D2165D" w:rsidRPr="00C5465C" w:rsidRDefault="00D2165D" w:rsidP="00D2165D">
            <w:pPr>
              <w:pStyle w:val="Tabletext"/>
              <w:keepNext/>
              <w:keepLines/>
              <w:rPr>
                <w:rFonts w:ascii="Calibri" w:hAnsi="Calibri"/>
                <w:color w:val="000000"/>
                <w:szCs w:val="22"/>
                <w:lang w:val="es-ES_tradnl" w:eastAsia="zh-CN"/>
              </w:rPr>
            </w:pPr>
            <w:r w:rsidRPr="00C5465C">
              <w:rPr>
                <w:rFonts w:ascii="Calibri" w:hAnsi="Calibri"/>
                <w:color w:val="000000"/>
                <w:szCs w:val="22"/>
                <w:lang w:val="es-ES_tradnl" w:eastAsia="zh-CN"/>
              </w:rPr>
              <w:lastRenderedPageBreak/>
              <w:t>Miembros, asociaciones y asuntos relacionados con la innovación</w:t>
            </w:r>
          </w:p>
        </w:tc>
        <w:tc>
          <w:tcPr>
            <w:tcW w:w="5994" w:type="dxa"/>
            <w:tcBorders>
              <w:top w:val="nil"/>
              <w:left w:val="nil"/>
              <w:bottom w:val="nil"/>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expresó su agradecimiento a la BDT por el trabajo realizado para alentar la implicación y participación del sector privado en las iniciativas, proyectos y actividades del UIT-D a escala regional y mundial.</w:t>
            </w:r>
          </w:p>
          <w:p w:rsidR="00D2165D" w:rsidRPr="00C5465C" w:rsidRDefault="00D2165D" w:rsidP="00D2165D">
            <w:pPr>
              <w:pStyle w:val="Tabletext"/>
              <w:keepNext/>
              <w:keepLines/>
              <w:rPr>
                <w:rFonts w:ascii="Calibri" w:hAnsi="Calibri"/>
                <w:color w:val="000000"/>
                <w:szCs w:val="22"/>
                <w:lang w:val="es-ES_tradnl" w:eastAsia="zh-CN"/>
              </w:rPr>
            </w:pPr>
            <w:r w:rsidRPr="00C5465C">
              <w:rPr>
                <w:rFonts w:ascii="Calibri" w:hAnsi="Calibri"/>
                <w:color w:val="000000"/>
                <w:szCs w:val="22"/>
                <w:lang w:val="es-ES_tradnl" w:eastAsia="zh-CN"/>
              </w:rPr>
              <w:t>El GADT destacó la importancia de las telecomunicaciones/TIC para el desarrollo mundial y subrayó el papel del sector privado para liderar ese esfuerzo, lo que acrecienta la importancia de la colaboración con la BDT. El grupo alabó el trabajo realizado por la BDT y subrayó que una mayor participación y colaboración con el sector privado es beneficioso para ambas partes.</w:t>
            </w:r>
            <w:bookmarkStart w:id="64" w:name="lt_pId195"/>
            <w:r w:rsidRPr="00C5465C">
              <w:rPr>
                <w:rFonts w:ascii="Calibri" w:hAnsi="Calibri"/>
                <w:color w:val="000000"/>
                <w:szCs w:val="22"/>
                <w:lang w:val="es-ES_tradnl" w:eastAsia="zh-CN"/>
              </w:rPr>
              <w:t xml:space="preserve"> </w:t>
            </w:r>
            <w:bookmarkEnd w:id="64"/>
            <w:r w:rsidRPr="00C5465C">
              <w:rPr>
                <w:rFonts w:ascii="Calibri" w:hAnsi="Calibri"/>
                <w:color w:val="000000"/>
                <w:szCs w:val="22"/>
                <w:lang w:val="es-ES_tradnl" w:eastAsia="zh-CN"/>
              </w:rPr>
              <w:t>El GADT elogió las estrategias y medidas sobre innovación que la BDT pone a disposición de los miembros. El GADT tomó nota con satisfacción del Documento 23 y recomendó que la BDT continúe su labor sobre innovación conjuntamente con el sector privado y los Estados Miembros.</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Calendario de eventos del UIT-D</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color w:val="000000"/>
                <w:szCs w:val="22"/>
                <w:lang w:val="es-ES_tradnl" w:eastAsia="zh-CN"/>
              </w:rPr>
              <w:t>El GADT tomó nota con satisfacción del calendario de eventos.</w:t>
            </w:r>
          </w:p>
        </w:tc>
      </w:tr>
    </w:tbl>
    <w:p w:rsidR="00D2165D" w:rsidRPr="00C5465C" w:rsidRDefault="00D2165D">
      <w:pPr>
        <w:pStyle w:val="Heading2"/>
        <w:rPr>
          <w:lang w:val="es-ES_tradnl"/>
        </w:rPr>
      </w:pPr>
      <w:bookmarkStart w:id="65" w:name="_Toc487791224"/>
      <w:bookmarkStart w:id="66" w:name="_Toc482178271"/>
      <w:r w:rsidRPr="00C5465C">
        <w:rPr>
          <w:lang w:val="es-ES_tradnl"/>
        </w:rPr>
        <w:t>2.4</w:t>
      </w:r>
      <w:r w:rsidRPr="00C5465C">
        <w:rPr>
          <w:lang w:val="es-ES_tradnl"/>
        </w:rPr>
        <w:tab/>
        <w:t>22ª reunión del GADT</w:t>
      </w:r>
      <w:bookmarkEnd w:id="65"/>
    </w:p>
    <w:p w:rsidR="00D2165D" w:rsidRPr="00C5465C" w:rsidRDefault="00D2165D" w:rsidP="00D2165D">
      <w:pPr>
        <w:rPr>
          <w:lang w:val="es-ES_tradnl"/>
        </w:rPr>
      </w:pPr>
      <w:r w:rsidRPr="00C5465C">
        <w:rPr>
          <w:lang w:val="es-ES_tradnl"/>
        </w:rPr>
        <w:t>a)</w:t>
      </w:r>
      <w:r w:rsidRPr="00C5465C">
        <w:rPr>
          <w:lang w:val="es-ES_tradnl"/>
        </w:rPr>
        <w:tab/>
        <w:t>La 22ª reunión del Grupo Asesor de Desarrollo de las Telecomunicaciones (GADT) tuvo lugar en la Sede de la UIT en Ginebra, del 9 al 12 de mayo de 2017, bajo la Presidencia del Profesor Dr. Vladimir Minkin.</w:t>
      </w:r>
    </w:p>
    <w:p w:rsidR="00D2165D" w:rsidRPr="00C5465C" w:rsidRDefault="00D2165D">
      <w:pPr>
        <w:rPr>
          <w:rFonts w:cstheme="minorHAnsi"/>
          <w:szCs w:val="24"/>
          <w:lang w:val="es-ES_tradnl"/>
        </w:rPr>
      </w:pPr>
      <w:r w:rsidRPr="00C5465C">
        <w:rPr>
          <w:rFonts w:cstheme="minorHAnsi"/>
          <w:szCs w:val="24"/>
          <w:lang w:val="es-ES_tradnl"/>
        </w:rPr>
        <w:t>El Grupo por Correspondencia del GADT sobre el Plan Estratégico, el Plan Operacional y la Declaración, el Grupo por Correspondencia sobre la Resolución 1 (Rev. Dubái, 2014) de la CMDT, "Reglamento Interno del Sector de Desarrollo de las Telecomunicaciones de la UIT", el Grupo por Correspondencia sobre la racionaliz</w:t>
      </w:r>
      <w:r>
        <w:rPr>
          <w:rFonts w:cstheme="minorHAnsi"/>
          <w:szCs w:val="24"/>
          <w:lang w:val="es-ES_tradnl"/>
        </w:rPr>
        <w:t>ación de las Resoluciones de la CMDT</w:t>
      </w:r>
      <w:r w:rsidRPr="00C5465C">
        <w:rPr>
          <w:rFonts w:cstheme="minorHAnsi"/>
          <w:szCs w:val="24"/>
          <w:lang w:val="es-ES_tradnl"/>
        </w:rPr>
        <w:t xml:space="preserve"> y el Equipo de Coordinación Intersectorial sobre cuestiones de interés común se reunieron en Ginebra los días 9 y 10 de mayo de 2017 e informaron al GADT sobre sus progresos.</w:t>
      </w:r>
    </w:p>
    <w:p w:rsidR="00D2165D" w:rsidRDefault="00D2165D">
      <w:pPr>
        <w:rPr>
          <w:rFonts w:cstheme="minorHAnsi"/>
          <w:szCs w:val="24"/>
          <w:lang w:val="es-ES_tradnl"/>
        </w:rPr>
      </w:pPr>
      <w:r w:rsidRPr="00C5465C">
        <w:rPr>
          <w:szCs w:val="24"/>
          <w:lang w:val="es-ES_tradnl"/>
        </w:rPr>
        <w:t xml:space="preserve">El informe completo de la reunión en los seis idiomas oficiales de la UIT figura en la dirección </w:t>
      </w:r>
      <w:hyperlink r:id="rId32" w:history="1">
        <w:r w:rsidRPr="00007A16">
          <w:rPr>
            <w:rStyle w:val="Hyperlink"/>
            <w:lang w:val="es-ES_tradnl"/>
          </w:rPr>
          <w:t>https://www.itu.int/md/D14-TDAG22-C-0073/en</w:t>
        </w:r>
      </w:hyperlink>
      <w:r w:rsidRPr="00C5465C">
        <w:rPr>
          <w:rFonts w:cstheme="minorHAnsi"/>
          <w:szCs w:val="24"/>
          <w:lang w:val="es-ES_tradnl"/>
        </w:rPr>
        <w:t>.</w:t>
      </w:r>
    </w:p>
    <w:p w:rsidR="00D2165D" w:rsidRDefault="00D2165D">
      <w:pPr>
        <w:tabs>
          <w:tab w:val="clear" w:pos="794"/>
          <w:tab w:val="clear" w:pos="1191"/>
          <w:tab w:val="clear" w:pos="1588"/>
          <w:tab w:val="clear" w:pos="1985"/>
        </w:tabs>
        <w:overflowPunct/>
        <w:autoSpaceDE/>
        <w:autoSpaceDN/>
        <w:adjustRightInd/>
        <w:spacing w:before="0" w:after="200" w:line="276" w:lineRule="auto"/>
        <w:textAlignment w:val="auto"/>
        <w:rPr>
          <w:rFonts w:cstheme="minorHAnsi"/>
          <w:szCs w:val="24"/>
          <w:lang w:val="es-ES_tradnl"/>
        </w:rPr>
      </w:pPr>
      <w:r>
        <w:rPr>
          <w:rFonts w:cstheme="minorHAnsi"/>
          <w:szCs w:val="24"/>
          <w:lang w:val="es-ES_tradnl"/>
        </w:rPr>
        <w:br w:type="page"/>
      </w:r>
    </w:p>
    <w:p w:rsidR="00D2165D" w:rsidRPr="00C5465C" w:rsidRDefault="00D2165D" w:rsidP="00D2165D">
      <w:pPr>
        <w:pStyle w:val="enumlev1"/>
        <w:rPr>
          <w:lang w:val="es-ES_tradnl"/>
        </w:rPr>
      </w:pPr>
      <w:r w:rsidRPr="00C5465C">
        <w:rPr>
          <w:lang w:val="es-ES_tradnl"/>
        </w:rPr>
        <w:lastRenderedPageBreak/>
        <w:t>b)</w:t>
      </w:r>
      <w:r w:rsidRPr="00C5465C">
        <w:rPr>
          <w:lang w:val="es-ES_tradnl"/>
        </w:rPr>
        <w:tab/>
        <w:t>Participantes</w:t>
      </w:r>
    </w:p>
    <w:p w:rsidR="00D2165D" w:rsidRPr="00C5465C" w:rsidRDefault="00D2165D" w:rsidP="00D2165D">
      <w:pPr>
        <w:rPr>
          <w:lang w:val="es-ES_tradnl"/>
        </w:rPr>
      </w:pPr>
      <w:r w:rsidRPr="00C5465C">
        <w:rPr>
          <w:lang w:val="es-ES_tradnl"/>
        </w:rPr>
        <w:t>En el siguiente gráfico se facilita el desglose de participantes por categoría:</w:t>
      </w:r>
    </w:p>
    <w:p w:rsidR="00D2165D" w:rsidRPr="00C5465C" w:rsidRDefault="00D2165D" w:rsidP="00D2165D">
      <w:pPr>
        <w:tabs>
          <w:tab w:val="left" w:pos="567"/>
          <w:tab w:val="left" w:pos="851"/>
        </w:tabs>
        <w:rPr>
          <w:highlight w:val="yellow"/>
          <w:lang w:val="es-ES_tradnl"/>
        </w:rPr>
      </w:pPr>
      <w:r w:rsidRPr="00C5465C">
        <w:rPr>
          <w:noProof/>
          <w:lang w:eastAsia="zh-CN"/>
        </w:rPr>
        <w:drawing>
          <wp:inline distT="0" distB="0" distL="0" distR="0" wp14:anchorId="27C4D075" wp14:editId="447DDBDD">
            <wp:extent cx="5288889" cy="2671423"/>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293434" cy="2673719"/>
                    </a:xfrm>
                    <a:prstGeom prst="rect">
                      <a:avLst/>
                    </a:prstGeom>
                  </pic:spPr>
                </pic:pic>
              </a:graphicData>
            </a:graphic>
          </wp:inline>
        </w:drawing>
      </w:r>
    </w:p>
    <w:p w:rsidR="00D2165D" w:rsidRPr="00007A16" w:rsidRDefault="00D2165D" w:rsidP="00D2165D">
      <w:pPr>
        <w:pStyle w:val="Figurelegend"/>
        <w:keepNext w:val="0"/>
        <w:keepLines w:val="0"/>
        <w:rPr>
          <w:b/>
          <w:bCs/>
          <w:lang w:val="es-ES_tradnl"/>
        </w:rPr>
      </w:pPr>
      <w:r w:rsidRPr="00007A16">
        <w:rPr>
          <w:b/>
          <w:bCs/>
          <w:lang w:val="es-ES_tradnl"/>
        </w:rPr>
        <w:t>Leyenda:</w:t>
      </w:r>
    </w:p>
    <w:p w:rsidR="00D2165D" w:rsidRPr="00C5465C" w:rsidRDefault="00D2165D" w:rsidP="00D2165D">
      <w:pPr>
        <w:pStyle w:val="Figurelegend"/>
        <w:keepNext w:val="0"/>
        <w:keepLines w:val="0"/>
        <w:rPr>
          <w:lang w:val="es-ES_tradnl"/>
        </w:rPr>
      </w:pPr>
      <w:r w:rsidRPr="00C5465C">
        <w:rPr>
          <w:lang w:val="es-ES_tradnl"/>
        </w:rPr>
        <w:t>Estados Miembros</w:t>
      </w:r>
    </w:p>
    <w:p w:rsidR="00D2165D" w:rsidRPr="00C5465C" w:rsidRDefault="00D2165D" w:rsidP="00D2165D">
      <w:pPr>
        <w:pStyle w:val="Figurelegend"/>
        <w:keepNext w:val="0"/>
        <w:keepLines w:val="0"/>
        <w:rPr>
          <w:lang w:val="es-ES_tradnl"/>
        </w:rPr>
      </w:pPr>
      <w:r w:rsidRPr="00C5465C">
        <w:rPr>
          <w:lang w:val="es-ES_tradnl"/>
        </w:rPr>
        <w:t>Miembros de Sector del UIT-D – Empresas de explotación reconocidas</w:t>
      </w:r>
    </w:p>
    <w:p w:rsidR="00D2165D" w:rsidRPr="00C5465C" w:rsidRDefault="00D2165D" w:rsidP="00D2165D">
      <w:pPr>
        <w:pStyle w:val="Figurelegend"/>
        <w:keepNext w:val="0"/>
        <w:keepLines w:val="0"/>
        <w:rPr>
          <w:lang w:val="es-ES_tradnl"/>
        </w:rPr>
      </w:pPr>
      <w:r w:rsidRPr="00C5465C">
        <w:rPr>
          <w:lang w:val="es-ES_tradnl"/>
        </w:rPr>
        <w:t>Miembros de Sector del UIT-D – Organizaciones científicas o industriales</w:t>
      </w:r>
    </w:p>
    <w:p w:rsidR="00D2165D" w:rsidRPr="00C5465C" w:rsidRDefault="00D2165D" w:rsidP="00D2165D">
      <w:pPr>
        <w:pStyle w:val="Figurelegend"/>
        <w:keepNext w:val="0"/>
        <w:keepLines w:val="0"/>
        <w:rPr>
          <w:lang w:val="es-ES_tradnl"/>
        </w:rPr>
      </w:pPr>
      <w:r w:rsidRPr="00C5465C">
        <w:rPr>
          <w:lang w:val="es-ES_tradnl"/>
        </w:rPr>
        <w:t xml:space="preserve">Miembros de Sector del UIT-D – Otras </w:t>
      </w:r>
      <w:r>
        <w:rPr>
          <w:lang w:val="es-ES_tradnl"/>
        </w:rPr>
        <w:t>entidades de telecomunicaciones</w:t>
      </w:r>
    </w:p>
    <w:p w:rsidR="00D2165D" w:rsidRPr="00C5465C" w:rsidRDefault="00D2165D" w:rsidP="00D2165D">
      <w:pPr>
        <w:pStyle w:val="Figurelegend"/>
        <w:keepNext w:val="0"/>
        <w:keepLines w:val="0"/>
        <w:rPr>
          <w:lang w:val="es-ES_tradnl"/>
        </w:rPr>
      </w:pPr>
      <w:r w:rsidRPr="00C5465C">
        <w:rPr>
          <w:lang w:val="es-ES_tradnl"/>
        </w:rPr>
        <w:t>Miembros de Sector del UIT-D – Organizaciones regionales y otras</w:t>
      </w:r>
      <w:r>
        <w:rPr>
          <w:lang w:val="es-ES_tradnl"/>
        </w:rPr>
        <w:t xml:space="preserve"> organizaciones internacionales</w:t>
      </w:r>
    </w:p>
    <w:p w:rsidR="00D2165D" w:rsidRPr="00C5465C" w:rsidRDefault="00D2165D" w:rsidP="00D2165D">
      <w:pPr>
        <w:pStyle w:val="Figurelegend"/>
        <w:keepNext w:val="0"/>
        <w:keepLines w:val="0"/>
        <w:rPr>
          <w:lang w:val="es-ES_tradnl"/>
        </w:rPr>
      </w:pPr>
      <w:r w:rsidRPr="00C5465C">
        <w:rPr>
          <w:lang w:val="es-ES_tradnl"/>
        </w:rPr>
        <w:t>Miembros de Sector del UIT-D – Organizaciones r</w:t>
      </w:r>
      <w:r>
        <w:rPr>
          <w:lang w:val="es-ES_tradnl"/>
        </w:rPr>
        <w:t>egionales de telecomunicaciones</w:t>
      </w:r>
    </w:p>
    <w:p w:rsidR="00D2165D" w:rsidRPr="00C5465C" w:rsidRDefault="00D2165D" w:rsidP="00D2165D">
      <w:pPr>
        <w:spacing w:before="360"/>
        <w:rPr>
          <w:lang w:val="es-ES_tradnl"/>
        </w:rPr>
      </w:pPr>
      <w:r w:rsidRPr="00C5465C">
        <w:rPr>
          <w:lang w:val="es-ES_tradnl"/>
        </w:rPr>
        <w:t>En el siguiente gráfico se facilita el desglose de participantes por región:</w:t>
      </w:r>
    </w:p>
    <w:p w:rsidR="00D2165D" w:rsidRPr="00C5465C" w:rsidRDefault="00D2165D" w:rsidP="00D2165D">
      <w:pPr>
        <w:tabs>
          <w:tab w:val="left" w:pos="567"/>
          <w:tab w:val="left" w:pos="851"/>
        </w:tabs>
        <w:rPr>
          <w:highlight w:val="yellow"/>
          <w:lang w:val="es-ES_tradnl"/>
        </w:rPr>
      </w:pPr>
      <w:r w:rsidRPr="00C5465C">
        <w:rPr>
          <w:noProof/>
          <w:lang w:eastAsia="zh-CN"/>
        </w:rPr>
        <w:drawing>
          <wp:inline distT="0" distB="0" distL="0" distR="0" wp14:anchorId="4EFBA52E" wp14:editId="26FCBE76">
            <wp:extent cx="3723063" cy="2773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23063" cy="2773680"/>
                    </a:xfrm>
                    <a:prstGeom prst="rect">
                      <a:avLst/>
                    </a:prstGeom>
                  </pic:spPr>
                </pic:pic>
              </a:graphicData>
            </a:graphic>
          </wp:inline>
        </w:drawing>
      </w:r>
    </w:p>
    <w:p w:rsidR="00D2165D" w:rsidRPr="008827C8" w:rsidRDefault="00D2165D" w:rsidP="00D2165D">
      <w:pPr>
        <w:pStyle w:val="Figurelegend"/>
        <w:keepNext w:val="0"/>
        <w:keepLines w:val="0"/>
        <w:rPr>
          <w:b/>
          <w:bCs/>
          <w:lang w:val="es-ES_tradnl"/>
        </w:rPr>
      </w:pPr>
      <w:r w:rsidRPr="008827C8">
        <w:rPr>
          <w:b/>
          <w:bCs/>
          <w:lang w:val="es-ES_tradnl"/>
        </w:rPr>
        <w:t>Leyenda:</w:t>
      </w:r>
    </w:p>
    <w:p w:rsidR="00D2165D" w:rsidRPr="006270EF" w:rsidRDefault="00D2165D" w:rsidP="00D2165D">
      <w:pPr>
        <w:pStyle w:val="Figurelegend"/>
        <w:keepNext w:val="0"/>
        <w:keepLines w:val="0"/>
        <w:rPr>
          <w:lang w:val="es-ES_tradnl"/>
        </w:rPr>
      </w:pPr>
      <w:r w:rsidRPr="006270EF">
        <w:rPr>
          <w:lang w:val="es-ES_tradnl"/>
        </w:rPr>
        <w:t>AFR; AMS; ARB; ASP; CEI; EUR</w:t>
      </w:r>
    </w:p>
    <w:p w:rsidR="00D2165D" w:rsidRPr="008E5C4B" w:rsidRDefault="00D2165D" w:rsidP="00D2165D">
      <w:pPr>
        <w:tabs>
          <w:tab w:val="left" w:pos="567"/>
          <w:tab w:val="left" w:pos="851"/>
        </w:tabs>
        <w:rPr>
          <w:lang w:val="es-ES_tradnl"/>
        </w:rPr>
      </w:pPr>
      <w:r w:rsidRPr="008E5C4B">
        <w:rPr>
          <w:highlight w:val="yellow"/>
          <w:lang w:val="es-ES_tradnl"/>
        </w:rPr>
        <w:br w:type="page"/>
      </w:r>
    </w:p>
    <w:p w:rsidR="00D2165D" w:rsidRPr="00C5465C" w:rsidRDefault="00D2165D" w:rsidP="00D2165D">
      <w:pPr>
        <w:pStyle w:val="enumlev1"/>
        <w:keepNext/>
        <w:rPr>
          <w:lang w:val="es-ES_tradnl"/>
        </w:rPr>
      </w:pPr>
      <w:r w:rsidRPr="00C5465C">
        <w:rPr>
          <w:lang w:val="es-ES_tradnl"/>
        </w:rPr>
        <w:lastRenderedPageBreak/>
        <w:t>c)</w:t>
      </w:r>
      <w:r w:rsidRPr="00C5465C">
        <w:rPr>
          <w:lang w:val="es-ES_tradnl"/>
        </w:rPr>
        <w:tab/>
        <w:t>Documentos</w:t>
      </w:r>
    </w:p>
    <w:p w:rsidR="00D2165D" w:rsidRPr="00C5465C" w:rsidRDefault="00D2165D" w:rsidP="00D2165D">
      <w:pPr>
        <w:rPr>
          <w:lang w:val="es-ES_tradnl"/>
        </w:rPr>
      </w:pPr>
      <w:r w:rsidRPr="00C5465C">
        <w:rPr>
          <w:lang w:val="es-ES_tradnl"/>
        </w:rPr>
        <w:t>En el siguiente gráfico se presenta el número de documentos desglosado por categoría de documentos:</w:t>
      </w:r>
    </w:p>
    <w:p w:rsidR="00D2165D" w:rsidRPr="00C5465C" w:rsidRDefault="00D2165D" w:rsidP="00D2165D">
      <w:pPr>
        <w:pStyle w:val="ListParagraph"/>
        <w:tabs>
          <w:tab w:val="left" w:pos="567"/>
          <w:tab w:val="left" w:pos="851"/>
        </w:tabs>
        <w:ind w:left="567" w:hanging="851"/>
        <w:rPr>
          <w:lang w:val="es-ES_tradnl"/>
        </w:rPr>
      </w:pPr>
      <w:r w:rsidRPr="00C5465C">
        <w:rPr>
          <w:noProof/>
          <w:lang w:eastAsia="zh-CN"/>
        </w:rPr>
        <w:drawing>
          <wp:inline distT="0" distB="0" distL="0" distR="0" wp14:anchorId="2D97E7D1" wp14:editId="37A4F679">
            <wp:extent cx="4871720" cy="3184264"/>
            <wp:effectExtent l="0" t="0" r="508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2165D" w:rsidRPr="001648DC" w:rsidRDefault="00D2165D" w:rsidP="00D2165D">
      <w:pPr>
        <w:pStyle w:val="Figurelegend"/>
        <w:rPr>
          <w:b/>
          <w:bCs/>
          <w:lang w:val="es-ES_tradnl"/>
        </w:rPr>
      </w:pPr>
      <w:r>
        <w:rPr>
          <w:b/>
          <w:bCs/>
          <w:lang w:val="es-ES_tradnl"/>
        </w:rPr>
        <w:t>Leyenda:</w:t>
      </w:r>
    </w:p>
    <w:p w:rsidR="00D2165D" w:rsidRPr="00C5465C" w:rsidRDefault="00D2165D" w:rsidP="00D2165D">
      <w:pPr>
        <w:pStyle w:val="Figurelegend"/>
        <w:keepNext w:val="0"/>
        <w:keepLines w:val="0"/>
        <w:rPr>
          <w:lang w:val="es-ES_tradnl"/>
        </w:rPr>
      </w:pPr>
      <w:r>
        <w:rPr>
          <w:lang w:val="es-ES_tradnl"/>
        </w:rPr>
        <w:t>Contribuciones</w:t>
      </w:r>
    </w:p>
    <w:p w:rsidR="00D2165D" w:rsidRPr="00C5465C" w:rsidRDefault="00D2165D" w:rsidP="00D2165D">
      <w:pPr>
        <w:pStyle w:val="Figurelegend"/>
        <w:keepNext w:val="0"/>
        <w:keepLines w:val="0"/>
        <w:rPr>
          <w:lang w:val="es-ES_tradnl"/>
        </w:rPr>
      </w:pPr>
      <w:r w:rsidRPr="00C5465C">
        <w:rPr>
          <w:lang w:val="es-ES_tradnl"/>
        </w:rPr>
        <w:t>Documentos de información</w:t>
      </w:r>
    </w:p>
    <w:p w:rsidR="00D2165D" w:rsidRPr="00C5465C" w:rsidRDefault="00D2165D" w:rsidP="00D2165D">
      <w:pPr>
        <w:pStyle w:val="Figurelegend"/>
        <w:keepNext w:val="0"/>
        <w:keepLines w:val="0"/>
        <w:rPr>
          <w:lang w:val="es-ES_tradnl"/>
        </w:rPr>
      </w:pPr>
      <w:r w:rsidRPr="00C5465C">
        <w:rPr>
          <w:lang w:val="es-ES_tradnl"/>
        </w:rPr>
        <w:t>Documentos temporales</w:t>
      </w:r>
    </w:p>
    <w:p w:rsidR="00D2165D" w:rsidRPr="00C5465C" w:rsidRDefault="00D2165D" w:rsidP="00D2165D">
      <w:pPr>
        <w:pStyle w:val="Figurelegend"/>
        <w:keepNext w:val="0"/>
        <w:keepLines w:val="0"/>
        <w:rPr>
          <w:lang w:val="es-ES_tradnl"/>
        </w:rPr>
      </w:pPr>
      <w:r w:rsidRPr="00C5465C">
        <w:rPr>
          <w:lang w:val="es-ES_tradnl"/>
        </w:rPr>
        <w:t>Documentos administrativos</w:t>
      </w:r>
    </w:p>
    <w:p w:rsidR="00D2165D" w:rsidRPr="00C5465C" w:rsidRDefault="00D2165D" w:rsidP="008E5C4B">
      <w:pPr>
        <w:pStyle w:val="enumlev1"/>
        <w:spacing w:before="360" w:after="120"/>
        <w:rPr>
          <w:lang w:val="es-ES_tradnl"/>
        </w:rPr>
      </w:pPr>
      <w:r w:rsidRPr="00C5465C">
        <w:rPr>
          <w:lang w:val="es-ES_tradnl"/>
        </w:rPr>
        <w:t>d)</w:t>
      </w:r>
      <w:r w:rsidRPr="00C5465C">
        <w:rPr>
          <w:lang w:val="es-ES_tradnl"/>
        </w:rPr>
        <w:tab/>
        <w:t>Result</w:t>
      </w:r>
      <w:r>
        <w:rPr>
          <w:lang w:val="es-ES_tradnl"/>
        </w:rPr>
        <w:t>ados de la 22ª reunión del GADT</w:t>
      </w:r>
    </w:p>
    <w:tbl>
      <w:tblPr>
        <w:tblW w:w="9214" w:type="dxa"/>
        <w:tblInd w:w="-5" w:type="dxa"/>
        <w:tblLook w:val="04A0" w:firstRow="1" w:lastRow="0" w:firstColumn="1" w:lastColumn="0" w:noHBand="0" w:noVBand="1"/>
      </w:tblPr>
      <w:tblGrid>
        <w:gridCol w:w="3220"/>
        <w:gridCol w:w="5994"/>
      </w:tblGrid>
      <w:tr w:rsidR="00D2165D" w:rsidRPr="00C5465C" w:rsidTr="00D2165D">
        <w:trPr>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rsidR="00D2165D" w:rsidRPr="00C5465C" w:rsidRDefault="00D2165D" w:rsidP="00D2165D">
            <w:pPr>
              <w:pStyle w:val="Tablehead"/>
              <w:rPr>
                <w:i/>
                <w:iCs/>
                <w:lang w:val="es-ES_tradnl" w:eastAsia="zh-CN"/>
              </w:rPr>
            </w:pPr>
            <w:r w:rsidRPr="00C5465C">
              <w:rPr>
                <w:i/>
                <w:iCs/>
                <w:lang w:val="es-ES_tradnl" w:eastAsia="zh-CN"/>
              </w:rPr>
              <w:t>Tema</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hideMark/>
          </w:tcPr>
          <w:p w:rsidR="00D2165D" w:rsidRPr="00C5465C" w:rsidRDefault="00D2165D" w:rsidP="00D2165D">
            <w:pPr>
              <w:pStyle w:val="Tablehead"/>
              <w:rPr>
                <w:i/>
                <w:iCs/>
                <w:lang w:val="es-ES_tradnl" w:eastAsia="zh-CN"/>
              </w:rPr>
            </w:pPr>
            <w:r w:rsidRPr="00C5465C">
              <w:rPr>
                <w:i/>
                <w:iCs/>
                <w:lang w:val="es-ES_tradnl" w:eastAsia="zh-CN"/>
              </w:rPr>
              <w:t>Conclusiones/Resultados del GADT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hideMark/>
          </w:tcPr>
          <w:p w:rsidR="00D2165D" w:rsidRPr="00C5465C" w:rsidRDefault="00D2165D" w:rsidP="00D2165D">
            <w:pPr>
              <w:pStyle w:val="Tabletext"/>
              <w:rPr>
                <w:b/>
                <w:color w:val="800000"/>
                <w:lang w:val="es-ES_tradnl" w:eastAsia="zh-CN"/>
              </w:rPr>
            </w:pPr>
            <w:r w:rsidRPr="00C5465C">
              <w:rPr>
                <w:rFonts w:cs="Calibri"/>
                <w:szCs w:val="22"/>
                <w:lang w:val="es-ES_tradnl" w:eastAsia="zh-CN"/>
              </w:rPr>
              <w:t>5</w:t>
            </w:r>
            <w:r w:rsidRPr="00C5465C">
              <w:rPr>
                <w:rFonts w:cs="Calibri"/>
                <w:szCs w:val="22"/>
                <w:lang w:val="es-ES_tradnl" w:eastAsia="zh-CN"/>
              </w:rPr>
              <w:tab/>
              <w:t>Resultados</w:t>
            </w:r>
            <w:r w:rsidRPr="00C5465C">
              <w:rPr>
                <w:rFonts w:cs="Arial"/>
                <w:szCs w:val="22"/>
                <w:lang w:val="es-ES_tradnl" w:eastAsia="zh-CN"/>
              </w:rPr>
              <w:t xml:space="preserve"> de la AMNT-16 que atañen al UIT-D</w:t>
            </w:r>
          </w:p>
        </w:tc>
        <w:tc>
          <w:tcPr>
            <w:tcW w:w="5994" w:type="dxa"/>
            <w:tcBorders>
              <w:top w:val="nil"/>
              <w:left w:val="nil"/>
              <w:bottom w:val="single" w:sz="4" w:space="0" w:color="auto"/>
              <w:right w:val="single" w:sz="4" w:space="0" w:color="auto"/>
            </w:tcBorders>
            <w:shd w:val="clear" w:color="auto" w:fill="auto"/>
            <w:hideMark/>
          </w:tcPr>
          <w:p w:rsidR="00D2165D" w:rsidRPr="00C5465C" w:rsidRDefault="00D2165D">
            <w:pPr>
              <w:pStyle w:val="Tabletext"/>
              <w:rPr>
                <w:rFonts w:ascii="Calibri" w:hAnsi="Calibri"/>
                <w:szCs w:val="22"/>
                <w:lang w:val="es-ES_tradnl"/>
              </w:rPr>
            </w:pPr>
            <w:r w:rsidRPr="00C5465C">
              <w:rPr>
                <w:rFonts w:ascii="Calibri" w:hAnsi="Calibri"/>
                <w:szCs w:val="22"/>
                <w:lang w:val="es-ES_tradnl"/>
              </w:rPr>
              <w:t>El GADT planteó la cuestión de las consecuencias financieras para la UIT en general de las decisiones adoptadas por las Conferencias/Asambleas de alguno de los Sectores. El GADT aconsejó al Director de la BDT que plantease el asunto de esas consecuencias al Consejo de la UIT y, en particular, pero no exclusivamente, las consecuencias financieras de la AMNT</w:t>
            </w:r>
            <w:r w:rsidRPr="00C5465C">
              <w:rPr>
                <w:rFonts w:ascii="Calibri" w:hAnsi="Calibri"/>
                <w:szCs w:val="22"/>
                <w:lang w:val="es-ES_tradnl"/>
              </w:rPr>
              <w:noBreakHyphen/>
              <w:t>16 sobre los trabajos del UIT</w:t>
            </w:r>
            <w:r w:rsidRPr="00C5465C">
              <w:rPr>
                <w:rFonts w:ascii="Calibri" w:hAnsi="Calibri"/>
                <w:szCs w:val="22"/>
                <w:lang w:val="es-ES_tradnl"/>
              </w:rPr>
              <w:noBreakHyphen/>
              <w:t>D y d</w:t>
            </w:r>
            <w:r>
              <w:rPr>
                <w:rFonts w:ascii="Calibri" w:hAnsi="Calibri"/>
                <w:szCs w:val="22"/>
                <w:lang w:val="es-ES_tradnl"/>
              </w:rPr>
              <w:t>e las Comisiones de Estudio del </w:t>
            </w:r>
            <w:r w:rsidRPr="00C5465C">
              <w:rPr>
                <w:rFonts w:ascii="Calibri" w:hAnsi="Calibri"/>
                <w:szCs w:val="22"/>
                <w:lang w:val="es-ES_tradnl"/>
              </w:rPr>
              <w:t>UIT</w:t>
            </w:r>
            <w:r w:rsidRPr="00C5465C">
              <w:rPr>
                <w:rFonts w:ascii="Calibri" w:hAnsi="Calibri"/>
                <w:szCs w:val="22"/>
                <w:lang w:val="es-ES_tradnl"/>
              </w:rPr>
              <w:noBreakHyphen/>
              <w:t>D en particular.</w:t>
            </w:r>
          </w:p>
          <w:p w:rsidR="00D2165D" w:rsidRPr="00C5465C" w:rsidRDefault="00D2165D" w:rsidP="00D2165D">
            <w:pPr>
              <w:pStyle w:val="Tabletext"/>
              <w:rPr>
                <w:szCs w:val="22"/>
                <w:lang w:val="es-ES_tradnl"/>
              </w:rPr>
            </w:pPr>
            <w:r w:rsidRPr="00C5465C">
              <w:rPr>
                <w:rFonts w:ascii="Calibri" w:hAnsi="Calibri"/>
                <w:szCs w:val="22"/>
                <w:lang w:val="es-ES_tradnl"/>
              </w:rPr>
              <w:t>El GADT reiteró que cada uno de los Sectores de la UIT debía trabajar en el marco de su mandato. El GADT aconsejó además al Director de la BDT que iniciase consultas preliminares con los demás Sectores de la UIT para evitar duplicaciones en la realización de actividades</w:t>
            </w:r>
            <w:r w:rsidRPr="00734826">
              <w:rPr>
                <w:rFonts w:ascii="Calibri" w:hAnsi="Calibri"/>
                <w:szCs w:val="22"/>
                <w:lang w:val="es-ES_tradnl"/>
              </w:rPr>
              <w:t>.</w:t>
            </w:r>
          </w:p>
          <w:p w:rsidR="00D2165D" w:rsidRPr="00C5465C" w:rsidRDefault="00D2165D" w:rsidP="00D2165D">
            <w:pPr>
              <w:pStyle w:val="Tabletext"/>
              <w:rPr>
                <w:rFonts w:ascii="Calibri" w:hAnsi="Calibri"/>
                <w:color w:val="000000"/>
                <w:szCs w:val="22"/>
                <w:lang w:val="es-ES_tradnl" w:eastAsia="zh-CN"/>
              </w:rPr>
            </w:pPr>
            <w:r w:rsidRPr="00C5465C">
              <w:rPr>
                <w:rFonts w:ascii="Calibri" w:hAnsi="Calibri"/>
                <w:szCs w:val="22"/>
                <w:lang w:val="es-ES_tradnl"/>
              </w:rPr>
              <w:t>El GADT invitó a los Miembros a tener en cuenta esas consideraciones al preparar sus propuestas y contribuciones a la</w:t>
            </w:r>
            <w:r>
              <w:rPr>
                <w:rFonts w:ascii="Calibri" w:hAnsi="Calibri"/>
                <w:szCs w:val="22"/>
                <w:lang w:val="es-ES_tradnl"/>
              </w:rPr>
              <w:t> </w:t>
            </w:r>
            <w:r w:rsidRPr="00C5465C">
              <w:rPr>
                <w:rFonts w:ascii="Calibri" w:hAnsi="Calibri"/>
                <w:szCs w:val="22"/>
                <w:lang w:val="es-ES_tradnl"/>
              </w:rPr>
              <w:t>CMDT-17</w:t>
            </w:r>
            <w:r w:rsidRPr="00734826">
              <w:rPr>
                <w:rFonts w:ascii="Calibri" w:hAnsi="Calibri"/>
                <w:color w:val="000000"/>
                <w:szCs w:val="22"/>
                <w:lang w:val="es-ES_tradnl" w:eastAsia="zh-CN"/>
              </w:rPr>
              <w: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hideMark/>
          </w:tcPr>
          <w:p w:rsidR="00D2165D" w:rsidRPr="00C5465C" w:rsidRDefault="00D2165D" w:rsidP="00D2165D">
            <w:pPr>
              <w:pStyle w:val="Tabletext"/>
              <w:rPr>
                <w:rFonts w:ascii="Calibri" w:hAnsi="Calibri"/>
                <w:b/>
                <w:color w:val="800000"/>
                <w:szCs w:val="22"/>
                <w:lang w:val="es-ES_tradnl" w:eastAsia="zh-CN"/>
              </w:rPr>
            </w:pPr>
            <w:r w:rsidRPr="00C5465C">
              <w:rPr>
                <w:rFonts w:cs="Calibri"/>
                <w:szCs w:val="22"/>
                <w:lang w:val="es-ES_tradnl" w:eastAsia="zh-CN"/>
              </w:rPr>
              <w:t>6</w:t>
            </w:r>
            <w:r w:rsidRPr="00C5465C">
              <w:rPr>
                <w:rFonts w:cs="Calibri"/>
                <w:szCs w:val="22"/>
                <w:lang w:val="es-ES_tradnl" w:eastAsia="zh-CN"/>
              </w:rPr>
              <w:tab/>
              <w:t>Informe sobre la ejecución del Plan Estratégico y del Plan Operacional del UIT-D para 2016</w:t>
            </w:r>
          </w:p>
        </w:tc>
        <w:tc>
          <w:tcPr>
            <w:tcW w:w="5994" w:type="dxa"/>
            <w:tcBorders>
              <w:top w:val="nil"/>
              <w:left w:val="nil"/>
              <w:bottom w:val="single" w:sz="4" w:space="0" w:color="auto"/>
              <w:right w:val="single" w:sz="4" w:space="0" w:color="auto"/>
            </w:tcBorders>
            <w:shd w:val="clear" w:color="auto" w:fill="auto"/>
            <w:hideMark/>
          </w:tcPr>
          <w:p w:rsidR="00D2165D" w:rsidRPr="00C5465C" w:rsidRDefault="00D2165D">
            <w:pPr>
              <w:pStyle w:val="Tabletext"/>
              <w:rPr>
                <w:rFonts w:ascii="Calibri" w:hAnsi="Calibri"/>
                <w:color w:val="000000"/>
                <w:szCs w:val="22"/>
                <w:lang w:val="es-ES_tradnl" w:eastAsia="zh-CN"/>
              </w:rPr>
            </w:pPr>
            <w:r w:rsidRPr="00C5465C">
              <w:rPr>
                <w:szCs w:val="22"/>
                <w:lang w:val="es-ES_tradnl"/>
              </w:rPr>
              <w:t>El GADT acogió con agrado los informes y agradeció a la Secretaría la compilación de esa información. Aconsejó que en el próximo informe sobre proyectos la información detallada sobre los proyectos se desglosase lo más posible por región. El GADT alentó a la Secretaría a continuar sus esfuerzos sobre la movilización de recursos con otros socios y elaborase propuestas de proyectos a tal efecto</w:t>
            </w:r>
            <w:r w:rsidRPr="00734826">
              <w:rPr>
                <w:szCs w:val="22"/>
                <w:lang w:val="es-ES_tradnl"/>
              </w:rPr>
              <w: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hideMark/>
          </w:tcPr>
          <w:p w:rsidR="00D2165D" w:rsidRPr="00C5465C" w:rsidRDefault="00D2165D" w:rsidP="00D2165D">
            <w:pPr>
              <w:pStyle w:val="Tabletext"/>
              <w:rPr>
                <w:rFonts w:ascii="Calibri" w:hAnsi="Calibri"/>
                <w:b/>
                <w:color w:val="800000"/>
                <w:szCs w:val="22"/>
                <w:lang w:val="es-ES_tradnl" w:eastAsia="zh-CN"/>
              </w:rPr>
            </w:pPr>
            <w:r w:rsidRPr="00C5465C">
              <w:rPr>
                <w:rFonts w:cs="Calibri"/>
                <w:szCs w:val="22"/>
                <w:lang w:val="es-ES_tradnl" w:eastAsia="zh-CN"/>
              </w:rPr>
              <w:lastRenderedPageBreak/>
              <w:t>7</w:t>
            </w:r>
            <w:r w:rsidRPr="00C5465C">
              <w:rPr>
                <w:rFonts w:cs="Calibri"/>
                <w:szCs w:val="22"/>
                <w:lang w:val="es-ES_tradnl" w:eastAsia="zh-CN"/>
              </w:rPr>
              <w:tab/>
              <w:t>Informes sobre las actividades d</w:t>
            </w:r>
            <w:r>
              <w:rPr>
                <w:rFonts w:cs="Calibri"/>
                <w:szCs w:val="22"/>
                <w:lang w:val="es-ES_tradnl" w:eastAsia="zh-CN"/>
              </w:rPr>
              <w:t>e las Comisiones de Estudio del </w:t>
            </w:r>
            <w:r w:rsidRPr="00C5465C">
              <w:rPr>
                <w:rFonts w:cs="Calibri"/>
                <w:szCs w:val="22"/>
                <w:lang w:val="es-ES_tradnl" w:eastAsia="zh-CN"/>
              </w:rPr>
              <w:t>UIT-D</w:t>
            </w:r>
          </w:p>
        </w:tc>
        <w:tc>
          <w:tcPr>
            <w:tcW w:w="5994" w:type="dxa"/>
            <w:tcBorders>
              <w:top w:val="nil"/>
              <w:left w:val="nil"/>
              <w:bottom w:val="single" w:sz="4" w:space="0" w:color="auto"/>
              <w:right w:val="single" w:sz="4" w:space="0" w:color="auto"/>
            </w:tcBorders>
            <w:shd w:val="clear" w:color="auto" w:fill="auto"/>
            <w:hideMark/>
          </w:tcPr>
          <w:p w:rsidR="00D2165D" w:rsidRPr="00C5465C" w:rsidRDefault="00D2165D">
            <w:pPr>
              <w:pStyle w:val="Tabletext"/>
              <w:rPr>
                <w:szCs w:val="22"/>
                <w:lang w:val="es-ES_tradnl"/>
              </w:rPr>
            </w:pPr>
            <w:r w:rsidRPr="00C5465C">
              <w:rPr>
                <w:szCs w:val="22"/>
                <w:lang w:val="es-ES_tradnl"/>
              </w:rPr>
              <w:t>El GADT acogió con agrado los resultados conseguidos por las Comisiones de Estudio del UIT-D y expresó su agradecimiento a la Sra. Roxanne McElvane Webber, Presidenta de la Comisión de Estudio 1 y al Sr. Ahmad Reza Sharafat, Presidente de la Comisión de Estudio 2, a los Vicepresidentes, Relatores, Vicerrelatores, Correlatores y a la Secretaría por la encomiable labor realizada. El GADT pidió a los Presidentes que tuvieran en cuenta los comentarios de los miembros del GADT al finalizar su informe a la CMDT-17. El GADT apoyó las iniciativas constructivas de las Comisiones de Estudio y tomó nota de la exitosa celebración de seminarios y talleres y de la realización de encuestas, y alentó a continuar esas actividades en el siguiente periodo de estudios. El GADT pidió que se prolongase el plazo de las encuestas hasta septiembre de 2017.</w:t>
            </w:r>
          </w:p>
          <w:p w:rsidR="00D2165D" w:rsidRPr="00C5465C" w:rsidRDefault="00D2165D">
            <w:pPr>
              <w:pStyle w:val="Tabletext"/>
              <w:rPr>
                <w:rFonts w:ascii="Calibri" w:hAnsi="Calibri"/>
                <w:color w:val="000000"/>
                <w:szCs w:val="22"/>
                <w:lang w:val="es-ES_tradnl" w:eastAsia="zh-CN"/>
              </w:rPr>
            </w:pPr>
            <w:r w:rsidRPr="00C5465C">
              <w:rPr>
                <w:szCs w:val="22"/>
                <w:lang w:val="es-ES_tradnl"/>
              </w:rPr>
              <w:t>El GADT examinó la declaración de coordinación del GAR sobre la Resolución 9 (Rev. Dubái, 2014) y preparó la declaración de coordinación al GAR</w:t>
            </w:r>
            <w:r w:rsidRPr="007B43B4">
              <w:rPr>
                <w:szCs w:val="22"/>
                <w:lang w:val="es-ES_tradnl"/>
              </w:rPr>
              <w:t xml:space="preserve"> (TDAG/17-22/72).</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hideMark/>
          </w:tcPr>
          <w:p w:rsidR="00D2165D" w:rsidRPr="00C5465C" w:rsidRDefault="00D2165D" w:rsidP="00D2165D">
            <w:pPr>
              <w:pStyle w:val="Tabletext"/>
              <w:rPr>
                <w:rFonts w:ascii="Calibri" w:hAnsi="Calibri"/>
                <w:b/>
                <w:color w:val="800000"/>
                <w:szCs w:val="22"/>
                <w:lang w:val="es-ES_tradnl" w:eastAsia="zh-CN"/>
              </w:rPr>
            </w:pPr>
            <w:r w:rsidRPr="00C5465C">
              <w:rPr>
                <w:rFonts w:cs="Calibri"/>
                <w:szCs w:val="22"/>
                <w:lang w:val="es-ES_tradnl" w:eastAsia="zh-CN"/>
              </w:rPr>
              <w:t>8</w:t>
            </w:r>
            <w:r w:rsidRPr="00C5465C">
              <w:rPr>
                <w:rFonts w:cs="Calibri"/>
                <w:szCs w:val="22"/>
                <w:lang w:val="es-ES_tradnl" w:eastAsia="zh-CN"/>
              </w:rPr>
              <w:tab/>
              <w:t>Contribución del UIT-D a la ejecución del Plan de Acción de la CMSI, incluidos el Examen General de la Asamblea General de las Naciones Unidas y los Objetivos de Desarrollo Sostenible</w:t>
            </w:r>
          </w:p>
        </w:tc>
        <w:tc>
          <w:tcPr>
            <w:tcW w:w="5994" w:type="dxa"/>
            <w:tcBorders>
              <w:top w:val="nil"/>
              <w:left w:val="nil"/>
              <w:bottom w:val="single" w:sz="4" w:space="0" w:color="auto"/>
              <w:right w:val="single" w:sz="4" w:space="0" w:color="auto"/>
            </w:tcBorders>
            <w:shd w:val="clear" w:color="auto" w:fill="auto"/>
            <w:hideMark/>
          </w:tcPr>
          <w:p w:rsidR="00D2165D" w:rsidRPr="00C5465C" w:rsidRDefault="00D2165D">
            <w:pPr>
              <w:pStyle w:val="Tabletext"/>
              <w:rPr>
                <w:rFonts w:ascii="Calibri" w:hAnsi="Calibri"/>
                <w:color w:val="000000"/>
                <w:szCs w:val="22"/>
                <w:lang w:val="es-ES_tradnl" w:eastAsia="zh-CN"/>
              </w:rPr>
            </w:pPr>
            <w:r>
              <w:rPr>
                <w:szCs w:val="22"/>
                <w:lang w:val="es-ES_tradnl"/>
              </w:rPr>
              <w:t>El GADT acogió con agrado el informe y aconsejó que los Miembros lo utilizaran para preparar la CMDT-17 en lo que concierne al Plan Estratégico, el Plan de Acción y la Declaración, así como Resoluciones pertinentes</w:t>
            </w:r>
            <w:r w:rsidRPr="007B43B4">
              <w:rPr>
                <w:szCs w:val="22"/>
                <w:lang w:val="es-ES_tradnl"/>
              </w:rPr>
              <w: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hideMark/>
          </w:tcPr>
          <w:p w:rsidR="00D2165D" w:rsidRPr="00C5465C" w:rsidRDefault="00D2165D" w:rsidP="00D2165D">
            <w:pPr>
              <w:pStyle w:val="Tabletext"/>
              <w:rPr>
                <w:rFonts w:ascii="Calibri" w:hAnsi="Calibri"/>
                <w:color w:val="000000"/>
                <w:szCs w:val="22"/>
                <w:lang w:val="es-ES_tradnl" w:eastAsia="zh-CN"/>
              </w:rPr>
            </w:pPr>
            <w:r w:rsidRPr="00C5465C">
              <w:rPr>
                <w:rFonts w:cs="Calibri"/>
                <w:szCs w:val="22"/>
                <w:lang w:val="es-ES_tradnl" w:eastAsia="zh-CN"/>
              </w:rPr>
              <w:t>9</w:t>
            </w:r>
            <w:r w:rsidRPr="00C5465C">
              <w:rPr>
                <w:rFonts w:cs="Calibri"/>
                <w:szCs w:val="22"/>
                <w:lang w:val="es-ES_tradnl" w:eastAsia="zh-CN"/>
              </w:rPr>
              <w:tab/>
              <w:t>Plan Operacional cuadriena</w:t>
            </w:r>
            <w:r>
              <w:rPr>
                <w:rFonts w:cs="Calibri"/>
                <w:szCs w:val="22"/>
                <w:lang w:val="es-ES_tradnl" w:eastAsia="zh-CN"/>
              </w:rPr>
              <w:t>l renovable del UIT-D para 2018</w:t>
            </w:r>
            <w:r>
              <w:rPr>
                <w:rFonts w:cs="Calibri"/>
                <w:szCs w:val="22"/>
                <w:lang w:val="es-ES_tradnl" w:eastAsia="zh-CN"/>
              </w:rPr>
              <w:noBreakHyphen/>
            </w:r>
            <w:r w:rsidRPr="00C5465C">
              <w:rPr>
                <w:rFonts w:cs="Calibri"/>
                <w:szCs w:val="22"/>
                <w:lang w:val="es-ES_tradnl" w:eastAsia="zh-CN"/>
              </w:rPr>
              <w:t>2021</w:t>
            </w:r>
          </w:p>
        </w:tc>
        <w:tc>
          <w:tcPr>
            <w:tcW w:w="5994" w:type="dxa"/>
            <w:tcBorders>
              <w:top w:val="nil"/>
              <w:left w:val="nil"/>
              <w:bottom w:val="single" w:sz="4" w:space="0" w:color="auto"/>
              <w:right w:val="single" w:sz="4" w:space="0" w:color="auto"/>
            </w:tcBorders>
            <w:shd w:val="clear" w:color="auto" w:fill="auto"/>
            <w:hideMark/>
          </w:tcPr>
          <w:p w:rsidR="00D2165D" w:rsidRPr="00C5465C" w:rsidRDefault="00D2165D">
            <w:pPr>
              <w:pStyle w:val="Tabletext"/>
              <w:rPr>
                <w:rFonts w:ascii="Calibri" w:hAnsi="Calibri"/>
                <w:color w:val="000000"/>
                <w:szCs w:val="22"/>
                <w:lang w:val="es-ES_tradnl" w:eastAsia="zh-CN"/>
              </w:rPr>
            </w:pPr>
            <w:r>
              <w:rPr>
                <w:szCs w:val="22"/>
                <w:lang w:val="es-ES_tradnl"/>
              </w:rPr>
              <w:t>El GADT tomó nota de los documentos y señaló a la atención de la Secretaría que era necesario facilitar información sobre las consecuencias financieras de las Resoluciones del AMNT relativas a los trabajos del UIT-D</w:t>
            </w:r>
            <w:r w:rsidRPr="007B43B4">
              <w:rPr>
                <w:szCs w:val="22"/>
                <w:lang w:val="es-ES_tradnl"/>
              </w:rPr>
              <w: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hideMark/>
          </w:tcPr>
          <w:p w:rsidR="00D2165D" w:rsidRPr="00C5465C" w:rsidRDefault="00D2165D">
            <w:pPr>
              <w:pStyle w:val="Tabletext"/>
              <w:rPr>
                <w:rFonts w:ascii="Calibri" w:hAnsi="Calibri"/>
                <w:b/>
                <w:color w:val="800000"/>
                <w:szCs w:val="22"/>
                <w:lang w:val="es-ES_tradnl" w:eastAsia="zh-CN"/>
              </w:rPr>
            </w:pPr>
            <w:r w:rsidRPr="00C5465C">
              <w:rPr>
                <w:rFonts w:cs="Calibri"/>
                <w:szCs w:val="22"/>
                <w:lang w:val="es-ES_tradnl" w:eastAsia="zh-CN"/>
              </w:rPr>
              <w:t>10</w:t>
            </w:r>
            <w:r w:rsidRPr="00C5465C">
              <w:rPr>
                <w:rFonts w:cs="Calibri"/>
                <w:szCs w:val="22"/>
                <w:lang w:val="es-ES_tradnl" w:eastAsia="zh-CN"/>
              </w:rPr>
              <w:tab/>
              <w:t>Preparativos para la CMDT-17</w:t>
            </w:r>
            <w:r w:rsidRPr="00C5465C">
              <w:rPr>
                <w:rFonts w:cs="Calibri"/>
                <w:szCs w:val="22"/>
                <w:lang w:val="es-ES_tradnl" w:eastAsia="zh-CN"/>
              </w:rPr>
              <w:br/>
            </w:r>
            <w:r w:rsidRPr="00C5465C">
              <w:rPr>
                <w:rFonts w:cs="Calibri"/>
                <w:szCs w:val="22"/>
                <w:lang w:val="es-ES_tradnl"/>
              </w:rPr>
              <w:t>(Contribuciones de la Secretaría y los Miembros)</w:t>
            </w:r>
          </w:p>
        </w:tc>
        <w:tc>
          <w:tcPr>
            <w:tcW w:w="5994" w:type="dxa"/>
            <w:tcBorders>
              <w:top w:val="nil"/>
              <w:left w:val="nil"/>
              <w:bottom w:val="single" w:sz="4" w:space="0" w:color="auto"/>
              <w:right w:val="single" w:sz="4" w:space="0" w:color="auto"/>
            </w:tcBorders>
            <w:shd w:val="clear" w:color="auto" w:fill="auto"/>
            <w:hideMark/>
          </w:tcPr>
          <w:p w:rsidR="00D2165D" w:rsidRPr="00C5465C" w:rsidRDefault="00D2165D" w:rsidP="00D2165D">
            <w:pPr>
              <w:pStyle w:val="Tabletext"/>
              <w:rPr>
                <w:rFonts w:ascii="Calibri" w:hAnsi="Calibri"/>
                <w:b/>
                <w:color w:val="800000"/>
                <w:szCs w:val="22"/>
                <w:lang w:val="es-ES_tradnl" w:eastAsia="zh-CN"/>
              </w:rPr>
            </w:pP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hideMark/>
          </w:tcPr>
          <w:p w:rsidR="00D2165D" w:rsidRPr="00C5465C" w:rsidRDefault="00D2165D" w:rsidP="00D2165D">
            <w:pPr>
              <w:pStyle w:val="Tabletext"/>
              <w:tabs>
                <w:tab w:val="left" w:pos="459"/>
              </w:tabs>
              <w:rPr>
                <w:rFonts w:ascii="Calibri" w:hAnsi="Calibri"/>
                <w:b/>
                <w:color w:val="800000"/>
                <w:szCs w:val="22"/>
                <w:lang w:val="es-ES_tradnl" w:eastAsia="zh-CN"/>
              </w:rPr>
            </w:pPr>
            <w:r w:rsidRPr="00C5465C">
              <w:rPr>
                <w:rFonts w:cs="Calibri"/>
                <w:szCs w:val="22"/>
                <w:lang w:val="es-ES_tradnl" w:eastAsia="zh-CN"/>
              </w:rPr>
              <w:t>10a</w:t>
            </w:r>
            <w:r w:rsidRPr="00C5465C">
              <w:rPr>
                <w:rFonts w:cs="Calibri"/>
                <w:szCs w:val="22"/>
                <w:lang w:val="es-ES_tradnl" w:eastAsia="zh-CN"/>
              </w:rPr>
              <w:tab/>
              <w:t>Información actualizada acerca de los preparativos para la</w:t>
            </w:r>
            <w:r>
              <w:rPr>
                <w:rFonts w:cs="Calibri"/>
                <w:szCs w:val="22"/>
                <w:lang w:val="es-ES_tradnl" w:eastAsia="zh-CN"/>
              </w:rPr>
              <w:t> </w:t>
            </w:r>
            <w:r w:rsidRPr="00C5465C">
              <w:rPr>
                <w:rFonts w:cs="Calibri"/>
                <w:szCs w:val="22"/>
                <w:lang w:val="es-ES_tradnl" w:eastAsia="zh-CN"/>
              </w:rPr>
              <w:t>CMDT</w:t>
            </w:r>
          </w:p>
        </w:tc>
        <w:tc>
          <w:tcPr>
            <w:tcW w:w="5994" w:type="dxa"/>
            <w:tcBorders>
              <w:top w:val="nil"/>
              <w:left w:val="nil"/>
              <w:bottom w:val="single" w:sz="4" w:space="0" w:color="auto"/>
              <w:right w:val="single" w:sz="4" w:space="0" w:color="auto"/>
            </w:tcBorders>
            <w:shd w:val="clear" w:color="auto" w:fill="auto"/>
            <w:hideMark/>
          </w:tcPr>
          <w:p w:rsidR="00D2165D" w:rsidRPr="00C5465C" w:rsidRDefault="00D2165D" w:rsidP="00D2165D">
            <w:pPr>
              <w:pStyle w:val="Tabletext"/>
              <w:rPr>
                <w:rFonts w:ascii="Calibri" w:hAnsi="Calibri"/>
                <w:color w:val="000000"/>
                <w:szCs w:val="22"/>
                <w:lang w:val="es-ES_tradnl" w:eastAsia="zh-CN"/>
              </w:rPr>
            </w:pPr>
            <w:r w:rsidRPr="00C5465C">
              <w:rPr>
                <w:szCs w:val="22"/>
                <w:lang w:val="es-ES_tradnl"/>
              </w:rPr>
              <w:t xml:space="preserve">El GADT agradeció el documento </w:t>
            </w:r>
            <w:hyperlink r:id="rId36" w:history="1">
              <w:r w:rsidRPr="007B43B4">
                <w:rPr>
                  <w:rStyle w:val="Hyperlink"/>
                  <w:lang w:val="es-ES_tradnl"/>
                </w:rPr>
                <w:t>16</w:t>
              </w:r>
            </w:hyperlink>
            <w:r w:rsidRPr="007B43B4">
              <w:rPr>
                <w:rStyle w:val="Hyperlink"/>
                <w:lang w:val="es-ES_tradnl"/>
              </w:rPr>
              <w:t xml:space="preserve"> </w:t>
            </w:r>
            <w:r w:rsidRPr="00C5465C">
              <w:rPr>
                <w:szCs w:val="22"/>
                <w:lang w:val="es-ES_tradnl"/>
              </w:rPr>
              <w:t xml:space="preserve">y el documento de presentación </w:t>
            </w:r>
            <w:hyperlink r:id="rId37" w:history="1">
              <w:r w:rsidRPr="007B43B4">
                <w:rPr>
                  <w:rStyle w:val="Hyperlink"/>
                  <w:lang w:val="es-ES_tradnl"/>
                </w:rPr>
                <w:t>69</w:t>
              </w:r>
            </w:hyperlink>
            <w:r w:rsidRPr="00C5465C">
              <w:rPr>
                <w:szCs w:val="22"/>
                <w:lang w:val="es-ES_tradnl"/>
              </w:rPr>
              <w:t xml:space="preserve">, y dio las gracias al gobierno de Argentina por acoger la próxima CMDT en Buenos Aires del 9 al 20 de octubre de 2017. Lo que respecta al documento </w:t>
            </w:r>
            <w:hyperlink r:id="rId38" w:history="1">
              <w:r w:rsidRPr="007B43B4">
                <w:rPr>
                  <w:rStyle w:val="Hyperlink"/>
                  <w:lang w:val="es-ES_tradnl"/>
                </w:rPr>
                <w:t>16</w:t>
              </w:r>
            </w:hyperlink>
            <w:r w:rsidRPr="00C5465C">
              <w:rPr>
                <w:szCs w:val="22"/>
                <w:lang w:val="es-ES_tradnl"/>
              </w:rPr>
              <w:t>, la reunión apoyó la propuesta de mantener las declaraciones de política limitando su duración a 3 minutos. Una delegación señaló que la oportunidad de pronunciar declaraciones de política debía ofrecerse también a todos los Jefes de delegación. El GADT aconsejó al Director de la BDT que considerase esa propuesta.</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hideMark/>
          </w:tcPr>
          <w:p w:rsidR="00D2165D" w:rsidRPr="00C5465C" w:rsidRDefault="00D2165D" w:rsidP="00D2165D">
            <w:pPr>
              <w:pStyle w:val="Tabletext"/>
              <w:tabs>
                <w:tab w:val="left" w:pos="459"/>
              </w:tabs>
              <w:rPr>
                <w:rFonts w:ascii="Calibri" w:hAnsi="Calibri"/>
                <w:b/>
                <w:color w:val="800000"/>
                <w:szCs w:val="22"/>
                <w:lang w:val="es-ES_tradnl" w:eastAsia="zh-CN"/>
              </w:rPr>
            </w:pPr>
            <w:r w:rsidRPr="00C5465C">
              <w:rPr>
                <w:rFonts w:cs="Calibri"/>
                <w:szCs w:val="22"/>
                <w:lang w:val="es-ES_tradnl" w:eastAsia="zh-CN"/>
              </w:rPr>
              <w:t>10b</w:t>
            </w:r>
            <w:r w:rsidRPr="00C5465C">
              <w:rPr>
                <w:rFonts w:cs="Calibri"/>
                <w:szCs w:val="22"/>
                <w:lang w:val="es-ES_tradnl" w:eastAsia="zh-CN"/>
              </w:rPr>
              <w:tab/>
              <w:t>Informe de la Reunión de Coordinación de las Reuniones Preparatorias Regionales</w:t>
            </w:r>
          </w:p>
        </w:tc>
        <w:tc>
          <w:tcPr>
            <w:tcW w:w="5994" w:type="dxa"/>
            <w:tcBorders>
              <w:top w:val="nil"/>
              <w:left w:val="nil"/>
              <w:bottom w:val="single" w:sz="4" w:space="0" w:color="auto"/>
              <w:right w:val="single" w:sz="4" w:space="0" w:color="auto"/>
            </w:tcBorders>
            <w:shd w:val="clear" w:color="auto" w:fill="auto"/>
            <w:hideMark/>
          </w:tcPr>
          <w:p w:rsidR="00D2165D" w:rsidRPr="00C5465C" w:rsidRDefault="00D2165D">
            <w:pPr>
              <w:pStyle w:val="Tabletext"/>
              <w:rPr>
                <w:rFonts w:ascii="Calibri" w:hAnsi="Calibri"/>
                <w:color w:val="000000"/>
                <w:szCs w:val="22"/>
                <w:lang w:val="es-ES_tradnl" w:eastAsia="zh-CN"/>
              </w:rPr>
            </w:pPr>
            <w:r w:rsidRPr="00C5465C">
              <w:rPr>
                <w:szCs w:val="22"/>
                <w:lang w:val="es-ES_tradnl"/>
              </w:rPr>
              <w:t>El GADT acogió con agrado el informe e insistió en la importancia que reviste la organización de RPR para preparar las</w:t>
            </w:r>
            <w:r>
              <w:rPr>
                <w:szCs w:val="22"/>
                <w:lang w:val="es-ES_tradnl"/>
              </w:rPr>
              <w:t> </w:t>
            </w:r>
            <w:r w:rsidRPr="00C5465C">
              <w:rPr>
                <w:szCs w:val="22"/>
                <w:lang w:val="es-ES_tradnl"/>
              </w:rPr>
              <w:t>CMDT. El GADT aconsejó que las RPR se organizaran lo más cerca posible de las CMDT y que los informes de las RPR se comunicaran a la última reunión del GADT antes de la CMDT</w:t>
            </w:r>
            <w:r w:rsidRPr="007B43B4">
              <w:rPr>
                <w:szCs w:val="22"/>
                <w:lang w:val="es-ES_tradnl"/>
              </w:rPr>
              <w: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hideMark/>
          </w:tcPr>
          <w:p w:rsidR="00D2165D" w:rsidRPr="00C5465C" w:rsidRDefault="00D2165D" w:rsidP="008E5C4B">
            <w:pPr>
              <w:pStyle w:val="Tabletext"/>
              <w:tabs>
                <w:tab w:val="left" w:pos="459"/>
              </w:tabs>
              <w:rPr>
                <w:rFonts w:ascii="Calibri" w:hAnsi="Calibri"/>
                <w:b/>
                <w:color w:val="800000"/>
                <w:szCs w:val="22"/>
                <w:lang w:val="es-ES_tradnl" w:eastAsia="zh-CN"/>
              </w:rPr>
            </w:pPr>
            <w:r w:rsidRPr="00C5465C">
              <w:rPr>
                <w:rFonts w:cs="Calibri"/>
                <w:szCs w:val="22"/>
                <w:lang w:val="es-ES_tradnl" w:eastAsia="zh-CN"/>
              </w:rPr>
              <w:t>10c</w:t>
            </w:r>
            <w:r w:rsidRPr="00C5465C">
              <w:rPr>
                <w:rFonts w:cs="Calibri"/>
                <w:szCs w:val="22"/>
                <w:lang w:val="es-ES_tradnl" w:eastAsia="zh-CN"/>
              </w:rPr>
              <w:tab/>
              <w:t>Estructura de la CMDT-17</w:t>
            </w:r>
          </w:p>
        </w:tc>
        <w:tc>
          <w:tcPr>
            <w:tcW w:w="5994" w:type="dxa"/>
            <w:tcBorders>
              <w:top w:val="nil"/>
              <w:left w:val="nil"/>
              <w:bottom w:val="single" w:sz="4" w:space="0" w:color="auto"/>
              <w:right w:val="single" w:sz="4" w:space="0" w:color="auto"/>
            </w:tcBorders>
            <w:shd w:val="clear" w:color="auto" w:fill="auto"/>
            <w:hideMark/>
          </w:tcPr>
          <w:p w:rsidR="00D2165D" w:rsidRPr="00B14522" w:rsidRDefault="00D2165D" w:rsidP="00D2165D">
            <w:pPr>
              <w:pStyle w:val="Tabletext"/>
              <w:rPr>
                <w:szCs w:val="22"/>
                <w:lang w:val="es-ES_tradnl"/>
              </w:rPr>
            </w:pPr>
            <w:r w:rsidRPr="00C5465C">
              <w:rPr>
                <w:szCs w:val="22"/>
                <w:lang w:val="es-ES_tradnl"/>
              </w:rPr>
              <w:t>El GADT acogió con agrado el documento y aconsejó lo siguiente al Director de la BDT y a la CMDT-17</w:t>
            </w:r>
            <w:r w:rsidRPr="00B14522">
              <w:rPr>
                <w:szCs w:val="22"/>
                <w:lang w:val="es-ES_tradnl"/>
              </w:rPr>
              <w:t>:</w:t>
            </w:r>
          </w:p>
          <w:p w:rsidR="00D2165D" w:rsidRPr="00B14522" w:rsidRDefault="00D2165D" w:rsidP="00D2165D">
            <w:pPr>
              <w:pStyle w:val="Tabletext"/>
              <w:rPr>
                <w:szCs w:val="22"/>
                <w:lang w:val="es-ES_tradnl"/>
              </w:rPr>
            </w:pPr>
            <w:r w:rsidRPr="00B14522">
              <w:rPr>
                <w:szCs w:val="22"/>
                <w:lang w:val="es-ES_tradnl"/>
              </w:rPr>
              <w:t xml:space="preserve">1) </w:t>
            </w:r>
            <w:r w:rsidRPr="00C5465C">
              <w:rPr>
                <w:szCs w:val="22"/>
                <w:lang w:val="es-ES_tradnl"/>
              </w:rPr>
              <w:t>El número de reuniones de grupos de redacción/ad hoc debería ser el menor posible</w:t>
            </w:r>
            <w:r w:rsidRPr="00B14522">
              <w:rPr>
                <w:szCs w:val="22"/>
                <w:lang w:val="es-ES_tradnl"/>
              </w:rPr>
              <w:t>.</w:t>
            </w:r>
          </w:p>
          <w:p w:rsidR="00D2165D" w:rsidRPr="00B14522" w:rsidRDefault="00D2165D" w:rsidP="00D2165D">
            <w:pPr>
              <w:pStyle w:val="Tabletext"/>
              <w:rPr>
                <w:szCs w:val="22"/>
                <w:lang w:val="es-ES_tradnl"/>
              </w:rPr>
            </w:pPr>
            <w:r w:rsidRPr="00B14522">
              <w:rPr>
                <w:szCs w:val="22"/>
                <w:lang w:val="es-ES_tradnl"/>
              </w:rPr>
              <w:t xml:space="preserve">2) </w:t>
            </w:r>
            <w:r w:rsidRPr="00C5465C">
              <w:rPr>
                <w:szCs w:val="22"/>
                <w:lang w:val="es-ES_tradnl"/>
              </w:rPr>
              <w:t>En la medida de lo posible, esas reuniones no deberían celebrarse en paralelo y, en particular, los grupos de redacción no deberían organizarse en paralelo con las de la Comisión rectora</w:t>
            </w:r>
            <w:r w:rsidRPr="00B14522">
              <w:rPr>
                <w:szCs w:val="22"/>
                <w:lang w:val="es-ES_tradnl"/>
              </w:rPr>
              <w:t>.</w:t>
            </w:r>
          </w:p>
          <w:p w:rsidR="00D2165D" w:rsidRPr="00B14522" w:rsidRDefault="00D2165D" w:rsidP="00D2165D">
            <w:pPr>
              <w:pStyle w:val="Tabletext"/>
              <w:rPr>
                <w:szCs w:val="22"/>
                <w:lang w:val="es-ES_tradnl"/>
              </w:rPr>
            </w:pPr>
            <w:r w:rsidRPr="00B14522">
              <w:rPr>
                <w:szCs w:val="22"/>
                <w:lang w:val="es-ES_tradnl"/>
              </w:rPr>
              <w:t xml:space="preserve">3) </w:t>
            </w:r>
            <w:r w:rsidRPr="00C5465C">
              <w:rPr>
                <w:szCs w:val="22"/>
                <w:lang w:val="es-ES_tradnl"/>
              </w:rPr>
              <w:t>Las reuniones ad hoc deberían terminar a más tardar a las 23.00 hora local y no deberían organizarse reuniones en domingo</w:t>
            </w:r>
            <w:r>
              <w:rPr>
                <w:szCs w:val="22"/>
                <w:lang w:val="es-ES_tradnl"/>
              </w:rPr>
              <w:t>.</w:t>
            </w:r>
          </w:p>
          <w:p w:rsidR="00D2165D" w:rsidRPr="00C5465C" w:rsidRDefault="00D2165D">
            <w:pPr>
              <w:pStyle w:val="Tabletext"/>
              <w:rPr>
                <w:rFonts w:ascii="Calibri" w:hAnsi="Calibri"/>
                <w:color w:val="000000"/>
                <w:szCs w:val="22"/>
                <w:lang w:val="es-ES_tradnl" w:eastAsia="zh-CN"/>
              </w:rPr>
            </w:pPr>
            <w:r w:rsidRPr="00B14522">
              <w:rPr>
                <w:szCs w:val="22"/>
                <w:lang w:val="es-ES_tradnl"/>
              </w:rPr>
              <w:lastRenderedPageBreak/>
              <w:t xml:space="preserve">4) </w:t>
            </w:r>
            <w:r w:rsidRPr="00C5465C">
              <w:rPr>
                <w:szCs w:val="22"/>
                <w:lang w:val="es-ES_tradnl"/>
              </w:rPr>
              <w:t>Todos los horarios y notificaciones relativos a todas las reuniones del día siguiente, incluidas las de los Grupos ad hoc, se deberían anunciar en las pantallas y publicar a más tardar a las 21.00 horas</w:t>
            </w:r>
            <w:r w:rsidRPr="00B14522">
              <w:rPr>
                <w:szCs w:val="22"/>
                <w:lang w:val="es-ES_tradnl"/>
              </w:rPr>
              <w:t>.</w:t>
            </w:r>
          </w:p>
        </w:tc>
      </w:tr>
      <w:tr w:rsidR="00D2165D" w:rsidRPr="009F2DF9" w:rsidTr="00D2165D">
        <w:tc>
          <w:tcPr>
            <w:tcW w:w="3220" w:type="dxa"/>
            <w:tcBorders>
              <w:top w:val="nil"/>
              <w:left w:val="single" w:sz="4" w:space="0" w:color="auto"/>
              <w:bottom w:val="single" w:sz="4" w:space="0" w:color="auto"/>
              <w:right w:val="single" w:sz="4" w:space="0" w:color="auto"/>
            </w:tcBorders>
            <w:shd w:val="clear" w:color="auto" w:fill="auto"/>
            <w:hideMark/>
          </w:tcPr>
          <w:p w:rsidR="00D2165D" w:rsidRPr="00C5465C" w:rsidRDefault="00D2165D" w:rsidP="008E5C4B">
            <w:pPr>
              <w:pStyle w:val="Tabletext"/>
              <w:tabs>
                <w:tab w:val="left" w:pos="459"/>
              </w:tabs>
              <w:rPr>
                <w:rFonts w:ascii="Calibri" w:hAnsi="Calibri"/>
                <w:color w:val="000000"/>
                <w:szCs w:val="22"/>
                <w:lang w:val="es-ES_tradnl" w:eastAsia="zh-CN"/>
              </w:rPr>
            </w:pPr>
            <w:r w:rsidRPr="00C5465C">
              <w:rPr>
                <w:rFonts w:cs="Calibri"/>
                <w:szCs w:val="22"/>
                <w:lang w:val="es-ES_tradnl" w:eastAsia="zh-CN"/>
              </w:rPr>
              <w:lastRenderedPageBreak/>
              <w:t>10d</w:t>
            </w:r>
            <w:r w:rsidRPr="00C5465C">
              <w:rPr>
                <w:rFonts w:cs="Calibri"/>
                <w:szCs w:val="22"/>
                <w:lang w:val="es-ES_tradnl" w:eastAsia="zh-CN"/>
              </w:rPr>
              <w:tab/>
              <w:t>Contribución del UIT-D al pro</w:t>
            </w:r>
            <w:r w:rsidR="00B84E60">
              <w:rPr>
                <w:rFonts w:cs="Calibri"/>
                <w:szCs w:val="22"/>
                <w:lang w:val="es-ES_tradnl" w:eastAsia="zh-CN"/>
              </w:rPr>
              <w:t>yecto de Plan Estratégico de la </w:t>
            </w:r>
            <w:r w:rsidRPr="00C5465C">
              <w:rPr>
                <w:rFonts w:cs="Calibri"/>
                <w:szCs w:val="22"/>
                <w:lang w:val="es-ES_tradnl" w:eastAsia="zh-CN"/>
              </w:rPr>
              <w:t>UIT</w:t>
            </w:r>
          </w:p>
        </w:tc>
        <w:tc>
          <w:tcPr>
            <w:tcW w:w="5994" w:type="dxa"/>
            <w:tcBorders>
              <w:top w:val="nil"/>
              <w:left w:val="nil"/>
              <w:bottom w:val="single" w:sz="4" w:space="0" w:color="auto"/>
              <w:right w:val="single" w:sz="4" w:space="0" w:color="auto"/>
            </w:tcBorders>
            <w:shd w:val="clear" w:color="auto" w:fill="auto"/>
            <w:hideMark/>
          </w:tcPr>
          <w:p w:rsidR="00D2165D" w:rsidRPr="00B14522" w:rsidRDefault="00D2165D" w:rsidP="00D2165D">
            <w:pPr>
              <w:pStyle w:val="Tabletext"/>
              <w:rPr>
                <w:szCs w:val="22"/>
                <w:lang w:val="es-ES_tradnl"/>
              </w:rPr>
            </w:pPr>
            <w:r w:rsidRPr="00C5465C">
              <w:rPr>
                <w:szCs w:val="22"/>
                <w:lang w:val="es-ES_tradnl"/>
              </w:rPr>
              <w:t>Varios documentos fueron examinados durante la reunión del Grupo por Correspondencia sobre el Plan Estratégico, el Plan Operacional y la Declaración (GC-PEPOD) del GADT, que tuvo lugar el 9 de mayo de 2017</w:t>
            </w:r>
            <w:r w:rsidRPr="00B14522">
              <w:rPr>
                <w:szCs w:val="22"/>
                <w:lang w:val="es-ES_tradnl"/>
              </w:rPr>
              <w:t>.</w:t>
            </w:r>
          </w:p>
          <w:p w:rsidR="00D2165D" w:rsidRPr="00B14522" w:rsidRDefault="00D2165D" w:rsidP="00D2165D">
            <w:pPr>
              <w:pStyle w:val="Tabletext"/>
              <w:rPr>
                <w:szCs w:val="22"/>
                <w:lang w:val="es-ES_tradnl"/>
              </w:rPr>
            </w:pPr>
            <w:r w:rsidRPr="00C5465C">
              <w:rPr>
                <w:szCs w:val="22"/>
                <w:lang w:val="es-ES_tradnl"/>
              </w:rPr>
              <w:t xml:space="preserve">El GADT acogió con agrado </w:t>
            </w:r>
            <w:r>
              <w:rPr>
                <w:szCs w:val="22"/>
                <w:lang w:val="es-ES_tradnl"/>
              </w:rPr>
              <w:t>los resultados obtenidos por el GC</w:t>
            </w:r>
            <w:r>
              <w:rPr>
                <w:szCs w:val="22"/>
                <w:lang w:val="es-ES_tradnl"/>
              </w:rPr>
              <w:noBreakHyphen/>
            </w:r>
            <w:r w:rsidRPr="00C5465C">
              <w:rPr>
                <w:szCs w:val="22"/>
                <w:lang w:val="es-ES_tradnl"/>
              </w:rPr>
              <w:t>PEPOD y expresó su agradecimiento al Sr. Fabio Bigi, su Presidente, por el trabajo realizado. El GADT pidió al Director de la BDT que sometiese a la CMDT-17 las versiones del anteproyecto de contribución del UIT-D al Plan Estratégico de la</w:t>
            </w:r>
            <w:r>
              <w:rPr>
                <w:szCs w:val="22"/>
                <w:lang w:val="es-ES_tradnl"/>
              </w:rPr>
              <w:t> </w:t>
            </w:r>
            <w:r w:rsidRPr="00C5465C">
              <w:rPr>
                <w:szCs w:val="22"/>
                <w:lang w:val="es-ES_tradnl"/>
              </w:rPr>
              <w:t>UIT para 2020-2023</w:t>
            </w:r>
            <w:r w:rsidRPr="00B14522">
              <w:rPr>
                <w:szCs w:val="22"/>
                <w:lang w:val="es-ES_tradnl"/>
              </w:rPr>
              <w:t xml:space="preserve"> (RPM-XXX/7), </w:t>
            </w:r>
            <w:r w:rsidRPr="00C5465C">
              <w:rPr>
                <w:szCs w:val="22"/>
                <w:lang w:val="es-ES_tradnl"/>
              </w:rPr>
              <w:t>el anteproyecto de Plan de Acción del UIT-D para 2018-2021 (RPM-XXX/8) y el anteproyecto de Declaración de la CMDT-17 (RPM-XXX/9) que habían sido sometidas a cada RPR. Se invitará a los Miembros a presentar sus propuestas a la CMDT</w:t>
            </w:r>
            <w:r w:rsidRPr="00C5465C">
              <w:rPr>
                <w:szCs w:val="22"/>
                <w:lang w:val="es-ES_tradnl"/>
              </w:rPr>
              <w:noBreakHyphen/>
              <w:t>17 sobre la base de esos documentos</w:t>
            </w:r>
            <w:r w:rsidRPr="00B14522">
              <w:rPr>
                <w:szCs w:val="22"/>
                <w:lang w:val="es-ES_tradnl"/>
              </w:rPr>
              <w:t>.</w:t>
            </w:r>
          </w:p>
          <w:p w:rsidR="00D2165D" w:rsidRPr="00B14522" w:rsidRDefault="00D2165D" w:rsidP="00D2165D">
            <w:pPr>
              <w:pStyle w:val="Tabletext"/>
              <w:rPr>
                <w:szCs w:val="22"/>
                <w:lang w:val="es-ES_tradnl"/>
              </w:rPr>
            </w:pPr>
            <w:r w:rsidRPr="00C5465C">
              <w:rPr>
                <w:szCs w:val="22"/>
                <w:lang w:val="es-ES_tradnl"/>
              </w:rPr>
              <w:t>El GADT señaló a la atención los documentos TDAG17-22/7, TDAG17-22/8 y TDAG17-22/9, que contienen la compilación de los resultados de las RPR y contribuciones al GADT 17, e invitó a los miembros a utilizar esos documentos en su preparación para la CMDT-17</w:t>
            </w:r>
            <w:r w:rsidRPr="00B14522">
              <w:rPr>
                <w:szCs w:val="22"/>
                <w:lang w:val="es-ES_tradnl"/>
              </w:rPr>
              <w:t>.</w:t>
            </w:r>
          </w:p>
          <w:p w:rsidR="00D2165D" w:rsidRPr="00C5465C" w:rsidRDefault="00D2165D">
            <w:pPr>
              <w:pStyle w:val="Tabletext"/>
              <w:rPr>
                <w:rFonts w:ascii="Calibri" w:hAnsi="Calibri"/>
                <w:b/>
                <w:color w:val="800000"/>
                <w:szCs w:val="22"/>
                <w:lang w:val="es-ES_tradnl" w:eastAsia="zh-CN"/>
              </w:rPr>
            </w:pPr>
            <w:r w:rsidRPr="00C5465C">
              <w:rPr>
                <w:szCs w:val="22"/>
                <w:lang w:val="es-ES_tradnl"/>
              </w:rPr>
              <w:t>Habida cuenta de que los grupos regionales seguirán trabajando sobre los preparativos de la CMDT-17, se pidió a la Secretaría que publicase una lista de reuniones para todos los grupos regionales. Se alentó a estos últimos a identificar un coordinador para cada documento y publicar sus datos de contacto para que las organizaciones regionales puedan tratar de coordinarse a fin de llegar a un acuerdo antes de la CMDT-17. También se pidió a las organizaciones regionales que informasen inmediatamente a la Secretaría sobre cualquier cambio del lugar y la fecha de celebración de sus reuniones, a fin de que se publicasen en el sitio web de la BDT</w:t>
            </w:r>
            <w:r w:rsidRPr="00B14522">
              <w:rPr>
                <w:szCs w:val="22"/>
                <w:lang w:val="es-ES_tradnl"/>
              </w:rPr>
              <w:t>.</w:t>
            </w:r>
          </w:p>
        </w:tc>
      </w:tr>
      <w:tr w:rsidR="00D2165D" w:rsidRPr="009F2DF9" w:rsidTr="00D2165D">
        <w:tc>
          <w:tcPr>
            <w:tcW w:w="3220" w:type="dxa"/>
            <w:tcBorders>
              <w:top w:val="nil"/>
              <w:left w:val="single" w:sz="4" w:space="0" w:color="auto"/>
              <w:bottom w:val="nil"/>
              <w:right w:val="single" w:sz="4" w:space="0" w:color="auto"/>
            </w:tcBorders>
            <w:shd w:val="clear" w:color="auto" w:fill="auto"/>
            <w:hideMark/>
          </w:tcPr>
          <w:p w:rsidR="00D2165D" w:rsidRPr="00C5465C" w:rsidRDefault="00D2165D" w:rsidP="00D2165D">
            <w:pPr>
              <w:pStyle w:val="Tabletext"/>
              <w:tabs>
                <w:tab w:val="left" w:pos="459"/>
              </w:tabs>
              <w:rPr>
                <w:rFonts w:ascii="Calibri" w:hAnsi="Calibri"/>
                <w:color w:val="000000"/>
                <w:szCs w:val="22"/>
                <w:lang w:val="es-ES_tradnl" w:eastAsia="zh-CN"/>
              </w:rPr>
            </w:pPr>
            <w:r w:rsidRPr="00C5465C">
              <w:rPr>
                <w:rFonts w:cs="Calibri"/>
                <w:szCs w:val="22"/>
                <w:lang w:val="es-ES_tradnl" w:eastAsia="zh-CN"/>
              </w:rPr>
              <w:t>10e</w:t>
            </w:r>
            <w:r w:rsidR="00B84E60">
              <w:rPr>
                <w:rFonts w:cs="Calibri"/>
                <w:szCs w:val="22"/>
                <w:lang w:val="es-ES_tradnl" w:eastAsia="zh-CN"/>
              </w:rPr>
              <w:tab/>
              <w:t>Proyecto de Plan de Acción del </w:t>
            </w:r>
            <w:r w:rsidRPr="00C5465C">
              <w:rPr>
                <w:rFonts w:cs="Calibri"/>
                <w:szCs w:val="22"/>
                <w:lang w:val="es-ES_tradnl" w:eastAsia="zh-CN"/>
              </w:rPr>
              <w:t xml:space="preserve">UIT-D </w:t>
            </w:r>
            <w:r w:rsidRPr="00C81301">
              <w:rPr>
                <w:rFonts w:cs="Calibri"/>
                <w:szCs w:val="22"/>
                <w:lang w:val="es-ES_tradnl"/>
              </w:rPr>
              <w:t>(</w:t>
            </w:r>
            <w:r w:rsidRPr="00C5465C">
              <w:rPr>
                <w:rFonts w:cs="Calibri"/>
                <w:szCs w:val="22"/>
                <w:lang w:val="es-ES_tradnl"/>
              </w:rPr>
              <w:t xml:space="preserve">incluidas Cuestiones </w:t>
            </w:r>
            <w:r>
              <w:rPr>
                <w:rFonts w:cs="Calibri"/>
                <w:szCs w:val="22"/>
                <w:lang w:val="es-ES_tradnl"/>
              </w:rPr>
              <w:t>de Comisiones de Estudio del </w:t>
            </w:r>
            <w:r w:rsidRPr="00C5465C">
              <w:rPr>
                <w:rFonts w:cs="Calibri"/>
                <w:szCs w:val="22"/>
                <w:lang w:val="es-ES_tradnl"/>
              </w:rPr>
              <w:t>UIT-D</w:t>
            </w:r>
            <w:r w:rsidRPr="00C81301">
              <w:rPr>
                <w:rFonts w:cs="Calibri"/>
                <w:szCs w:val="22"/>
                <w:lang w:val="es-ES_tradnl"/>
              </w:rPr>
              <w:t>)</w:t>
            </w:r>
          </w:p>
        </w:tc>
        <w:tc>
          <w:tcPr>
            <w:tcW w:w="5994" w:type="dxa"/>
            <w:tcBorders>
              <w:top w:val="nil"/>
              <w:left w:val="nil"/>
              <w:bottom w:val="nil"/>
              <w:right w:val="single" w:sz="4" w:space="0" w:color="auto"/>
            </w:tcBorders>
            <w:shd w:val="clear" w:color="auto" w:fill="auto"/>
            <w:hideMark/>
          </w:tcPr>
          <w:p w:rsidR="00D2165D" w:rsidRPr="00C5465C" w:rsidRDefault="00D2165D" w:rsidP="00D2165D">
            <w:pPr>
              <w:pStyle w:val="Tabletext"/>
              <w:keepNext/>
              <w:keepLines/>
              <w:rPr>
                <w:rFonts w:ascii="Calibri" w:hAnsi="Calibri"/>
                <w:color w:val="000000"/>
                <w:szCs w:val="22"/>
                <w:lang w:val="es-ES_tradnl" w:eastAsia="zh-CN"/>
              </w:rPr>
            </w:pPr>
            <w:r w:rsidRPr="00C5465C">
              <w:rPr>
                <w:szCs w:val="22"/>
                <w:lang w:val="es-ES_tradnl"/>
              </w:rPr>
              <w:t>El GADT convino en que el mecanismo existente de los dos Grupos de Expertos sobre Indicadores era adecuado para debatir asuntos relacionados con indicadores y estadísticas, y que también permite una participación multipartita, en particular de oficinas nacionales de estadística. El GADT pidió a la Secretaría que siguiera ayudando a los Grupos de Expertos a mejorar la metodología teniendo en cuenta el entorno rápidamente cambiante del sector de las telecomunicaciones/TIC e informara sobre los trabajos de los Grupos de Expertos en cada reunión del GADT</w:t>
            </w:r>
            <w:r w:rsidRPr="00C81301">
              <w:rPr>
                <w:szCs w:val="22"/>
                <w:lang w:val="es-ES_tradnl"/>
              </w:rPr>
              <w:t>.</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hideMark/>
          </w:tcPr>
          <w:p w:rsidR="00D2165D" w:rsidRPr="00C5465C" w:rsidRDefault="00D2165D" w:rsidP="008E5C4B">
            <w:pPr>
              <w:pStyle w:val="Tabletext"/>
              <w:tabs>
                <w:tab w:val="left" w:pos="459"/>
              </w:tabs>
              <w:rPr>
                <w:rFonts w:ascii="Calibri" w:hAnsi="Calibri"/>
                <w:color w:val="000000"/>
                <w:szCs w:val="22"/>
                <w:lang w:val="es-ES_tradnl" w:eastAsia="zh-CN"/>
              </w:rPr>
            </w:pPr>
            <w:r w:rsidRPr="00C5465C">
              <w:rPr>
                <w:rFonts w:cs="Calibri"/>
                <w:szCs w:val="22"/>
                <w:lang w:val="es-ES_tradnl" w:eastAsia="zh-CN"/>
              </w:rPr>
              <w:t>10f</w:t>
            </w:r>
            <w:r w:rsidRPr="00C5465C">
              <w:rPr>
                <w:rFonts w:cs="Calibri"/>
                <w:szCs w:val="22"/>
                <w:lang w:val="es-ES_tradnl" w:eastAsia="zh-CN"/>
              </w:rPr>
              <w:tab/>
              <w:t xml:space="preserve">Proyecto de </w:t>
            </w:r>
            <w:r w:rsidR="00B84E60">
              <w:rPr>
                <w:rFonts w:cs="Calibri"/>
                <w:szCs w:val="22"/>
                <w:lang w:val="es-ES_tradnl" w:eastAsia="zh-CN"/>
              </w:rPr>
              <w:t>Declaración de la </w:t>
            </w:r>
            <w:r w:rsidRPr="00C5465C">
              <w:rPr>
                <w:rFonts w:cs="Calibri"/>
                <w:szCs w:val="22"/>
                <w:lang w:val="es-ES_tradnl" w:eastAsia="zh-CN"/>
              </w:rPr>
              <w:t>CMDT-17</w:t>
            </w:r>
          </w:p>
        </w:tc>
        <w:tc>
          <w:tcPr>
            <w:tcW w:w="5994" w:type="dxa"/>
            <w:tcBorders>
              <w:top w:val="single" w:sz="4" w:space="0" w:color="auto"/>
              <w:left w:val="nil"/>
              <w:bottom w:val="single" w:sz="4" w:space="0" w:color="auto"/>
              <w:right w:val="single" w:sz="4" w:space="0" w:color="auto"/>
            </w:tcBorders>
            <w:shd w:val="clear" w:color="auto" w:fill="auto"/>
            <w:hideMark/>
          </w:tcPr>
          <w:p w:rsidR="00D2165D" w:rsidRPr="00C5465C" w:rsidRDefault="00D2165D" w:rsidP="00D2165D">
            <w:pPr>
              <w:pStyle w:val="Tabletext"/>
              <w:rPr>
                <w:rFonts w:ascii="Calibri" w:hAnsi="Calibri"/>
                <w:color w:val="000000"/>
                <w:szCs w:val="22"/>
                <w:lang w:val="es-ES_tradnl" w:eastAsia="zh-CN"/>
              </w:rPr>
            </w:pP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C5465C" w:rsidRDefault="00D2165D" w:rsidP="00D2165D">
            <w:pPr>
              <w:pStyle w:val="Tabletext"/>
              <w:tabs>
                <w:tab w:val="left" w:pos="459"/>
              </w:tabs>
              <w:rPr>
                <w:rFonts w:cs="Calibri"/>
                <w:szCs w:val="22"/>
                <w:lang w:val="es-ES_tradnl" w:eastAsia="zh-CN"/>
              </w:rPr>
            </w:pPr>
            <w:r w:rsidRPr="00C5465C">
              <w:rPr>
                <w:rFonts w:cs="Calibri"/>
                <w:szCs w:val="22"/>
                <w:lang w:val="es-ES_tradnl" w:eastAsia="zh-CN"/>
              </w:rPr>
              <w:t>10g</w:t>
            </w:r>
            <w:r w:rsidRPr="00C5465C">
              <w:rPr>
                <w:rFonts w:cs="Calibri"/>
                <w:szCs w:val="22"/>
                <w:lang w:val="es-ES_tradnl" w:eastAsia="zh-CN"/>
              </w:rPr>
              <w:tab/>
            </w:r>
            <w:r w:rsidRPr="00C5465C">
              <w:rPr>
                <w:rFonts w:eastAsia="SimHei" w:cs="Simplified Arabic"/>
                <w:szCs w:val="22"/>
                <w:lang w:val="es-ES_tradnl"/>
              </w:rPr>
              <w:t>Métodos de trabajo y Reglamento interno del UIT-D (Resolución 1 de la CMDT)</w:t>
            </w:r>
          </w:p>
        </w:tc>
        <w:tc>
          <w:tcPr>
            <w:tcW w:w="5994" w:type="dxa"/>
            <w:tcBorders>
              <w:top w:val="single" w:sz="4" w:space="0" w:color="auto"/>
              <w:left w:val="nil"/>
              <w:bottom w:val="single" w:sz="4" w:space="0" w:color="auto"/>
              <w:right w:val="single" w:sz="4" w:space="0" w:color="auto"/>
            </w:tcBorders>
            <w:shd w:val="clear" w:color="auto" w:fill="auto"/>
          </w:tcPr>
          <w:p w:rsidR="00D2165D" w:rsidRPr="00C5465C" w:rsidRDefault="00D2165D">
            <w:pPr>
              <w:pStyle w:val="Tabletext"/>
              <w:rPr>
                <w:lang w:val="es-ES_tradnl"/>
              </w:rPr>
            </w:pPr>
            <w:r w:rsidRPr="00C5465C">
              <w:rPr>
                <w:lang w:val="es-ES_tradnl"/>
              </w:rPr>
              <w:t>Varios documentos fueron examinados durante la reunión del</w:t>
            </w:r>
            <w:r w:rsidRPr="00C5465C">
              <w:rPr>
                <w:color w:val="000000"/>
                <w:sz w:val="24"/>
                <w:lang w:val="es-ES_tradnl"/>
              </w:rPr>
              <w:t xml:space="preserve"> </w:t>
            </w:r>
            <w:r w:rsidRPr="00C5465C">
              <w:rPr>
                <w:lang w:val="es-ES_tradnl"/>
              </w:rPr>
              <w:t>Grupo por Correspondencia del GADT sobre el Reglamento interno del UIT-D (GC-Res.1) que tuvo lugar el 10 de mayo de</w:t>
            </w:r>
            <w:r>
              <w:rPr>
                <w:lang w:val="es-ES_tradnl"/>
              </w:rPr>
              <w:t> </w:t>
            </w:r>
            <w:r w:rsidRPr="00C5465C">
              <w:rPr>
                <w:lang w:val="es-ES_tradnl"/>
              </w:rPr>
              <w:t>2017.</w:t>
            </w:r>
          </w:p>
          <w:p w:rsidR="00D2165D" w:rsidRPr="003E58A7" w:rsidRDefault="00D2165D">
            <w:pPr>
              <w:pStyle w:val="Tabletext"/>
              <w:rPr>
                <w:lang w:val="es-ES_tradnl"/>
              </w:rPr>
            </w:pPr>
            <w:r w:rsidRPr="00C5465C">
              <w:rPr>
                <w:lang w:val="es-ES_tradnl"/>
              </w:rPr>
              <w:t xml:space="preserve">El GADT acogió con agrado </w:t>
            </w:r>
            <w:r>
              <w:rPr>
                <w:lang w:val="es-ES_tradnl"/>
              </w:rPr>
              <w:t>los resultados obtenidos por el </w:t>
            </w:r>
            <w:r w:rsidRPr="00C5465C">
              <w:rPr>
                <w:lang w:val="es-ES_tradnl"/>
              </w:rPr>
              <w:t>GC</w:t>
            </w:r>
            <w:r w:rsidRPr="00C5465C">
              <w:rPr>
                <w:lang w:val="es-ES_tradnl"/>
              </w:rPr>
              <w:noBreakHyphen/>
              <w:t xml:space="preserve">Res.1 y expresó su agradecimiento a la Sra. Roxanne McElvane Webber, su Presidenta, por el </w:t>
            </w:r>
            <w:r>
              <w:rPr>
                <w:lang w:val="es-ES_tradnl"/>
              </w:rPr>
              <w:t>trabajo realizado. El </w:t>
            </w:r>
            <w:r w:rsidRPr="00C5465C">
              <w:rPr>
                <w:lang w:val="es-ES_tradnl"/>
              </w:rPr>
              <w:t>GADT aconsejó a los miembros que utilizaran el documento compilado TDAG17-22/10 en sus preparativos para la CMDT</w:t>
            </w:r>
            <w:r w:rsidRPr="003E58A7">
              <w:rPr>
                <w:lang w:val="es-ES_tradnl"/>
              </w:rPr>
              <w:t>.</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C5465C" w:rsidRDefault="00D2165D" w:rsidP="008E5C4B">
            <w:pPr>
              <w:pStyle w:val="Tabletext"/>
              <w:keepNext/>
              <w:keepLines/>
              <w:tabs>
                <w:tab w:val="left" w:pos="459"/>
              </w:tabs>
              <w:rPr>
                <w:rFonts w:cs="Calibri"/>
                <w:szCs w:val="22"/>
                <w:lang w:val="es-ES_tradnl" w:eastAsia="zh-CN"/>
              </w:rPr>
            </w:pPr>
            <w:r w:rsidRPr="00C5465C">
              <w:rPr>
                <w:rFonts w:cs="Calibri"/>
                <w:szCs w:val="22"/>
                <w:lang w:val="es-ES_tradnl" w:eastAsia="zh-CN"/>
              </w:rPr>
              <w:lastRenderedPageBreak/>
              <w:t>10h</w:t>
            </w:r>
            <w:r w:rsidRPr="00C5465C">
              <w:rPr>
                <w:rFonts w:cs="Calibri"/>
                <w:szCs w:val="22"/>
                <w:lang w:val="es-ES_tradnl" w:eastAsia="zh-CN"/>
              </w:rPr>
              <w:tab/>
            </w:r>
            <w:r w:rsidRPr="00C5465C">
              <w:rPr>
                <w:rFonts w:eastAsia="SimHei" w:cs="Simplified Arabic"/>
                <w:szCs w:val="22"/>
                <w:lang w:val="es-ES_tradnl"/>
              </w:rPr>
              <w:t>Racionalización de las Resoluciones de la CMDT</w:t>
            </w:r>
          </w:p>
        </w:tc>
        <w:tc>
          <w:tcPr>
            <w:tcW w:w="5994" w:type="dxa"/>
            <w:tcBorders>
              <w:top w:val="single" w:sz="4" w:space="0" w:color="auto"/>
              <w:left w:val="nil"/>
              <w:bottom w:val="single" w:sz="4" w:space="0" w:color="auto"/>
              <w:right w:val="single" w:sz="4" w:space="0" w:color="auto"/>
            </w:tcBorders>
            <w:shd w:val="clear" w:color="auto" w:fill="auto"/>
          </w:tcPr>
          <w:p w:rsidR="00D2165D" w:rsidRPr="00C5465C" w:rsidRDefault="00D2165D" w:rsidP="00D2165D">
            <w:pPr>
              <w:pStyle w:val="Tabletext"/>
              <w:rPr>
                <w:lang w:val="es-ES_tradnl"/>
              </w:rPr>
            </w:pPr>
            <w:r w:rsidRPr="00C5465C">
              <w:rPr>
                <w:lang w:val="es-ES_tradnl"/>
              </w:rPr>
              <w:t>Varios documentos fueron examinados por la reunión del Grupo por Correspondencia del GADT sobre la racionalización de las Resoluciones de la CMDT</w:t>
            </w:r>
            <w:r w:rsidRPr="00C5465C">
              <w:rPr>
                <w:color w:val="000000"/>
                <w:sz w:val="24"/>
                <w:lang w:val="es-ES_tradnl"/>
              </w:rPr>
              <w:t xml:space="preserve"> </w:t>
            </w:r>
            <w:r w:rsidRPr="00C5465C">
              <w:rPr>
                <w:lang w:val="es-ES_tradnl"/>
              </w:rPr>
              <w:t>(GC-RR) que tuvo lugar el 10 de mayo de 2017.</w:t>
            </w:r>
          </w:p>
          <w:p w:rsidR="00D2165D" w:rsidRPr="003E58A7" w:rsidRDefault="00D2165D" w:rsidP="00D2165D">
            <w:pPr>
              <w:pStyle w:val="Tabletext"/>
              <w:rPr>
                <w:lang w:val="es-ES_tradnl"/>
              </w:rPr>
            </w:pPr>
            <w:r w:rsidRPr="00C5465C">
              <w:rPr>
                <w:lang w:val="es-ES_tradnl"/>
              </w:rPr>
              <w:t xml:space="preserve">El GADT acogió con agrado </w:t>
            </w:r>
            <w:r>
              <w:rPr>
                <w:lang w:val="es-ES_tradnl"/>
              </w:rPr>
              <w:t>los resultados obtenidos por el </w:t>
            </w:r>
            <w:r w:rsidRPr="00C5465C">
              <w:rPr>
                <w:lang w:val="es-ES_tradnl"/>
              </w:rPr>
              <w:t>GC</w:t>
            </w:r>
            <w:r w:rsidRPr="00C5465C">
              <w:rPr>
                <w:lang w:val="es-ES_tradnl"/>
              </w:rPr>
              <w:noBreakHyphen/>
              <w:t>RR y expresó su agradecimiento al Sr. Ahmad Reza Sharafat, su Presidente, por el trabajo realizado. El GADT señaló que los representantes de tres regiones habían expresado el deseo de trabajar sobre propuestas comunes para la racionalización de las Resoluciones 17 y 32 y las Resoluciones 37 y 50</w:t>
            </w:r>
            <w:r w:rsidRPr="003E58A7">
              <w:rPr>
                <w:lang w:val="es-ES_tradnl"/>
              </w:rPr>
              <w:t>.</w:t>
            </w:r>
          </w:p>
          <w:p w:rsidR="00D2165D" w:rsidRPr="003E58A7" w:rsidRDefault="00D2165D" w:rsidP="00D2165D">
            <w:pPr>
              <w:pStyle w:val="Tabletext"/>
              <w:rPr>
                <w:lang w:val="es-ES_tradnl"/>
              </w:rPr>
            </w:pPr>
            <w:r w:rsidRPr="00C5465C">
              <w:rPr>
                <w:lang w:val="es-ES_tradnl"/>
              </w:rPr>
              <w:t>El GADT hizo suyas las directrices sobre la racionalización de las resoluciones de la CMDT recogidas en el Anexo uno al documento TDAG17-22/11, y recomendó que se utilizara ese material en los preparativos de la CMDT</w:t>
            </w:r>
            <w:r w:rsidRPr="003E58A7">
              <w:rPr>
                <w:lang w:val="es-ES_tradnl"/>
              </w:rPr>
              <w:t xml:space="preserve">. </w:t>
            </w:r>
          </w:p>
          <w:p w:rsidR="00D2165D" w:rsidRPr="00C5465C" w:rsidRDefault="00D2165D">
            <w:pPr>
              <w:pStyle w:val="Tabletext"/>
              <w:rPr>
                <w:rFonts w:ascii="Calibri" w:hAnsi="Calibri"/>
                <w:color w:val="000000"/>
                <w:szCs w:val="22"/>
                <w:lang w:val="es-ES_tradnl" w:eastAsia="zh-CN"/>
              </w:rPr>
            </w:pPr>
            <w:r w:rsidRPr="00C5465C">
              <w:rPr>
                <w:lang w:val="es-ES_tradnl"/>
              </w:rPr>
              <w:t>En lo que respecta al examen de los documentos sobre Cuestiones de estudio atribuidos por el GADT al GC</w:t>
            </w:r>
            <w:r w:rsidRPr="00C5465C">
              <w:rPr>
                <w:lang w:val="es-ES_tradnl"/>
              </w:rPr>
              <w:noBreakHyphen/>
              <w:t>RR, el GADT apoyó el Informe del GC-RR y vio con buenos ojos la propuesta de reducir el número de Cuestiones de estudio y los esfuerzos por evitar duplicaciones</w:t>
            </w:r>
            <w:r w:rsidRPr="003E58A7">
              <w:rPr>
                <w:lang w:val="es-ES_tradnl"/>
              </w:rPr>
              <w:t>.</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C5465C" w:rsidRDefault="00D2165D" w:rsidP="00D2165D">
            <w:pPr>
              <w:pStyle w:val="Tabletext"/>
              <w:rPr>
                <w:rFonts w:cs="Calibri"/>
                <w:szCs w:val="22"/>
                <w:lang w:val="es-ES_tradnl" w:eastAsia="zh-CN"/>
              </w:rPr>
            </w:pPr>
            <w:r w:rsidRPr="00C5465C">
              <w:rPr>
                <w:rFonts w:cs="Calibri"/>
                <w:szCs w:val="22"/>
                <w:lang w:val="es-ES_tradnl" w:eastAsia="zh-CN"/>
              </w:rPr>
              <w:t>11</w:t>
            </w:r>
            <w:r w:rsidRPr="00C5465C">
              <w:rPr>
                <w:rFonts w:cs="Calibri"/>
                <w:szCs w:val="22"/>
                <w:lang w:val="es-ES_tradnl" w:eastAsia="zh-CN"/>
              </w:rPr>
              <w:tab/>
              <w:t>Colaboración con los otros Sectores, en particular el informe de situación del equipo de coordinación intersectorial sobre temas de interés común</w:t>
            </w:r>
          </w:p>
        </w:tc>
        <w:tc>
          <w:tcPr>
            <w:tcW w:w="5994" w:type="dxa"/>
            <w:tcBorders>
              <w:top w:val="single" w:sz="4" w:space="0" w:color="auto"/>
              <w:left w:val="nil"/>
              <w:bottom w:val="single" w:sz="4" w:space="0" w:color="auto"/>
              <w:right w:val="single" w:sz="4" w:space="0" w:color="auto"/>
            </w:tcBorders>
            <w:shd w:val="clear" w:color="auto" w:fill="auto"/>
          </w:tcPr>
          <w:p w:rsidR="00D2165D" w:rsidRPr="00C5465C" w:rsidRDefault="00D2165D" w:rsidP="00D2165D">
            <w:pPr>
              <w:pStyle w:val="Tabletext"/>
              <w:rPr>
                <w:lang w:val="es-ES_tradnl"/>
              </w:rPr>
            </w:pPr>
            <w:r w:rsidRPr="00C5465C">
              <w:rPr>
                <w:lang w:val="es-ES_tradnl"/>
              </w:rPr>
              <w:t>Varios documentos fueron examinados por la reunión del</w:t>
            </w:r>
            <w:r w:rsidRPr="00C5465C">
              <w:rPr>
                <w:color w:val="000000"/>
                <w:sz w:val="24"/>
                <w:lang w:val="es-ES_tradnl"/>
              </w:rPr>
              <w:t xml:space="preserve"> </w:t>
            </w:r>
            <w:r w:rsidRPr="00C5465C">
              <w:rPr>
                <w:lang w:val="es-ES_tradnl"/>
              </w:rPr>
              <w:t>Equipo de Coordinación Intersectorial sobre cuestiones de interés común que tuvo lugar el 10 de de mayo de 2017.</w:t>
            </w:r>
          </w:p>
          <w:p w:rsidR="00D2165D" w:rsidRPr="00533C8C" w:rsidRDefault="00D2165D" w:rsidP="00D2165D">
            <w:pPr>
              <w:pStyle w:val="Tabletext"/>
              <w:rPr>
                <w:lang w:val="es-ES_tradnl"/>
              </w:rPr>
            </w:pPr>
            <w:r w:rsidRPr="00C5465C">
              <w:rPr>
                <w:lang w:val="es-ES_tradnl"/>
              </w:rPr>
              <w:t>El GADT tomó nota con agradecimiento del informe y dio las gracias a al Sr. Fabio Bigi, su Presidente, por el trabajo realizado. Se propuso contemplar la posibilidad de incorporar cuestiones de género en las cuestiones de interés común, aunque se señaló que las cuestiones de género afectan a todos los sectores</w:t>
            </w:r>
            <w:r w:rsidRPr="00533C8C">
              <w:rPr>
                <w:lang w:val="es-ES_tradnl"/>
              </w:rPr>
              <w:t>.</w:t>
            </w:r>
          </w:p>
          <w:p w:rsidR="00D2165D" w:rsidRPr="00533C8C" w:rsidRDefault="00D2165D">
            <w:pPr>
              <w:pStyle w:val="Tabletext"/>
              <w:rPr>
                <w:lang w:val="es-ES_tradnl"/>
              </w:rPr>
            </w:pPr>
            <w:r w:rsidRPr="00C5465C">
              <w:rPr>
                <w:lang w:val="es-ES_tradnl"/>
              </w:rPr>
              <w:t>El GADT agradeció los cuadros de correspondencia recogidos en los Apéndices, ya que son útiles para preparar propuestas sobre cuestiones de estudio del UIT-D. También se propuso añadir una referencia a la Cuestión 1/239 de la CE</w:t>
            </w:r>
            <w:r>
              <w:rPr>
                <w:lang w:val="es-ES_tradnl"/>
              </w:rPr>
              <w:t xml:space="preserve"> </w:t>
            </w:r>
            <w:r w:rsidRPr="00C5465C">
              <w:rPr>
                <w:lang w:val="es-ES_tradnl"/>
              </w:rPr>
              <w:t>1 del UIT-R sobre CEM en el Apéndice 2</w:t>
            </w:r>
            <w:r w:rsidRPr="00533C8C">
              <w:rPr>
                <w:lang w:val="es-ES_tradnl"/>
              </w:rPr>
              <w:t>.</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C5465C" w:rsidRDefault="00D2165D">
            <w:pPr>
              <w:pStyle w:val="Tabletext"/>
              <w:rPr>
                <w:rFonts w:cs="Calibri"/>
                <w:szCs w:val="22"/>
                <w:lang w:val="es-ES_tradnl" w:eastAsia="zh-CN"/>
              </w:rPr>
            </w:pPr>
            <w:r>
              <w:rPr>
                <w:rFonts w:cs="Calibri"/>
                <w:szCs w:val="22"/>
                <w:lang w:val="es-ES_tradnl" w:eastAsia="zh-CN"/>
              </w:rPr>
              <w:t>12</w:t>
            </w:r>
            <w:r>
              <w:rPr>
                <w:rFonts w:cs="Calibri"/>
                <w:szCs w:val="22"/>
                <w:lang w:val="es-ES_tradnl" w:eastAsia="zh-CN"/>
              </w:rPr>
              <w:tab/>
              <w:t>Informe del GADT a la </w:t>
            </w:r>
            <w:r w:rsidRPr="00C5465C">
              <w:rPr>
                <w:rFonts w:cs="Calibri"/>
                <w:szCs w:val="22"/>
                <w:lang w:val="es-ES_tradnl" w:eastAsia="zh-CN"/>
              </w:rPr>
              <w:t>CMDT</w:t>
            </w:r>
            <w:r w:rsidRPr="00C5465C">
              <w:rPr>
                <w:rFonts w:cs="Calibri"/>
                <w:szCs w:val="22"/>
                <w:lang w:val="es-ES_tradnl" w:eastAsia="zh-CN"/>
              </w:rPr>
              <w:noBreakHyphen/>
              <w:t>17</w:t>
            </w:r>
          </w:p>
        </w:tc>
        <w:tc>
          <w:tcPr>
            <w:tcW w:w="5994" w:type="dxa"/>
            <w:tcBorders>
              <w:top w:val="single" w:sz="4" w:space="0" w:color="auto"/>
              <w:left w:val="nil"/>
              <w:bottom w:val="single" w:sz="4" w:space="0" w:color="auto"/>
              <w:right w:val="single" w:sz="4" w:space="0" w:color="auto"/>
            </w:tcBorders>
            <w:shd w:val="clear" w:color="auto" w:fill="auto"/>
          </w:tcPr>
          <w:p w:rsidR="00D2165D" w:rsidRPr="00C5465C" w:rsidRDefault="00D2165D">
            <w:pPr>
              <w:pStyle w:val="Tabletext"/>
              <w:rPr>
                <w:rFonts w:ascii="Calibri" w:hAnsi="Calibri"/>
                <w:color w:val="000000"/>
                <w:szCs w:val="22"/>
                <w:lang w:val="es-ES_tradnl" w:eastAsia="zh-CN"/>
              </w:rPr>
            </w:pPr>
            <w:r w:rsidRPr="00C5465C">
              <w:rPr>
                <w:szCs w:val="22"/>
                <w:lang w:val="es-ES_tradnl"/>
              </w:rPr>
              <w:t>El GADT tomó nota del proyecto de Informe a la CMDT-17 sobre las actividades del GADT en 2014-2017 y decidió pedir a los miembros que comentaran ese proyecto antes del 1 de junio de</w:t>
            </w:r>
            <w:r>
              <w:rPr>
                <w:szCs w:val="22"/>
                <w:lang w:val="es-ES_tradnl"/>
              </w:rPr>
              <w:t> </w:t>
            </w:r>
            <w:r w:rsidRPr="00C5465C">
              <w:rPr>
                <w:szCs w:val="22"/>
                <w:lang w:val="es-ES_tradnl"/>
              </w:rPr>
              <w:t>2017. El Presidente prometió finalizar el informe antes del 15 de junio de 2017</w:t>
            </w:r>
            <w:r w:rsidRPr="00657A21">
              <w:rPr>
                <w:szCs w:val="22"/>
                <w:lang w:val="es-ES_tradnl"/>
              </w:rPr>
              <w:t>.</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C5465C" w:rsidRDefault="00D2165D" w:rsidP="00D2165D">
            <w:pPr>
              <w:pStyle w:val="Tabletext"/>
              <w:rPr>
                <w:rFonts w:cs="Calibri"/>
                <w:szCs w:val="22"/>
                <w:lang w:val="es-ES_tradnl" w:eastAsia="zh-CN"/>
              </w:rPr>
            </w:pPr>
            <w:r w:rsidRPr="00C5465C">
              <w:rPr>
                <w:rFonts w:cs="Calibri"/>
                <w:szCs w:val="22"/>
                <w:lang w:val="es-ES_tradnl" w:eastAsia="zh-CN"/>
              </w:rPr>
              <w:t>13</w:t>
            </w:r>
            <w:r w:rsidRPr="00C5465C">
              <w:rPr>
                <w:rFonts w:cs="Calibri"/>
                <w:szCs w:val="22"/>
                <w:lang w:val="es-ES_tradnl" w:eastAsia="zh-CN"/>
              </w:rPr>
              <w:tab/>
              <w:t>Informe del Grupo sobre iniciativas de capacitación (GCBI)</w:t>
            </w:r>
          </w:p>
        </w:tc>
        <w:tc>
          <w:tcPr>
            <w:tcW w:w="5994" w:type="dxa"/>
            <w:tcBorders>
              <w:top w:val="single" w:sz="4" w:space="0" w:color="auto"/>
              <w:left w:val="nil"/>
              <w:bottom w:val="single" w:sz="4" w:space="0" w:color="auto"/>
              <w:right w:val="single" w:sz="4" w:space="0" w:color="auto"/>
            </w:tcBorders>
            <w:shd w:val="clear" w:color="auto" w:fill="auto"/>
          </w:tcPr>
          <w:p w:rsidR="00D2165D" w:rsidRPr="00C5465C" w:rsidRDefault="00D2165D">
            <w:pPr>
              <w:pStyle w:val="Tabletext"/>
              <w:rPr>
                <w:rFonts w:ascii="Calibri" w:hAnsi="Calibri"/>
                <w:color w:val="000000"/>
                <w:szCs w:val="22"/>
                <w:lang w:val="es-ES_tradnl" w:eastAsia="zh-CN"/>
              </w:rPr>
            </w:pPr>
            <w:r w:rsidRPr="00C5465C">
              <w:rPr>
                <w:szCs w:val="22"/>
                <w:lang w:val="es-ES_tradnl"/>
              </w:rPr>
              <w:t>El GADT acogió con agrado el informe y expresó su agradecimiento por el trabajo del GCBI y al Sr. Santiago Reyes-Borda, su Presidente, y alentó al Grupo a continuar sus actividades de asesoramiento del Director de la BDT sobre asuntos relacionados con el fortalecimiento de capacidades</w:t>
            </w:r>
            <w:r w:rsidRPr="00784DB7">
              <w:rPr>
                <w:szCs w:val="22"/>
                <w:lang w:val="es-ES_tradnl"/>
              </w:rPr>
              <w:t>.</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C5465C" w:rsidRDefault="00D2165D" w:rsidP="00D2165D">
            <w:pPr>
              <w:pStyle w:val="Tabletext"/>
              <w:rPr>
                <w:rFonts w:cs="Calibri"/>
                <w:szCs w:val="22"/>
                <w:lang w:val="es-ES_tradnl" w:eastAsia="zh-CN"/>
              </w:rPr>
            </w:pPr>
            <w:r w:rsidRPr="00C5465C">
              <w:rPr>
                <w:rFonts w:cs="Calibri"/>
                <w:szCs w:val="22"/>
                <w:lang w:val="es-ES_tradnl" w:eastAsia="zh-CN"/>
              </w:rPr>
              <w:t>14</w:t>
            </w:r>
            <w:r w:rsidRPr="00C5465C">
              <w:rPr>
                <w:rFonts w:cs="Calibri"/>
                <w:szCs w:val="22"/>
                <w:lang w:val="es-ES_tradnl" w:eastAsia="zh-CN"/>
              </w:rPr>
              <w:tab/>
              <w:t>Informe sobre otras actividades del UIT-D</w:t>
            </w:r>
          </w:p>
        </w:tc>
        <w:tc>
          <w:tcPr>
            <w:tcW w:w="5994" w:type="dxa"/>
            <w:tcBorders>
              <w:top w:val="single" w:sz="4" w:space="0" w:color="auto"/>
              <w:left w:val="nil"/>
              <w:bottom w:val="single" w:sz="4" w:space="0" w:color="auto"/>
              <w:right w:val="single" w:sz="4" w:space="0" w:color="auto"/>
            </w:tcBorders>
            <w:shd w:val="clear" w:color="auto" w:fill="auto"/>
          </w:tcPr>
          <w:p w:rsidR="00D2165D" w:rsidRPr="00C5465C" w:rsidRDefault="00D2165D" w:rsidP="00D2165D">
            <w:pPr>
              <w:pStyle w:val="Tabletext"/>
              <w:rPr>
                <w:rFonts w:ascii="Calibri" w:hAnsi="Calibri"/>
                <w:color w:val="000000"/>
                <w:szCs w:val="22"/>
                <w:lang w:val="es-ES_tradnl" w:eastAsia="zh-CN"/>
              </w:rPr>
            </w:pP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C5465C" w:rsidRDefault="00D2165D" w:rsidP="00D2165D">
            <w:pPr>
              <w:pStyle w:val="Tabletext"/>
              <w:tabs>
                <w:tab w:val="left" w:pos="459"/>
              </w:tabs>
              <w:rPr>
                <w:rFonts w:cs="Calibri"/>
                <w:szCs w:val="22"/>
                <w:lang w:val="es-ES_tradnl" w:eastAsia="zh-CN"/>
              </w:rPr>
            </w:pPr>
            <w:r w:rsidRPr="00C5465C">
              <w:rPr>
                <w:rFonts w:cs="Calibri"/>
                <w:szCs w:val="22"/>
                <w:lang w:val="es-ES_tradnl" w:eastAsia="zh-CN"/>
              </w:rPr>
              <w:t>14a</w:t>
            </w:r>
            <w:r w:rsidRPr="00C5465C">
              <w:rPr>
                <w:rFonts w:cs="Calibri"/>
                <w:szCs w:val="22"/>
                <w:lang w:val="es-ES_tradnl" w:eastAsia="zh-CN"/>
              </w:rPr>
              <w:tab/>
              <w:t>Simposio Mundial para Reguladores (GSR) de 2016 y 2017</w:t>
            </w:r>
          </w:p>
        </w:tc>
        <w:tc>
          <w:tcPr>
            <w:tcW w:w="5994" w:type="dxa"/>
            <w:tcBorders>
              <w:top w:val="single" w:sz="4" w:space="0" w:color="auto"/>
              <w:left w:val="nil"/>
              <w:bottom w:val="single" w:sz="4" w:space="0" w:color="auto"/>
              <w:right w:val="single" w:sz="4" w:space="0" w:color="auto"/>
            </w:tcBorders>
            <w:shd w:val="clear" w:color="auto" w:fill="auto"/>
          </w:tcPr>
          <w:p w:rsidR="00D2165D" w:rsidRPr="00784DB7" w:rsidRDefault="00D2165D">
            <w:pPr>
              <w:pStyle w:val="Tabletext"/>
              <w:rPr>
                <w:szCs w:val="22"/>
                <w:lang w:val="es-ES_tradnl"/>
              </w:rPr>
            </w:pPr>
            <w:r w:rsidRPr="00C5465C">
              <w:rPr>
                <w:szCs w:val="22"/>
                <w:lang w:val="es-ES_tradnl"/>
              </w:rPr>
              <w:t>El GADT acogió con agrado el documento y dio las gracias al Gobierno de las Bahamas por acoger el próximo Simposio Mundial para Reguladores (GSR) 2017</w:t>
            </w:r>
            <w:r w:rsidRPr="00784DB7">
              <w:rPr>
                <w:szCs w:val="22"/>
                <w:lang w:val="es-ES_tradnl"/>
              </w:rPr>
              <w:t>.</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784DB7" w:rsidRDefault="00D2165D" w:rsidP="00D2165D">
            <w:pPr>
              <w:pStyle w:val="Tabletext"/>
              <w:tabs>
                <w:tab w:val="left" w:pos="459"/>
              </w:tabs>
              <w:rPr>
                <w:rFonts w:cs="Calibri"/>
                <w:szCs w:val="22"/>
                <w:lang w:val="es-ES_tradnl" w:eastAsia="zh-CN"/>
              </w:rPr>
            </w:pPr>
            <w:r w:rsidRPr="00C5465C">
              <w:rPr>
                <w:rFonts w:cs="Calibri"/>
                <w:szCs w:val="22"/>
                <w:lang w:val="es-ES_tradnl" w:eastAsia="zh-CN"/>
              </w:rPr>
              <w:t>14b</w:t>
            </w:r>
            <w:r w:rsidRPr="00C5465C">
              <w:rPr>
                <w:rFonts w:cs="Calibri"/>
                <w:szCs w:val="22"/>
                <w:lang w:val="es-ES_tradnl" w:eastAsia="zh-CN"/>
              </w:rPr>
              <w:tab/>
              <w:t>Simposio Mundial sobre Capacitación en TIC (CBS-2016)</w:t>
            </w:r>
          </w:p>
        </w:tc>
        <w:tc>
          <w:tcPr>
            <w:tcW w:w="5994" w:type="dxa"/>
            <w:tcBorders>
              <w:top w:val="single" w:sz="4" w:space="0" w:color="auto"/>
              <w:left w:val="nil"/>
              <w:bottom w:val="single" w:sz="4" w:space="0" w:color="auto"/>
              <w:right w:val="single" w:sz="4" w:space="0" w:color="auto"/>
            </w:tcBorders>
            <w:shd w:val="clear" w:color="auto" w:fill="auto"/>
          </w:tcPr>
          <w:p w:rsidR="00D2165D" w:rsidRPr="00C5465C" w:rsidRDefault="00D2165D">
            <w:pPr>
              <w:pStyle w:val="Tabletext"/>
              <w:rPr>
                <w:szCs w:val="22"/>
                <w:lang w:val="es-ES_tradnl"/>
              </w:rPr>
            </w:pPr>
            <w:r w:rsidRPr="00C5465C">
              <w:rPr>
                <w:szCs w:val="22"/>
                <w:lang w:val="es-ES_tradnl"/>
              </w:rPr>
              <w:t>El GADT acogió con agrado el informe y, en particular, la presencia de jóvenes en el Simposio, y se felicitó de los esfuerzos por garantizar su participación en el próximo Simposio sobre Capacitación</w:t>
            </w:r>
            <w:r w:rsidRPr="00784DB7">
              <w:rPr>
                <w:szCs w:val="22"/>
                <w:lang w:val="es-ES_tradnl"/>
              </w:rPr>
              <w:t>.</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784DB7" w:rsidRDefault="00D2165D" w:rsidP="00D2165D">
            <w:pPr>
              <w:pStyle w:val="Tabletext"/>
              <w:tabs>
                <w:tab w:val="left" w:pos="459"/>
              </w:tabs>
              <w:rPr>
                <w:rFonts w:cs="Calibri"/>
                <w:szCs w:val="22"/>
                <w:lang w:val="es-ES_tradnl" w:eastAsia="zh-CN"/>
              </w:rPr>
            </w:pPr>
            <w:r w:rsidRPr="00C5465C">
              <w:rPr>
                <w:rFonts w:cs="Calibri"/>
                <w:szCs w:val="22"/>
                <w:lang w:val="es-ES_tradnl" w:eastAsia="zh-CN"/>
              </w:rPr>
              <w:t>14c</w:t>
            </w:r>
            <w:r w:rsidRPr="00C5465C">
              <w:rPr>
                <w:rFonts w:cs="Calibri"/>
                <w:szCs w:val="22"/>
                <w:lang w:val="es-ES_tradnl" w:eastAsia="zh-CN"/>
              </w:rPr>
              <w:tab/>
              <w:t>Simposio Mundial sobre Indicadores de T</w:t>
            </w:r>
            <w:r w:rsidR="00514D8B">
              <w:rPr>
                <w:rFonts w:cs="Calibri"/>
                <w:szCs w:val="22"/>
                <w:lang w:val="es-ES_tradnl" w:eastAsia="zh-CN"/>
              </w:rPr>
              <w:t>elecomunicaciones/TIC (SMIT) de </w:t>
            </w:r>
            <w:r w:rsidRPr="00C5465C">
              <w:rPr>
                <w:rFonts w:cs="Calibri"/>
                <w:szCs w:val="22"/>
                <w:lang w:val="es-ES_tradnl" w:eastAsia="zh-CN"/>
              </w:rPr>
              <w:t>2016 y 2017</w:t>
            </w:r>
          </w:p>
        </w:tc>
        <w:tc>
          <w:tcPr>
            <w:tcW w:w="5994" w:type="dxa"/>
            <w:tcBorders>
              <w:top w:val="single" w:sz="4" w:space="0" w:color="auto"/>
              <w:left w:val="nil"/>
              <w:bottom w:val="single" w:sz="4" w:space="0" w:color="auto"/>
              <w:right w:val="single" w:sz="4" w:space="0" w:color="auto"/>
            </w:tcBorders>
            <w:shd w:val="clear" w:color="auto" w:fill="auto"/>
          </w:tcPr>
          <w:p w:rsidR="00D2165D" w:rsidRPr="00C5465C" w:rsidRDefault="00D2165D">
            <w:pPr>
              <w:pStyle w:val="Tabletext"/>
              <w:rPr>
                <w:szCs w:val="22"/>
                <w:lang w:val="es-ES_tradnl"/>
              </w:rPr>
            </w:pPr>
            <w:r w:rsidRPr="00C5465C">
              <w:rPr>
                <w:szCs w:val="22"/>
                <w:lang w:val="es-ES_tradnl"/>
              </w:rPr>
              <w:t xml:space="preserve">El GADT acogió con agrado el documento y dio las gracias a los Gobiernos de Botswana por acoger el SMIT-16 y de Túnez por ofrecerse a acoger el SMIT-17. El GADT insistió la importancia que revisten las estadísticas de la UIT, que son utilizadas por muchos otros interesados. Se propuso seguir revisando los mecanismos de trabajo </w:t>
            </w:r>
            <w:r w:rsidRPr="00C5465C">
              <w:rPr>
                <w:szCs w:val="22"/>
                <w:lang w:val="es-ES_tradnl"/>
              </w:rPr>
              <w:lastRenderedPageBreak/>
              <w:t>con miras adelantar la fecha de publicación anual de los resultados del Índice de Desarrollo de las TIC (IDT)</w:t>
            </w:r>
            <w:r w:rsidRPr="00784DB7">
              <w:rPr>
                <w:szCs w:val="22"/>
                <w:lang w:val="es-ES_tradnl"/>
              </w:rPr>
              <w:t>.</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8E5C4B" w:rsidRDefault="00D2165D" w:rsidP="00D2165D">
            <w:pPr>
              <w:pStyle w:val="Tabletext"/>
              <w:rPr>
                <w:rFonts w:cs="Calibri"/>
                <w:szCs w:val="22"/>
                <w:lang w:val="es-ES_tradnl" w:eastAsia="zh-CN"/>
              </w:rPr>
            </w:pPr>
            <w:r w:rsidRPr="00C5465C">
              <w:rPr>
                <w:rFonts w:cs="Calibri"/>
                <w:szCs w:val="22"/>
                <w:lang w:val="es-ES_tradnl" w:eastAsia="zh-CN"/>
              </w:rPr>
              <w:lastRenderedPageBreak/>
              <w:t>15</w:t>
            </w:r>
            <w:r w:rsidRPr="00C5465C">
              <w:rPr>
                <w:rFonts w:cs="Calibri"/>
                <w:szCs w:val="22"/>
                <w:lang w:val="es-ES_tradnl" w:eastAsia="zh-CN"/>
              </w:rPr>
              <w:tab/>
              <w:t>Asuntos relacionados con los miembros, las asociaciones y la innovación</w:t>
            </w:r>
          </w:p>
        </w:tc>
        <w:tc>
          <w:tcPr>
            <w:tcW w:w="5994" w:type="dxa"/>
            <w:tcBorders>
              <w:top w:val="single" w:sz="4" w:space="0" w:color="auto"/>
              <w:left w:val="nil"/>
              <w:bottom w:val="single" w:sz="4" w:space="0" w:color="auto"/>
              <w:right w:val="single" w:sz="4" w:space="0" w:color="auto"/>
            </w:tcBorders>
            <w:shd w:val="clear" w:color="auto" w:fill="auto"/>
          </w:tcPr>
          <w:p w:rsidR="00D2165D" w:rsidRPr="00C5465C" w:rsidRDefault="00D2165D">
            <w:pPr>
              <w:pStyle w:val="Tabletext"/>
              <w:rPr>
                <w:szCs w:val="22"/>
                <w:lang w:val="es-ES_tradnl"/>
              </w:rPr>
            </w:pPr>
            <w:r w:rsidRPr="00C5465C">
              <w:rPr>
                <w:szCs w:val="22"/>
                <w:lang w:val="es-ES_tradnl"/>
              </w:rPr>
              <w:t>El GADT acogió con agrado el documento y aconsejó al Director de la BDT que tuviera en cuenta los comentarios formulados y facilitara a la CMDT información adicional sobre cada región. Se agradecería también un resumen del periodo 2014-2017.</w:t>
            </w:r>
          </w:p>
          <w:p w:rsidR="00D2165D" w:rsidRPr="00C5465C" w:rsidRDefault="00D2165D" w:rsidP="00D2165D">
            <w:pPr>
              <w:pStyle w:val="Tabletext"/>
              <w:rPr>
                <w:szCs w:val="22"/>
                <w:lang w:val="es-ES_tradnl"/>
              </w:rPr>
            </w:pPr>
            <w:r w:rsidRPr="00C5465C">
              <w:rPr>
                <w:szCs w:val="22"/>
                <w:lang w:val="es-ES_tradnl"/>
              </w:rPr>
              <w:t>El GADT pidió a la Secretaría que tuviera en cuenta los comentarios recibidos, en lo que respecta en particular a un análisis detallado de la participación con instituciones académicas en las regiones. El GADT pidió al Director que estudiase posibilidades de atraer PYME y microempresas. En lo que respecta a la definición de PYME, los interesados pueden trabajar sobre ello y someter a la CMDT contribuciones cuyo contenido figurará en resoluciones pertinentes.</w:t>
            </w:r>
          </w:p>
          <w:p w:rsidR="00D2165D" w:rsidRPr="00C5465C" w:rsidRDefault="00D2165D">
            <w:pPr>
              <w:pStyle w:val="Tabletext"/>
              <w:rPr>
                <w:szCs w:val="22"/>
                <w:lang w:val="es-ES_tradnl"/>
              </w:rPr>
            </w:pPr>
            <w:r>
              <w:rPr>
                <w:szCs w:val="22"/>
                <w:lang w:val="es-ES_tradnl"/>
              </w:rPr>
              <w:t>El GADT</w:t>
            </w:r>
            <w:r w:rsidRPr="00C5465C">
              <w:rPr>
                <w:szCs w:val="22"/>
                <w:lang w:val="es-ES_tradnl"/>
              </w:rPr>
              <w:t xml:space="preserve"> expresó su agradecimiento al Sr. Dominique Würges, Vicepresidente del GADT, por el trabajo realizado durante dos ciclos sobre cuestiones del sector privado</w:t>
            </w:r>
            <w:r w:rsidRPr="008E5C4B">
              <w:rPr>
                <w:szCs w:val="22"/>
                <w:lang w:val="es-ES_tradnl"/>
              </w:rPr>
              <w:t>.</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8E5C4B" w:rsidRDefault="00D2165D" w:rsidP="00D2165D">
            <w:pPr>
              <w:pStyle w:val="Tabletext"/>
              <w:rPr>
                <w:rFonts w:cs="Calibri"/>
                <w:szCs w:val="22"/>
                <w:lang w:val="es-ES_tradnl" w:eastAsia="zh-CN"/>
              </w:rPr>
            </w:pPr>
            <w:r w:rsidRPr="00C5465C">
              <w:rPr>
                <w:rFonts w:cs="Calibri"/>
                <w:szCs w:val="22"/>
                <w:lang w:val="es-ES_tradnl" w:eastAsia="zh-CN"/>
              </w:rPr>
              <w:t>16</w:t>
            </w:r>
            <w:r w:rsidRPr="00C5465C">
              <w:rPr>
                <w:rFonts w:cs="Calibri"/>
                <w:szCs w:val="22"/>
                <w:lang w:val="es-ES_tradnl" w:eastAsia="zh-CN"/>
              </w:rPr>
              <w:tab/>
              <w:t>Actos de celebración del 25º Aniversario del UIT-D</w:t>
            </w:r>
          </w:p>
        </w:tc>
        <w:tc>
          <w:tcPr>
            <w:tcW w:w="5994" w:type="dxa"/>
            <w:tcBorders>
              <w:top w:val="single" w:sz="4" w:space="0" w:color="auto"/>
              <w:left w:val="nil"/>
              <w:bottom w:val="single" w:sz="4" w:space="0" w:color="auto"/>
              <w:right w:val="single" w:sz="4" w:space="0" w:color="auto"/>
            </w:tcBorders>
            <w:shd w:val="clear" w:color="auto" w:fill="auto"/>
          </w:tcPr>
          <w:p w:rsidR="00D2165D" w:rsidRPr="00C5465C" w:rsidRDefault="00D2165D" w:rsidP="00D2165D">
            <w:pPr>
              <w:pStyle w:val="Tabletext"/>
              <w:rPr>
                <w:szCs w:val="22"/>
                <w:lang w:val="es-ES_tradnl"/>
              </w:rPr>
            </w:pPr>
            <w:r w:rsidRPr="00C5465C">
              <w:rPr>
                <w:szCs w:val="22"/>
                <w:lang w:val="es-ES_tradnl"/>
              </w:rPr>
              <w:t>El GADT acogió con agrado la presentación y aconsejó que se aclarase la cuestión de la participación de altos funcionarios. El</w:t>
            </w:r>
            <w:r>
              <w:rPr>
                <w:szCs w:val="22"/>
                <w:lang w:val="es-ES_tradnl"/>
              </w:rPr>
              <w:t> </w:t>
            </w:r>
            <w:r w:rsidRPr="00C5465C">
              <w:rPr>
                <w:szCs w:val="22"/>
                <w:lang w:val="es-ES_tradnl"/>
              </w:rPr>
              <w:t>GADT también aconsejó que se garantizase una gran visibilidad a los logros del UIT-D durante los últimos 25 años mediante diversos mecanismos centrados en éxitos y en resultados significativos, en particular en beneficio de países en desarrollo, así como sobre el papel protagonista del UIT-D en la aplicación de los resultados de la CMSI, los Objetivos de Desarrollo Sostenible y la Agenda Conectar 2020. Se alentó a los Miembros a contribuir a los pre</w:t>
            </w:r>
            <w:r>
              <w:rPr>
                <w:szCs w:val="22"/>
                <w:lang w:val="es-ES_tradnl"/>
              </w:rPr>
              <w:t>parativos de la celebración del </w:t>
            </w:r>
            <w:r w:rsidRPr="00C5465C">
              <w:rPr>
                <w:szCs w:val="22"/>
                <w:lang w:val="es-ES_tradnl"/>
              </w:rPr>
              <w:t>25º aniversario del UIT-D</w:t>
            </w:r>
            <w:r w:rsidRPr="008E5C4B">
              <w:rPr>
                <w:szCs w:val="22"/>
                <w:lang w:val="es-ES_tradnl"/>
              </w:rPr>
              <w:t>.</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574401" w:rsidRDefault="00D2165D" w:rsidP="00D2165D">
            <w:pPr>
              <w:pStyle w:val="Tabletext"/>
              <w:rPr>
                <w:rFonts w:cs="Calibri"/>
                <w:szCs w:val="22"/>
                <w:lang w:val="es-ES_tradnl" w:eastAsia="zh-CN"/>
              </w:rPr>
            </w:pPr>
            <w:r w:rsidRPr="00C5465C">
              <w:rPr>
                <w:rFonts w:cs="Calibri"/>
                <w:szCs w:val="22"/>
                <w:lang w:val="es-ES_tradnl" w:eastAsia="zh-CN"/>
              </w:rPr>
              <w:t>17</w:t>
            </w:r>
            <w:r w:rsidRPr="00C5465C">
              <w:rPr>
                <w:rFonts w:cs="Calibri"/>
                <w:szCs w:val="22"/>
                <w:lang w:val="es-ES_tradnl" w:eastAsia="zh-CN"/>
              </w:rPr>
              <w:tab/>
            </w:r>
            <w:r>
              <w:rPr>
                <w:rFonts w:cs="Calibri"/>
                <w:szCs w:val="22"/>
                <w:lang w:val="es-ES_tradnl" w:eastAsia="zh-CN"/>
              </w:rPr>
              <w:t>Calendario de eventos del </w:t>
            </w:r>
            <w:r w:rsidRPr="00C5465C">
              <w:rPr>
                <w:rFonts w:cs="Calibri"/>
                <w:szCs w:val="22"/>
                <w:lang w:val="es-ES_tradnl" w:eastAsia="zh-CN"/>
              </w:rPr>
              <w:t>UIT-D</w:t>
            </w:r>
          </w:p>
        </w:tc>
        <w:tc>
          <w:tcPr>
            <w:tcW w:w="5994" w:type="dxa"/>
            <w:tcBorders>
              <w:top w:val="single" w:sz="4" w:space="0" w:color="auto"/>
              <w:left w:val="nil"/>
              <w:bottom w:val="single" w:sz="4" w:space="0" w:color="auto"/>
              <w:right w:val="single" w:sz="4" w:space="0" w:color="auto"/>
            </w:tcBorders>
            <w:shd w:val="clear" w:color="auto" w:fill="auto"/>
          </w:tcPr>
          <w:p w:rsidR="00D2165D" w:rsidRPr="00C5465C" w:rsidRDefault="00D2165D">
            <w:pPr>
              <w:pStyle w:val="Tabletext"/>
              <w:rPr>
                <w:szCs w:val="22"/>
                <w:lang w:val="es-ES_tradnl"/>
              </w:rPr>
            </w:pPr>
            <w:r w:rsidRPr="00C5465C">
              <w:rPr>
                <w:szCs w:val="22"/>
                <w:lang w:val="es-ES_tradnl"/>
              </w:rPr>
              <w:t>El GADT acogió con agrado el documento y refrendó el calendario de eventos. Alentó asimismo mantener la coordinación de eventos con los demás Sectores y otras organizaciones internacionales y regionales</w:t>
            </w:r>
            <w:r w:rsidRPr="00574401">
              <w:rPr>
                <w:szCs w:val="22"/>
                <w:lang w:val="es-ES_tradnl"/>
              </w:rPr>
              <w:t>.</w:t>
            </w:r>
          </w:p>
        </w:tc>
      </w:tr>
      <w:tr w:rsidR="00D2165D" w:rsidRPr="009F2DF9" w:rsidTr="00D2165D">
        <w:tc>
          <w:tcPr>
            <w:tcW w:w="3220" w:type="dxa"/>
            <w:tcBorders>
              <w:top w:val="single" w:sz="4" w:space="0" w:color="auto"/>
              <w:left w:val="single" w:sz="4" w:space="0" w:color="auto"/>
              <w:bottom w:val="single" w:sz="4" w:space="0" w:color="auto"/>
              <w:right w:val="single" w:sz="4" w:space="0" w:color="auto"/>
            </w:tcBorders>
            <w:shd w:val="clear" w:color="auto" w:fill="auto"/>
          </w:tcPr>
          <w:p w:rsidR="00D2165D" w:rsidRPr="00C5465C" w:rsidRDefault="00D2165D" w:rsidP="00D2165D">
            <w:pPr>
              <w:pStyle w:val="Tabletext"/>
              <w:rPr>
                <w:rFonts w:cs="Calibri"/>
                <w:szCs w:val="22"/>
                <w:lang w:val="es-ES_tradnl" w:eastAsia="zh-CN"/>
              </w:rPr>
            </w:pPr>
            <w:r w:rsidRPr="00C5465C">
              <w:rPr>
                <w:rFonts w:cs="Calibri"/>
                <w:szCs w:val="22"/>
                <w:lang w:val="es-ES_tradnl" w:eastAsia="zh-CN"/>
              </w:rPr>
              <w:t>18</w:t>
            </w:r>
            <w:r w:rsidRPr="00C5465C">
              <w:rPr>
                <w:rFonts w:cs="Calibri"/>
                <w:szCs w:val="22"/>
                <w:lang w:val="es-ES_tradnl" w:eastAsia="zh-CN"/>
              </w:rPr>
              <w:tab/>
              <w:t>Otros asuntos</w:t>
            </w:r>
          </w:p>
        </w:tc>
        <w:tc>
          <w:tcPr>
            <w:tcW w:w="5994" w:type="dxa"/>
            <w:tcBorders>
              <w:top w:val="single" w:sz="4" w:space="0" w:color="auto"/>
              <w:left w:val="nil"/>
              <w:bottom w:val="single" w:sz="4" w:space="0" w:color="auto"/>
              <w:right w:val="single" w:sz="4" w:space="0" w:color="auto"/>
            </w:tcBorders>
            <w:shd w:val="clear" w:color="auto" w:fill="auto"/>
          </w:tcPr>
          <w:p w:rsidR="00D2165D" w:rsidRPr="00C5465C" w:rsidRDefault="00D2165D">
            <w:pPr>
              <w:pStyle w:val="Tabletext"/>
              <w:rPr>
                <w:szCs w:val="22"/>
                <w:lang w:val="es-ES_tradnl"/>
              </w:rPr>
            </w:pPr>
            <w:r w:rsidRPr="00C5465C">
              <w:rPr>
                <w:szCs w:val="22"/>
                <w:lang w:val="es-ES_tradnl"/>
              </w:rPr>
              <w:t>El GADT acogió con agrado los documentos de información</w:t>
            </w:r>
            <w:r w:rsidRPr="00574401">
              <w:rPr>
                <w:szCs w:val="22"/>
                <w:lang w:val="es-ES_tradnl"/>
              </w:rPr>
              <w:t>.</w:t>
            </w:r>
          </w:p>
        </w:tc>
      </w:tr>
    </w:tbl>
    <w:p w:rsidR="00D2165D" w:rsidRPr="00C5465C" w:rsidRDefault="00D2165D" w:rsidP="00D2165D">
      <w:pPr>
        <w:spacing w:before="0"/>
        <w:rPr>
          <w:rFonts w:cstheme="minorHAnsi"/>
          <w:szCs w:val="24"/>
          <w:lang w:val="es-ES_tradnl"/>
        </w:rPr>
      </w:pPr>
    </w:p>
    <w:p w:rsidR="00D2165D" w:rsidRPr="00C5465C" w:rsidRDefault="00D2165D" w:rsidP="00D2165D">
      <w:pPr>
        <w:pStyle w:val="Heading1"/>
        <w:rPr>
          <w:lang w:val="es-ES_tradnl"/>
        </w:rPr>
      </w:pPr>
      <w:bookmarkStart w:id="67" w:name="_Toc487791225"/>
      <w:r w:rsidRPr="00C5465C">
        <w:rPr>
          <w:lang w:val="es-ES_tradnl"/>
        </w:rPr>
        <w:t>3</w:t>
      </w:r>
      <w:r w:rsidRPr="00C5465C">
        <w:rPr>
          <w:lang w:val="es-ES_tradnl"/>
        </w:rPr>
        <w:tab/>
        <w:t>Reuniones del Grupo por Correspondencia del GADT</w:t>
      </w:r>
      <w:bookmarkEnd w:id="66"/>
      <w:bookmarkEnd w:id="67"/>
    </w:p>
    <w:p w:rsidR="00D2165D" w:rsidRPr="00C5465C" w:rsidRDefault="00D2165D" w:rsidP="00D2165D">
      <w:pPr>
        <w:tabs>
          <w:tab w:val="left" w:pos="567"/>
        </w:tabs>
        <w:rPr>
          <w:lang w:val="es-ES_tradnl"/>
        </w:rPr>
      </w:pPr>
      <w:bookmarkStart w:id="68" w:name="lt_pId200"/>
      <w:r w:rsidRPr="00C5465C">
        <w:rPr>
          <w:lang w:val="es-ES_tradnl"/>
        </w:rPr>
        <w:t xml:space="preserve">Durante el periodo 2014-2017, el GADT estableció tres Grupos por Correspondencia: </w:t>
      </w:r>
      <w:bookmarkEnd w:id="68"/>
    </w:p>
    <w:p w:rsidR="00D2165D" w:rsidRPr="00C5465C" w:rsidRDefault="00D2165D" w:rsidP="00D2165D">
      <w:pPr>
        <w:pStyle w:val="enumlev1"/>
        <w:rPr>
          <w:lang w:val="es-ES_tradnl"/>
        </w:rPr>
      </w:pPr>
      <w:r w:rsidRPr="00C5465C">
        <w:rPr>
          <w:lang w:val="es-ES_tradnl"/>
        </w:rPr>
        <w:t>–</w:t>
      </w:r>
      <w:r w:rsidRPr="00C5465C">
        <w:rPr>
          <w:lang w:val="es-ES_tradnl"/>
        </w:rPr>
        <w:tab/>
        <w:t>Grupo por Correspondencia del GADT sobre el Reglamento interno del UIT-D (Resolución 1);</w:t>
      </w:r>
    </w:p>
    <w:p w:rsidR="00D2165D" w:rsidRPr="00C5465C" w:rsidRDefault="00D2165D" w:rsidP="00D2165D">
      <w:pPr>
        <w:pStyle w:val="enumlev1"/>
        <w:rPr>
          <w:lang w:val="es-ES_tradnl"/>
        </w:rPr>
      </w:pPr>
      <w:bookmarkStart w:id="69" w:name="lt_pId202"/>
      <w:r w:rsidRPr="00C5465C">
        <w:rPr>
          <w:lang w:val="es-ES_tradnl"/>
        </w:rPr>
        <w:t>–</w:t>
      </w:r>
      <w:r w:rsidRPr="00C5465C">
        <w:rPr>
          <w:lang w:val="es-ES_tradnl"/>
        </w:rPr>
        <w:tab/>
        <w:t>Grupo por Correspondencia del GADT sobre el Plan Estratégico, el Plan Operacional y la Declaración (GC-PEPOD)</w:t>
      </w:r>
      <w:bookmarkEnd w:id="69"/>
      <w:r w:rsidRPr="00C5465C">
        <w:rPr>
          <w:lang w:val="es-ES_tradnl"/>
        </w:rPr>
        <w:t>;</w:t>
      </w:r>
    </w:p>
    <w:p w:rsidR="00D2165D" w:rsidRPr="00C5465C" w:rsidRDefault="00D2165D" w:rsidP="00D2165D">
      <w:pPr>
        <w:pStyle w:val="enumlev1"/>
        <w:rPr>
          <w:lang w:val="es-ES_tradnl"/>
        </w:rPr>
      </w:pPr>
      <w:bookmarkStart w:id="70" w:name="lt_pId203"/>
      <w:r w:rsidRPr="00C5465C">
        <w:rPr>
          <w:lang w:val="es-ES_tradnl"/>
        </w:rPr>
        <w:t>–</w:t>
      </w:r>
      <w:r w:rsidRPr="00C5465C">
        <w:rPr>
          <w:lang w:val="es-ES_tradnl"/>
        </w:rPr>
        <w:tab/>
        <w:t>Grupo por Correspondencia del GADT sobre racionalización de las Resoluciones de la CMDT (GC-RR).</w:t>
      </w:r>
      <w:bookmarkEnd w:id="70"/>
    </w:p>
    <w:p w:rsidR="00D2165D" w:rsidRPr="00C5465C" w:rsidRDefault="00D2165D" w:rsidP="00D2165D">
      <w:pPr>
        <w:rPr>
          <w:lang w:val="es-ES_tradnl"/>
        </w:rPr>
      </w:pPr>
      <w:bookmarkStart w:id="71" w:name="lt_pId204"/>
      <w:r w:rsidRPr="00C5465C">
        <w:rPr>
          <w:lang w:val="es-ES_tradnl"/>
        </w:rPr>
        <w:t xml:space="preserve">El GADT también trató de la labor y los resultados del </w:t>
      </w:r>
      <w:bookmarkEnd w:id="71"/>
      <w:r w:rsidRPr="00C5465C">
        <w:rPr>
          <w:lang w:val="es-ES_tradnl"/>
        </w:rPr>
        <w:t>Equipo de coordinación intersectorial sobre temas de interés común.</w:t>
      </w:r>
    </w:p>
    <w:p w:rsidR="00D2165D" w:rsidRPr="00C5465C" w:rsidRDefault="00D2165D" w:rsidP="00D2165D">
      <w:pPr>
        <w:rPr>
          <w:lang w:val="es-ES_tradnl"/>
        </w:rPr>
      </w:pPr>
      <w:bookmarkStart w:id="72" w:name="lt_pId205"/>
      <w:r w:rsidRPr="00C5465C">
        <w:rPr>
          <w:lang w:val="es-ES_tradnl"/>
        </w:rPr>
        <w:t>Los Grupos trabajaron empleando medios electrónicos y con reuniones presenciales.</w:t>
      </w:r>
      <w:bookmarkEnd w:id="72"/>
    </w:p>
    <w:p w:rsidR="00D2165D" w:rsidRPr="00C5465C" w:rsidRDefault="00D2165D" w:rsidP="00D2165D">
      <w:pPr>
        <w:pStyle w:val="Heading2"/>
        <w:rPr>
          <w:lang w:val="es-ES_tradnl"/>
        </w:rPr>
      </w:pPr>
      <w:bookmarkStart w:id="73" w:name="_Toc487791226"/>
      <w:bookmarkStart w:id="74" w:name="_Toc482178272"/>
      <w:r w:rsidRPr="00C5465C">
        <w:rPr>
          <w:lang w:val="es-ES_tradnl"/>
        </w:rPr>
        <w:lastRenderedPageBreak/>
        <w:t>3.1</w:t>
      </w:r>
      <w:r w:rsidRPr="00C5465C">
        <w:rPr>
          <w:lang w:val="es-ES_tradnl"/>
        </w:rPr>
        <w:tab/>
      </w:r>
      <w:bookmarkStart w:id="75" w:name="lt_pId207"/>
      <w:r w:rsidRPr="00C5465C">
        <w:rPr>
          <w:lang w:val="es-ES_tradnl"/>
        </w:rPr>
        <w:t>Grupo por Correspondencia del GADT sobre el Reglamento interno del UIT-D (Resolución 1)</w:t>
      </w:r>
      <w:bookmarkEnd w:id="73"/>
    </w:p>
    <w:p w:rsidR="00D2165D" w:rsidRPr="00C5465C" w:rsidRDefault="00D2165D" w:rsidP="00D2165D">
      <w:pPr>
        <w:tabs>
          <w:tab w:val="left" w:pos="426"/>
        </w:tabs>
        <w:rPr>
          <w:lang w:val="es-ES_tradnl"/>
        </w:rPr>
      </w:pPr>
      <w:r w:rsidRPr="00C5465C">
        <w:rPr>
          <w:lang w:val="es-ES_tradnl"/>
        </w:rPr>
        <w:t>El Grupo por Correspondencia del GADT sobre el Reglamento interno del UIT-D (GC</w:t>
      </w:r>
      <w:r w:rsidRPr="00C5465C">
        <w:rPr>
          <w:lang w:val="es-ES_tradnl"/>
        </w:rPr>
        <w:noBreakHyphen/>
        <w:t xml:space="preserve">Res.1) celebró </w:t>
      </w:r>
      <w:bookmarkEnd w:id="74"/>
      <w:r w:rsidRPr="00C5465C">
        <w:rPr>
          <w:lang w:val="es-ES_tradnl"/>
        </w:rPr>
        <w:t>tres reuniones, el 27 de abril de 2015, el 15 de marzo de 2016</w:t>
      </w:r>
      <w:bookmarkStart w:id="76" w:name="lt_pId208"/>
      <w:bookmarkEnd w:id="75"/>
      <w:r w:rsidRPr="00C5465C">
        <w:rPr>
          <w:lang w:val="es-ES_tradnl"/>
        </w:rPr>
        <w:t xml:space="preserve"> y el 10 de mayo de 2017.</w:t>
      </w:r>
      <w:bookmarkEnd w:id="76"/>
    </w:p>
    <w:p w:rsidR="00D2165D" w:rsidRPr="00C5465C" w:rsidRDefault="00D2165D" w:rsidP="00D2165D">
      <w:pPr>
        <w:tabs>
          <w:tab w:val="left" w:pos="426"/>
        </w:tabs>
        <w:rPr>
          <w:lang w:val="es-ES_tradnl"/>
        </w:rPr>
      </w:pPr>
      <w:bookmarkStart w:id="77" w:name="lt_pId209"/>
      <w:r w:rsidRPr="00C5465C">
        <w:rPr>
          <w:lang w:val="es-ES_tradnl"/>
        </w:rPr>
        <w:t>El mandato del Grupo es el siguiente:</w:t>
      </w:r>
      <w:bookmarkEnd w:id="77"/>
    </w:p>
    <w:p w:rsidR="00D2165D" w:rsidRPr="00C5465C" w:rsidRDefault="00D2165D" w:rsidP="00D2165D">
      <w:pPr>
        <w:tabs>
          <w:tab w:val="left" w:pos="426"/>
        </w:tabs>
        <w:rPr>
          <w:lang w:val="es-ES_tradnl"/>
        </w:rPr>
      </w:pPr>
      <w:bookmarkStart w:id="78" w:name="lt_pId210"/>
      <w:r w:rsidRPr="00C5465C">
        <w:rPr>
          <w:lang w:val="es-ES_tradnl"/>
        </w:rPr>
        <w:t xml:space="preserve">Sobre la base de la amplia labor emprendida durante la CMDT-14: </w:t>
      </w:r>
      <w:bookmarkEnd w:id="78"/>
    </w:p>
    <w:p w:rsidR="00D2165D" w:rsidRPr="00C5465C" w:rsidRDefault="00D2165D" w:rsidP="00D2165D">
      <w:pPr>
        <w:pStyle w:val="enumlev1"/>
        <w:rPr>
          <w:lang w:val="es-ES_tradnl"/>
        </w:rPr>
      </w:pPr>
      <w:bookmarkStart w:id="79" w:name="lt_pId211"/>
      <w:r w:rsidRPr="00C5465C">
        <w:rPr>
          <w:lang w:val="es-ES_tradnl"/>
        </w:rPr>
        <w:t>–</w:t>
      </w:r>
      <w:r w:rsidRPr="00C5465C">
        <w:rPr>
          <w:lang w:val="es-ES_tradnl"/>
        </w:rPr>
        <w:tab/>
        <w:t>Examinar el texto vigente de la Resolución 1 (Rev. Dubái, 2014) con miras a dar una interpretación práctica de los métodos de trabajo y a preparar propuestas para seguir mejorándolo, entre dos CMDT, a través del Grupo Asesor de Desarrollo de las Telecomunicaciones (GADT).</w:t>
      </w:r>
      <w:bookmarkEnd w:id="79"/>
    </w:p>
    <w:p w:rsidR="00D2165D" w:rsidRPr="00C5465C" w:rsidRDefault="00D2165D" w:rsidP="00D2165D">
      <w:pPr>
        <w:pStyle w:val="enumlev1"/>
        <w:rPr>
          <w:lang w:val="es-ES_tradnl"/>
        </w:rPr>
      </w:pPr>
      <w:bookmarkStart w:id="80" w:name="lt_pId212"/>
      <w:r w:rsidRPr="00C5465C">
        <w:rPr>
          <w:lang w:val="es-ES_tradnl"/>
        </w:rPr>
        <w:t>–</w:t>
      </w:r>
      <w:r w:rsidRPr="00C5465C">
        <w:rPr>
          <w:lang w:val="es-ES_tradnl"/>
        </w:rPr>
        <w:tab/>
        <w:t>Estudiar los temas a que se hace referencia en la Resolución 1 y recomendar ámbitos susceptibles de mejora presentando los avances logrados en su labor a las reuniones anuales del GADT de 2015 y 2016.</w:t>
      </w:r>
      <w:bookmarkEnd w:id="80"/>
    </w:p>
    <w:p w:rsidR="00D2165D" w:rsidRPr="00C5465C" w:rsidRDefault="00D2165D" w:rsidP="00D2165D">
      <w:pPr>
        <w:pStyle w:val="enumlev1"/>
        <w:rPr>
          <w:lang w:val="es-ES_tradnl"/>
        </w:rPr>
      </w:pPr>
      <w:bookmarkStart w:id="81" w:name="lt_pId213"/>
      <w:r w:rsidRPr="00C5465C">
        <w:rPr>
          <w:lang w:val="es-ES_tradnl"/>
        </w:rPr>
        <w:t>–</w:t>
      </w:r>
      <w:r w:rsidRPr="00C5465C">
        <w:rPr>
          <w:lang w:val="es-ES_tradnl"/>
        </w:rPr>
        <w:tab/>
        <w:t xml:space="preserve">Examinar en particular las cuestiones pendientes de la CMDT-14, por </w:t>
      </w:r>
      <w:bookmarkEnd w:id="81"/>
      <w:r w:rsidRPr="00C5465C">
        <w:rPr>
          <w:lang w:val="es-ES_tradnl"/>
        </w:rPr>
        <w:t>ejemplo:</w:t>
      </w:r>
    </w:p>
    <w:p w:rsidR="00D2165D" w:rsidRPr="00C5465C" w:rsidRDefault="00D2165D" w:rsidP="00D2165D">
      <w:pPr>
        <w:pStyle w:val="enumlev2"/>
        <w:rPr>
          <w:lang w:val="es-ES_tradnl"/>
        </w:rPr>
      </w:pPr>
      <w:bookmarkStart w:id="82" w:name="lt_pId214"/>
      <w:r w:rsidRPr="00C5465C">
        <w:rPr>
          <w:lang w:val="es-ES_tradnl"/>
        </w:rPr>
        <w:t>•</w:t>
      </w:r>
      <w:r w:rsidRPr="00C5465C">
        <w:rPr>
          <w:lang w:val="es-ES_tradnl"/>
        </w:rPr>
        <w:tab/>
        <w:t>seguir evaluando los métodos de trabajo;</w:t>
      </w:r>
      <w:bookmarkEnd w:id="82"/>
    </w:p>
    <w:p w:rsidR="00D2165D" w:rsidRPr="00C5465C" w:rsidRDefault="00D2165D" w:rsidP="00D2165D">
      <w:pPr>
        <w:pStyle w:val="enumlev2"/>
        <w:rPr>
          <w:lang w:val="es-ES_tradnl"/>
        </w:rPr>
      </w:pPr>
      <w:bookmarkStart w:id="83" w:name="lt_pId215"/>
      <w:r w:rsidRPr="00C5465C">
        <w:rPr>
          <w:lang w:val="es-ES_tradnl"/>
        </w:rPr>
        <w:t>•</w:t>
      </w:r>
      <w:r w:rsidRPr="00C5465C">
        <w:rPr>
          <w:lang w:val="es-ES_tradnl"/>
        </w:rPr>
        <w:tab/>
        <w:t>adaptaciones editoriales; tratamiento y utilización de los documentos para información;</w:t>
      </w:r>
      <w:bookmarkEnd w:id="83"/>
    </w:p>
    <w:p w:rsidR="00D2165D" w:rsidRPr="00C5465C" w:rsidRDefault="00D2165D" w:rsidP="00D2165D">
      <w:pPr>
        <w:pStyle w:val="enumlev2"/>
        <w:rPr>
          <w:lang w:val="es-ES_tradnl"/>
        </w:rPr>
      </w:pPr>
      <w:bookmarkStart w:id="84" w:name="lt_pId217"/>
      <w:r w:rsidRPr="00C5465C">
        <w:rPr>
          <w:lang w:val="es-ES_tradnl"/>
        </w:rPr>
        <w:t>•</w:t>
      </w:r>
      <w:r w:rsidRPr="00C5465C">
        <w:rPr>
          <w:lang w:val="es-ES_tradnl"/>
        </w:rPr>
        <w:tab/>
        <w:t>proceso de aprobación para los productos finales de las Comisiones de Estudio;</w:t>
      </w:r>
      <w:bookmarkEnd w:id="84"/>
      <w:r w:rsidRPr="00C5465C">
        <w:rPr>
          <w:lang w:val="es-ES_tradnl"/>
        </w:rPr>
        <w:t xml:space="preserve"> </w:t>
      </w:r>
    </w:p>
    <w:p w:rsidR="00D2165D" w:rsidRPr="00C5465C" w:rsidRDefault="00D2165D" w:rsidP="00D2165D">
      <w:pPr>
        <w:pStyle w:val="enumlev2"/>
        <w:rPr>
          <w:lang w:val="es-ES_tradnl"/>
        </w:rPr>
      </w:pPr>
      <w:bookmarkStart w:id="85" w:name="lt_pId218"/>
      <w:r w:rsidRPr="00C5465C">
        <w:rPr>
          <w:lang w:val="es-ES_tradnl"/>
        </w:rPr>
        <w:t>•</w:t>
      </w:r>
      <w:r w:rsidRPr="00C5465C">
        <w:rPr>
          <w:lang w:val="es-ES_tradnl"/>
        </w:rPr>
        <w:tab/>
        <w:t>funciones de los Correlatores y los Relatores Adjuntos;</w:t>
      </w:r>
      <w:bookmarkEnd w:id="85"/>
      <w:r w:rsidRPr="00C5465C">
        <w:rPr>
          <w:lang w:val="es-ES_tradnl"/>
        </w:rPr>
        <w:t xml:space="preserve"> y </w:t>
      </w:r>
    </w:p>
    <w:p w:rsidR="00D2165D" w:rsidRPr="00C5465C" w:rsidRDefault="00D2165D" w:rsidP="00D2165D">
      <w:pPr>
        <w:pStyle w:val="enumlev2"/>
        <w:rPr>
          <w:lang w:val="es-ES_tradnl"/>
        </w:rPr>
      </w:pPr>
      <w:bookmarkStart w:id="86" w:name="lt_pId220"/>
      <w:r w:rsidRPr="00C5465C">
        <w:rPr>
          <w:lang w:val="es-ES_tradnl"/>
        </w:rPr>
        <w:t>•</w:t>
      </w:r>
      <w:r w:rsidRPr="00C5465C">
        <w:rPr>
          <w:lang w:val="es-ES_tradnl"/>
        </w:rPr>
        <w:tab/>
        <w:t>resultados pertinentes de la Conferencia de Plenipotenciarios de 2014, de existir.</w:t>
      </w:r>
      <w:bookmarkEnd w:id="86"/>
    </w:p>
    <w:p w:rsidR="00D2165D" w:rsidRPr="00C5465C" w:rsidRDefault="00D2165D" w:rsidP="00D2165D">
      <w:pPr>
        <w:pStyle w:val="enumlev1"/>
        <w:rPr>
          <w:lang w:val="es-ES_tradnl"/>
        </w:rPr>
      </w:pPr>
      <w:bookmarkStart w:id="87" w:name="lt_pId221"/>
      <w:r w:rsidRPr="00C5465C">
        <w:rPr>
          <w:lang w:val="es-ES_tradnl"/>
        </w:rPr>
        <w:t>–</w:t>
      </w:r>
      <w:r w:rsidRPr="00C5465C">
        <w:rPr>
          <w:lang w:val="es-ES_tradnl"/>
        </w:rPr>
        <w:tab/>
        <w:t>Tomar en consideración la información de utilidad y las prácticas pertinentes de los demás Sectores, cuando corresponda.</w:t>
      </w:r>
      <w:bookmarkEnd w:id="87"/>
    </w:p>
    <w:p w:rsidR="00D2165D" w:rsidRPr="00C5465C" w:rsidRDefault="00D2165D" w:rsidP="00D2165D">
      <w:pPr>
        <w:tabs>
          <w:tab w:val="left" w:pos="567"/>
        </w:tabs>
        <w:rPr>
          <w:rFonts w:cstheme="minorHAnsi"/>
          <w:szCs w:val="24"/>
          <w:lang w:val="es-ES_tradnl"/>
        </w:rPr>
      </w:pPr>
      <w:r w:rsidRPr="00C5465C">
        <w:rPr>
          <w:lang w:val="es-ES_tradnl"/>
        </w:rPr>
        <w:t>El GC</w:t>
      </w:r>
      <w:r w:rsidRPr="000A378C">
        <w:rPr>
          <w:lang w:val="es-ES_tradnl"/>
        </w:rPr>
        <w:t>-Res.1</w:t>
      </w:r>
      <w:r w:rsidRPr="000A378C">
        <w:rPr>
          <w:rFonts w:cstheme="minorHAnsi"/>
          <w:szCs w:val="24"/>
          <w:lang w:val="es-ES_tradnl"/>
        </w:rPr>
        <w:t xml:space="preserve"> </w:t>
      </w:r>
      <w:r w:rsidRPr="00C5465C">
        <w:rPr>
          <w:rFonts w:cstheme="minorHAnsi"/>
          <w:szCs w:val="24"/>
          <w:lang w:val="es-ES_tradnl"/>
        </w:rPr>
        <w:t>se ha reunido para acordar los cambios necesarios del texto de la Resolución 1 y determinar los puntos que necesita trabajos adicionales. Varias modificaciones adicionales se han efectuado por correspondencia. El documento también se ha sometido como contribución a las seis Reuniones Preparatorias Regionales (RPR).</w:t>
      </w:r>
    </w:p>
    <w:p w:rsidR="00D2165D" w:rsidRPr="00C5465C" w:rsidRDefault="00D2165D" w:rsidP="00D2165D">
      <w:pPr>
        <w:pStyle w:val="enumlev1"/>
        <w:rPr>
          <w:lang w:val="es-ES_tradnl"/>
        </w:rPr>
      </w:pPr>
      <w:r w:rsidRPr="00C5465C">
        <w:rPr>
          <w:rFonts w:cstheme="minorHAnsi"/>
          <w:szCs w:val="24"/>
          <w:lang w:val="es-ES_tradnl"/>
        </w:rPr>
        <w:t>(Véase la conclusión del GADT 17 en la línea 10 g del cuadro del apartado 2.4 d))</w:t>
      </w:r>
    </w:p>
    <w:p w:rsidR="00D2165D" w:rsidRPr="00C5465C" w:rsidRDefault="00D2165D" w:rsidP="00D2165D">
      <w:pPr>
        <w:pStyle w:val="Heading2"/>
        <w:rPr>
          <w:lang w:val="es-ES_tradnl"/>
        </w:rPr>
      </w:pPr>
      <w:bookmarkStart w:id="88" w:name="_Toc482178273"/>
      <w:bookmarkStart w:id="89" w:name="_Toc487791227"/>
      <w:r w:rsidRPr="00C5465C">
        <w:rPr>
          <w:lang w:val="es-ES_tradnl"/>
        </w:rPr>
        <w:t>3.2</w:t>
      </w:r>
      <w:r w:rsidRPr="00C5465C">
        <w:rPr>
          <w:lang w:val="es-ES_tradnl"/>
        </w:rPr>
        <w:tab/>
      </w:r>
      <w:bookmarkStart w:id="90" w:name="lt_pId223"/>
      <w:bookmarkEnd w:id="88"/>
      <w:r w:rsidRPr="00C5465C">
        <w:rPr>
          <w:lang w:val="es-ES_tradnl"/>
        </w:rPr>
        <w:t>Grupo por Correspondencia del GADT sobre el Plan Estratégico, el Plan Operacional y la Declaración</w:t>
      </w:r>
      <w:bookmarkEnd w:id="89"/>
    </w:p>
    <w:p w:rsidR="00D2165D" w:rsidRPr="00C5465C" w:rsidRDefault="00D2165D" w:rsidP="00D2165D">
      <w:pPr>
        <w:tabs>
          <w:tab w:val="left" w:pos="426"/>
        </w:tabs>
        <w:rPr>
          <w:lang w:val="es-ES_tradnl"/>
        </w:rPr>
      </w:pPr>
      <w:r w:rsidRPr="00C5465C">
        <w:rPr>
          <w:lang w:val="es-ES_tradnl"/>
        </w:rPr>
        <w:t>El Grupo por Correspondencia del GADT sobre el Plan Estratégico, el Plan Operacional y la Declaración (GC</w:t>
      </w:r>
      <w:r w:rsidRPr="00C5465C">
        <w:rPr>
          <w:lang w:val="es-ES_tradnl"/>
        </w:rPr>
        <w:noBreakHyphen/>
        <w:t>PEPOD) celebró tres reuniones, el 27 de abril de 2015, el 15 de marzo de 2016</w:t>
      </w:r>
      <w:bookmarkStart w:id="91" w:name="lt_pId224"/>
      <w:bookmarkEnd w:id="90"/>
      <w:r w:rsidRPr="00C5465C">
        <w:rPr>
          <w:lang w:val="es-ES_tradnl"/>
        </w:rPr>
        <w:t xml:space="preserve"> y</w:t>
      </w:r>
      <w:r>
        <w:rPr>
          <w:lang w:val="es-ES_tradnl"/>
        </w:rPr>
        <w:t xml:space="preserve"> el </w:t>
      </w:r>
      <w:r w:rsidRPr="00C5465C">
        <w:rPr>
          <w:lang w:val="es-ES_tradnl"/>
        </w:rPr>
        <w:t>9 de mayo de 2017.</w:t>
      </w:r>
      <w:bookmarkEnd w:id="91"/>
    </w:p>
    <w:p w:rsidR="00D2165D" w:rsidRPr="00C5465C" w:rsidRDefault="00D2165D" w:rsidP="00D2165D">
      <w:pPr>
        <w:rPr>
          <w:lang w:val="es-ES_tradnl"/>
        </w:rPr>
      </w:pPr>
      <w:bookmarkStart w:id="92" w:name="lt_pId225"/>
      <w:r w:rsidRPr="00C5465C">
        <w:rPr>
          <w:lang w:val="es-ES_tradnl"/>
        </w:rPr>
        <w:t>El mandato es el siguiente:</w:t>
      </w:r>
      <w:bookmarkEnd w:id="92"/>
    </w:p>
    <w:p w:rsidR="00D2165D" w:rsidRPr="00C5465C" w:rsidRDefault="00D2165D" w:rsidP="00D2165D">
      <w:pPr>
        <w:pStyle w:val="enumlev1"/>
        <w:rPr>
          <w:lang w:val="es-ES_tradnl"/>
        </w:rPr>
      </w:pPr>
      <w:bookmarkStart w:id="93" w:name="lt_pId226"/>
      <w:r w:rsidRPr="00C5465C">
        <w:rPr>
          <w:lang w:val="es-ES_tradnl"/>
        </w:rPr>
        <w:t>–</w:t>
      </w:r>
      <w:r w:rsidRPr="00C5465C">
        <w:rPr>
          <w:lang w:val="es-ES_tradnl"/>
        </w:rPr>
        <w:tab/>
        <w:t>Examinar el Plan Estratégico aprobado por la Conferencia de Plenipotenciarios de 2014 y preparar propuestas para el anteproyecto de contribución del UIT-D al Plan Estratégico de la UIT para el siguiente periodo (2020-2023).</w:t>
      </w:r>
      <w:bookmarkEnd w:id="93"/>
    </w:p>
    <w:p w:rsidR="00D2165D" w:rsidRPr="00C5465C" w:rsidRDefault="00D2165D" w:rsidP="00D2165D">
      <w:pPr>
        <w:pStyle w:val="enumlev1"/>
        <w:rPr>
          <w:lang w:val="es-ES_tradnl"/>
        </w:rPr>
      </w:pPr>
      <w:bookmarkStart w:id="94" w:name="lt_pId227"/>
      <w:r w:rsidRPr="00C5465C">
        <w:rPr>
          <w:lang w:val="es-ES_tradnl"/>
        </w:rPr>
        <w:t>–</w:t>
      </w:r>
      <w:r w:rsidRPr="00C5465C">
        <w:rPr>
          <w:lang w:val="es-ES_tradnl"/>
        </w:rPr>
        <w:tab/>
        <w:t>Examinar el Plan de Acción de Dubái y sus vínculos con el Plan Operacional.</w:t>
      </w:r>
      <w:bookmarkEnd w:id="94"/>
    </w:p>
    <w:p w:rsidR="00D2165D" w:rsidRPr="00C5465C" w:rsidRDefault="00D2165D" w:rsidP="00514D8B">
      <w:pPr>
        <w:pStyle w:val="enumlev1"/>
        <w:keepNext/>
        <w:rPr>
          <w:lang w:val="es-ES_tradnl"/>
        </w:rPr>
      </w:pPr>
      <w:bookmarkStart w:id="95" w:name="lt_pId228"/>
      <w:r w:rsidRPr="00C5465C">
        <w:rPr>
          <w:lang w:val="es-ES_tradnl"/>
        </w:rPr>
        <w:lastRenderedPageBreak/>
        <w:t>–</w:t>
      </w:r>
      <w:r w:rsidRPr="00C5465C">
        <w:rPr>
          <w:lang w:val="es-ES_tradnl"/>
        </w:rPr>
        <w:tab/>
        <w:t>Examinar el Plan Operacional cuadrienal renovable, determinar áreas de mejora, y elaborar recomendaciones para el proyecto de Plan Operacional antes de que sea considerado por el Consejo.</w:t>
      </w:r>
      <w:bookmarkEnd w:id="95"/>
    </w:p>
    <w:p w:rsidR="00D2165D" w:rsidRPr="00C5465C" w:rsidRDefault="00D2165D" w:rsidP="00D2165D">
      <w:pPr>
        <w:pStyle w:val="enumlev1"/>
        <w:rPr>
          <w:lang w:val="es-ES_tradnl"/>
        </w:rPr>
      </w:pPr>
      <w:bookmarkStart w:id="96" w:name="lt_pId229"/>
      <w:r w:rsidRPr="00C5465C">
        <w:rPr>
          <w:lang w:val="es-ES_tradnl"/>
        </w:rPr>
        <w:t>–</w:t>
      </w:r>
      <w:r w:rsidRPr="00C5465C">
        <w:rPr>
          <w:lang w:val="es-ES_tradnl"/>
        </w:rPr>
        <w:tab/>
        <w:t>Proponer elementos para futuros proyectos de Declaración.</w:t>
      </w:r>
      <w:bookmarkEnd w:id="96"/>
    </w:p>
    <w:p w:rsidR="00D2165D" w:rsidRPr="00C5465C" w:rsidRDefault="00D2165D">
      <w:pPr>
        <w:rPr>
          <w:rFonts w:ascii="Calibri" w:hAnsi="Calibri"/>
          <w:lang w:val="es-ES_tradnl"/>
        </w:rPr>
      </w:pPr>
      <w:bookmarkStart w:id="97" w:name="lt_pId230"/>
      <w:r w:rsidRPr="00C5465C">
        <w:rPr>
          <w:rFonts w:ascii="Calibri" w:hAnsi="Calibri"/>
          <w:lang w:val="es-ES_tradnl"/>
        </w:rPr>
        <w:t>El GC-PEPOD elaboró los proyectos de versiones del anteproyecto de contribución del UIT-D al Plan Estratégico de la UIT para 2020-2023, el anteproyecto d</w:t>
      </w:r>
      <w:r>
        <w:rPr>
          <w:rFonts w:ascii="Calibri" w:hAnsi="Calibri"/>
          <w:lang w:val="es-ES_tradnl"/>
        </w:rPr>
        <w:t>e Plan de Acción del UIT-D para </w:t>
      </w:r>
      <w:r w:rsidRPr="00C5465C">
        <w:rPr>
          <w:rFonts w:ascii="Calibri" w:hAnsi="Calibri"/>
          <w:lang w:val="es-ES_tradnl"/>
        </w:rPr>
        <w:t>201</w:t>
      </w:r>
      <w:r>
        <w:rPr>
          <w:rFonts w:ascii="Calibri" w:hAnsi="Calibri"/>
          <w:lang w:val="es-ES_tradnl"/>
        </w:rPr>
        <w:t>8</w:t>
      </w:r>
      <w:r>
        <w:rPr>
          <w:rFonts w:ascii="Calibri" w:hAnsi="Calibri"/>
          <w:lang w:val="es-ES_tradnl"/>
        </w:rPr>
        <w:noBreakHyphen/>
      </w:r>
      <w:r w:rsidRPr="00C5465C">
        <w:rPr>
          <w:rFonts w:ascii="Calibri" w:hAnsi="Calibri"/>
          <w:lang w:val="es-ES_tradnl"/>
        </w:rPr>
        <w:t>2021 y el anteproyecto de Declaración de la CMDT-17.</w:t>
      </w:r>
    </w:p>
    <w:p w:rsidR="00D2165D" w:rsidRPr="00C5465C" w:rsidRDefault="00D2165D">
      <w:pPr>
        <w:rPr>
          <w:rFonts w:ascii="Calibri" w:hAnsi="Calibri"/>
          <w:lang w:val="es-ES_tradnl"/>
        </w:rPr>
      </w:pPr>
      <w:r w:rsidRPr="00C5465C">
        <w:rPr>
          <w:rFonts w:ascii="Calibri" w:hAnsi="Calibri"/>
          <w:lang w:val="es-ES_tradnl"/>
        </w:rPr>
        <w:t>Los mismos fueron examinados por el GC-PEPOD durante sus reu</w:t>
      </w:r>
      <w:r>
        <w:rPr>
          <w:rFonts w:ascii="Calibri" w:hAnsi="Calibri"/>
          <w:lang w:val="es-ES_tradnl"/>
        </w:rPr>
        <w:t>niones de abril de 2015 y marzo </w:t>
      </w:r>
      <w:r w:rsidRPr="00C5465C">
        <w:rPr>
          <w:rFonts w:ascii="Calibri" w:hAnsi="Calibri"/>
          <w:lang w:val="es-ES_tradnl"/>
        </w:rPr>
        <w:t>de 2016, y luego sometidos al GADT-16.</w:t>
      </w:r>
    </w:p>
    <w:p w:rsidR="00D2165D" w:rsidRPr="00C5465C" w:rsidRDefault="00D2165D" w:rsidP="00D2165D">
      <w:pPr>
        <w:rPr>
          <w:lang w:val="es-ES_tradnl"/>
        </w:rPr>
      </w:pPr>
      <w:r w:rsidRPr="00C5465C">
        <w:rPr>
          <w:lang w:val="es-ES_tradnl"/>
        </w:rPr>
        <w:t xml:space="preserve">Tras una </w:t>
      </w:r>
      <w:r w:rsidRPr="00C5465C">
        <w:rPr>
          <w:rFonts w:ascii="Calibri" w:hAnsi="Calibri"/>
          <w:szCs w:val="24"/>
          <w:lang w:val="es-ES_tradnl"/>
        </w:rPr>
        <w:t>consulta en línea con los miembros del UIT-D</w:t>
      </w:r>
      <w:r w:rsidRPr="00C5465C">
        <w:rPr>
          <w:lang w:val="es-ES_tradnl"/>
        </w:rPr>
        <w:t xml:space="preserve"> </w:t>
      </w:r>
      <w:r w:rsidRPr="00C5465C">
        <w:rPr>
          <w:rFonts w:ascii="Calibri" w:hAnsi="Calibri"/>
          <w:lang w:val="es-ES_tradnl"/>
        </w:rPr>
        <w:t>estos tres documentos fueron sometidos a la consideración de</w:t>
      </w:r>
      <w:r w:rsidRPr="00C5465C">
        <w:rPr>
          <w:lang w:val="es-ES_tradnl"/>
        </w:rPr>
        <w:t xml:space="preserve"> las seis Reuniones Preparatorias Regionales. </w:t>
      </w:r>
      <w:bookmarkEnd w:id="97"/>
      <w:r w:rsidRPr="00C5465C">
        <w:rPr>
          <w:lang w:val="es-ES_tradnl"/>
        </w:rPr>
        <w:t xml:space="preserve">Los resultados de las RPR fueron compilados en la reunión de coordinación de las RPR del 8 de mayo de 2017. Además, los resultados de las RPR y las contribuciones al GADT 17 fueron </w:t>
      </w:r>
      <w:r>
        <w:rPr>
          <w:lang w:val="es-ES_tradnl"/>
        </w:rPr>
        <w:t>compilados en la reunión del GC</w:t>
      </w:r>
      <w:r>
        <w:rPr>
          <w:lang w:val="es-ES_tradnl"/>
        </w:rPr>
        <w:noBreakHyphen/>
      </w:r>
      <w:r w:rsidRPr="00C5465C">
        <w:rPr>
          <w:lang w:val="es-ES_tradnl"/>
        </w:rPr>
        <w:t>PEPOD del 9 de mayo de 2017</w:t>
      </w:r>
      <w:r w:rsidRPr="000A378C">
        <w:rPr>
          <w:lang w:val="es-ES_tradnl"/>
        </w:rPr>
        <w:t>.</w:t>
      </w:r>
    </w:p>
    <w:p w:rsidR="00D2165D" w:rsidRPr="00C5465C" w:rsidRDefault="00D2165D">
      <w:pPr>
        <w:rPr>
          <w:lang w:val="es-ES_tradnl"/>
        </w:rPr>
      </w:pPr>
      <w:bookmarkStart w:id="98" w:name="lt_pId234"/>
      <w:r w:rsidRPr="00C5465C">
        <w:rPr>
          <w:lang w:val="es-ES_tradnl"/>
        </w:rPr>
        <w:t>(Véase la conclusión del GADT 17 en las líneas 10 d, 10 e y 10 f del cuadro del apartado 2.4 d))</w:t>
      </w:r>
      <w:r>
        <w:rPr>
          <w:lang w:val="es-ES_tradnl"/>
        </w:rPr>
        <w:t>.</w:t>
      </w:r>
    </w:p>
    <w:p w:rsidR="00D2165D" w:rsidRPr="00C5465C" w:rsidRDefault="00D2165D">
      <w:pPr>
        <w:pStyle w:val="Heading2"/>
        <w:rPr>
          <w:lang w:val="es-ES_tradnl"/>
        </w:rPr>
      </w:pPr>
      <w:bookmarkStart w:id="99" w:name="_Toc482178274"/>
      <w:bookmarkStart w:id="100" w:name="_Toc487791228"/>
      <w:bookmarkEnd w:id="98"/>
      <w:r w:rsidRPr="00C5465C">
        <w:rPr>
          <w:lang w:val="es-ES_tradnl"/>
        </w:rPr>
        <w:t>3.3</w:t>
      </w:r>
      <w:r w:rsidRPr="00C5465C">
        <w:rPr>
          <w:lang w:val="es-ES_tradnl"/>
        </w:rPr>
        <w:tab/>
      </w:r>
      <w:bookmarkStart w:id="101" w:name="lt_pId237"/>
      <w:bookmarkEnd w:id="99"/>
      <w:r w:rsidRPr="00C5465C">
        <w:rPr>
          <w:lang w:val="es-ES_tradnl"/>
        </w:rPr>
        <w:t>Grupo por Correspondencia del GADT sobre racionaliz</w:t>
      </w:r>
      <w:r>
        <w:rPr>
          <w:lang w:val="es-ES_tradnl"/>
        </w:rPr>
        <w:t>ación de las Resoluciones de la </w:t>
      </w:r>
      <w:r w:rsidRPr="00C5465C">
        <w:rPr>
          <w:lang w:val="es-ES_tradnl"/>
        </w:rPr>
        <w:t>CMDT</w:t>
      </w:r>
      <w:bookmarkEnd w:id="100"/>
    </w:p>
    <w:p w:rsidR="00D2165D" w:rsidRPr="00C5465C" w:rsidRDefault="00D2165D">
      <w:pPr>
        <w:tabs>
          <w:tab w:val="left" w:pos="426"/>
        </w:tabs>
        <w:rPr>
          <w:lang w:val="es-ES_tradnl"/>
        </w:rPr>
      </w:pPr>
      <w:r w:rsidRPr="00C5465C">
        <w:rPr>
          <w:lang w:val="es-ES_tradnl"/>
        </w:rPr>
        <w:t>El Grupo por Correspondencia del GADT sobre racionalización de las Resoluciones de la CMDT (GC</w:t>
      </w:r>
      <w:r w:rsidRPr="00C5465C">
        <w:rPr>
          <w:lang w:val="es-ES_tradnl"/>
        </w:rPr>
        <w:noBreakHyphen/>
        <w:t>SR) celebró cinco reuniones, el 17 de marzo de 2016, el 28 de septiembre de 2016, el 25 de enero de 2017, el 3 de abril de 2017</w:t>
      </w:r>
      <w:bookmarkStart w:id="102" w:name="lt_pId238"/>
      <w:bookmarkEnd w:id="101"/>
      <w:r w:rsidRPr="00C5465C">
        <w:rPr>
          <w:lang w:val="es-ES_tradnl"/>
        </w:rPr>
        <w:t xml:space="preserve"> y el 10 de mayo de 2017.</w:t>
      </w:r>
      <w:bookmarkEnd w:id="102"/>
    </w:p>
    <w:p w:rsidR="00D2165D" w:rsidRPr="00C5465C" w:rsidRDefault="00D2165D">
      <w:pPr>
        <w:tabs>
          <w:tab w:val="left" w:pos="426"/>
        </w:tabs>
        <w:rPr>
          <w:lang w:val="es-ES_tradnl"/>
        </w:rPr>
      </w:pPr>
      <w:bookmarkStart w:id="103" w:name="lt_pId239"/>
      <w:r w:rsidRPr="00C5465C">
        <w:rPr>
          <w:lang w:val="es-ES_tradnl"/>
        </w:rPr>
        <w:t>El mandato es el siguiente:</w:t>
      </w:r>
      <w:bookmarkEnd w:id="103"/>
    </w:p>
    <w:p w:rsidR="00D2165D" w:rsidRPr="00C5465C" w:rsidRDefault="00D2165D">
      <w:pPr>
        <w:pStyle w:val="enumlev1"/>
        <w:rPr>
          <w:lang w:val="es-ES_tradnl"/>
        </w:rPr>
      </w:pPr>
      <w:r w:rsidRPr="00C5465C">
        <w:rPr>
          <w:lang w:val="es-ES_tradnl"/>
        </w:rPr>
        <w:t>–</w:t>
      </w:r>
      <w:r w:rsidRPr="00C5465C">
        <w:rPr>
          <w:lang w:val="es-ES_tradnl"/>
        </w:rPr>
        <w:tab/>
        <w:t>Revisar Resoluciones y Recomendaciones existentes de la Conferencia Mundial de Desarrollo de las Telecomunicaciones (CMDT) para racionalizarlas, teniendo en cuenta las Resoluciones de la Conferencia de Plenipotenciarios y otros Sectores, según el caso.</w:t>
      </w:r>
    </w:p>
    <w:p w:rsidR="00D2165D" w:rsidRPr="00C5465C" w:rsidRDefault="00D2165D">
      <w:pPr>
        <w:pStyle w:val="enumlev1"/>
        <w:rPr>
          <w:lang w:val="es-ES_tradnl"/>
        </w:rPr>
      </w:pPr>
      <w:r w:rsidRPr="00C5465C">
        <w:rPr>
          <w:lang w:val="es-ES_tradnl"/>
        </w:rPr>
        <w:t>–</w:t>
      </w:r>
      <w:r w:rsidRPr="00C5465C">
        <w:rPr>
          <w:lang w:val="es-ES_tradnl"/>
        </w:rPr>
        <w:tab/>
        <w:t>Tener debidamente en cuenta los resultados de las Reuniones Preparatorias Regionales para la Conferencia Mundial de Desarrollo de las Telecomunicaciones de 2017 (CMDT-17), en lo que concierne a las Resoluciones y Recomendaciones.</w:t>
      </w:r>
    </w:p>
    <w:p w:rsidR="00D2165D" w:rsidRPr="00C5465C" w:rsidRDefault="00D2165D">
      <w:pPr>
        <w:pStyle w:val="enumlev1"/>
        <w:rPr>
          <w:lang w:val="es-ES_tradnl"/>
        </w:rPr>
      </w:pPr>
      <w:bookmarkStart w:id="104" w:name="_Toc379236736"/>
      <w:r w:rsidRPr="00C5465C">
        <w:rPr>
          <w:lang w:val="es-ES_tradnl"/>
        </w:rPr>
        <w:t>–</w:t>
      </w:r>
      <w:r w:rsidRPr="00C5465C">
        <w:rPr>
          <w:lang w:val="es-ES_tradnl"/>
        </w:rPr>
        <w:tab/>
        <w:t>Informar a la reunión de 2017 del GADT.</w:t>
      </w:r>
    </w:p>
    <w:p w:rsidR="00D2165D" w:rsidRPr="00C5465C" w:rsidRDefault="00D2165D">
      <w:pPr>
        <w:rPr>
          <w:lang w:val="es-ES_tradnl"/>
        </w:rPr>
      </w:pPr>
      <w:bookmarkStart w:id="105" w:name="lt_pId243"/>
      <w:r w:rsidRPr="00C5465C">
        <w:rPr>
          <w:lang w:val="es-ES_tradnl"/>
        </w:rPr>
        <w:t>El GC-SR decidió que los siguientes principios orientadores podían ser útiles en los trabajos de racionalización de las Resoluciones:</w:t>
      </w:r>
      <w:bookmarkEnd w:id="105"/>
    </w:p>
    <w:p w:rsidR="00D2165D" w:rsidRPr="00C5465C" w:rsidRDefault="00D2165D">
      <w:pPr>
        <w:pStyle w:val="enumlev1"/>
        <w:rPr>
          <w:lang w:val="es-ES_tradnl"/>
        </w:rPr>
      </w:pPr>
      <w:bookmarkStart w:id="106" w:name="lt_pId244"/>
      <w:r w:rsidRPr="00C5465C">
        <w:rPr>
          <w:lang w:val="es-ES_tradnl"/>
        </w:rPr>
        <w:t>–</w:t>
      </w:r>
      <w:r w:rsidRPr="00C5465C">
        <w:rPr>
          <w:lang w:val="es-ES_tradnl"/>
        </w:rPr>
        <w:tab/>
        <w:t>congruencia y coherencia;</w:t>
      </w:r>
      <w:bookmarkEnd w:id="106"/>
    </w:p>
    <w:p w:rsidR="00D2165D" w:rsidRPr="00C5465C" w:rsidRDefault="00D2165D">
      <w:pPr>
        <w:pStyle w:val="enumlev1"/>
        <w:rPr>
          <w:lang w:val="es-ES_tradnl"/>
        </w:rPr>
      </w:pPr>
      <w:bookmarkStart w:id="107" w:name="lt_pId245"/>
      <w:r w:rsidRPr="00C5465C">
        <w:rPr>
          <w:lang w:val="es-ES_tradnl"/>
        </w:rPr>
        <w:t>–</w:t>
      </w:r>
      <w:r w:rsidRPr="00C5465C">
        <w:rPr>
          <w:lang w:val="es-ES_tradnl"/>
        </w:rPr>
        <w:tab/>
        <w:t>solapamiento y duplicación;</w:t>
      </w:r>
      <w:bookmarkEnd w:id="107"/>
    </w:p>
    <w:p w:rsidR="00D2165D" w:rsidRPr="00C5465C" w:rsidRDefault="00D2165D">
      <w:pPr>
        <w:pStyle w:val="enumlev1"/>
        <w:rPr>
          <w:lang w:val="es-ES_tradnl"/>
        </w:rPr>
      </w:pPr>
      <w:bookmarkStart w:id="108" w:name="lt_pId246"/>
      <w:r w:rsidRPr="00C5465C">
        <w:rPr>
          <w:lang w:val="es-ES_tradnl"/>
        </w:rPr>
        <w:t>–</w:t>
      </w:r>
      <w:r w:rsidRPr="00C5465C">
        <w:rPr>
          <w:lang w:val="es-ES_tradnl"/>
        </w:rPr>
        <w:tab/>
        <w:t>necesidad;</w:t>
      </w:r>
      <w:bookmarkEnd w:id="108"/>
    </w:p>
    <w:p w:rsidR="00D2165D" w:rsidRPr="00C5465C" w:rsidRDefault="00D2165D">
      <w:pPr>
        <w:pStyle w:val="enumlev1"/>
        <w:rPr>
          <w:lang w:val="es-ES_tradnl"/>
        </w:rPr>
      </w:pPr>
      <w:bookmarkStart w:id="109" w:name="lt_pId247"/>
      <w:r w:rsidRPr="00C5465C">
        <w:rPr>
          <w:lang w:val="es-ES_tradnl"/>
        </w:rPr>
        <w:t>–</w:t>
      </w:r>
      <w:r w:rsidRPr="00C5465C">
        <w:rPr>
          <w:lang w:val="es-ES_tradnl"/>
        </w:rPr>
        <w:tab/>
        <w:t>acción-orientación y responsabilidad.</w:t>
      </w:r>
      <w:bookmarkEnd w:id="109"/>
    </w:p>
    <w:p w:rsidR="00D2165D" w:rsidRPr="00C5465C" w:rsidRDefault="00D2165D">
      <w:pPr>
        <w:tabs>
          <w:tab w:val="left" w:pos="426"/>
        </w:tabs>
        <w:rPr>
          <w:lang w:val="es-ES_tradnl"/>
        </w:rPr>
      </w:pPr>
      <w:bookmarkStart w:id="110" w:name="lt_pId248"/>
      <w:r w:rsidRPr="00C5465C">
        <w:rPr>
          <w:lang w:val="es-ES_tradnl"/>
        </w:rPr>
        <w:t>El GC-SR también estableció directrices para la redacción de nuevas Resoluciones de la CMDT.</w:t>
      </w:r>
      <w:bookmarkEnd w:id="110"/>
    </w:p>
    <w:bookmarkEnd w:id="104"/>
    <w:p w:rsidR="00F86C14" w:rsidRDefault="00D2165D">
      <w:pPr>
        <w:rPr>
          <w:lang w:val="es-ES_tradnl"/>
        </w:rPr>
      </w:pPr>
      <w:r w:rsidRPr="00A12546">
        <w:rPr>
          <w:lang w:val="es-ES_tradnl"/>
        </w:rPr>
        <w:t>El GC-RR ha recibido en total 12 propuestas de racionalización de Resoluciones de la CMDT a través de las RPR celebradas en las regiones CEI, África, Estados Árabes, Américas y Asia-Pacífico.</w:t>
      </w:r>
    </w:p>
    <w:p w:rsidR="00D2165D" w:rsidRPr="00C5465C" w:rsidRDefault="00D2165D" w:rsidP="00F86C14">
      <w:pPr>
        <w:keepNext/>
        <w:rPr>
          <w:lang w:val="es-ES_tradnl"/>
        </w:rPr>
      </w:pPr>
      <w:r w:rsidRPr="00A12546">
        <w:rPr>
          <w:lang w:val="es-ES_tradnl"/>
        </w:rPr>
        <w:lastRenderedPageBreak/>
        <w:t>CG-SR recopil</w:t>
      </w:r>
      <w:r w:rsidRPr="00C5465C">
        <w:rPr>
          <w:lang w:val="es-ES_tradnl"/>
        </w:rPr>
        <w:t>ó</w:t>
      </w:r>
      <w:r w:rsidRPr="00A12546">
        <w:rPr>
          <w:lang w:val="es-ES_tradnl"/>
        </w:rPr>
        <w:t xml:space="preserve"> </w:t>
      </w:r>
      <w:r w:rsidRPr="00C5465C">
        <w:rPr>
          <w:lang w:val="es-ES_tradnl"/>
        </w:rPr>
        <w:t>las siguientes</w:t>
      </w:r>
      <w:r w:rsidRPr="00A12546">
        <w:rPr>
          <w:lang w:val="es-ES_tradnl"/>
        </w:rPr>
        <w:t xml:space="preserve"> propuestas acordadas a nivel regional para la racionalización de Resoluciones:</w:t>
      </w:r>
    </w:p>
    <w:p w:rsidR="00D2165D" w:rsidRPr="00C5465C" w:rsidRDefault="00D2165D" w:rsidP="00514D8B">
      <w:pPr>
        <w:pStyle w:val="enumlev1"/>
        <w:keepNext/>
        <w:rPr>
          <w:lang w:val="es-ES_tradnl"/>
        </w:rPr>
      </w:pPr>
      <w:r w:rsidRPr="00C5465C">
        <w:rPr>
          <w:lang w:val="es-ES_tradnl"/>
        </w:rPr>
        <w:t>1)</w:t>
      </w:r>
      <w:r w:rsidRPr="00C5465C">
        <w:rPr>
          <w:lang w:val="es-ES_tradnl"/>
        </w:rPr>
        <w:tab/>
        <w:t>Fusión de las Resoluciones 1 y 31</w:t>
      </w:r>
    </w:p>
    <w:p w:rsidR="00D2165D" w:rsidRPr="00C5465C" w:rsidRDefault="00D2165D" w:rsidP="00D2165D">
      <w:pPr>
        <w:pStyle w:val="enumlev1"/>
        <w:rPr>
          <w:lang w:val="es-ES_tradnl"/>
        </w:rPr>
      </w:pPr>
      <w:r w:rsidRPr="00C5465C">
        <w:rPr>
          <w:lang w:val="es-ES_tradnl"/>
        </w:rPr>
        <w:t>2)</w:t>
      </w:r>
      <w:r w:rsidRPr="00C5465C">
        <w:rPr>
          <w:lang w:val="es-ES_tradnl"/>
        </w:rPr>
        <w:tab/>
        <w:t xml:space="preserve">Fusión de las Resoluciones 17 y 32 </w:t>
      </w:r>
    </w:p>
    <w:p w:rsidR="00D2165D" w:rsidRPr="00C5465C" w:rsidRDefault="00D2165D" w:rsidP="00D2165D">
      <w:pPr>
        <w:pStyle w:val="enumlev1"/>
        <w:rPr>
          <w:lang w:val="es-ES_tradnl"/>
        </w:rPr>
      </w:pPr>
      <w:r w:rsidRPr="00C5465C">
        <w:rPr>
          <w:lang w:val="es-ES_tradnl"/>
        </w:rPr>
        <w:t>3)</w:t>
      </w:r>
      <w:r w:rsidRPr="00C5465C">
        <w:rPr>
          <w:lang w:val="es-ES_tradnl"/>
        </w:rPr>
        <w:tab/>
        <w:t xml:space="preserve">Fusión de las Resoluciones 37 y 50 </w:t>
      </w:r>
    </w:p>
    <w:p w:rsidR="00D2165D" w:rsidRPr="00C5465C" w:rsidRDefault="00D2165D" w:rsidP="00D2165D">
      <w:pPr>
        <w:pStyle w:val="enumlev1"/>
        <w:rPr>
          <w:lang w:val="es-ES_tradnl"/>
        </w:rPr>
      </w:pPr>
      <w:r w:rsidRPr="00C5465C">
        <w:rPr>
          <w:lang w:val="es-ES_tradnl"/>
        </w:rPr>
        <w:t>4)</w:t>
      </w:r>
      <w:r w:rsidRPr="00C5465C">
        <w:rPr>
          <w:lang w:val="es-ES_tradnl"/>
        </w:rPr>
        <w:tab/>
        <w:t>Supresión de la Resolución 31</w:t>
      </w:r>
    </w:p>
    <w:p w:rsidR="00D2165D" w:rsidRPr="00C5465C" w:rsidRDefault="00D2165D" w:rsidP="00D2165D">
      <w:pPr>
        <w:pStyle w:val="enumlev1"/>
        <w:rPr>
          <w:lang w:val="es-ES_tradnl"/>
        </w:rPr>
      </w:pPr>
      <w:r w:rsidRPr="00C5465C">
        <w:rPr>
          <w:lang w:val="es-ES_tradnl"/>
        </w:rPr>
        <w:t>5)</w:t>
      </w:r>
      <w:r w:rsidRPr="00C5465C">
        <w:rPr>
          <w:lang w:val="es-ES_tradnl"/>
        </w:rPr>
        <w:tab/>
        <w:t>Supresión de la Resolución 32</w:t>
      </w:r>
    </w:p>
    <w:p w:rsidR="00D2165D" w:rsidRPr="00C5465C" w:rsidRDefault="00D2165D" w:rsidP="00D2165D">
      <w:pPr>
        <w:pStyle w:val="enumlev1"/>
        <w:rPr>
          <w:lang w:val="es-ES_tradnl"/>
        </w:rPr>
      </w:pPr>
      <w:r w:rsidRPr="00C5465C">
        <w:rPr>
          <w:lang w:val="es-ES_tradnl"/>
        </w:rPr>
        <w:t>6)</w:t>
      </w:r>
      <w:r w:rsidRPr="00C5465C">
        <w:rPr>
          <w:lang w:val="es-ES_tradnl"/>
        </w:rPr>
        <w:tab/>
        <w:t>Supresión de la Resolución 50.</w:t>
      </w:r>
    </w:p>
    <w:p w:rsidR="00D2165D" w:rsidRPr="00C5465C" w:rsidRDefault="00D2165D" w:rsidP="00D2165D">
      <w:pPr>
        <w:rPr>
          <w:lang w:val="es-ES_tradnl"/>
        </w:rPr>
      </w:pPr>
      <w:r w:rsidRPr="00C5465C">
        <w:rPr>
          <w:lang w:val="es-ES_tradnl"/>
        </w:rPr>
        <w:t>En las RPR o en las reuniones del GC-RR se presentaron también las siguientes propuestas de Estados Miembros:</w:t>
      </w:r>
    </w:p>
    <w:p w:rsidR="00D2165D" w:rsidRPr="00C5465C" w:rsidRDefault="00D2165D" w:rsidP="00D2165D">
      <w:pPr>
        <w:pStyle w:val="enumlev1"/>
        <w:rPr>
          <w:lang w:val="es-ES_tradnl"/>
        </w:rPr>
      </w:pPr>
      <w:r w:rsidRPr="00C5465C">
        <w:rPr>
          <w:lang w:val="es-ES_tradnl"/>
        </w:rPr>
        <w:t>1)</w:t>
      </w:r>
      <w:r w:rsidRPr="00C5465C">
        <w:rPr>
          <w:lang w:val="es-ES_tradnl"/>
        </w:rPr>
        <w:tab/>
        <w:t>Fusión de las Resoluciones 46 y 68</w:t>
      </w:r>
    </w:p>
    <w:p w:rsidR="00D2165D" w:rsidRPr="00C5465C" w:rsidRDefault="00D2165D" w:rsidP="00D2165D">
      <w:pPr>
        <w:pStyle w:val="enumlev1"/>
        <w:rPr>
          <w:lang w:val="es-ES_tradnl"/>
        </w:rPr>
      </w:pPr>
      <w:r w:rsidRPr="00C5465C">
        <w:rPr>
          <w:lang w:val="es-ES_tradnl"/>
        </w:rPr>
        <w:t>2)</w:t>
      </w:r>
      <w:r w:rsidRPr="00C5465C">
        <w:rPr>
          <w:lang w:val="es-ES_tradnl"/>
        </w:rPr>
        <w:tab/>
        <w:t>Fusión de las Resoluciones 50 y 54</w:t>
      </w:r>
    </w:p>
    <w:p w:rsidR="00D2165D" w:rsidRPr="00C5465C" w:rsidRDefault="00D2165D" w:rsidP="00D2165D">
      <w:pPr>
        <w:pStyle w:val="enumlev1"/>
        <w:rPr>
          <w:lang w:val="es-ES_tradnl"/>
        </w:rPr>
      </w:pPr>
      <w:r w:rsidRPr="00C5465C">
        <w:rPr>
          <w:lang w:val="es-ES_tradnl"/>
        </w:rPr>
        <w:t>3)</w:t>
      </w:r>
      <w:r w:rsidRPr="00C5465C">
        <w:rPr>
          <w:lang w:val="es-ES_tradnl"/>
        </w:rPr>
        <w:tab/>
        <w:t>Supresión de la Resolución 68</w:t>
      </w:r>
    </w:p>
    <w:p w:rsidR="00D2165D" w:rsidRPr="00C5465C" w:rsidRDefault="00D2165D" w:rsidP="00D2165D">
      <w:pPr>
        <w:pStyle w:val="enumlev1"/>
        <w:rPr>
          <w:lang w:val="es-ES_tradnl"/>
        </w:rPr>
      </w:pPr>
      <w:r w:rsidRPr="00C5465C">
        <w:rPr>
          <w:lang w:val="es-ES_tradnl"/>
        </w:rPr>
        <w:t>4)</w:t>
      </w:r>
      <w:r w:rsidRPr="00C5465C">
        <w:rPr>
          <w:lang w:val="es-ES_tradnl"/>
        </w:rPr>
        <w:tab/>
        <w:t>Supresión de la Resolución 54</w:t>
      </w:r>
    </w:p>
    <w:p w:rsidR="00D2165D" w:rsidRPr="00C5465C" w:rsidRDefault="00D2165D" w:rsidP="00D2165D">
      <w:pPr>
        <w:pStyle w:val="enumlev1"/>
        <w:rPr>
          <w:lang w:val="es-ES_tradnl"/>
        </w:rPr>
      </w:pPr>
      <w:r w:rsidRPr="00C5465C">
        <w:rPr>
          <w:lang w:val="es-ES_tradnl"/>
        </w:rPr>
        <w:t>5)</w:t>
      </w:r>
      <w:r w:rsidRPr="00C5465C">
        <w:rPr>
          <w:lang w:val="es-ES_tradnl"/>
        </w:rPr>
        <w:tab/>
        <w:t>Supresión de la Resolución 33</w:t>
      </w:r>
    </w:p>
    <w:p w:rsidR="00D2165D" w:rsidRPr="00C5465C" w:rsidRDefault="00D2165D">
      <w:pPr>
        <w:pStyle w:val="enumlev1"/>
        <w:rPr>
          <w:lang w:val="es-ES_tradnl"/>
        </w:rPr>
      </w:pPr>
      <w:r w:rsidRPr="00C5465C">
        <w:rPr>
          <w:lang w:val="es-ES_tradnl"/>
        </w:rPr>
        <w:t>6)</w:t>
      </w:r>
      <w:r w:rsidRPr="00C5465C">
        <w:rPr>
          <w:lang w:val="es-ES_tradnl"/>
        </w:rPr>
        <w:tab/>
        <w:t>Supresión de la Resolución 67.</w:t>
      </w:r>
    </w:p>
    <w:p w:rsidR="00D2165D" w:rsidRPr="00C5465C" w:rsidRDefault="00D2165D">
      <w:pPr>
        <w:rPr>
          <w:lang w:val="es-ES_tradnl"/>
        </w:rPr>
      </w:pPr>
      <w:r w:rsidRPr="00C5465C">
        <w:rPr>
          <w:lang w:val="es-ES_tradnl"/>
        </w:rPr>
        <w:t>(Véase la conclusión del GADT 17 en la línea 10 h del cuadro del apartado 2.4 d))</w:t>
      </w:r>
    </w:p>
    <w:p w:rsidR="00D2165D" w:rsidRPr="00C5465C" w:rsidRDefault="00D2165D" w:rsidP="00D2165D">
      <w:pPr>
        <w:pStyle w:val="Heading1"/>
        <w:rPr>
          <w:lang w:val="es-ES_tradnl"/>
        </w:rPr>
      </w:pPr>
      <w:bookmarkStart w:id="111" w:name="_Toc487791229"/>
      <w:r w:rsidRPr="00C5465C">
        <w:rPr>
          <w:lang w:val="es-ES_tradnl"/>
        </w:rPr>
        <w:t>4</w:t>
      </w:r>
      <w:r w:rsidRPr="00C5465C">
        <w:rPr>
          <w:lang w:val="es-ES_tradnl"/>
        </w:rPr>
        <w:tab/>
      </w:r>
      <w:bookmarkStart w:id="112" w:name="_Toc482300245"/>
      <w:r w:rsidRPr="00C5465C">
        <w:rPr>
          <w:lang w:val="es-ES_tradnl"/>
        </w:rPr>
        <w:t>Asuntos asignados al GADT en la Resolución 24 (Rev. Dubái, 2014) de la CMDT</w:t>
      </w:r>
      <w:bookmarkEnd w:id="111"/>
      <w:bookmarkEnd w:id="112"/>
    </w:p>
    <w:p w:rsidR="00D2165D" w:rsidRPr="00C5465C" w:rsidRDefault="00D2165D" w:rsidP="00D2165D">
      <w:pPr>
        <w:pStyle w:val="Heading2"/>
        <w:rPr>
          <w:lang w:val="es-ES_tradnl"/>
        </w:rPr>
      </w:pPr>
      <w:bookmarkStart w:id="113" w:name="_Toc487791230"/>
      <w:r w:rsidRPr="00C5465C">
        <w:rPr>
          <w:lang w:val="es-ES_tradnl"/>
        </w:rPr>
        <w:t>4.1</w:t>
      </w:r>
      <w:r w:rsidRPr="00C5465C">
        <w:rPr>
          <w:lang w:val="es-ES_tradnl"/>
        </w:rPr>
        <w:tab/>
        <w:t>Antecedentes</w:t>
      </w:r>
      <w:bookmarkEnd w:id="113"/>
    </w:p>
    <w:p w:rsidR="00D2165D" w:rsidRPr="00C5465C" w:rsidRDefault="00D2165D">
      <w:pPr>
        <w:rPr>
          <w:lang w:val="es-ES_tradnl"/>
        </w:rPr>
      </w:pPr>
      <w:r w:rsidRPr="006270EF">
        <w:rPr>
          <w:lang w:val="es-ES_tradnl"/>
        </w:rPr>
        <w:t xml:space="preserve">Con arreglo al número 215JA </w:t>
      </w:r>
      <w:r w:rsidRPr="00C5465C">
        <w:rPr>
          <w:lang w:val="es-ES_tradnl"/>
        </w:rPr>
        <w:t xml:space="preserve">del Artículo 17 </w:t>
      </w:r>
      <w:r w:rsidRPr="006270EF">
        <w:rPr>
          <w:lang w:val="es-ES_tradnl"/>
        </w:rPr>
        <w:t>del Convenio de la Unión Internacional de Telecomunicaciones, el Grupo Asesor de Desarrollo de las Telecomunicaciones (GADT) presentará un informe a la Conferencia Mundial de Desarrollo de las Telecomunicaciones de 201</w:t>
      </w:r>
      <w:r w:rsidRPr="00C5465C">
        <w:rPr>
          <w:lang w:val="es-ES_tradnl"/>
        </w:rPr>
        <w:t>7</w:t>
      </w:r>
      <w:r w:rsidRPr="006270EF">
        <w:rPr>
          <w:lang w:val="es-ES_tradnl"/>
        </w:rPr>
        <w:t xml:space="preserve"> (CMDT-1</w:t>
      </w:r>
      <w:r w:rsidRPr="00C5465C">
        <w:rPr>
          <w:lang w:val="es-ES_tradnl"/>
        </w:rPr>
        <w:t>7</w:t>
      </w:r>
      <w:r w:rsidRPr="006270EF">
        <w:rPr>
          <w:lang w:val="es-ES_tradnl"/>
        </w:rPr>
        <w:t xml:space="preserve">) sobre las cuestiones asignadas al mismo por la CMDT-10, de acuerdo con lo dispuesto en el número 213A </w:t>
      </w:r>
      <w:r w:rsidRPr="00C5465C">
        <w:rPr>
          <w:lang w:val="es-ES_tradnl"/>
        </w:rPr>
        <w:t xml:space="preserve">del Artículo 16 </w:t>
      </w:r>
      <w:r w:rsidRPr="006270EF">
        <w:rPr>
          <w:lang w:val="es-ES_tradnl"/>
        </w:rPr>
        <w:t>del citado Convenio.</w:t>
      </w:r>
    </w:p>
    <w:p w:rsidR="00D2165D" w:rsidRPr="00C5465C" w:rsidRDefault="00D2165D">
      <w:pPr>
        <w:rPr>
          <w:szCs w:val="22"/>
          <w:lang w:val="es-ES_tradnl"/>
        </w:rPr>
      </w:pPr>
      <w:r w:rsidRPr="00C5465C">
        <w:rPr>
          <w:szCs w:val="22"/>
          <w:lang w:val="es-ES_tradnl"/>
        </w:rPr>
        <w:t>En la Resolución 24 (Rev. Dubái, 2014) de la CMDT-14 se encarga al GADT que, con arreglo a los Informes del Director de la Oficina de Desarrollo de las Telecomunicaciones (BDT), y de los Presidentes de las Comisiones de Estudio actúe en relación con los siguientes asuntos concretos, entre dos CMDT consecutivas, según proceda:</w:t>
      </w:r>
    </w:p>
    <w:p w:rsidR="00D2165D" w:rsidRPr="00C5465C" w:rsidRDefault="00D2165D">
      <w:pPr>
        <w:pStyle w:val="enumlev1"/>
        <w:rPr>
          <w:szCs w:val="22"/>
          <w:lang w:val="es-ES_tradnl"/>
        </w:rPr>
      </w:pPr>
      <w:r w:rsidRPr="00C5465C">
        <w:rPr>
          <w:lang w:val="es-ES_tradnl"/>
        </w:rPr>
        <w:t>i)</w:t>
      </w:r>
      <w:r w:rsidRPr="00C5465C">
        <w:rPr>
          <w:lang w:val="es-ES_tradnl"/>
        </w:rPr>
        <w:tab/>
        <w:t>seguir manteniendo directrices de trabajo eficientes y flexibles, actualizándolas en caso necesario, y brindar oportunidades para el intercambio interregional de experiencias sobre la ejecución de las actividades, iniciativas y proyectos regionales;</w:t>
      </w:r>
    </w:p>
    <w:p w:rsidR="00D2165D" w:rsidRPr="00C5465C" w:rsidRDefault="00D2165D" w:rsidP="00D2165D">
      <w:pPr>
        <w:pStyle w:val="enumlev1"/>
        <w:rPr>
          <w:rFonts w:eastAsia="SimSun"/>
          <w:szCs w:val="22"/>
          <w:lang w:val="es-ES_tradnl"/>
        </w:rPr>
      </w:pPr>
      <w:r w:rsidRPr="00C5465C">
        <w:rPr>
          <w:szCs w:val="24"/>
          <w:lang w:val="es-ES_tradnl"/>
        </w:rPr>
        <w:t>ii)</w:t>
      </w:r>
      <w:r w:rsidRPr="00C5465C">
        <w:rPr>
          <w:szCs w:val="24"/>
          <w:lang w:val="es-ES_tradnl"/>
        </w:rPr>
        <w:tab/>
      </w:r>
      <w:r w:rsidRPr="00C5465C">
        <w:rPr>
          <w:rFonts w:eastAsia="SimSun"/>
          <w:szCs w:val="24"/>
          <w:lang w:val="es-ES_tradnl"/>
        </w:rPr>
        <w:t>evaluar</w:t>
      </w:r>
      <w:r w:rsidRPr="00C5465C">
        <w:rPr>
          <w:rFonts w:eastAsia="SimSun"/>
          <w:szCs w:val="22"/>
          <w:lang w:val="es-ES_tradnl"/>
        </w:rPr>
        <w:t xml:space="preserve"> periódicamente la relación entre los objetivos del UIT-D descritos en el Plan Estratégico para la Unión y las asignaciones presupuestarias disponibles para actividades, concretamente, programas e Iniciativas Regionales, con miras a la recomendación de medidas necesarias para garantizar el suministro eficaz y eficiente de las producciones y servicios (productos) del Sector;</w:t>
      </w:r>
    </w:p>
    <w:p w:rsidR="00D2165D" w:rsidRPr="00C5465C" w:rsidRDefault="00D2165D" w:rsidP="009A526E">
      <w:pPr>
        <w:pStyle w:val="enumlev1"/>
        <w:keepLines/>
        <w:rPr>
          <w:rFonts w:eastAsia="SimSun"/>
          <w:szCs w:val="22"/>
          <w:lang w:val="es-ES_tradnl"/>
        </w:rPr>
      </w:pPr>
      <w:r w:rsidRPr="00C5465C">
        <w:rPr>
          <w:rFonts w:eastAsia="SimSun"/>
          <w:szCs w:val="22"/>
          <w:lang w:val="es-ES_tradnl"/>
        </w:rPr>
        <w:lastRenderedPageBreak/>
        <w:t>iii)</w:t>
      </w:r>
      <w:r w:rsidRPr="00C5465C">
        <w:rPr>
          <w:rFonts w:eastAsia="SimSun"/>
          <w:szCs w:val="22"/>
          <w:lang w:val="es-ES_tradnl"/>
        </w:rPr>
        <w:tab/>
        <w:t>evaluar periódicamente y de conformidad con el número 223A del Convenio la ejecución del plan operativo de cuatro años para el UIT-D y proporcionar directrices al BDT sobre la preparación del proyecto de Plan Operacional preliminar del UIT-D que será aprobado por la siguiente Sesión del Consejo del UIT-D;</w:t>
      </w:r>
    </w:p>
    <w:p w:rsidR="00D2165D" w:rsidRPr="00C5465C" w:rsidRDefault="00D2165D" w:rsidP="00D2165D">
      <w:pPr>
        <w:pStyle w:val="enumlev1"/>
        <w:rPr>
          <w:rFonts w:eastAsia="SimSun"/>
          <w:szCs w:val="22"/>
          <w:lang w:val="es-ES_tradnl"/>
        </w:rPr>
      </w:pPr>
      <w:r w:rsidRPr="00C5465C">
        <w:rPr>
          <w:rFonts w:eastAsia="SimSun"/>
          <w:szCs w:val="22"/>
          <w:lang w:val="es-ES_tradnl"/>
        </w:rPr>
        <w:t>iv)</w:t>
      </w:r>
      <w:r w:rsidRPr="00C5465C">
        <w:rPr>
          <w:rFonts w:eastAsia="SimSun"/>
          <w:szCs w:val="22"/>
          <w:lang w:val="es-ES_tradnl"/>
        </w:rPr>
        <w:tab/>
        <w:t>evaluar y, si procede, actualizar los métodos de trabajo y directivas para garantizar la aplicación eficaz y flexible de los elementos principales del Plan de Acción de la CMDT;</w:t>
      </w:r>
    </w:p>
    <w:p w:rsidR="00D2165D" w:rsidRPr="00C5465C" w:rsidRDefault="00D2165D" w:rsidP="00D2165D">
      <w:pPr>
        <w:pStyle w:val="enumlev1"/>
        <w:rPr>
          <w:rFonts w:eastAsia="SimSun"/>
          <w:szCs w:val="22"/>
          <w:lang w:val="es-ES_tradnl"/>
        </w:rPr>
      </w:pPr>
      <w:r w:rsidRPr="00C5465C">
        <w:rPr>
          <w:rFonts w:eastAsia="SimSun"/>
          <w:szCs w:val="22"/>
          <w:lang w:val="es-ES_tradnl"/>
        </w:rPr>
        <w:t>v)</w:t>
      </w:r>
      <w:r w:rsidRPr="00C5465C">
        <w:rPr>
          <w:rFonts w:eastAsia="SimSun"/>
          <w:szCs w:val="22"/>
          <w:lang w:val="es-ES_tradnl"/>
        </w:rPr>
        <w:tab/>
        <w:t>evaluar periódicamente los métodos de trabajo y el funcionamiento de las Comisiones de Estudio del UIT-D, a fin de identificar opciones para lograr la máxima eficacia en la ejecución de programas y tras una evaluación de su programa de trabajo aprobar los cambios apropiados, incluido el fortalecimiento de la sinergia entre cuestiones, programas e Iniciativas Regionales;</w:t>
      </w:r>
    </w:p>
    <w:p w:rsidR="00D2165D" w:rsidRPr="00C5465C" w:rsidRDefault="00D2165D" w:rsidP="00D2165D">
      <w:pPr>
        <w:pStyle w:val="enumlev1"/>
        <w:rPr>
          <w:rFonts w:eastAsia="SimSun"/>
          <w:szCs w:val="22"/>
          <w:lang w:val="es-ES_tradnl"/>
        </w:rPr>
      </w:pPr>
      <w:r w:rsidRPr="00C5465C">
        <w:rPr>
          <w:rFonts w:eastAsia="SimSun"/>
          <w:szCs w:val="22"/>
          <w:lang w:val="es-ES_tradnl"/>
        </w:rPr>
        <w:t>vi)</w:t>
      </w:r>
      <w:r w:rsidRPr="00C5465C">
        <w:rPr>
          <w:rFonts w:eastAsia="SimSun"/>
          <w:szCs w:val="22"/>
          <w:lang w:val="es-ES_tradnl"/>
        </w:rPr>
        <w:tab/>
        <w:t>llevar a cabo la evaluación según lo dispuesto en el inciso v) anterior, teniendo en cuenta, de considerarse necesario, las siguientes medidas con respecto al actual programa de trabajo de las Comisiones de Estudio:</w:t>
      </w:r>
    </w:p>
    <w:p w:rsidR="00D2165D" w:rsidRPr="00C5465C" w:rsidRDefault="00D2165D" w:rsidP="00D2165D">
      <w:pPr>
        <w:pStyle w:val="enumlev2"/>
        <w:rPr>
          <w:rFonts w:eastAsia="SimSun"/>
          <w:lang w:val="es-ES_tradnl"/>
        </w:rPr>
      </w:pPr>
      <w:r w:rsidRPr="00C5465C">
        <w:rPr>
          <w:rFonts w:eastAsia="SimSun"/>
          <w:lang w:val="es-ES_tradnl"/>
        </w:rPr>
        <w:t>•</w:t>
      </w:r>
      <w:r w:rsidRPr="00C5465C">
        <w:rPr>
          <w:rFonts w:eastAsia="SimSun"/>
          <w:lang w:val="es-ES_tradnl"/>
        </w:rPr>
        <w:tab/>
        <w:t>redefinición de los mandatos de las Cuestiones, a fin de concretarlos y de eliminar duplicaciones;</w:t>
      </w:r>
    </w:p>
    <w:p w:rsidR="00D2165D" w:rsidRPr="00C5465C" w:rsidRDefault="00D2165D" w:rsidP="00D2165D">
      <w:pPr>
        <w:pStyle w:val="enumlev2"/>
        <w:rPr>
          <w:rFonts w:eastAsia="SimSun"/>
          <w:lang w:val="es-ES_tradnl"/>
        </w:rPr>
      </w:pPr>
      <w:r w:rsidRPr="00C5465C">
        <w:rPr>
          <w:rFonts w:eastAsia="SimSun"/>
          <w:lang w:val="es-ES_tradnl"/>
        </w:rPr>
        <w:t>•</w:t>
      </w:r>
      <w:r w:rsidRPr="00C5465C">
        <w:rPr>
          <w:rFonts w:eastAsia="SimSun"/>
          <w:lang w:val="es-ES_tradnl"/>
        </w:rPr>
        <w:tab/>
        <w:t>eliminación o fusión de Cuestiones, según corresponda; y</w:t>
      </w:r>
    </w:p>
    <w:p w:rsidR="00D2165D" w:rsidRPr="00C5465C" w:rsidRDefault="00D2165D" w:rsidP="00D2165D">
      <w:pPr>
        <w:pStyle w:val="enumlev2"/>
        <w:rPr>
          <w:rFonts w:eastAsia="SimSun"/>
          <w:lang w:val="es-ES_tradnl"/>
        </w:rPr>
      </w:pPr>
      <w:r w:rsidRPr="00C5465C">
        <w:rPr>
          <w:rFonts w:eastAsia="SimSun"/>
          <w:lang w:val="es-ES_tradnl"/>
        </w:rPr>
        <w:t>•</w:t>
      </w:r>
      <w:r w:rsidRPr="00C5465C">
        <w:rPr>
          <w:rFonts w:eastAsia="SimSun"/>
          <w:lang w:val="es-ES_tradnl"/>
        </w:rPr>
        <w:tab/>
        <w:t>evaluación de criterios para medir la eficacia de las Cuestiones, tanto cualitativa como cuantitativamente, incluida una revisión periódica sobre la base del Plan Estratégico del UIT-D, con miras a seguir estudiando las mediciones de los resultados a fin de aplicar de manera más eficaz las medidas indicadas en el inciso v) anterior;</w:t>
      </w:r>
    </w:p>
    <w:p w:rsidR="00D2165D" w:rsidRPr="00C5465C" w:rsidRDefault="00D2165D" w:rsidP="00D2165D">
      <w:pPr>
        <w:pStyle w:val="enumlev1"/>
        <w:rPr>
          <w:rFonts w:eastAsia="SimSun"/>
          <w:lang w:val="es-ES_tradnl"/>
        </w:rPr>
      </w:pPr>
      <w:r w:rsidRPr="00C5465C">
        <w:rPr>
          <w:rFonts w:eastAsia="SimSun"/>
          <w:lang w:val="es-ES_tradnl"/>
        </w:rPr>
        <w:t>vii)</w:t>
      </w:r>
      <w:r w:rsidRPr="00C5465C">
        <w:rPr>
          <w:rFonts w:eastAsia="SimSun"/>
          <w:lang w:val="es-ES_tradnl"/>
        </w:rPr>
        <w:tab/>
        <w:t>reestructurar las Comisiones de Estudio del UIT-D, si procede, y, a resultas de cualquier reestructuración o creación de Comisiones de Estudio del UIT-D, nombrar Presidentes y Vicepresidentes para que desempeñen su función hasta la próxima CMDT, en respuesta a las necesidades e inquietudes de los Estados Miembros, ateniéndose a los límites presupuestarios acordados;</w:t>
      </w:r>
    </w:p>
    <w:p w:rsidR="00D2165D" w:rsidRPr="00C5465C" w:rsidRDefault="00D2165D" w:rsidP="00D2165D">
      <w:pPr>
        <w:pStyle w:val="enumlev1"/>
        <w:rPr>
          <w:rFonts w:eastAsia="SimSun"/>
          <w:lang w:val="es-ES_tradnl"/>
        </w:rPr>
      </w:pPr>
      <w:r w:rsidRPr="00C5465C">
        <w:rPr>
          <w:rFonts w:eastAsia="SimSun"/>
          <w:lang w:val="es-ES_tradnl"/>
        </w:rPr>
        <w:t>viii)</w:t>
      </w:r>
      <w:r w:rsidRPr="00C5465C">
        <w:rPr>
          <w:rFonts w:eastAsia="SimSun"/>
          <w:lang w:val="es-ES_tradnl"/>
        </w:rPr>
        <w:tab/>
        <w:t>asesorar sobre los calendarios de reuniones de las Comisiones de Estudio que satisfacen las prioridades de desarrollo;</w:t>
      </w:r>
    </w:p>
    <w:p w:rsidR="00D2165D" w:rsidRPr="00C5465C" w:rsidRDefault="00D2165D" w:rsidP="00D2165D">
      <w:pPr>
        <w:pStyle w:val="enumlev1"/>
        <w:rPr>
          <w:rFonts w:eastAsia="SimSun"/>
          <w:lang w:val="es-ES_tradnl"/>
        </w:rPr>
      </w:pPr>
      <w:r w:rsidRPr="00C5465C">
        <w:rPr>
          <w:rFonts w:eastAsia="SimSun"/>
          <w:lang w:val="es-ES_tradnl"/>
        </w:rPr>
        <w:t>ix)</w:t>
      </w:r>
      <w:r w:rsidRPr="00C5465C">
        <w:rPr>
          <w:rFonts w:eastAsia="SimSun"/>
          <w:lang w:val="es-ES_tradnl"/>
        </w:rPr>
        <w:tab/>
        <w:t>asesorar al Director de la BDT sobre las cuestiones financieras y de otra índole que sean pertinentes;</w:t>
      </w:r>
    </w:p>
    <w:p w:rsidR="00D2165D" w:rsidRPr="00C5465C" w:rsidRDefault="00D2165D" w:rsidP="00D2165D">
      <w:pPr>
        <w:pStyle w:val="enumlev1"/>
        <w:rPr>
          <w:rFonts w:eastAsia="SimSun"/>
          <w:lang w:val="es-ES_tradnl"/>
        </w:rPr>
      </w:pPr>
      <w:r w:rsidRPr="00C5465C">
        <w:rPr>
          <w:rFonts w:eastAsia="SimSun"/>
          <w:lang w:val="es-ES_tradnl"/>
        </w:rPr>
        <w:t>x)</w:t>
      </w:r>
      <w:r w:rsidRPr="00C5465C">
        <w:rPr>
          <w:rFonts w:eastAsia="SimSun"/>
          <w:lang w:val="es-ES_tradnl"/>
        </w:rPr>
        <w:tab/>
        <w:t>aprobar el programa de trabajo que resulte de la revisión de las Cuestiones existentes y nuevas y determinar la prioridad, la urgencia, las repercusiones financieras estimadas y el calendario para completar su estudio;</w:t>
      </w:r>
    </w:p>
    <w:p w:rsidR="00D2165D" w:rsidRPr="00C5465C" w:rsidRDefault="00D2165D" w:rsidP="00D2165D">
      <w:pPr>
        <w:pStyle w:val="enumlev1"/>
        <w:rPr>
          <w:rFonts w:eastAsia="SimSun"/>
          <w:lang w:val="es-ES_tradnl"/>
        </w:rPr>
      </w:pPr>
      <w:r w:rsidRPr="00C5465C">
        <w:rPr>
          <w:rFonts w:eastAsia="SimSun"/>
          <w:lang w:val="es-ES_tradnl"/>
        </w:rPr>
        <w:t>xi)</w:t>
      </w:r>
      <w:r w:rsidRPr="00C5465C">
        <w:rPr>
          <w:rFonts w:eastAsia="SimSun"/>
          <w:lang w:val="es-ES_tradnl"/>
        </w:rPr>
        <w:tab/>
        <w:t>a fin de fomentar la flexibilidad a la hora de responder con rapidez a asuntos altamente prioritarios y, en su caso, crear, disolver o mantener otros grupos, nombrar a sus Presidentes y Vicepresidentes y determinar su mandato con una duración definida, de conformidad con los números 209A y 209B del Convenio, y teniendo en cuenta el papel principal de las Comisiones de Estudio para hacerse cargo de los estudios de estos asuntos; estos otros grupos no adoptarán Cuestiones o Recomendaciones;</w:t>
      </w:r>
    </w:p>
    <w:p w:rsidR="00D2165D" w:rsidRPr="00C5465C" w:rsidRDefault="00D2165D" w:rsidP="009A526E">
      <w:pPr>
        <w:keepLines/>
        <w:rPr>
          <w:lang w:val="es-ES_tradnl"/>
        </w:rPr>
      </w:pPr>
      <w:r w:rsidRPr="00C5465C">
        <w:rPr>
          <w:rFonts w:eastAsia="SimSun"/>
          <w:lang w:val="es-ES_tradnl"/>
        </w:rPr>
        <w:lastRenderedPageBreak/>
        <w:t>xii)</w:t>
      </w:r>
      <w:r w:rsidRPr="00C5465C">
        <w:rPr>
          <w:rFonts w:eastAsia="SimSun"/>
          <w:lang w:val="es-ES_tradnl"/>
        </w:rPr>
        <w:tab/>
        <w:t xml:space="preserve">consultar al Director de la BDT acerca del desarrollo y la ejecución de un Plan de Acción sobre los métodos de trabajo electrónicos y, más adelante, sobre los procedimientos y reglas para las reuniones por medios electrónicos, incluidos los aspectos legales, teniendo en cuenta las necesidades y los medios de que disponen los países en desarrollo y, en particular, los países menos adelantados. </w:t>
      </w:r>
      <w:r w:rsidRPr="006270EF">
        <w:rPr>
          <w:lang w:val="es-ES_tradnl"/>
        </w:rPr>
        <w:t>A continuación se presentan a este respecto las acciones llevadas a cabo por el GADT entre la CMDT-10 y la CMDT-14.</w:t>
      </w:r>
    </w:p>
    <w:p w:rsidR="00D2165D" w:rsidRPr="006270EF" w:rsidRDefault="00D2165D">
      <w:pPr>
        <w:pStyle w:val="Heading2"/>
        <w:rPr>
          <w:lang w:val="es-ES_tradnl"/>
        </w:rPr>
      </w:pPr>
      <w:bookmarkStart w:id="114" w:name="_Toc487791231"/>
      <w:r w:rsidRPr="006270EF">
        <w:rPr>
          <w:lang w:val="es-ES_tradnl"/>
        </w:rPr>
        <w:t>4.2</w:t>
      </w:r>
      <w:r w:rsidRPr="006270EF">
        <w:rPr>
          <w:lang w:val="es-ES_tradnl"/>
        </w:rPr>
        <w:tab/>
        <w:t>Mantenimiento de directrices de trabajo</w:t>
      </w:r>
      <w:r w:rsidRPr="00C5465C">
        <w:rPr>
          <w:lang w:val="es-ES_tradnl"/>
        </w:rPr>
        <w:t xml:space="preserve"> actualizadas,</w:t>
      </w:r>
      <w:r w:rsidRPr="006270EF">
        <w:rPr>
          <w:lang w:val="es-ES_tradnl"/>
        </w:rPr>
        <w:t xml:space="preserve"> eficientes y flexibles</w:t>
      </w:r>
      <w:bookmarkEnd w:id="114"/>
    </w:p>
    <w:p w:rsidR="00D2165D" w:rsidRPr="00C5465C" w:rsidRDefault="00D2165D">
      <w:pPr>
        <w:rPr>
          <w:lang w:val="es-ES_tradnl"/>
        </w:rPr>
      </w:pPr>
      <w:r w:rsidRPr="006270EF">
        <w:rPr>
          <w:lang w:val="es-ES_tradnl"/>
        </w:rPr>
        <w:t>Los métodos de trabajo electrónicos, incluida la participación a distancia, se han incorporado a la labor del GADT durante el periodo objeto de examen.</w:t>
      </w:r>
    </w:p>
    <w:p w:rsidR="00D2165D" w:rsidRPr="00C5465C" w:rsidRDefault="00D2165D">
      <w:pPr>
        <w:rPr>
          <w:rFonts w:ascii="Calibri" w:hAnsi="Calibri" w:cs="Calibri"/>
          <w:szCs w:val="24"/>
          <w:lang w:val="es-ES_tradnl"/>
        </w:rPr>
      </w:pPr>
      <w:r w:rsidRPr="006270EF">
        <w:rPr>
          <w:lang w:val="es-ES_tradnl"/>
        </w:rPr>
        <w:t xml:space="preserve">El GADT creó </w:t>
      </w:r>
      <w:r w:rsidRPr="00C5465C">
        <w:rPr>
          <w:lang w:val="es-ES_tradnl"/>
        </w:rPr>
        <w:t>varios</w:t>
      </w:r>
      <w:r w:rsidRPr="006270EF">
        <w:rPr>
          <w:lang w:val="es-ES_tradnl"/>
        </w:rPr>
        <w:t xml:space="preserve"> grupos por correspondencia</w:t>
      </w:r>
      <w:r w:rsidRPr="00C5465C">
        <w:rPr>
          <w:lang w:val="es-ES_tradnl"/>
        </w:rPr>
        <w:t xml:space="preserve"> y un equipo de coordinación que trabajaron electrónicamente (véase el punto 3</w:t>
      </w:r>
      <w:r w:rsidRPr="006270EF">
        <w:rPr>
          <w:rFonts w:ascii="Calibri" w:hAnsi="Calibri" w:cs="Calibri"/>
          <w:szCs w:val="24"/>
          <w:lang w:val="es-ES_tradnl"/>
        </w:rPr>
        <w:t>).</w:t>
      </w:r>
    </w:p>
    <w:p w:rsidR="00D2165D" w:rsidRPr="00C5465C" w:rsidRDefault="00D2165D">
      <w:pPr>
        <w:rPr>
          <w:rFonts w:cstheme="minorHAnsi"/>
          <w:szCs w:val="24"/>
          <w:lang w:val="es-ES_tradnl"/>
        </w:rPr>
      </w:pPr>
      <w:r w:rsidRPr="006270EF">
        <w:rPr>
          <w:lang w:val="es-ES_tradnl"/>
        </w:rPr>
        <w:t>El GADT tomó nota con satisfacción de las medidas innovadoras adoptadas por la BDT con el fin de proporcionar instalaciones de trabajo electrónicas para su utilización por los miembros, y en particular la participación a distancia</w:t>
      </w:r>
      <w:r w:rsidRPr="00C5465C">
        <w:rPr>
          <w:lang w:val="es-ES_tradnl"/>
        </w:rPr>
        <w:t xml:space="preserve">, </w:t>
      </w:r>
      <w:r w:rsidRPr="006270EF">
        <w:rPr>
          <w:rFonts w:cstheme="minorHAnsi"/>
          <w:szCs w:val="24"/>
          <w:lang w:val="es-ES_tradnl"/>
        </w:rPr>
        <w:t>el sistema de gestión de documentos (DMS) para la creación y publicación de documentos</w:t>
      </w:r>
      <w:r w:rsidRPr="00C5465C">
        <w:rPr>
          <w:rFonts w:cstheme="minorHAnsi"/>
          <w:szCs w:val="24"/>
          <w:lang w:val="es-ES_tradnl"/>
        </w:rPr>
        <w:t xml:space="preserve"> y</w:t>
      </w:r>
      <w:r w:rsidRPr="006270EF">
        <w:rPr>
          <w:rFonts w:cstheme="minorHAnsi"/>
          <w:szCs w:val="24"/>
          <w:lang w:val="es-ES_tradnl"/>
        </w:rPr>
        <w:t xml:space="preserve"> </w:t>
      </w:r>
      <w:r w:rsidRPr="00C5465C">
        <w:rPr>
          <w:rFonts w:cstheme="minorHAnsi"/>
          <w:szCs w:val="24"/>
          <w:lang w:val="es-ES_tradnl"/>
        </w:rPr>
        <w:t>e</w:t>
      </w:r>
      <w:r w:rsidRPr="006270EF">
        <w:rPr>
          <w:rFonts w:cstheme="minorHAnsi"/>
          <w:szCs w:val="24"/>
          <w:lang w:val="es-ES_tradnl"/>
        </w:rPr>
        <w:t>l proyecto de gestión de las relaciones con los clientes (CRM) está pasando progresivamente a la etapa piloto</w:t>
      </w:r>
      <w:r w:rsidRPr="00C5465C">
        <w:rPr>
          <w:rFonts w:cstheme="minorHAnsi"/>
          <w:szCs w:val="24"/>
          <w:lang w:val="es-ES_tradnl"/>
        </w:rPr>
        <w:t>.</w:t>
      </w:r>
    </w:p>
    <w:p w:rsidR="00D2165D" w:rsidRPr="00C5465C" w:rsidRDefault="00D2165D">
      <w:pPr>
        <w:rPr>
          <w:rFonts w:ascii="Calibri" w:hAnsi="Calibri" w:cs="Calibri"/>
          <w:szCs w:val="24"/>
          <w:lang w:val="es-ES_tradnl"/>
        </w:rPr>
      </w:pPr>
      <w:r w:rsidRPr="00C5465C">
        <w:rPr>
          <w:szCs w:val="24"/>
          <w:lang w:val="es-ES_tradnl"/>
        </w:rPr>
        <w:t>El Grupo por Correspondencia del GADT sobre el Reglamento interno del UIT-D (GC-Res.1) revisó el texto existente de la Resolución 1 (Rev. Dubái, 2014) para dar una interpretación práctica a los métodos de trabajo y preparar propuestas para su posterior consideración en la CMDT-17 (véase el punto 3.1</w:t>
      </w:r>
      <w:r w:rsidRPr="00C5465C">
        <w:rPr>
          <w:rFonts w:ascii="Calibri" w:hAnsi="Calibri" w:cs="Calibri"/>
          <w:szCs w:val="24"/>
          <w:lang w:val="es-ES_tradnl"/>
        </w:rPr>
        <w:t>).</w:t>
      </w:r>
    </w:p>
    <w:p w:rsidR="00D2165D" w:rsidRPr="00C5465C" w:rsidRDefault="00D2165D">
      <w:pPr>
        <w:rPr>
          <w:rFonts w:cstheme="minorHAnsi"/>
          <w:szCs w:val="24"/>
          <w:lang w:val="es-ES_tradnl"/>
        </w:rPr>
      </w:pPr>
      <w:r w:rsidRPr="00C5465C">
        <w:rPr>
          <w:rFonts w:cstheme="minorHAnsi"/>
          <w:szCs w:val="24"/>
          <w:lang w:val="es-ES_tradnl"/>
        </w:rPr>
        <w:t>También se puso de relieve el coste de los servicios de interpretación y traducción. En los otros sectores, los grupos temáticos trabajan en un sólo idioma, el inglés, lo que excluye a algunos participantes de la labor de los Grupos Temáticos. Por otra parte, se observó que los mecanismos existentes en el UIT-D con los Grupos de Relator y las Comisiones de Estudio pudiera ser suficiente para realizar los trabajos con la flexibilidad necesarias.</w:t>
      </w:r>
    </w:p>
    <w:p w:rsidR="00D2165D" w:rsidRPr="00C5465C" w:rsidRDefault="00D2165D">
      <w:pPr>
        <w:rPr>
          <w:rFonts w:cstheme="minorHAnsi"/>
          <w:szCs w:val="24"/>
          <w:lang w:val="es-ES_tradnl"/>
        </w:rPr>
      </w:pPr>
      <w:r w:rsidRPr="00C5465C">
        <w:rPr>
          <w:rFonts w:cstheme="minorHAnsi"/>
          <w:szCs w:val="24"/>
          <w:lang w:val="es-ES_tradnl"/>
        </w:rPr>
        <w:t>A fin de avanzar los trabajos del GC-Res.1, el Presidente indicó algunas etapas que podrían considerarse: dado que la enmienda de Resoluciones debe hacer mediante contribuciones por escrito, se pidió que para la nueva revisión del texto de la Resolución 1 se elimine la referencia a grupos temáticos, a menos que pueda adoptarse una justificación por escrito conveniente para todos. Siempre que se introduzcan nuevos conceptos en el texto, tienen que justificarse y validarse.</w:t>
      </w:r>
    </w:p>
    <w:p w:rsidR="00D2165D" w:rsidRPr="00C5465C" w:rsidRDefault="00D2165D">
      <w:pPr>
        <w:pStyle w:val="Heading2"/>
        <w:rPr>
          <w:lang w:val="es-ES_tradnl"/>
        </w:rPr>
      </w:pPr>
      <w:bookmarkStart w:id="115" w:name="_Toc487791232"/>
      <w:r w:rsidRPr="00C5465C">
        <w:rPr>
          <w:lang w:val="es-ES_tradnl"/>
        </w:rPr>
        <w:t>4.3</w:t>
      </w:r>
      <w:r w:rsidRPr="00C5465C">
        <w:rPr>
          <w:lang w:val="es-ES_tradnl"/>
        </w:rPr>
        <w:tab/>
        <w:t>Evaluación de los métodos de trabajo y el funcionamiento de las Comisiones de Estudio del UIT D, y aprobación de cambios para mejorar la eficiencia y lograr la máxima eficacia en la ejecución de programas</w:t>
      </w:r>
      <w:bookmarkEnd w:id="115"/>
    </w:p>
    <w:p w:rsidR="00D2165D" w:rsidRPr="00C5465C" w:rsidRDefault="00D2165D">
      <w:pPr>
        <w:rPr>
          <w:lang w:val="es-ES_tradnl"/>
        </w:rPr>
      </w:pPr>
      <w:r w:rsidRPr="000B7BF7">
        <w:rPr>
          <w:lang w:val="es-ES_tradnl"/>
        </w:rPr>
        <w:t>A lo largo del periodo de estudios, los Presidentes de las dos Comisiones de Estudio del UIT-D informaron de manera sistemática al GADT sobre los progresos realizados por su Comisión de Estudio respectiva y de todas las dificultades encontradas que pudieran haber impedido la finalización de sus labores. Los temas tratados durante las reuniones de los equipos directivos, incluida la reunión conjunta de los equipos directivos de ambas Comisiones de Estudio, se han incluido en los informes correspondientes y llevado a la atención del GADT.</w:t>
      </w:r>
    </w:p>
    <w:p w:rsidR="00D2165D" w:rsidRPr="00C5465C" w:rsidRDefault="00D2165D" w:rsidP="00D2165D">
      <w:pPr>
        <w:rPr>
          <w:rFonts w:cstheme="minorHAnsi"/>
          <w:szCs w:val="24"/>
          <w:lang w:val="es-ES_tradnl"/>
        </w:rPr>
      </w:pPr>
      <w:r w:rsidRPr="00C5465C">
        <w:rPr>
          <w:rFonts w:cstheme="minorHAnsi"/>
          <w:szCs w:val="24"/>
          <w:lang w:val="es-ES_tradnl"/>
        </w:rPr>
        <w:t>El GADT, durante su reunión de 2016, dio una opinión positiva a los Presidentes de las Comisiones de Estudio 1 y 2 del UIT-D en relación con la situación actual de los trabajos de las Comisio</w:t>
      </w:r>
      <w:r w:rsidR="009A526E">
        <w:rPr>
          <w:rFonts w:cstheme="minorHAnsi"/>
          <w:szCs w:val="24"/>
          <w:lang w:val="es-ES_tradnl"/>
        </w:rPr>
        <w:t>nes.</w:t>
      </w:r>
    </w:p>
    <w:p w:rsidR="00D2165D" w:rsidRPr="00C5465C" w:rsidRDefault="00D2165D" w:rsidP="00D2165D">
      <w:pPr>
        <w:rPr>
          <w:rFonts w:cstheme="minorHAnsi"/>
          <w:szCs w:val="24"/>
          <w:lang w:val="es-ES_tradnl"/>
        </w:rPr>
      </w:pPr>
      <w:r w:rsidRPr="00C5465C">
        <w:rPr>
          <w:rFonts w:cstheme="minorHAnsi"/>
          <w:szCs w:val="24"/>
          <w:lang w:val="es-ES_tradnl"/>
        </w:rPr>
        <w:lastRenderedPageBreak/>
        <w:t xml:space="preserve">El GADT pidió al UIT-D, y en particular a los Presidentes de las Comisiones de Estudio del UIT-D que coordinen las actividades de las Comisiones de Estudio del UIT-D y del UIT-T. Varios participantes y el Presidente del GADT sugirieron que recurrir más a los contactos personales podría contribuir a estrechar la coordinación entre los dos Sectores. Propusieron que </w:t>
      </w:r>
      <w:r>
        <w:rPr>
          <w:rFonts w:cstheme="minorHAnsi"/>
          <w:szCs w:val="24"/>
          <w:lang w:val="es-ES_tradnl"/>
        </w:rPr>
        <w:t>los relatores de las Cuestiones </w:t>
      </w:r>
      <w:r w:rsidRPr="00C5465C">
        <w:rPr>
          <w:rFonts w:cstheme="minorHAnsi"/>
          <w:szCs w:val="24"/>
          <w:lang w:val="es-ES_tradnl"/>
        </w:rPr>
        <w:t xml:space="preserve">UIT-D estudien detenidamente la información facilitada por el UIT-T en la correspondencia de Cuestiones e identifique todo solapamiento de temas entre los dos sectores a fin de poder informar al UIT-T a este respecto. </w:t>
      </w:r>
    </w:p>
    <w:p w:rsidR="00D2165D" w:rsidRPr="00C5465C" w:rsidRDefault="00D2165D" w:rsidP="00D2165D">
      <w:pPr>
        <w:rPr>
          <w:rFonts w:cstheme="minorHAnsi"/>
          <w:szCs w:val="24"/>
          <w:lang w:val="es-ES_tradnl"/>
        </w:rPr>
      </w:pPr>
      <w:r w:rsidRPr="00C5465C">
        <w:rPr>
          <w:rFonts w:cstheme="minorHAnsi"/>
          <w:szCs w:val="24"/>
          <w:lang w:val="es-ES_tradnl"/>
        </w:rPr>
        <w:t>El GADT subrayó la importancia de la colaboración entre las Comisiones de Estudio de los diferentes Sectores. El GADT instó a los Presidentes de las Comisiones de Estudio a incrementar la colaboración y el entendimiento de la labor que desempeña cada Sector, en aras de la complementariedad.</w:t>
      </w:r>
    </w:p>
    <w:p w:rsidR="00D2165D" w:rsidRPr="00C5465C" w:rsidRDefault="00D2165D" w:rsidP="00D2165D">
      <w:pPr>
        <w:rPr>
          <w:rFonts w:eastAsia="SimSun" w:cstheme="minorHAnsi"/>
          <w:szCs w:val="24"/>
          <w:lang w:val="es-ES_tradnl"/>
        </w:rPr>
      </w:pPr>
      <w:r w:rsidRPr="00C5465C">
        <w:rPr>
          <w:rFonts w:cstheme="minorHAnsi"/>
          <w:szCs w:val="24"/>
          <w:lang w:val="es-ES_tradnl"/>
        </w:rPr>
        <w:t xml:space="preserve">El GADT observó las relaciones entre las Cuestiones de la Comisión de Estudio 2 y las de la Comisión de Estudio 1, así como las Cuestiones de las Comisiones de Estudio del UIT-R y del UIT-T, y emitió una opinión positiva sobre las medidas iniciadas de intercambio de información y declaraciones de coordinación con objeto de iniciar y mantener la cooperación. </w:t>
      </w:r>
    </w:p>
    <w:p w:rsidR="00D2165D" w:rsidRPr="00C5465C" w:rsidRDefault="00D2165D">
      <w:pPr>
        <w:rPr>
          <w:rFonts w:cstheme="minorHAnsi"/>
          <w:szCs w:val="24"/>
          <w:lang w:val="es-ES_tradnl"/>
        </w:rPr>
      </w:pPr>
      <w:r w:rsidRPr="00C5465C">
        <w:rPr>
          <w:rFonts w:cstheme="minorHAnsi"/>
          <w:szCs w:val="24"/>
          <w:lang w:val="es-ES_tradnl"/>
        </w:rPr>
        <w:t>Es de suma importancia poder dar la opinión al UIT-T y al UIT-R, por lo que el GADT instó a los relatores de las Comisiones de Estudio del UIT-D a examinar detenidamente la información suministrada por los otros Sectores y manifestar la postura del UIT-D, en particular mediante declaraciones de coordinación.</w:t>
      </w:r>
    </w:p>
    <w:p w:rsidR="00D2165D" w:rsidRPr="00C5465C" w:rsidRDefault="00D2165D">
      <w:pPr>
        <w:pStyle w:val="Heading2"/>
        <w:rPr>
          <w:lang w:val="es-ES_tradnl"/>
        </w:rPr>
      </w:pPr>
      <w:bookmarkStart w:id="116" w:name="_Toc487791233"/>
      <w:r w:rsidRPr="00C5465C">
        <w:rPr>
          <w:lang w:val="es-ES_tradnl"/>
        </w:rPr>
        <w:t>4.4</w:t>
      </w:r>
      <w:r w:rsidRPr="00C5465C">
        <w:rPr>
          <w:lang w:val="es-ES_tradnl"/>
        </w:rPr>
        <w:tab/>
        <w:t>Asesoramiento al Director de la BDT sobre las cuestiones financieras y de otra índole que sean pertinentes</w:t>
      </w:r>
      <w:bookmarkEnd w:id="116"/>
    </w:p>
    <w:p w:rsidR="00D2165D" w:rsidRPr="000B7BF7" w:rsidRDefault="00D2165D" w:rsidP="00D2165D">
      <w:pPr>
        <w:rPr>
          <w:rFonts w:ascii="Calibri" w:hAnsi="Calibri" w:cs="Calibri"/>
          <w:szCs w:val="24"/>
          <w:lang w:val="es-ES_tradnl"/>
        </w:rPr>
      </w:pPr>
      <w:r w:rsidRPr="000B7BF7">
        <w:rPr>
          <w:rFonts w:ascii="Calibri" w:hAnsi="Calibri" w:cs="Calibri"/>
          <w:szCs w:val="24"/>
          <w:lang w:val="es-ES_tradnl"/>
        </w:rPr>
        <w:t xml:space="preserve">Al estudiar la puesta en práctica del Plan de Acción de </w:t>
      </w:r>
      <w:r w:rsidRPr="00C5465C">
        <w:rPr>
          <w:rFonts w:ascii="Calibri" w:hAnsi="Calibri" w:cs="Calibri"/>
          <w:szCs w:val="24"/>
          <w:lang w:val="es-ES_tradnl"/>
        </w:rPr>
        <w:t>Dubái</w:t>
      </w:r>
      <w:r w:rsidRPr="000B7BF7">
        <w:rPr>
          <w:rFonts w:ascii="Calibri" w:hAnsi="Calibri" w:cs="Calibri"/>
          <w:szCs w:val="24"/>
          <w:lang w:val="es-ES_tradnl"/>
        </w:rPr>
        <w:t xml:space="preserve"> (PA</w:t>
      </w:r>
      <w:r w:rsidRPr="00C5465C">
        <w:rPr>
          <w:rFonts w:ascii="Calibri" w:hAnsi="Calibri" w:cs="Calibri"/>
          <w:szCs w:val="24"/>
          <w:lang w:val="es-ES_tradnl"/>
        </w:rPr>
        <w:t>Du</w:t>
      </w:r>
      <w:r w:rsidRPr="000B7BF7">
        <w:rPr>
          <w:rFonts w:ascii="Calibri" w:hAnsi="Calibri" w:cs="Calibri"/>
          <w:szCs w:val="24"/>
          <w:lang w:val="es-ES_tradnl"/>
        </w:rPr>
        <w:t xml:space="preserve">), el GADT expresó su </w:t>
      </w:r>
      <w:r w:rsidRPr="00C5465C">
        <w:rPr>
          <w:rFonts w:ascii="Calibri" w:hAnsi="Calibri" w:cs="Calibri"/>
          <w:szCs w:val="24"/>
          <w:lang w:val="es-ES_tradnl"/>
        </w:rPr>
        <w:t xml:space="preserve">apreciación y </w:t>
      </w:r>
      <w:r w:rsidRPr="000B7BF7">
        <w:rPr>
          <w:rFonts w:ascii="Calibri" w:hAnsi="Calibri" w:cs="Calibri"/>
          <w:szCs w:val="24"/>
          <w:lang w:val="es-ES_tradnl"/>
        </w:rPr>
        <w:t>apoyo al enfoque basado en los resultados y centrado en los productos</w:t>
      </w:r>
      <w:r w:rsidRPr="00C5465C">
        <w:rPr>
          <w:rFonts w:ascii="Calibri" w:hAnsi="Calibri" w:cs="Calibri"/>
          <w:szCs w:val="24"/>
          <w:lang w:val="es-ES_tradnl"/>
        </w:rPr>
        <w:t xml:space="preserve"> y resultados obtenidos. El GADT reconoce la mejora de la supervisión y la presentación de informes en relación con la aplicación de los planes estratégico y operacional mediante la preparación de los planes operacionales, informes de rendimiento e informes trimestrales</w:t>
      </w:r>
      <w:r w:rsidRPr="000B7BF7">
        <w:rPr>
          <w:rFonts w:ascii="Calibri" w:hAnsi="Calibri" w:cs="Calibri"/>
          <w:szCs w:val="24"/>
          <w:lang w:val="es-ES_tradnl"/>
        </w:rPr>
        <w:t>.</w:t>
      </w:r>
    </w:p>
    <w:p w:rsidR="00D2165D" w:rsidRPr="00C5465C" w:rsidRDefault="00D2165D" w:rsidP="00D2165D">
      <w:pPr>
        <w:rPr>
          <w:rFonts w:ascii="Calibri" w:hAnsi="Calibri" w:cs="Calibri"/>
          <w:szCs w:val="24"/>
          <w:lang w:val="es-ES_tradnl"/>
        </w:rPr>
      </w:pPr>
      <w:r w:rsidRPr="00C5465C">
        <w:rPr>
          <w:rFonts w:ascii="Calibri" w:hAnsi="Calibri" w:cs="Calibri"/>
          <w:szCs w:val="24"/>
          <w:lang w:val="es-ES_tradnl"/>
        </w:rPr>
        <w:t xml:space="preserve">En relación con la ejecución de proyectos, el GADT expresó su apoyo y apreciación por los progresos significativos realizados en la supervisión y presentación de informes sobre proyectos de la UIT mediante las páginas web de la </w:t>
      </w:r>
      <w:hyperlink r:id="rId39" w:history="1">
        <w:r w:rsidRPr="000B7BF7">
          <w:rPr>
            <w:rStyle w:val="Hyperlink"/>
            <w:rFonts w:ascii="Calibri" w:hAnsi="Calibri" w:cs="Calibri"/>
            <w:szCs w:val="24"/>
            <w:lang w:val="es-ES_tradnl"/>
          </w:rPr>
          <w:t>Cartera de proyectos de la UIT</w:t>
        </w:r>
      </w:hyperlink>
      <w:r w:rsidRPr="00C5465C">
        <w:rPr>
          <w:rFonts w:ascii="Calibri" w:hAnsi="Calibri" w:cs="Calibri"/>
          <w:szCs w:val="24"/>
          <w:lang w:val="es-ES_tradnl"/>
        </w:rPr>
        <w:t xml:space="preserve"> y los </w:t>
      </w:r>
      <w:hyperlink r:id="rId40" w:history="1">
        <w:r w:rsidRPr="000B7BF7">
          <w:rPr>
            <w:rStyle w:val="Hyperlink"/>
            <w:rFonts w:ascii="Calibri" w:hAnsi="Calibri" w:cs="Calibri"/>
            <w:szCs w:val="24"/>
            <w:lang w:val="es-ES_tradnl"/>
          </w:rPr>
          <w:t>Proyectos de la UIT en cifras</w:t>
        </w:r>
      </w:hyperlink>
      <w:r w:rsidRPr="00C5465C">
        <w:rPr>
          <w:rFonts w:ascii="Calibri" w:hAnsi="Calibri" w:cs="Calibri"/>
          <w:szCs w:val="24"/>
          <w:lang w:val="es-ES_tradnl"/>
        </w:rPr>
        <w:t>.</w:t>
      </w:r>
    </w:p>
    <w:p w:rsidR="00D2165D" w:rsidRPr="00B452EE" w:rsidRDefault="00D2165D" w:rsidP="00D2165D">
      <w:pPr>
        <w:rPr>
          <w:rFonts w:ascii="Calibri" w:hAnsi="Calibri" w:cs="Calibri"/>
          <w:szCs w:val="24"/>
          <w:lang w:val="es-ES_tradnl"/>
        </w:rPr>
      </w:pPr>
      <w:r w:rsidRPr="00B452EE">
        <w:rPr>
          <w:rFonts w:ascii="Calibri" w:hAnsi="Calibri" w:cs="Calibri"/>
          <w:szCs w:val="24"/>
          <w:lang w:val="es-ES_tradnl"/>
        </w:rPr>
        <w:t>A lo largo de sus diversas reuniones, el GADT destacó el importante papel que desempeña el sector privado en la labor del UIT-D, e insistió en la necesidad de seguir fomentando la colaboración con el sector privado. Recomendó que el Director de la BDT prosiguiera con la reflexión respecto de maneras innovadoras de atraer a nuevos miembros y de retener a los existentes. El GADT señaló además que los recursos y la experiencia del sector privado podían contribuir en gran medida a todas las actividades de la BDT, y que, en consecuencia, el sector privado debía tener acceso a más información y oportunidades a este respecto.</w:t>
      </w:r>
    </w:p>
    <w:p w:rsidR="00D2165D" w:rsidRPr="00B452EE" w:rsidRDefault="00D2165D">
      <w:pPr>
        <w:pStyle w:val="CEONormal"/>
        <w:rPr>
          <w:rFonts w:ascii="Calibri" w:hAnsi="Calibri" w:cs="Calibri"/>
          <w:sz w:val="24"/>
          <w:szCs w:val="24"/>
          <w:lang w:val="es-ES_tradnl"/>
        </w:rPr>
      </w:pPr>
      <w:r w:rsidRPr="00B452EE">
        <w:rPr>
          <w:rFonts w:ascii="Calibri" w:hAnsi="Calibri" w:cs="Calibri"/>
          <w:sz w:val="24"/>
          <w:szCs w:val="24"/>
          <w:lang w:val="es-ES_tradnl"/>
        </w:rPr>
        <w:t>El GADT tomó nota</w:t>
      </w:r>
      <w:r w:rsidRPr="00C5465C">
        <w:rPr>
          <w:rFonts w:ascii="Calibri" w:hAnsi="Calibri" w:cs="Calibri"/>
          <w:sz w:val="24"/>
          <w:szCs w:val="24"/>
          <w:lang w:val="es-ES_tradnl"/>
        </w:rPr>
        <w:t xml:space="preserve"> con agrado </w:t>
      </w:r>
      <w:r w:rsidRPr="00B452EE">
        <w:rPr>
          <w:rFonts w:ascii="Calibri" w:hAnsi="Calibri" w:cs="Calibri"/>
          <w:sz w:val="24"/>
          <w:szCs w:val="24"/>
          <w:lang w:val="es-ES_tradnl"/>
        </w:rPr>
        <w:t>de las actividades realizadas a escala mundial y regional para fomentar asociaciones y, en particular, asociaciones público-privadas. Las actividades de movilización de recursos a fin de identificar asociados potenciales para llevar a cabo proyectos e iniciativas del UIT D comprenden las bases de datos sobre socios financieros y acuerdos de asociación, los sitios web dedicados a oportunidades de asociación y patrocinio, el trabajo del Grupo Intersectorial de Movilización de Recursos, así como un estudio sobre movilización innovadora de asociaciones y recursos.</w:t>
      </w:r>
    </w:p>
    <w:p w:rsidR="00D2165D" w:rsidRPr="00B452EE" w:rsidRDefault="00D2165D" w:rsidP="00D2165D">
      <w:pPr>
        <w:tabs>
          <w:tab w:val="left" w:pos="567"/>
          <w:tab w:val="left" w:pos="851"/>
          <w:tab w:val="left" w:pos="1418"/>
        </w:tabs>
        <w:rPr>
          <w:rFonts w:ascii="Calibri" w:hAnsi="Calibri" w:cs="Calibri"/>
          <w:szCs w:val="24"/>
          <w:lang w:val="es-ES_tradnl"/>
        </w:rPr>
      </w:pPr>
      <w:r w:rsidRPr="00C5465C">
        <w:rPr>
          <w:rFonts w:ascii="Calibri" w:hAnsi="Calibri" w:cs="Calibri"/>
          <w:szCs w:val="24"/>
          <w:lang w:val="es-ES_tradnl"/>
        </w:rPr>
        <w:lastRenderedPageBreak/>
        <w:t>En el marco de los</w:t>
      </w:r>
      <w:r w:rsidRPr="00B452EE">
        <w:rPr>
          <w:rFonts w:ascii="Calibri" w:hAnsi="Calibri" w:cs="Calibri"/>
          <w:szCs w:val="24"/>
          <w:lang w:val="es-ES_tradnl"/>
        </w:rPr>
        <w:t xml:space="preserve"> </w:t>
      </w:r>
      <w:r w:rsidRPr="00C5465C">
        <w:rPr>
          <w:rFonts w:ascii="Calibri" w:hAnsi="Calibri" w:cs="Calibri"/>
          <w:szCs w:val="24"/>
          <w:lang w:val="es-ES_tradnl"/>
        </w:rPr>
        <w:t>l</w:t>
      </w:r>
      <w:r w:rsidRPr="00B452EE">
        <w:rPr>
          <w:rFonts w:ascii="Calibri" w:hAnsi="Calibri" w:cs="Calibri"/>
          <w:szCs w:val="24"/>
          <w:lang w:val="es-ES_tradnl"/>
        </w:rPr>
        <w:t xml:space="preserve">os métodos de trabajo electrónicos disponibles en los eventos del UIT-D, </w:t>
      </w:r>
      <w:r w:rsidRPr="00C5465C">
        <w:rPr>
          <w:rFonts w:ascii="Calibri" w:hAnsi="Calibri" w:cs="Calibri"/>
          <w:szCs w:val="24"/>
          <w:lang w:val="es-ES_tradnl"/>
        </w:rPr>
        <w:t xml:space="preserve">la </w:t>
      </w:r>
      <w:r w:rsidRPr="00B452EE">
        <w:rPr>
          <w:rFonts w:ascii="Calibri" w:hAnsi="Calibri" w:cs="Calibri"/>
          <w:szCs w:val="24"/>
          <w:lang w:val="es-ES_tradnl"/>
        </w:rPr>
        <w:t xml:space="preserve">BDT </w:t>
      </w:r>
      <w:r w:rsidRPr="00C5465C">
        <w:rPr>
          <w:rFonts w:ascii="Calibri" w:hAnsi="Calibri" w:cs="Calibri"/>
          <w:szCs w:val="24"/>
          <w:lang w:val="es-ES_tradnl"/>
        </w:rPr>
        <w:t>informó sobre los éxitos obtenidos e</w:t>
      </w:r>
      <w:r w:rsidRPr="00B452EE">
        <w:rPr>
          <w:rFonts w:ascii="Calibri" w:hAnsi="Calibri" w:cs="Calibri"/>
          <w:szCs w:val="24"/>
          <w:lang w:val="es-ES_tradnl"/>
        </w:rPr>
        <w:t>n rela</w:t>
      </w:r>
      <w:r w:rsidRPr="00C5465C">
        <w:rPr>
          <w:rFonts w:ascii="Calibri" w:hAnsi="Calibri" w:cs="Calibri"/>
          <w:szCs w:val="24"/>
          <w:lang w:val="es-ES_tradnl"/>
        </w:rPr>
        <w:t>ció</w:t>
      </w:r>
      <w:r w:rsidRPr="00B452EE">
        <w:rPr>
          <w:rFonts w:ascii="Calibri" w:hAnsi="Calibri" w:cs="Calibri"/>
          <w:szCs w:val="24"/>
          <w:lang w:val="es-ES_tradnl"/>
        </w:rPr>
        <w:t xml:space="preserve">n </w:t>
      </w:r>
      <w:r w:rsidRPr="00C5465C">
        <w:rPr>
          <w:rFonts w:ascii="Calibri" w:hAnsi="Calibri" w:cs="Calibri"/>
          <w:szCs w:val="24"/>
          <w:lang w:val="es-ES_tradnl"/>
        </w:rPr>
        <w:t>con</w:t>
      </w:r>
      <w:r w:rsidRPr="00B452EE">
        <w:rPr>
          <w:rFonts w:ascii="Calibri" w:hAnsi="Calibri" w:cs="Calibri"/>
          <w:szCs w:val="24"/>
          <w:lang w:val="es-ES_tradnl"/>
        </w:rPr>
        <w:t xml:space="preserve"> la aplicación de la Resolución 167 (Guadalajara,</w:t>
      </w:r>
      <w:r>
        <w:rPr>
          <w:rFonts w:ascii="Calibri" w:hAnsi="Calibri" w:cs="Calibri"/>
          <w:szCs w:val="24"/>
          <w:lang w:val="es-ES_tradnl"/>
        </w:rPr>
        <w:t> </w:t>
      </w:r>
      <w:r w:rsidRPr="00B452EE">
        <w:rPr>
          <w:rFonts w:ascii="Calibri" w:hAnsi="Calibri" w:cs="Calibri"/>
          <w:szCs w:val="24"/>
          <w:lang w:val="es-ES_tradnl"/>
        </w:rPr>
        <w:t xml:space="preserve">2010), relativa al Fortalecimiento de las capacidades de la UIT para celebrar reuniones electrónicas y medios para avanzar la labor de la Unión, a saber, participación a distancia plurilingüe, aplicación móvil para eventos del UIT-D, presentación de contribuciones, sincronización de documentos y listas de distribución de correo electrónico. </w:t>
      </w:r>
      <w:r w:rsidRPr="00C5465C">
        <w:rPr>
          <w:rFonts w:ascii="Calibri" w:hAnsi="Calibri" w:cs="Calibri"/>
          <w:szCs w:val="24"/>
          <w:lang w:val="es-ES_tradnl"/>
        </w:rPr>
        <w:t>El Informe</w:t>
      </w:r>
      <w:r w:rsidRPr="00B452EE">
        <w:rPr>
          <w:rFonts w:ascii="Calibri" w:hAnsi="Calibri" w:cs="Calibri"/>
          <w:szCs w:val="24"/>
          <w:lang w:val="es-ES_tradnl"/>
        </w:rPr>
        <w:t xml:space="preserve"> se centra en las herramientas más recientes disponibles para el GADT, a saber, la participación a distancia plurilingüe –disponible desde el GADT-12– y la aplicación móvil para eventos del UIT-D, que se puso a disposición por primera vez en la reunión del GADT de este año.</w:t>
      </w:r>
    </w:p>
    <w:p w:rsidR="00D2165D" w:rsidRPr="00B452EE" w:rsidRDefault="00D2165D" w:rsidP="00D2165D">
      <w:pPr>
        <w:rPr>
          <w:rFonts w:ascii="Calibri" w:hAnsi="Calibri" w:cs="Calibri"/>
          <w:szCs w:val="24"/>
          <w:lang w:val="es-ES_tradnl"/>
        </w:rPr>
      </w:pPr>
      <w:r w:rsidRPr="00C5465C">
        <w:rPr>
          <w:rFonts w:ascii="Calibri" w:hAnsi="Calibri" w:cs="Calibri"/>
          <w:szCs w:val="24"/>
          <w:lang w:val="es-ES_tradnl"/>
        </w:rPr>
        <w:t>El GADT también expresó su apoyo y apreciación por los logros de la BDT con respecto a</w:t>
      </w:r>
      <w:r w:rsidRPr="00B452EE">
        <w:rPr>
          <w:rFonts w:ascii="Calibri" w:hAnsi="Calibri" w:cs="Calibri"/>
          <w:szCs w:val="24"/>
          <w:lang w:val="es-ES_tradnl"/>
        </w:rPr>
        <w:t xml:space="preserve"> los nuevos medios electrónicos, tales como los portales en línea y la participación a distancia, </w:t>
      </w:r>
      <w:r w:rsidRPr="00C5465C">
        <w:rPr>
          <w:rFonts w:ascii="Calibri" w:hAnsi="Calibri" w:cs="Calibri"/>
          <w:szCs w:val="24"/>
          <w:lang w:val="es-ES_tradnl"/>
        </w:rPr>
        <w:t xml:space="preserve">que han </w:t>
      </w:r>
      <w:r w:rsidRPr="00B452EE">
        <w:rPr>
          <w:rFonts w:ascii="Calibri" w:hAnsi="Calibri" w:cs="Calibri"/>
          <w:szCs w:val="24"/>
          <w:lang w:val="es-ES_tradnl"/>
        </w:rPr>
        <w:t>contribu</w:t>
      </w:r>
      <w:r w:rsidRPr="00C5465C">
        <w:rPr>
          <w:rFonts w:ascii="Calibri" w:hAnsi="Calibri" w:cs="Calibri"/>
          <w:szCs w:val="24"/>
          <w:lang w:val="es-ES_tradnl"/>
        </w:rPr>
        <w:t>ido a</w:t>
      </w:r>
      <w:r w:rsidRPr="00B452EE">
        <w:rPr>
          <w:rFonts w:ascii="Calibri" w:hAnsi="Calibri" w:cs="Calibri"/>
          <w:szCs w:val="24"/>
          <w:lang w:val="es-ES_tradnl"/>
        </w:rPr>
        <w:t xml:space="preserve"> mejorar los canales de comunicación con el sector privado</w:t>
      </w:r>
      <w:r w:rsidRPr="00C5465C">
        <w:rPr>
          <w:rFonts w:ascii="Calibri" w:hAnsi="Calibri" w:cs="Calibri"/>
          <w:szCs w:val="24"/>
          <w:lang w:val="es-ES_tradnl"/>
        </w:rPr>
        <w:t xml:space="preserve"> y</w:t>
      </w:r>
      <w:r w:rsidRPr="00B452EE">
        <w:rPr>
          <w:rFonts w:ascii="Calibri" w:hAnsi="Calibri" w:cs="Calibri"/>
          <w:szCs w:val="24"/>
          <w:lang w:val="es-ES_tradnl"/>
        </w:rPr>
        <w:t xml:space="preserve"> con todos los miembros.</w:t>
      </w:r>
    </w:p>
    <w:p w:rsidR="00D2165D" w:rsidRPr="00B452EE" w:rsidRDefault="00D2165D">
      <w:pPr>
        <w:rPr>
          <w:rFonts w:ascii="Calibri" w:hAnsi="Calibri" w:cs="Calibri"/>
          <w:szCs w:val="24"/>
          <w:lang w:val="es-ES_tradnl"/>
        </w:rPr>
      </w:pPr>
      <w:r w:rsidRPr="00B452EE">
        <w:rPr>
          <w:rFonts w:ascii="Calibri" w:hAnsi="Calibri" w:cs="Calibri"/>
          <w:szCs w:val="24"/>
          <w:lang w:val="es-ES_tradnl"/>
        </w:rPr>
        <w:t xml:space="preserve">El GADT observó que los métodos de trabajo electrónicos han sido muy eficaces para ahorrar costes, reducir la huella de carbono y aumentar la participación. El GADT está agradecido por los adelantos realizados en la participación a distancia y alienta a la UIT a seguir mejorando este servicio, especialmente mediante la utilización de nuevas tecnologías. El GADT también expresó su agradecimiento por la aplicación móvil sobre eventos </w:t>
      </w:r>
      <w:r w:rsidRPr="00C5465C">
        <w:rPr>
          <w:rFonts w:ascii="Calibri" w:hAnsi="Calibri" w:cs="Calibri"/>
          <w:szCs w:val="24"/>
          <w:lang w:val="es-ES_tradnl"/>
        </w:rPr>
        <w:t xml:space="preserve">del </w:t>
      </w:r>
      <w:r w:rsidRPr="00B452EE">
        <w:rPr>
          <w:rFonts w:ascii="Calibri" w:hAnsi="Calibri" w:cs="Calibri"/>
          <w:szCs w:val="24"/>
          <w:lang w:val="es-ES_tradnl"/>
        </w:rPr>
        <w:t>UIT-D y espera que se expanda su utilización a los otros Sectores.</w:t>
      </w:r>
    </w:p>
    <w:p w:rsidR="00D2165D" w:rsidRPr="00231B33" w:rsidRDefault="00D2165D" w:rsidP="00D2165D">
      <w:pPr>
        <w:pStyle w:val="Heading1"/>
        <w:tabs>
          <w:tab w:val="clear" w:pos="794"/>
          <w:tab w:val="left" w:pos="0"/>
        </w:tabs>
        <w:ind w:left="0" w:firstLine="0"/>
        <w:rPr>
          <w:lang w:val="es-ES_tradnl"/>
        </w:rPr>
      </w:pPr>
      <w:bookmarkStart w:id="117" w:name="_Toc460838088"/>
      <w:bookmarkStart w:id="118" w:name="_Toc487791234"/>
      <w:r w:rsidRPr="00C5465C">
        <w:rPr>
          <w:lang w:val="es-ES_tradnl"/>
        </w:rPr>
        <w:t>5</w:t>
      </w:r>
      <w:r w:rsidRPr="00C5465C">
        <w:rPr>
          <w:lang w:val="es-ES_tradnl"/>
        </w:rPr>
        <w:tab/>
      </w:r>
      <w:r w:rsidRPr="00231B33">
        <w:rPr>
          <w:lang w:val="es-ES_tradnl"/>
        </w:rPr>
        <w:t>Coopera</w:t>
      </w:r>
      <w:r w:rsidRPr="00C5465C">
        <w:rPr>
          <w:lang w:val="es-ES_tradnl"/>
        </w:rPr>
        <w:t>ció</w:t>
      </w:r>
      <w:r w:rsidRPr="00231B33">
        <w:rPr>
          <w:lang w:val="es-ES_tradnl"/>
        </w:rPr>
        <w:t xml:space="preserve">n </w:t>
      </w:r>
      <w:r w:rsidRPr="00C5465C">
        <w:rPr>
          <w:lang w:val="es-ES_tradnl"/>
        </w:rPr>
        <w:t>y</w:t>
      </w:r>
      <w:r w:rsidRPr="00231B33">
        <w:rPr>
          <w:lang w:val="es-ES_tradnl"/>
        </w:rPr>
        <w:t xml:space="preserve"> </w:t>
      </w:r>
      <w:r w:rsidRPr="00C5465C">
        <w:rPr>
          <w:lang w:val="es-ES_tradnl"/>
        </w:rPr>
        <w:t>colaboración</w:t>
      </w:r>
      <w:bookmarkEnd w:id="117"/>
      <w:bookmarkEnd w:id="118"/>
    </w:p>
    <w:p w:rsidR="00D2165D" w:rsidRPr="00231B33" w:rsidRDefault="00D2165D" w:rsidP="00D2165D">
      <w:pPr>
        <w:pStyle w:val="Headingb"/>
        <w:rPr>
          <w:b w:val="0"/>
          <w:lang w:val="es-ES_tradnl"/>
        </w:rPr>
      </w:pPr>
      <w:r w:rsidRPr="00C5465C">
        <w:rPr>
          <w:lang w:val="es-ES_tradnl"/>
        </w:rPr>
        <w:t>Equipo de Coordinación Intersectorial (ECIS) sobre temas de interés común</w:t>
      </w:r>
    </w:p>
    <w:p w:rsidR="00D2165D" w:rsidRPr="00231B33" w:rsidRDefault="00D2165D" w:rsidP="00D2165D">
      <w:pPr>
        <w:tabs>
          <w:tab w:val="left" w:pos="426"/>
        </w:tabs>
        <w:rPr>
          <w:szCs w:val="24"/>
          <w:lang w:val="es-ES_tradnl"/>
        </w:rPr>
      </w:pPr>
      <w:r w:rsidRPr="00C5465C">
        <w:rPr>
          <w:szCs w:val="24"/>
          <w:lang w:val="es-ES_tradnl"/>
        </w:rPr>
        <w:t>Desde su creación en la CMDT-14, el ECIS ha celebrado cuatro reuniones, el 28 de septiembre 2014, el 27 de abril de 2015, el 15 de marzo de 2016 y el 10 de mayo de 2017</w:t>
      </w:r>
      <w:r w:rsidRPr="00231B33">
        <w:rPr>
          <w:szCs w:val="24"/>
          <w:lang w:val="es-ES_tradnl"/>
        </w:rPr>
        <w:t>.</w:t>
      </w:r>
    </w:p>
    <w:p w:rsidR="00D2165D" w:rsidRPr="00231B33" w:rsidRDefault="00D2165D" w:rsidP="00D2165D">
      <w:pPr>
        <w:keepLines/>
        <w:tabs>
          <w:tab w:val="left" w:pos="426"/>
        </w:tabs>
        <w:rPr>
          <w:szCs w:val="24"/>
          <w:lang w:val="es-ES_tradnl"/>
        </w:rPr>
      </w:pPr>
      <w:r w:rsidRPr="00C5465C">
        <w:rPr>
          <w:szCs w:val="24"/>
          <w:lang w:val="es-ES_tradnl"/>
        </w:rPr>
        <w:t>En marzo de 2016, el Equipo se reunió y aprobó su mandato, que había sido revisado por los tres Grupos asesores de los Sectores, el Grupo Asesor de Radiocomunicaciones (GAR), el Grupo Asesor de Normalización de las Telecomunicaciones (GANT) y el Grupo Asesor de Desarrollo de las Telecomunicaciones (GADT). El Equipo nombró Presidente al Sr. Fabio Bigi (Italia), elaboró una lista de propuestas de temas de interés común basadas en contribuciones de los tres Grupos asesores y nombró representantes del GANT. El Equipo también acogió con beneplácito un nuevo calendario electrónico que abarcaba los años 2016, 2017, 2018 y 2019, elaborado por la BDT para facilitar la colaboración y coordinación de diversos eventos y reuniones de los Sectores de la UIT</w:t>
      </w:r>
      <w:r w:rsidRPr="00231B33">
        <w:rPr>
          <w:szCs w:val="24"/>
          <w:lang w:val="es-ES_tradnl"/>
        </w:rPr>
        <w:t>.</w:t>
      </w:r>
    </w:p>
    <w:p w:rsidR="00D2165D" w:rsidRPr="00C5465C" w:rsidRDefault="00D2165D" w:rsidP="00D2165D">
      <w:pPr>
        <w:overflowPunct/>
        <w:autoSpaceDE/>
        <w:autoSpaceDN/>
        <w:adjustRightInd/>
        <w:spacing w:line="259" w:lineRule="auto"/>
        <w:textAlignment w:val="auto"/>
        <w:rPr>
          <w:szCs w:val="24"/>
          <w:lang w:val="es-ES_tradnl"/>
        </w:rPr>
      </w:pPr>
      <w:r w:rsidRPr="00C5465C">
        <w:rPr>
          <w:szCs w:val="24"/>
          <w:lang w:val="es-ES_tradnl"/>
        </w:rPr>
        <w:t>El 10 de mayo de 2017 el Equipo se reunió y examinó los progresos realizados desde su reunión de marzo de 2016.</w:t>
      </w:r>
    </w:p>
    <w:p w:rsidR="00D2165D" w:rsidRPr="00231B33" w:rsidRDefault="00D2165D" w:rsidP="00D2165D">
      <w:pPr>
        <w:tabs>
          <w:tab w:val="left" w:pos="426"/>
        </w:tabs>
        <w:rPr>
          <w:lang w:val="es-ES_tradnl"/>
        </w:rPr>
      </w:pPr>
      <w:r w:rsidRPr="00C5465C">
        <w:rPr>
          <w:lang w:val="es-ES_tradnl"/>
        </w:rPr>
        <w:t xml:space="preserve">El Equipo examinó todos los documentos que figuraban en su orden del día, aprobó </w:t>
      </w:r>
      <w:r>
        <w:rPr>
          <w:lang w:val="es-ES_tradnl"/>
        </w:rPr>
        <w:t>"</w:t>
      </w:r>
      <w:r w:rsidRPr="00C5465C">
        <w:rPr>
          <w:lang w:val="es-ES_tradnl"/>
        </w:rPr>
        <w:t>Correspondencia entre Cuestiones de las Comisiones de Estudio 1 y 2 del UIT-D de interés para las Comisiones de Estudio del UIT-T</w:t>
      </w:r>
      <w:r>
        <w:rPr>
          <w:lang w:val="es-ES_tradnl"/>
        </w:rPr>
        <w:t>"</w:t>
      </w:r>
      <w:r w:rsidRPr="00231B33">
        <w:rPr>
          <w:lang w:val="es-ES_tradnl"/>
        </w:rPr>
        <w:t xml:space="preserve"> </w:t>
      </w:r>
      <w:r w:rsidRPr="00C5465C">
        <w:rPr>
          <w:lang w:val="es-ES_tradnl"/>
        </w:rPr>
        <w:t>y</w:t>
      </w:r>
      <w:r w:rsidRPr="00231B33">
        <w:rPr>
          <w:lang w:val="es-ES_tradnl"/>
        </w:rPr>
        <w:t xml:space="preserve"> </w:t>
      </w:r>
      <w:r>
        <w:rPr>
          <w:lang w:val="es-ES_tradnl"/>
        </w:rPr>
        <w:t>"</w:t>
      </w:r>
      <w:r w:rsidRPr="00C5465C">
        <w:rPr>
          <w:lang w:val="es-ES_tradnl"/>
        </w:rPr>
        <w:t>Armonizar los GT de interés del UIT-R con las Comisiones de Estudio del UIT-T</w:t>
      </w:r>
      <w:r>
        <w:rPr>
          <w:bCs/>
          <w:szCs w:val="24"/>
          <w:lang w:val="es-ES_tradnl"/>
        </w:rPr>
        <w:t>"</w:t>
      </w:r>
      <w:r w:rsidRPr="00231B33">
        <w:rPr>
          <w:bCs/>
          <w:szCs w:val="24"/>
          <w:lang w:val="es-ES_tradnl"/>
        </w:rPr>
        <w:t xml:space="preserve"> (</w:t>
      </w:r>
      <w:r w:rsidRPr="00C5465C">
        <w:rPr>
          <w:bCs/>
          <w:szCs w:val="24"/>
          <w:lang w:val="es-ES_tradnl"/>
        </w:rPr>
        <w:t>Respe</w:t>
      </w:r>
      <w:r>
        <w:rPr>
          <w:bCs/>
          <w:szCs w:val="24"/>
          <w:lang w:val="es-ES_tradnl"/>
        </w:rPr>
        <w:t>ctivamente Apéndices 1 y 2 del D</w:t>
      </w:r>
      <w:r w:rsidRPr="00C5465C">
        <w:rPr>
          <w:bCs/>
          <w:szCs w:val="24"/>
          <w:lang w:val="es-ES_tradnl"/>
        </w:rPr>
        <w:t xml:space="preserve">ocumento </w:t>
      </w:r>
      <w:hyperlink r:id="rId41" w:history="1">
        <w:r w:rsidRPr="00231B33">
          <w:rPr>
            <w:rStyle w:val="Hyperlink"/>
            <w:bCs/>
            <w:szCs w:val="24"/>
            <w:lang w:val="es-ES_tradnl"/>
          </w:rPr>
          <w:t>TDAG17-22/21</w:t>
        </w:r>
      </w:hyperlink>
      <w:r w:rsidRPr="00231B33">
        <w:rPr>
          <w:bCs/>
          <w:szCs w:val="24"/>
          <w:lang w:val="es-ES_tradnl"/>
        </w:rPr>
        <w:t>)</w:t>
      </w:r>
      <w:r w:rsidRPr="00231B33">
        <w:rPr>
          <w:lang w:val="es-ES_tradnl"/>
        </w:rPr>
        <w:t xml:space="preserve">, </w:t>
      </w:r>
      <w:r w:rsidRPr="00C5465C">
        <w:rPr>
          <w:lang w:val="es-ES_tradnl"/>
        </w:rPr>
        <w:t>y también actualizó la lista siguiente de temas de interés común para incorporar posibles temas sobre métodos de trabajo para la coordinación Intersectorial de la UIT</w:t>
      </w:r>
      <w:r w:rsidRPr="00231B33">
        <w:rPr>
          <w:lang w:val="es-ES_tradnl"/>
        </w:rPr>
        <w:t>:</w:t>
      </w:r>
    </w:p>
    <w:p w:rsidR="009A526E" w:rsidRDefault="009A526E">
      <w:pPr>
        <w:tabs>
          <w:tab w:val="clear" w:pos="794"/>
          <w:tab w:val="clear" w:pos="1191"/>
          <w:tab w:val="clear" w:pos="1588"/>
          <w:tab w:val="clear" w:pos="1985"/>
        </w:tabs>
        <w:overflowPunct/>
        <w:autoSpaceDE/>
        <w:autoSpaceDN/>
        <w:adjustRightInd/>
        <w:spacing w:before="0"/>
        <w:textAlignment w:val="auto"/>
        <w:rPr>
          <w:szCs w:val="24"/>
          <w:lang w:val="es-ES_tradnl"/>
        </w:rPr>
      </w:pPr>
      <w:r>
        <w:rPr>
          <w:szCs w:val="24"/>
          <w:lang w:val="es-ES_tradnl"/>
        </w:rPr>
        <w:br w:type="page"/>
      </w:r>
    </w:p>
    <w:p w:rsidR="00D2165D" w:rsidRPr="00231B33" w:rsidRDefault="00D2165D">
      <w:pPr>
        <w:pStyle w:val="enumlev1"/>
        <w:rPr>
          <w:lang w:val="es-ES_tradnl" w:eastAsia="zh-CN"/>
        </w:rPr>
      </w:pPr>
      <w:r w:rsidRPr="00231B33">
        <w:rPr>
          <w:szCs w:val="24"/>
          <w:lang w:val="es-ES_tradnl"/>
        </w:rPr>
        <w:lastRenderedPageBreak/>
        <w:t>1</w:t>
      </w:r>
      <w:r w:rsidRPr="00C5465C">
        <w:rPr>
          <w:szCs w:val="24"/>
          <w:lang w:val="es-ES_tradnl"/>
        </w:rPr>
        <w:t>)</w:t>
      </w:r>
      <w:r w:rsidRPr="00231B33">
        <w:rPr>
          <w:lang w:val="es-ES_tradnl" w:eastAsia="zh-CN"/>
        </w:rPr>
        <w:tab/>
        <w:t>Participa</w:t>
      </w:r>
      <w:r w:rsidRPr="00C5465C">
        <w:rPr>
          <w:lang w:val="es-ES_tradnl" w:eastAsia="zh-CN"/>
        </w:rPr>
        <w:t>ció</w:t>
      </w:r>
      <w:r w:rsidRPr="00231B33">
        <w:rPr>
          <w:lang w:val="es-ES_tradnl" w:eastAsia="zh-CN"/>
        </w:rPr>
        <w:t>n</w:t>
      </w:r>
    </w:p>
    <w:p w:rsidR="00D2165D" w:rsidRPr="00231B33" w:rsidRDefault="00D2165D" w:rsidP="00D2165D">
      <w:pPr>
        <w:pStyle w:val="enumlev2"/>
        <w:rPr>
          <w:lang w:val="es-ES_tradnl" w:eastAsia="zh-CN"/>
        </w:rPr>
      </w:pPr>
      <w:r w:rsidRPr="00231B33">
        <w:rPr>
          <w:lang w:val="es-ES_tradnl" w:eastAsia="zh-CN"/>
        </w:rPr>
        <w:t>1.1</w:t>
      </w:r>
      <w:r w:rsidRPr="00231B33">
        <w:rPr>
          <w:lang w:val="es-ES_tradnl" w:eastAsia="zh-CN"/>
        </w:rPr>
        <w:tab/>
      </w:r>
      <w:r w:rsidRPr="00C5465C">
        <w:rPr>
          <w:lang w:val="es-ES_tradnl" w:eastAsia="zh-CN"/>
        </w:rPr>
        <w:t>Participación a distancia</w:t>
      </w:r>
    </w:p>
    <w:p w:rsidR="00D2165D" w:rsidRPr="00231B33" w:rsidRDefault="00D2165D" w:rsidP="00D2165D">
      <w:pPr>
        <w:pStyle w:val="enumlev2"/>
        <w:rPr>
          <w:lang w:val="es-ES_tradnl" w:eastAsia="zh-CN"/>
        </w:rPr>
      </w:pPr>
      <w:r w:rsidRPr="00231B33">
        <w:rPr>
          <w:lang w:val="es-ES_tradnl" w:eastAsia="zh-CN"/>
        </w:rPr>
        <w:t>1.2</w:t>
      </w:r>
      <w:r w:rsidRPr="00231B33">
        <w:rPr>
          <w:lang w:val="es-ES_tradnl" w:eastAsia="zh-CN"/>
        </w:rPr>
        <w:tab/>
      </w:r>
      <w:r w:rsidRPr="00C5465C">
        <w:rPr>
          <w:lang w:val="es-ES_tradnl" w:eastAsia="zh-CN"/>
        </w:rPr>
        <w:t>Reuniones electrónicas, grupos por correspondencia</w:t>
      </w:r>
    </w:p>
    <w:p w:rsidR="00D2165D" w:rsidRPr="00231B33" w:rsidRDefault="00D2165D" w:rsidP="00D2165D">
      <w:pPr>
        <w:pStyle w:val="enumlev2"/>
        <w:rPr>
          <w:lang w:val="es-ES_tradnl" w:eastAsia="zh-CN"/>
        </w:rPr>
      </w:pPr>
      <w:r w:rsidRPr="00231B33">
        <w:rPr>
          <w:lang w:val="es-ES_tradnl" w:eastAsia="zh-CN"/>
        </w:rPr>
        <w:t>1.3</w:t>
      </w:r>
      <w:r w:rsidRPr="00231B33">
        <w:rPr>
          <w:lang w:val="es-ES_tradnl" w:eastAsia="zh-CN"/>
        </w:rPr>
        <w:tab/>
      </w:r>
      <w:r w:rsidRPr="00C5465C">
        <w:rPr>
          <w:lang w:val="es-ES_tradnl" w:eastAsia="zh-CN"/>
        </w:rPr>
        <w:t>Mayor participación de países en desarrollo</w:t>
      </w:r>
    </w:p>
    <w:p w:rsidR="00D2165D" w:rsidRPr="00231B33" w:rsidRDefault="00D2165D" w:rsidP="00D2165D">
      <w:pPr>
        <w:pStyle w:val="enumlev2"/>
        <w:rPr>
          <w:szCs w:val="24"/>
          <w:lang w:val="es-ES_tradnl"/>
        </w:rPr>
      </w:pPr>
      <w:r w:rsidRPr="00231B33">
        <w:rPr>
          <w:szCs w:val="24"/>
          <w:lang w:val="es-ES_tradnl"/>
        </w:rPr>
        <w:t xml:space="preserve">1.4 </w:t>
      </w:r>
      <w:r w:rsidRPr="00231B33">
        <w:rPr>
          <w:szCs w:val="24"/>
          <w:lang w:val="es-ES_tradnl"/>
        </w:rPr>
        <w:tab/>
      </w:r>
      <w:r w:rsidRPr="00C5465C">
        <w:rPr>
          <w:szCs w:val="24"/>
          <w:lang w:val="es-ES_tradnl"/>
        </w:rPr>
        <w:t>Cuestiones de participación, incluidas tareas de vicepresidencia</w:t>
      </w:r>
    </w:p>
    <w:p w:rsidR="00D2165D" w:rsidRPr="00231B33" w:rsidRDefault="00D2165D" w:rsidP="00D2165D">
      <w:pPr>
        <w:pStyle w:val="enumlev2"/>
        <w:rPr>
          <w:lang w:val="es-ES_tradnl" w:eastAsia="zh-CN"/>
        </w:rPr>
      </w:pPr>
      <w:r w:rsidRPr="00C5465C">
        <w:rPr>
          <w:szCs w:val="24"/>
          <w:lang w:val="es-ES_tradnl"/>
        </w:rPr>
        <w:t>1.5</w:t>
      </w:r>
      <w:r w:rsidRPr="00C5465C">
        <w:rPr>
          <w:szCs w:val="24"/>
          <w:lang w:val="es-ES_tradnl"/>
        </w:rPr>
        <w:tab/>
        <w:t>Participación de no miembros</w:t>
      </w:r>
    </w:p>
    <w:p w:rsidR="00D2165D" w:rsidRPr="00231B33" w:rsidRDefault="00D2165D" w:rsidP="008A40E9">
      <w:pPr>
        <w:pStyle w:val="enumlev1"/>
        <w:keepNext/>
        <w:rPr>
          <w:szCs w:val="24"/>
          <w:lang w:val="es-ES_tradnl"/>
        </w:rPr>
      </w:pPr>
      <w:r w:rsidRPr="00C5465C">
        <w:rPr>
          <w:szCs w:val="24"/>
          <w:lang w:val="es-ES_tradnl"/>
        </w:rPr>
        <w:t>2)</w:t>
      </w:r>
      <w:r w:rsidRPr="00231B33">
        <w:rPr>
          <w:szCs w:val="24"/>
          <w:lang w:val="es-ES_tradnl"/>
        </w:rPr>
        <w:tab/>
      </w:r>
      <w:r w:rsidRPr="00C5465C">
        <w:rPr>
          <w:szCs w:val="24"/>
          <w:lang w:val="es-ES_tradnl"/>
        </w:rPr>
        <w:t>Gestión de documentos</w:t>
      </w:r>
    </w:p>
    <w:p w:rsidR="00D2165D" w:rsidRPr="00231B33" w:rsidRDefault="00D2165D" w:rsidP="008A40E9">
      <w:pPr>
        <w:pStyle w:val="enumlev2"/>
        <w:keepNext/>
        <w:rPr>
          <w:lang w:val="es-ES_tradnl" w:eastAsia="zh-CN"/>
        </w:rPr>
      </w:pPr>
      <w:r w:rsidRPr="00231B33">
        <w:rPr>
          <w:lang w:val="es-ES_tradnl" w:eastAsia="zh-CN"/>
        </w:rPr>
        <w:t>2.1</w:t>
      </w:r>
      <w:r w:rsidRPr="00231B33">
        <w:rPr>
          <w:lang w:val="es-ES_tradnl" w:eastAsia="zh-CN"/>
        </w:rPr>
        <w:tab/>
      </w:r>
      <w:r w:rsidRPr="00C5465C">
        <w:rPr>
          <w:lang w:val="es-ES_tradnl" w:eastAsia="zh-CN"/>
        </w:rPr>
        <w:t>Gestión de documentos electrónicos</w:t>
      </w:r>
    </w:p>
    <w:p w:rsidR="00D2165D" w:rsidRPr="00231B33" w:rsidRDefault="00D2165D" w:rsidP="008A40E9">
      <w:pPr>
        <w:pStyle w:val="enumlev2"/>
        <w:keepNext/>
        <w:keepLines/>
        <w:rPr>
          <w:lang w:val="es-ES_tradnl" w:eastAsia="zh-CN"/>
        </w:rPr>
      </w:pPr>
      <w:r w:rsidRPr="00231B33">
        <w:rPr>
          <w:lang w:val="es-ES_tradnl" w:eastAsia="zh-CN"/>
        </w:rPr>
        <w:t>2.2</w:t>
      </w:r>
      <w:r w:rsidRPr="00231B33">
        <w:rPr>
          <w:lang w:val="es-ES_tradnl" w:eastAsia="zh-CN"/>
        </w:rPr>
        <w:tab/>
      </w:r>
      <w:r w:rsidRPr="00C5465C">
        <w:rPr>
          <w:lang w:val="es-ES_tradnl" w:eastAsia="zh-CN"/>
        </w:rPr>
        <w:t>Plazo para la presentación de contribuciones de secretaría para acción</w:t>
      </w:r>
    </w:p>
    <w:p w:rsidR="00D2165D" w:rsidRPr="00231B33" w:rsidRDefault="00D2165D" w:rsidP="00D2165D">
      <w:pPr>
        <w:pStyle w:val="enumlev2"/>
        <w:rPr>
          <w:lang w:val="es-ES_tradnl" w:eastAsia="zh-CN"/>
        </w:rPr>
      </w:pPr>
      <w:r w:rsidRPr="00231B33">
        <w:rPr>
          <w:lang w:val="es-ES_tradnl" w:eastAsia="zh-CN"/>
        </w:rPr>
        <w:t>2.3</w:t>
      </w:r>
      <w:r w:rsidRPr="00231B33">
        <w:rPr>
          <w:lang w:val="es-ES_tradnl" w:eastAsia="zh-CN"/>
        </w:rPr>
        <w:tab/>
      </w:r>
      <w:r w:rsidRPr="00C5465C">
        <w:rPr>
          <w:lang w:val="es-ES_tradnl" w:eastAsia="zh-CN"/>
        </w:rPr>
        <w:t>Acceso electrónico a documentos, incluida la aplicación de la política de acceso a documentos decidida por el Consejo</w:t>
      </w:r>
    </w:p>
    <w:p w:rsidR="00D2165D" w:rsidRPr="00231B33" w:rsidRDefault="00D2165D" w:rsidP="00D2165D">
      <w:pPr>
        <w:pStyle w:val="enumlev1"/>
        <w:rPr>
          <w:szCs w:val="24"/>
          <w:lang w:val="es-ES_tradnl"/>
        </w:rPr>
      </w:pPr>
      <w:r w:rsidRPr="00C5465C">
        <w:rPr>
          <w:szCs w:val="24"/>
          <w:lang w:val="es-ES_tradnl"/>
        </w:rPr>
        <w:t>3)</w:t>
      </w:r>
      <w:r w:rsidRPr="00231B33">
        <w:rPr>
          <w:szCs w:val="24"/>
          <w:lang w:val="es-ES_tradnl"/>
        </w:rPr>
        <w:tab/>
      </w:r>
      <w:r w:rsidRPr="00C5465C">
        <w:rPr>
          <w:szCs w:val="24"/>
          <w:lang w:val="es-ES_tradnl"/>
        </w:rPr>
        <w:t>Inscripción</w:t>
      </w:r>
    </w:p>
    <w:p w:rsidR="00D2165D" w:rsidRPr="00231B33" w:rsidRDefault="00D2165D" w:rsidP="00D2165D">
      <w:pPr>
        <w:pStyle w:val="enumlev2"/>
        <w:rPr>
          <w:lang w:val="es-ES_tradnl" w:eastAsia="zh-CN"/>
        </w:rPr>
      </w:pPr>
      <w:r w:rsidRPr="00231B33">
        <w:rPr>
          <w:lang w:val="es-ES_tradnl" w:eastAsia="zh-CN"/>
        </w:rPr>
        <w:t>3.1</w:t>
      </w:r>
      <w:r w:rsidRPr="00231B33">
        <w:rPr>
          <w:lang w:val="es-ES_tradnl" w:eastAsia="zh-CN"/>
        </w:rPr>
        <w:tab/>
      </w:r>
      <w:r w:rsidRPr="00C5465C">
        <w:rPr>
          <w:lang w:val="es-ES_tradnl" w:eastAsia="zh-CN"/>
        </w:rPr>
        <w:t>Armonización de la inscripción</w:t>
      </w:r>
    </w:p>
    <w:p w:rsidR="00D2165D" w:rsidRPr="00231B33" w:rsidRDefault="00D2165D" w:rsidP="00D2165D">
      <w:pPr>
        <w:pStyle w:val="enumlev2"/>
        <w:rPr>
          <w:lang w:val="es-ES_tradnl" w:eastAsia="zh-CN"/>
        </w:rPr>
      </w:pPr>
      <w:r w:rsidRPr="00231B33">
        <w:rPr>
          <w:lang w:val="es-ES_tradnl" w:eastAsia="zh-CN"/>
        </w:rPr>
        <w:t>3.2</w:t>
      </w:r>
      <w:r w:rsidRPr="00231B33">
        <w:rPr>
          <w:lang w:val="es-ES_tradnl" w:eastAsia="zh-CN"/>
        </w:rPr>
        <w:tab/>
      </w:r>
      <w:r w:rsidRPr="00C5465C">
        <w:rPr>
          <w:lang w:val="es-ES_tradnl" w:eastAsia="zh-CN"/>
        </w:rPr>
        <w:t>Registro para participar en reuniones, incluido el registro para participantes a distancia</w:t>
      </w:r>
    </w:p>
    <w:p w:rsidR="00D2165D" w:rsidRPr="00231B33" w:rsidRDefault="00D2165D" w:rsidP="00D2165D">
      <w:pPr>
        <w:pStyle w:val="enumlev1"/>
        <w:rPr>
          <w:szCs w:val="24"/>
          <w:lang w:val="es-ES_tradnl"/>
        </w:rPr>
      </w:pPr>
      <w:r w:rsidRPr="00C5465C">
        <w:rPr>
          <w:szCs w:val="24"/>
          <w:lang w:val="es-ES_tradnl"/>
        </w:rPr>
        <w:t>4)</w:t>
      </w:r>
      <w:r w:rsidRPr="00231B33">
        <w:rPr>
          <w:szCs w:val="24"/>
          <w:lang w:val="es-ES_tradnl"/>
        </w:rPr>
        <w:tab/>
      </w:r>
      <w:r w:rsidRPr="00C5465C">
        <w:rPr>
          <w:szCs w:val="24"/>
          <w:lang w:val="es-ES_tradnl"/>
        </w:rPr>
        <w:t>Mejora de las páginas web de la UIT en sus idiomas oficiales, teniendo en cuenta las prácticas idóneas</w:t>
      </w:r>
    </w:p>
    <w:p w:rsidR="00D2165D" w:rsidRPr="00231B33" w:rsidRDefault="00D2165D" w:rsidP="00D2165D">
      <w:pPr>
        <w:pStyle w:val="enumlev2"/>
        <w:rPr>
          <w:lang w:val="es-ES_tradnl" w:eastAsia="zh-CN"/>
        </w:rPr>
      </w:pPr>
      <w:r w:rsidRPr="00231B33">
        <w:rPr>
          <w:lang w:val="es-ES_tradnl" w:eastAsia="zh-CN"/>
        </w:rPr>
        <w:t>4.1</w:t>
      </w:r>
      <w:r w:rsidRPr="00231B33">
        <w:rPr>
          <w:lang w:val="es-ES_tradnl" w:eastAsia="zh-CN"/>
        </w:rPr>
        <w:tab/>
      </w:r>
      <w:r w:rsidRPr="00C5465C">
        <w:rPr>
          <w:lang w:val="es-ES_tradnl" w:eastAsia="zh-CN"/>
        </w:rPr>
        <w:t>Cuestiones relativas a los idiomas</w:t>
      </w:r>
    </w:p>
    <w:p w:rsidR="00D2165D" w:rsidRPr="00231B33" w:rsidRDefault="00D2165D" w:rsidP="00D2165D">
      <w:pPr>
        <w:pStyle w:val="enumlev1"/>
        <w:rPr>
          <w:szCs w:val="24"/>
          <w:lang w:val="es-ES_tradnl"/>
        </w:rPr>
      </w:pPr>
      <w:r w:rsidRPr="00231B33">
        <w:rPr>
          <w:szCs w:val="24"/>
          <w:lang w:val="es-ES_tradnl"/>
        </w:rPr>
        <w:t>5</w:t>
      </w:r>
      <w:r w:rsidRPr="00C5465C">
        <w:rPr>
          <w:szCs w:val="24"/>
          <w:lang w:val="es-ES_tradnl"/>
        </w:rPr>
        <w:t>)</w:t>
      </w:r>
      <w:r w:rsidRPr="00231B33">
        <w:rPr>
          <w:szCs w:val="24"/>
          <w:lang w:val="es-ES_tradnl"/>
        </w:rPr>
        <w:tab/>
      </w:r>
      <w:r w:rsidRPr="00C5465C">
        <w:rPr>
          <w:szCs w:val="24"/>
          <w:lang w:val="es-ES_tradnl"/>
        </w:rPr>
        <w:t>Planificación de reuniones</w:t>
      </w:r>
    </w:p>
    <w:p w:rsidR="00D2165D" w:rsidRPr="00231B33" w:rsidRDefault="00D2165D" w:rsidP="00D2165D">
      <w:pPr>
        <w:pStyle w:val="enumlev2"/>
        <w:rPr>
          <w:lang w:val="es-ES_tradnl"/>
        </w:rPr>
      </w:pPr>
      <w:r w:rsidRPr="00231B33">
        <w:rPr>
          <w:lang w:val="es-ES_tradnl" w:eastAsia="zh-CN"/>
        </w:rPr>
        <w:t>5.1</w:t>
      </w:r>
      <w:r w:rsidRPr="00231B33">
        <w:rPr>
          <w:lang w:val="es-ES_tradnl" w:eastAsia="zh-CN"/>
        </w:rPr>
        <w:tab/>
      </w:r>
      <w:r w:rsidRPr="00C5465C">
        <w:rPr>
          <w:lang w:val="es-ES_tradnl" w:eastAsia="zh-CN"/>
        </w:rPr>
        <w:t>Preparación para conferencias y reuniones</w:t>
      </w:r>
    </w:p>
    <w:p w:rsidR="00D2165D" w:rsidRPr="00231B33" w:rsidRDefault="00D2165D" w:rsidP="00D2165D">
      <w:pPr>
        <w:pStyle w:val="enumlev2"/>
        <w:rPr>
          <w:lang w:val="es-ES_tradnl" w:eastAsia="zh-CN"/>
        </w:rPr>
      </w:pPr>
      <w:r w:rsidRPr="00231B33">
        <w:rPr>
          <w:lang w:val="es-ES_tradnl" w:eastAsia="zh-CN"/>
        </w:rPr>
        <w:t>5.2</w:t>
      </w:r>
      <w:r w:rsidRPr="00231B33">
        <w:rPr>
          <w:lang w:val="es-ES_tradnl" w:eastAsia="zh-CN"/>
        </w:rPr>
        <w:tab/>
      </w:r>
      <w:r w:rsidRPr="00C5465C">
        <w:rPr>
          <w:lang w:val="es-ES_tradnl" w:eastAsia="zh-CN"/>
        </w:rPr>
        <w:t>Mejora y optimización de seminarios/simposios/talleres/capacitación</w:t>
      </w:r>
    </w:p>
    <w:p w:rsidR="00D2165D" w:rsidRPr="00231B33" w:rsidRDefault="00D2165D" w:rsidP="00D2165D">
      <w:pPr>
        <w:pStyle w:val="enumlev2"/>
        <w:rPr>
          <w:lang w:val="es-ES_tradnl" w:eastAsia="zh-CN"/>
        </w:rPr>
      </w:pPr>
      <w:r w:rsidRPr="00231B33">
        <w:rPr>
          <w:lang w:val="es-ES_tradnl" w:eastAsia="zh-CN"/>
        </w:rPr>
        <w:t xml:space="preserve">5.3 </w:t>
      </w:r>
      <w:r w:rsidRPr="00C5465C">
        <w:rPr>
          <w:lang w:val="es-ES_tradnl" w:eastAsia="zh-CN"/>
        </w:rPr>
        <w:t>Colaboración y cooperación sobre eventos</w:t>
      </w:r>
    </w:p>
    <w:p w:rsidR="00D2165D" w:rsidRPr="00231B33" w:rsidRDefault="00D2165D" w:rsidP="00D2165D">
      <w:pPr>
        <w:pStyle w:val="enumlev1"/>
        <w:rPr>
          <w:szCs w:val="24"/>
          <w:lang w:val="es-ES_tradnl"/>
        </w:rPr>
      </w:pPr>
      <w:r w:rsidRPr="00231B33">
        <w:rPr>
          <w:szCs w:val="24"/>
          <w:lang w:val="es-ES_tradnl"/>
        </w:rPr>
        <w:t>6</w:t>
      </w:r>
      <w:r w:rsidRPr="00C5465C">
        <w:rPr>
          <w:szCs w:val="24"/>
          <w:lang w:val="es-ES_tradnl"/>
        </w:rPr>
        <w:t>)</w:t>
      </w:r>
      <w:r w:rsidRPr="00231B33">
        <w:rPr>
          <w:szCs w:val="24"/>
          <w:lang w:val="es-ES_tradnl"/>
        </w:rPr>
        <w:tab/>
      </w:r>
      <w:r w:rsidRPr="00C5465C">
        <w:rPr>
          <w:szCs w:val="24"/>
          <w:lang w:val="es-ES_tradnl"/>
        </w:rPr>
        <w:t>Procedimientos racionalizados de creación del Grupo de Relator Intersectorial (IRG)</w:t>
      </w:r>
    </w:p>
    <w:p w:rsidR="00D2165D" w:rsidRPr="00231B33" w:rsidRDefault="00D2165D" w:rsidP="00D2165D">
      <w:pPr>
        <w:pStyle w:val="enumlev2"/>
        <w:rPr>
          <w:lang w:val="es-ES_tradnl" w:eastAsia="zh-CN"/>
        </w:rPr>
      </w:pPr>
      <w:r w:rsidRPr="00231B33">
        <w:rPr>
          <w:lang w:val="es-ES_tradnl" w:eastAsia="zh-CN"/>
        </w:rPr>
        <w:t>6.1</w:t>
      </w:r>
      <w:r w:rsidRPr="00231B33">
        <w:rPr>
          <w:lang w:val="es-ES_tradnl" w:eastAsia="zh-CN"/>
        </w:rPr>
        <w:tab/>
      </w:r>
      <w:r w:rsidRPr="00C5465C">
        <w:rPr>
          <w:lang w:val="es-ES_tradnl" w:eastAsia="zh-CN"/>
        </w:rPr>
        <w:t>Gestión de declaración de coordinación de Grupos de Relator Intersectoriales</w:t>
      </w:r>
    </w:p>
    <w:p w:rsidR="00D2165D" w:rsidRPr="00231B33" w:rsidRDefault="00D2165D" w:rsidP="00D2165D">
      <w:pPr>
        <w:pStyle w:val="enumlev1"/>
        <w:rPr>
          <w:szCs w:val="24"/>
          <w:lang w:val="es-ES_tradnl"/>
        </w:rPr>
      </w:pPr>
      <w:r w:rsidRPr="00231B33">
        <w:rPr>
          <w:szCs w:val="24"/>
          <w:lang w:val="es-ES_tradnl"/>
        </w:rPr>
        <w:t>7</w:t>
      </w:r>
      <w:r w:rsidRPr="00C5465C">
        <w:rPr>
          <w:szCs w:val="24"/>
          <w:lang w:val="es-ES_tradnl"/>
        </w:rPr>
        <w:t>)</w:t>
      </w:r>
      <w:r w:rsidRPr="00231B33">
        <w:rPr>
          <w:szCs w:val="24"/>
          <w:lang w:val="es-ES_tradnl"/>
        </w:rPr>
        <w:tab/>
      </w:r>
      <w:r w:rsidRPr="00C5465C">
        <w:rPr>
          <w:szCs w:val="24"/>
          <w:lang w:val="es-ES_tradnl"/>
        </w:rPr>
        <w:t>Identificación de problemas técnicos de interés común</w:t>
      </w:r>
    </w:p>
    <w:p w:rsidR="00D2165D" w:rsidRPr="00231B33" w:rsidRDefault="00D2165D" w:rsidP="00D2165D">
      <w:pPr>
        <w:pStyle w:val="enumlev1"/>
        <w:rPr>
          <w:szCs w:val="24"/>
          <w:lang w:val="es-ES_tradnl"/>
        </w:rPr>
      </w:pPr>
      <w:r w:rsidRPr="00231B33">
        <w:rPr>
          <w:szCs w:val="24"/>
          <w:lang w:val="es-ES_tradnl"/>
        </w:rPr>
        <w:t>8</w:t>
      </w:r>
      <w:r w:rsidRPr="00C5465C">
        <w:rPr>
          <w:szCs w:val="24"/>
          <w:lang w:val="es-ES_tradnl"/>
        </w:rPr>
        <w:t>)</w:t>
      </w:r>
      <w:r w:rsidRPr="00231B33">
        <w:rPr>
          <w:szCs w:val="24"/>
          <w:lang w:val="es-ES_tradnl"/>
        </w:rPr>
        <w:tab/>
      </w:r>
      <w:r w:rsidRPr="00C5465C">
        <w:rPr>
          <w:szCs w:val="24"/>
          <w:lang w:val="es-ES_tradnl"/>
        </w:rPr>
        <w:t>Intercambio de información sobre actividades de estudio conexas</w:t>
      </w:r>
    </w:p>
    <w:p w:rsidR="00D2165D" w:rsidRPr="00231B33" w:rsidRDefault="00D2165D" w:rsidP="00D2165D">
      <w:pPr>
        <w:pStyle w:val="enumlev2"/>
        <w:rPr>
          <w:lang w:val="es-ES_tradnl" w:eastAsia="zh-CN"/>
        </w:rPr>
      </w:pPr>
      <w:r w:rsidRPr="00231B33">
        <w:rPr>
          <w:lang w:val="es-ES_tradnl" w:eastAsia="zh-CN"/>
        </w:rPr>
        <w:t>8.1</w:t>
      </w:r>
      <w:r w:rsidRPr="00231B33">
        <w:rPr>
          <w:lang w:val="es-ES_tradnl" w:eastAsia="zh-CN"/>
        </w:rPr>
        <w:tab/>
      </w:r>
      <w:r w:rsidRPr="00C5465C">
        <w:rPr>
          <w:lang w:val="es-ES_tradnl" w:eastAsia="zh-CN"/>
        </w:rPr>
        <w:t>Mejora de la interacción entre los Grupos de Trabajo y las Comisiones de Estudio de los distintos Sectores</w:t>
      </w:r>
    </w:p>
    <w:p w:rsidR="00D2165D" w:rsidRPr="00231B33" w:rsidRDefault="00D2165D" w:rsidP="00D2165D">
      <w:pPr>
        <w:pStyle w:val="enumlev1"/>
        <w:rPr>
          <w:szCs w:val="24"/>
          <w:lang w:val="es-ES_tradnl"/>
        </w:rPr>
      </w:pPr>
      <w:r w:rsidRPr="00231B33">
        <w:rPr>
          <w:szCs w:val="24"/>
          <w:lang w:val="es-ES_tradnl"/>
        </w:rPr>
        <w:t>9)</w:t>
      </w:r>
      <w:r w:rsidRPr="00231B33">
        <w:rPr>
          <w:szCs w:val="24"/>
          <w:lang w:val="es-ES_tradnl"/>
        </w:rPr>
        <w:tab/>
      </w:r>
      <w:r w:rsidRPr="00C5465C">
        <w:rPr>
          <w:szCs w:val="24"/>
          <w:lang w:val="es-ES_tradnl"/>
        </w:rPr>
        <w:t>Métodos de trabajos (Resolución 1) de los tres Sectores y aplicación de prácticas idóneas</w:t>
      </w:r>
    </w:p>
    <w:p w:rsidR="00D2165D" w:rsidRPr="00231B33" w:rsidRDefault="00D2165D" w:rsidP="00D2165D">
      <w:pPr>
        <w:pStyle w:val="enumlev1"/>
        <w:rPr>
          <w:szCs w:val="24"/>
          <w:lang w:val="es-ES_tradnl"/>
        </w:rPr>
      </w:pPr>
      <w:r w:rsidRPr="00231B33">
        <w:rPr>
          <w:szCs w:val="24"/>
          <w:lang w:val="es-ES_tradnl"/>
        </w:rPr>
        <w:t>10)</w:t>
      </w:r>
      <w:r w:rsidRPr="00231B33">
        <w:rPr>
          <w:szCs w:val="24"/>
          <w:lang w:val="es-ES_tradnl"/>
        </w:rPr>
        <w:tab/>
      </w:r>
      <w:r w:rsidRPr="00C5465C">
        <w:rPr>
          <w:szCs w:val="24"/>
          <w:lang w:val="es-ES_tradnl"/>
        </w:rPr>
        <w:t>Miembros de Sector</w:t>
      </w:r>
    </w:p>
    <w:p w:rsidR="00D2165D" w:rsidRPr="00231B33" w:rsidRDefault="00D2165D">
      <w:pPr>
        <w:tabs>
          <w:tab w:val="left" w:pos="567"/>
          <w:tab w:val="left" w:pos="851"/>
          <w:tab w:val="left" w:pos="1418"/>
        </w:tabs>
        <w:jc w:val="both"/>
        <w:rPr>
          <w:rFonts w:ascii="Calibri" w:hAnsi="Calibri" w:cs="Calibri"/>
          <w:szCs w:val="24"/>
          <w:lang w:val="es-ES_tradnl"/>
        </w:rPr>
      </w:pPr>
      <w:r w:rsidRPr="00C5465C">
        <w:rPr>
          <w:bCs/>
          <w:szCs w:val="24"/>
          <w:lang w:val="es-ES_tradnl"/>
        </w:rPr>
        <w:t>El Equipo tomó conocimiento de la declaración de coordinación del GAR al GADT sobre cooperación y coordinación entre el UIT-R y el UIT-D en lo relativo a la Resol</w:t>
      </w:r>
      <w:r>
        <w:rPr>
          <w:bCs/>
          <w:szCs w:val="24"/>
          <w:lang w:val="es-ES_tradnl"/>
        </w:rPr>
        <w:t>ución 9 de la CMDT (Rev. Dubái, </w:t>
      </w:r>
      <w:r w:rsidRPr="00C5465C">
        <w:rPr>
          <w:bCs/>
          <w:szCs w:val="24"/>
          <w:lang w:val="es-ES_tradnl"/>
        </w:rPr>
        <w:t>2014) y las medidas y el curso de la acción propuesta</w:t>
      </w:r>
      <w:r w:rsidRPr="00231B33">
        <w:rPr>
          <w:lang w:val="es-ES_tradnl"/>
        </w:rPr>
        <w:t>.</w:t>
      </w:r>
    </w:p>
    <w:p w:rsidR="003235B2" w:rsidRDefault="003235B2" w:rsidP="0032202E">
      <w:pPr>
        <w:pStyle w:val="Reasons"/>
      </w:pPr>
    </w:p>
    <w:p w:rsidR="003235B2" w:rsidRDefault="003235B2">
      <w:pPr>
        <w:jc w:val="center"/>
      </w:pPr>
      <w:r>
        <w:t>______________</w:t>
      </w:r>
    </w:p>
    <w:sectPr w:rsidR="003235B2" w:rsidSect="0039169B">
      <w:headerReference w:type="default" r:id="rId42"/>
      <w:footerReference w:type="even" r:id="rId43"/>
      <w:footerReference w:type="first" r:id="rId44"/>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5D" w:rsidRDefault="00D2165D">
      <w:r>
        <w:separator/>
      </w:r>
    </w:p>
  </w:endnote>
  <w:endnote w:type="continuationSeparator" w:id="0">
    <w:p w:rsidR="00D2165D" w:rsidRDefault="00D2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5D" w:rsidRDefault="00D2165D">
    <w:pPr>
      <w:framePr w:wrap="around" w:vAnchor="text" w:hAnchor="margin" w:xAlign="right" w:y="1"/>
    </w:pPr>
    <w:r>
      <w:fldChar w:fldCharType="begin"/>
    </w:r>
    <w:r>
      <w:instrText xml:space="preserve">PAGE  </w:instrText>
    </w:r>
    <w:r>
      <w:fldChar w:fldCharType="end"/>
    </w:r>
  </w:p>
  <w:p w:rsidR="00D2165D" w:rsidRPr="0041348E" w:rsidRDefault="00D2165D">
    <w:pPr>
      <w:ind w:right="360"/>
      <w:rPr>
        <w:lang w:val="en-US"/>
      </w:rPr>
    </w:pPr>
    <w:r>
      <w:fldChar w:fldCharType="begin"/>
    </w:r>
    <w:r w:rsidRPr="0041348E">
      <w:rPr>
        <w:lang w:val="en-US"/>
      </w:rPr>
      <w:instrText xml:space="preserve"> FILENAME \p  \* MERGEFORMAT </w:instrText>
    </w:r>
    <w:r>
      <w:fldChar w:fldCharType="separate"/>
    </w:r>
    <w:r w:rsidR="008E5C4B">
      <w:rPr>
        <w:noProof/>
        <w:lang w:val="en-US"/>
      </w:rPr>
      <w:t>P:\WTDC-17\Documents\C\Web-posted\001-050\005S.DOCX</w:t>
    </w:r>
    <w:r>
      <w:fldChar w:fldCharType="end"/>
    </w:r>
    <w:r w:rsidRPr="0041348E">
      <w:rPr>
        <w:lang w:val="en-US"/>
      </w:rPr>
      <w:tab/>
    </w:r>
    <w:r>
      <w:fldChar w:fldCharType="begin"/>
    </w:r>
    <w:r>
      <w:instrText xml:space="preserve"> SAVEDATE \@ DD.MM.YY </w:instrText>
    </w:r>
    <w:r>
      <w:fldChar w:fldCharType="separate"/>
    </w:r>
    <w:r w:rsidR="008E5C4B">
      <w:rPr>
        <w:noProof/>
      </w:rPr>
      <w:t>14.07.17</w:t>
    </w:r>
    <w:r>
      <w:fldChar w:fldCharType="end"/>
    </w:r>
    <w:r w:rsidRPr="0041348E">
      <w:rPr>
        <w:lang w:val="en-US"/>
      </w:rPr>
      <w:tab/>
    </w:r>
    <w:r>
      <w:fldChar w:fldCharType="begin"/>
    </w:r>
    <w:r>
      <w:instrText xml:space="preserve"> PRINTDATE \@ DD.MM.YY </w:instrText>
    </w:r>
    <w:r>
      <w:fldChar w:fldCharType="separate"/>
    </w:r>
    <w:r w:rsidR="008E5C4B">
      <w:rPr>
        <w:noProof/>
      </w:rPr>
      <w:t>09.03.17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5D" w:rsidRDefault="00D2165D" w:rsidP="00D83BF5"/>
  <w:tbl>
    <w:tblPr>
      <w:tblW w:w="9923" w:type="dxa"/>
      <w:tblLayout w:type="fixed"/>
      <w:tblLook w:val="04A0" w:firstRow="1" w:lastRow="0" w:firstColumn="1" w:lastColumn="0" w:noHBand="0" w:noVBand="1"/>
    </w:tblPr>
    <w:tblGrid>
      <w:gridCol w:w="1134"/>
      <w:gridCol w:w="2552"/>
      <w:gridCol w:w="6237"/>
    </w:tblGrid>
    <w:tr w:rsidR="00D2165D" w:rsidRPr="001241BD" w:rsidTr="000B1248">
      <w:tc>
        <w:tcPr>
          <w:tcW w:w="1134" w:type="dxa"/>
          <w:tcBorders>
            <w:top w:val="single" w:sz="4" w:space="0" w:color="000000"/>
          </w:tcBorders>
          <w:shd w:val="clear" w:color="auto" w:fill="auto"/>
        </w:tcPr>
        <w:p w:rsidR="00D2165D" w:rsidRPr="004D495C" w:rsidRDefault="00D2165D" w:rsidP="00D83BF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D2165D" w:rsidRPr="004D495C" w:rsidRDefault="00D2165D" w:rsidP="000B1248">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D2165D" w:rsidRPr="001241BD" w:rsidRDefault="004232DD" w:rsidP="004232DD">
          <w:pPr>
            <w:pStyle w:val="FirstFooter"/>
            <w:tabs>
              <w:tab w:val="left" w:pos="2302"/>
            </w:tabs>
            <w:ind w:left="2302" w:hanging="2302"/>
            <w:rPr>
              <w:sz w:val="18"/>
              <w:szCs w:val="18"/>
              <w:lang w:val="es-ES_tradnl"/>
            </w:rPr>
          </w:pPr>
          <w:bookmarkStart w:id="119" w:name="OrgName"/>
          <w:bookmarkEnd w:id="119"/>
          <w:r>
            <w:rPr>
              <w:sz w:val="18"/>
              <w:szCs w:val="18"/>
              <w:lang w:val="es-ES_tradnl"/>
            </w:rPr>
            <w:t>S</w:t>
          </w:r>
          <w:r w:rsidRPr="004232DD">
            <w:rPr>
              <w:sz w:val="18"/>
              <w:szCs w:val="18"/>
              <w:lang w:val="es-ES_tradnl"/>
            </w:rPr>
            <w:t>r</w:t>
          </w:r>
          <w:r>
            <w:rPr>
              <w:sz w:val="18"/>
              <w:szCs w:val="18"/>
              <w:lang w:val="es-ES_tradnl"/>
            </w:rPr>
            <w:t>.</w:t>
          </w:r>
          <w:r w:rsidRPr="004232DD">
            <w:rPr>
              <w:sz w:val="18"/>
              <w:szCs w:val="18"/>
              <w:lang w:val="es-ES_tradnl"/>
            </w:rPr>
            <w:t xml:space="preserve"> Vladimir Minkin</w:t>
          </w:r>
          <w:r>
            <w:rPr>
              <w:sz w:val="18"/>
              <w:szCs w:val="18"/>
              <w:lang w:val="es-ES_tradnl"/>
            </w:rPr>
            <w:t xml:space="preserve">, </w:t>
          </w:r>
          <w:r w:rsidR="00D2165D" w:rsidRPr="001241BD">
            <w:rPr>
              <w:sz w:val="18"/>
              <w:szCs w:val="18"/>
              <w:lang w:val="es-ES_tradnl"/>
            </w:rPr>
            <w:t>Presidente</w:t>
          </w:r>
          <w:r w:rsidR="001241BD" w:rsidRPr="001241BD">
            <w:rPr>
              <w:sz w:val="18"/>
              <w:szCs w:val="18"/>
              <w:lang w:val="es-ES_tradnl"/>
            </w:rPr>
            <w:t xml:space="preserve"> del GADT </w:t>
          </w:r>
          <w:r w:rsidR="001241BD">
            <w:rPr>
              <w:sz w:val="18"/>
              <w:szCs w:val="18"/>
              <w:lang w:val="es-ES_tradnl"/>
            </w:rPr>
            <w:t>(Federación de Rusia)</w:t>
          </w:r>
        </w:p>
      </w:tc>
    </w:tr>
    <w:tr w:rsidR="00D2165D" w:rsidRPr="004232DD" w:rsidTr="000B1248">
      <w:tc>
        <w:tcPr>
          <w:tcW w:w="1134" w:type="dxa"/>
          <w:shd w:val="clear" w:color="auto" w:fill="auto"/>
        </w:tcPr>
        <w:p w:rsidR="00D2165D" w:rsidRPr="001241BD" w:rsidRDefault="00D2165D" w:rsidP="00D83BF5">
          <w:pPr>
            <w:pStyle w:val="FirstFooter"/>
            <w:tabs>
              <w:tab w:val="left" w:pos="1559"/>
              <w:tab w:val="left" w:pos="3828"/>
            </w:tabs>
            <w:rPr>
              <w:sz w:val="20"/>
              <w:lang w:val="es-ES_tradnl"/>
            </w:rPr>
          </w:pPr>
        </w:p>
      </w:tc>
      <w:tc>
        <w:tcPr>
          <w:tcW w:w="2552" w:type="dxa"/>
          <w:shd w:val="clear" w:color="auto" w:fill="auto"/>
        </w:tcPr>
        <w:p w:rsidR="00D2165D" w:rsidRPr="004232DD" w:rsidRDefault="00D2165D" w:rsidP="00D83BF5">
          <w:pPr>
            <w:pStyle w:val="FirstFooter"/>
            <w:tabs>
              <w:tab w:val="left" w:pos="2302"/>
            </w:tabs>
            <w:rPr>
              <w:sz w:val="18"/>
              <w:szCs w:val="18"/>
              <w:lang w:val="es-ES_tradnl"/>
            </w:rPr>
          </w:pPr>
          <w:r w:rsidRPr="004232DD">
            <w:rPr>
              <w:sz w:val="18"/>
              <w:szCs w:val="18"/>
              <w:lang w:val="es-ES_tradnl"/>
            </w:rPr>
            <w:t>Teléfono:</w:t>
          </w:r>
        </w:p>
      </w:tc>
      <w:tc>
        <w:tcPr>
          <w:tcW w:w="6237" w:type="dxa"/>
          <w:shd w:val="clear" w:color="auto" w:fill="auto"/>
        </w:tcPr>
        <w:p w:rsidR="00D2165D" w:rsidRPr="004232DD" w:rsidRDefault="004232DD" w:rsidP="00D83BF5">
          <w:pPr>
            <w:pStyle w:val="FirstFooter"/>
            <w:tabs>
              <w:tab w:val="left" w:pos="2302"/>
            </w:tabs>
            <w:rPr>
              <w:sz w:val="18"/>
              <w:szCs w:val="18"/>
              <w:lang w:val="es-ES_tradnl"/>
            </w:rPr>
          </w:pPr>
          <w:bookmarkStart w:id="120" w:name="PhoneNo"/>
          <w:bookmarkEnd w:id="120"/>
          <w:r w:rsidRPr="004232DD">
            <w:rPr>
              <w:sz w:val="18"/>
              <w:szCs w:val="18"/>
              <w:lang w:val="es-ES_tradnl"/>
            </w:rPr>
            <w:t>+7 495 261 9307</w:t>
          </w:r>
        </w:p>
      </w:tc>
    </w:tr>
    <w:tr w:rsidR="00D2165D" w:rsidRPr="008E5C4B" w:rsidTr="000B1248">
      <w:tc>
        <w:tcPr>
          <w:tcW w:w="1134" w:type="dxa"/>
          <w:shd w:val="clear" w:color="auto" w:fill="auto"/>
        </w:tcPr>
        <w:p w:rsidR="00D2165D" w:rsidRPr="004232DD" w:rsidRDefault="00D2165D" w:rsidP="00D83BF5">
          <w:pPr>
            <w:pStyle w:val="FirstFooter"/>
            <w:tabs>
              <w:tab w:val="left" w:pos="1559"/>
              <w:tab w:val="left" w:pos="3828"/>
            </w:tabs>
            <w:rPr>
              <w:sz w:val="20"/>
              <w:lang w:val="es-ES_tradnl"/>
            </w:rPr>
          </w:pPr>
        </w:p>
      </w:tc>
      <w:tc>
        <w:tcPr>
          <w:tcW w:w="2552" w:type="dxa"/>
          <w:shd w:val="clear" w:color="auto" w:fill="auto"/>
        </w:tcPr>
        <w:p w:rsidR="00D2165D" w:rsidRPr="004232DD" w:rsidRDefault="00D2165D" w:rsidP="00D83BF5">
          <w:pPr>
            <w:pStyle w:val="FirstFooter"/>
            <w:tabs>
              <w:tab w:val="left" w:pos="2302"/>
            </w:tabs>
            <w:rPr>
              <w:sz w:val="18"/>
              <w:szCs w:val="18"/>
              <w:lang w:val="es-ES_tradnl"/>
            </w:rPr>
          </w:pPr>
          <w:r w:rsidRPr="004232DD">
            <w:rPr>
              <w:sz w:val="18"/>
              <w:szCs w:val="18"/>
              <w:lang w:val="es-ES_tradnl"/>
            </w:rPr>
            <w:t>Correo-e:</w:t>
          </w:r>
        </w:p>
      </w:tc>
      <w:bookmarkStart w:id="121" w:name="Email"/>
      <w:bookmarkEnd w:id="121"/>
      <w:tc>
        <w:tcPr>
          <w:tcW w:w="6237" w:type="dxa"/>
          <w:shd w:val="clear" w:color="auto" w:fill="auto"/>
        </w:tcPr>
        <w:p w:rsidR="00D2165D" w:rsidRPr="004232DD" w:rsidRDefault="004232DD" w:rsidP="00D83BF5">
          <w:pPr>
            <w:pStyle w:val="FirstFooter"/>
            <w:tabs>
              <w:tab w:val="left" w:pos="2302"/>
            </w:tabs>
            <w:rPr>
              <w:sz w:val="18"/>
              <w:szCs w:val="18"/>
              <w:lang w:val="es-ES_tradnl"/>
            </w:rPr>
          </w:pPr>
          <w:r>
            <w:fldChar w:fldCharType="begin"/>
          </w:r>
          <w:r w:rsidRPr="004232DD">
            <w:rPr>
              <w:lang w:val="es-ES_tradnl"/>
            </w:rPr>
            <w:instrText xml:space="preserve"> HYPERLINK "mailto:vladimir.minkin@ties.itu.int" </w:instrText>
          </w:r>
          <w:r>
            <w:fldChar w:fldCharType="separate"/>
          </w:r>
          <w:r w:rsidRPr="004232DD">
            <w:rPr>
              <w:rStyle w:val="Hyperlink"/>
              <w:sz w:val="18"/>
              <w:szCs w:val="18"/>
              <w:lang w:val="es-ES_tradnl"/>
            </w:rPr>
            <w:t>vladimir.minkin@ties.itu.int</w:t>
          </w:r>
          <w:r>
            <w:rPr>
              <w:rStyle w:val="Hyperlink"/>
              <w:sz w:val="18"/>
              <w:szCs w:val="18"/>
            </w:rPr>
            <w:fldChar w:fldCharType="end"/>
          </w:r>
        </w:p>
      </w:tc>
    </w:tr>
  </w:tbl>
  <w:p w:rsidR="00D2165D" w:rsidRPr="00784E03" w:rsidRDefault="008E5C4B" w:rsidP="008B61EA">
    <w:pPr>
      <w:jc w:val="center"/>
      <w:rPr>
        <w:sz w:val="20"/>
      </w:rPr>
    </w:pPr>
    <w:hyperlink r:id="rId1" w:history="1">
      <w:r w:rsidR="00D2165D">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5D" w:rsidRDefault="00D2165D">
      <w:r>
        <w:rPr>
          <w:b/>
        </w:rPr>
        <w:t>_______________</w:t>
      </w:r>
    </w:p>
  </w:footnote>
  <w:footnote w:type="continuationSeparator" w:id="0">
    <w:p w:rsidR="00D2165D" w:rsidRDefault="00D21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1BD" w:rsidRPr="00D83BF5" w:rsidRDefault="001241BD" w:rsidP="001241BD">
    <w:pPr>
      <w:tabs>
        <w:tab w:val="clear" w:pos="794"/>
        <w:tab w:val="clear" w:pos="1191"/>
        <w:tab w:val="clear" w:pos="1588"/>
        <w:tab w:val="clear" w:pos="1985"/>
        <w:tab w:val="center" w:pos="4678"/>
        <w:tab w:val="right" w:pos="10206"/>
      </w:tabs>
      <w:ind w:right="1"/>
      <w:rPr>
        <w:smallCaps/>
        <w:spacing w:val="24"/>
        <w:sz w:val="22"/>
        <w:szCs w:val="22"/>
        <w:lang w:val="es-ES_tradnl"/>
      </w:rPr>
    </w:pPr>
    <w:r>
      <w:rPr>
        <w:sz w:val="22"/>
        <w:szCs w:val="22"/>
      </w:rPr>
      <w:tab/>
    </w:r>
    <w:r>
      <w:rPr>
        <w:sz w:val="22"/>
        <w:szCs w:val="22"/>
        <w:lang w:val="es-ES_tradnl"/>
      </w:rPr>
      <w:t>WTDC-17</w:t>
    </w:r>
    <w:r w:rsidRPr="00FF089C">
      <w:rPr>
        <w:sz w:val="22"/>
        <w:szCs w:val="22"/>
        <w:lang w:val="es-ES_tradnl"/>
      </w:rPr>
      <w:t>/</w:t>
    </w:r>
    <w:r>
      <w:rPr>
        <w:sz w:val="22"/>
        <w:szCs w:val="22"/>
        <w:lang w:val="es-ES_tradnl"/>
      </w:rPr>
      <w:t>5</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E5C4B">
      <w:rPr>
        <w:noProof/>
        <w:sz w:val="22"/>
        <w:szCs w:val="22"/>
        <w:lang w:val="es-ES_tradnl"/>
      </w:rPr>
      <w:t>13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0464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707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3C4A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F22E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2A46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140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4872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A09B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EB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8A0544"/>
    <w:multiLevelType w:val="hybridMultilevel"/>
    <w:tmpl w:val="2B884D64"/>
    <w:lvl w:ilvl="0" w:tplc="300E17DC">
      <w:start w:val="1"/>
      <w:numFmt w:val="lowerLetter"/>
      <w:lvlText w:val="%1)"/>
      <w:lvlJc w:val="left"/>
      <w:pPr>
        <w:ind w:left="720" w:hanging="360"/>
      </w:pPr>
      <w:rPr>
        <w:rFonts w:hint="default"/>
      </w:rPr>
    </w:lvl>
    <w:lvl w:ilvl="1" w:tplc="CD1EA3B0" w:tentative="1">
      <w:start w:val="1"/>
      <w:numFmt w:val="lowerLetter"/>
      <w:lvlText w:val="%2."/>
      <w:lvlJc w:val="left"/>
      <w:pPr>
        <w:ind w:left="1440" w:hanging="360"/>
      </w:pPr>
    </w:lvl>
    <w:lvl w:ilvl="2" w:tplc="31F0099A" w:tentative="1">
      <w:start w:val="1"/>
      <w:numFmt w:val="lowerRoman"/>
      <w:lvlText w:val="%3."/>
      <w:lvlJc w:val="right"/>
      <w:pPr>
        <w:ind w:left="2160" w:hanging="180"/>
      </w:pPr>
    </w:lvl>
    <w:lvl w:ilvl="3" w:tplc="D5269C24" w:tentative="1">
      <w:start w:val="1"/>
      <w:numFmt w:val="decimal"/>
      <w:lvlText w:val="%4."/>
      <w:lvlJc w:val="left"/>
      <w:pPr>
        <w:ind w:left="2880" w:hanging="360"/>
      </w:pPr>
    </w:lvl>
    <w:lvl w:ilvl="4" w:tplc="949EE9FC" w:tentative="1">
      <w:start w:val="1"/>
      <w:numFmt w:val="lowerLetter"/>
      <w:lvlText w:val="%5."/>
      <w:lvlJc w:val="left"/>
      <w:pPr>
        <w:ind w:left="3600" w:hanging="360"/>
      </w:pPr>
    </w:lvl>
    <w:lvl w:ilvl="5" w:tplc="0C184BDC" w:tentative="1">
      <w:start w:val="1"/>
      <w:numFmt w:val="lowerRoman"/>
      <w:lvlText w:val="%6."/>
      <w:lvlJc w:val="right"/>
      <w:pPr>
        <w:ind w:left="4320" w:hanging="180"/>
      </w:pPr>
    </w:lvl>
    <w:lvl w:ilvl="6" w:tplc="956E43CE" w:tentative="1">
      <w:start w:val="1"/>
      <w:numFmt w:val="decimal"/>
      <w:lvlText w:val="%7."/>
      <w:lvlJc w:val="left"/>
      <w:pPr>
        <w:ind w:left="5040" w:hanging="360"/>
      </w:pPr>
    </w:lvl>
    <w:lvl w:ilvl="7" w:tplc="AD70286A" w:tentative="1">
      <w:start w:val="1"/>
      <w:numFmt w:val="lowerLetter"/>
      <w:lvlText w:val="%8."/>
      <w:lvlJc w:val="left"/>
      <w:pPr>
        <w:ind w:left="5760" w:hanging="360"/>
      </w:pPr>
    </w:lvl>
    <w:lvl w:ilvl="8" w:tplc="C18CA25C"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2E8086D"/>
    <w:multiLevelType w:val="hybridMultilevel"/>
    <w:tmpl w:val="EAE29DF6"/>
    <w:lvl w:ilvl="0" w:tplc="832E0A0E">
      <w:start w:val="1"/>
      <w:numFmt w:val="decimal"/>
      <w:lvlText w:val="%1."/>
      <w:lvlJc w:val="left"/>
      <w:pPr>
        <w:ind w:left="720" w:hanging="360"/>
      </w:pPr>
    </w:lvl>
    <w:lvl w:ilvl="1" w:tplc="F51A7EF2" w:tentative="1">
      <w:start w:val="1"/>
      <w:numFmt w:val="lowerLetter"/>
      <w:lvlText w:val="%2."/>
      <w:lvlJc w:val="left"/>
      <w:pPr>
        <w:ind w:left="1440" w:hanging="360"/>
      </w:pPr>
    </w:lvl>
    <w:lvl w:ilvl="2" w:tplc="73D8B4AC" w:tentative="1">
      <w:start w:val="1"/>
      <w:numFmt w:val="lowerRoman"/>
      <w:lvlText w:val="%3."/>
      <w:lvlJc w:val="right"/>
      <w:pPr>
        <w:ind w:left="2160" w:hanging="180"/>
      </w:pPr>
    </w:lvl>
    <w:lvl w:ilvl="3" w:tplc="A2368A4A" w:tentative="1">
      <w:start w:val="1"/>
      <w:numFmt w:val="decimal"/>
      <w:lvlText w:val="%4."/>
      <w:lvlJc w:val="left"/>
      <w:pPr>
        <w:ind w:left="2880" w:hanging="360"/>
      </w:pPr>
    </w:lvl>
    <w:lvl w:ilvl="4" w:tplc="D18A3BB4" w:tentative="1">
      <w:start w:val="1"/>
      <w:numFmt w:val="lowerLetter"/>
      <w:lvlText w:val="%5."/>
      <w:lvlJc w:val="left"/>
      <w:pPr>
        <w:ind w:left="3600" w:hanging="360"/>
      </w:pPr>
    </w:lvl>
    <w:lvl w:ilvl="5" w:tplc="DADA613A" w:tentative="1">
      <w:start w:val="1"/>
      <w:numFmt w:val="lowerRoman"/>
      <w:lvlText w:val="%6."/>
      <w:lvlJc w:val="right"/>
      <w:pPr>
        <w:ind w:left="4320" w:hanging="180"/>
      </w:pPr>
    </w:lvl>
    <w:lvl w:ilvl="6" w:tplc="4FE47010" w:tentative="1">
      <w:start w:val="1"/>
      <w:numFmt w:val="decimal"/>
      <w:lvlText w:val="%7."/>
      <w:lvlJc w:val="left"/>
      <w:pPr>
        <w:ind w:left="5040" w:hanging="360"/>
      </w:pPr>
    </w:lvl>
    <w:lvl w:ilvl="7" w:tplc="B50CF9EC" w:tentative="1">
      <w:start w:val="1"/>
      <w:numFmt w:val="lowerLetter"/>
      <w:lvlText w:val="%8."/>
      <w:lvlJc w:val="left"/>
      <w:pPr>
        <w:ind w:left="5760" w:hanging="360"/>
      </w:pPr>
    </w:lvl>
    <w:lvl w:ilvl="8" w:tplc="9C062934" w:tentative="1">
      <w:start w:val="1"/>
      <w:numFmt w:val="lowerRoman"/>
      <w:lvlText w:val="%9."/>
      <w:lvlJc w:val="right"/>
      <w:pPr>
        <w:ind w:left="6480" w:hanging="180"/>
      </w:pPr>
    </w:lvl>
  </w:abstractNum>
  <w:abstractNum w:abstractNumId="14" w15:restartNumberingAfterBreak="0">
    <w:nsid w:val="17BF345A"/>
    <w:multiLevelType w:val="multilevel"/>
    <w:tmpl w:val="6B2284E2"/>
    <w:lvl w:ilvl="0">
      <w:start w:val="1"/>
      <w:numFmt w:val="decimal"/>
      <w:lvlText w:val="%1."/>
      <w:lvlJc w:val="left"/>
      <w:pPr>
        <w:ind w:left="360" w:hanging="36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91775F4"/>
    <w:multiLevelType w:val="hybridMultilevel"/>
    <w:tmpl w:val="AFF84BC0"/>
    <w:lvl w:ilvl="0" w:tplc="49ACC0D2">
      <w:start w:val="1"/>
      <w:numFmt w:val="upperLetter"/>
      <w:pStyle w:val="CEOcontribution-H123"/>
      <w:lvlText w:val="%1."/>
      <w:lvlJc w:val="left"/>
      <w:pPr>
        <w:tabs>
          <w:tab w:val="num" w:pos="360"/>
        </w:tabs>
        <w:ind w:left="360" w:hanging="360"/>
      </w:pPr>
      <w:rPr>
        <w:rFonts w:cs="Times New Roman" w:hint="default"/>
      </w:rPr>
    </w:lvl>
    <w:lvl w:ilvl="1" w:tplc="B04E2436">
      <w:start w:val="1"/>
      <w:numFmt w:val="lowerLetter"/>
      <w:lvlText w:val="%2."/>
      <w:lvlJc w:val="left"/>
      <w:pPr>
        <w:tabs>
          <w:tab w:val="num" w:pos="1440"/>
        </w:tabs>
        <w:ind w:left="1440" w:hanging="360"/>
      </w:pPr>
      <w:rPr>
        <w:rFonts w:cs="Times New Roman"/>
      </w:rPr>
    </w:lvl>
    <w:lvl w:ilvl="2" w:tplc="A60ED05E" w:tentative="1">
      <w:start w:val="1"/>
      <w:numFmt w:val="lowerRoman"/>
      <w:lvlText w:val="%3."/>
      <w:lvlJc w:val="right"/>
      <w:pPr>
        <w:tabs>
          <w:tab w:val="num" w:pos="2160"/>
        </w:tabs>
        <w:ind w:left="2160" w:hanging="180"/>
      </w:pPr>
      <w:rPr>
        <w:rFonts w:cs="Times New Roman"/>
      </w:rPr>
    </w:lvl>
    <w:lvl w:ilvl="3" w:tplc="36CE0F6A" w:tentative="1">
      <w:start w:val="1"/>
      <w:numFmt w:val="decimal"/>
      <w:lvlText w:val="%4."/>
      <w:lvlJc w:val="left"/>
      <w:pPr>
        <w:tabs>
          <w:tab w:val="num" w:pos="2880"/>
        </w:tabs>
        <w:ind w:left="2880" w:hanging="360"/>
      </w:pPr>
      <w:rPr>
        <w:rFonts w:cs="Times New Roman"/>
      </w:rPr>
    </w:lvl>
    <w:lvl w:ilvl="4" w:tplc="A0624BD0" w:tentative="1">
      <w:start w:val="1"/>
      <w:numFmt w:val="lowerLetter"/>
      <w:lvlText w:val="%5."/>
      <w:lvlJc w:val="left"/>
      <w:pPr>
        <w:tabs>
          <w:tab w:val="num" w:pos="3600"/>
        </w:tabs>
        <w:ind w:left="3600" w:hanging="360"/>
      </w:pPr>
      <w:rPr>
        <w:rFonts w:cs="Times New Roman"/>
      </w:rPr>
    </w:lvl>
    <w:lvl w:ilvl="5" w:tplc="F620E4B2" w:tentative="1">
      <w:start w:val="1"/>
      <w:numFmt w:val="lowerRoman"/>
      <w:lvlText w:val="%6."/>
      <w:lvlJc w:val="right"/>
      <w:pPr>
        <w:tabs>
          <w:tab w:val="num" w:pos="4320"/>
        </w:tabs>
        <w:ind w:left="4320" w:hanging="180"/>
      </w:pPr>
      <w:rPr>
        <w:rFonts w:cs="Times New Roman"/>
      </w:rPr>
    </w:lvl>
    <w:lvl w:ilvl="6" w:tplc="1380955A" w:tentative="1">
      <w:start w:val="1"/>
      <w:numFmt w:val="decimal"/>
      <w:lvlText w:val="%7."/>
      <w:lvlJc w:val="left"/>
      <w:pPr>
        <w:tabs>
          <w:tab w:val="num" w:pos="5040"/>
        </w:tabs>
        <w:ind w:left="5040" w:hanging="360"/>
      </w:pPr>
      <w:rPr>
        <w:rFonts w:cs="Times New Roman"/>
      </w:rPr>
    </w:lvl>
    <w:lvl w:ilvl="7" w:tplc="3E686A56" w:tentative="1">
      <w:start w:val="1"/>
      <w:numFmt w:val="lowerLetter"/>
      <w:lvlText w:val="%8."/>
      <w:lvlJc w:val="left"/>
      <w:pPr>
        <w:tabs>
          <w:tab w:val="num" w:pos="5760"/>
        </w:tabs>
        <w:ind w:left="5760" w:hanging="360"/>
      </w:pPr>
      <w:rPr>
        <w:rFonts w:cs="Times New Roman"/>
      </w:rPr>
    </w:lvl>
    <w:lvl w:ilvl="8" w:tplc="FBAA44F2"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1760CF"/>
    <w:multiLevelType w:val="hybridMultilevel"/>
    <w:tmpl w:val="69BCE4EC"/>
    <w:lvl w:ilvl="0" w:tplc="2D2E9812">
      <w:start w:val="1"/>
      <w:numFmt w:val="bullet"/>
      <w:lvlText w:val=""/>
      <w:lvlJc w:val="left"/>
      <w:pPr>
        <w:ind w:left="720" w:hanging="360"/>
      </w:pPr>
      <w:rPr>
        <w:rFonts w:ascii="Symbol" w:hAnsi="Symbol" w:cs="Symbol" w:hint="default"/>
        <w:color w:val="auto"/>
      </w:rPr>
    </w:lvl>
    <w:lvl w:ilvl="1" w:tplc="64381E44" w:tentative="1">
      <w:start w:val="1"/>
      <w:numFmt w:val="bullet"/>
      <w:lvlText w:val="o"/>
      <w:lvlJc w:val="left"/>
      <w:pPr>
        <w:ind w:left="1440" w:hanging="360"/>
      </w:pPr>
      <w:rPr>
        <w:rFonts w:ascii="Courier New" w:hAnsi="Courier New" w:cs="Courier New" w:hint="default"/>
      </w:rPr>
    </w:lvl>
    <w:lvl w:ilvl="2" w:tplc="80C80EC0" w:tentative="1">
      <w:start w:val="1"/>
      <w:numFmt w:val="bullet"/>
      <w:lvlText w:val=""/>
      <w:lvlJc w:val="left"/>
      <w:pPr>
        <w:ind w:left="2160" w:hanging="360"/>
      </w:pPr>
      <w:rPr>
        <w:rFonts w:ascii="Wingdings" w:hAnsi="Wingdings" w:hint="default"/>
      </w:rPr>
    </w:lvl>
    <w:lvl w:ilvl="3" w:tplc="1DDE2370" w:tentative="1">
      <w:start w:val="1"/>
      <w:numFmt w:val="bullet"/>
      <w:lvlText w:val=""/>
      <w:lvlJc w:val="left"/>
      <w:pPr>
        <w:ind w:left="2880" w:hanging="360"/>
      </w:pPr>
      <w:rPr>
        <w:rFonts w:ascii="Symbol" w:hAnsi="Symbol" w:hint="default"/>
      </w:rPr>
    </w:lvl>
    <w:lvl w:ilvl="4" w:tplc="F4A055AA" w:tentative="1">
      <w:start w:val="1"/>
      <w:numFmt w:val="bullet"/>
      <w:lvlText w:val="o"/>
      <w:lvlJc w:val="left"/>
      <w:pPr>
        <w:ind w:left="3600" w:hanging="360"/>
      </w:pPr>
      <w:rPr>
        <w:rFonts w:ascii="Courier New" w:hAnsi="Courier New" w:cs="Courier New" w:hint="default"/>
      </w:rPr>
    </w:lvl>
    <w:lvl w:ilvl="5" w:tplc="CBFCFB2E" w:tentative="1">
      <w:start w:val="1"/>
      <w:numFmt w:val="bullet"/>
      <w:lvlText w:val=""/>
      <w:lvlJc w:val="left"/>
      <w:pPr>
        <w:ind w:left="4320" w:hanging="360"/>
      </w:pPr>
      <w:rPr>
        <w:rFonts w:ascii="Wingdings" w:hAnsi="Wingdings" w:hint="default"/>
      </w:rPr>
    </w:lvl>
    <w:lvl w:ilvl="6" w:tplc="D2A24076" w:tentative="1">
      <w:start w:val="1"/>
      <w:numFmt w:val="bullet"/>
      <w:lvlText w:val=""/>
      <w:lvlJc w:val="left"/>
      <w:pPr>
        <w:ind w:left="5040" w:hanging="360"/>
      </w:pPr>
      <w:rPr>
        <w:rFonts w:ascii="Symbol" w:hAnsi="Symbol" w:hint="default"/>
      </w:rPr>
    </w:lvl>
    <w:lvl w:ilvl="7" w:tplc="39F860C6" w:tentative="1">
      <w:start w:val="1"/>
      <w:numFmt w:val="bullet"/>
      <w:lvlText w:val="o"/>
      <w:lvlJc w:val="left"/>
      <w:pPr>
        <w:ind w:left="5760" w:hanging="360"/>
      </w:pPr>
      <w:rPr>
        <w:rFonts w:ascii="Courier New" w:hAnsi="Courier New" w:cs="Courier New" w:hint="default"/>
      </w:rPr>
    </w:lvl>
    <w:lvl w:ilvl="8" w:tplc="26B202D2" w:tentative="1">
      <w:start w:val="1"/>
      <w:numFmt w:val="bullet"/>
      <w:lvlText w:val=""/>
      <w:lvlJc w:val="left"/>
      <w:pPr>
        <w:ind w:left="6480" w:hanging="360"/>
      </w:pPr>
      <w:rPr>
        <w:rFonts w:ascii="Wingdings" w:hAnsi="Wingdings" w:hint="default"/>
      </w:rPr>
    </w:lvl>
  </w:abstractNum>
  <w:abstractNum w:abstractNumId="17" w15:restartNumberingAfterBreak="0">
    <w:nsid w:val="45D71C1B"/>
    <w:multiLevelType w:val="hybridMultilevel"/>
    <w:tmpl w:val="47342D86"/>
    <w:lvl w:ilvl="0" w:tplc="FC584B94">
      <w:numFmt w:val="bullet"/>
      <w:lvlText w:val="-"/>
      <w:lvlJc w:val="left"/>
      <w:pPr>
        <w:ind w:left="720" w:hanging="360"/>
      </w:pPr>
      <w:rPr>
        <w:rFonts w:ascii="Calibri" w:eastAsia="Times New Roman" w:hAnsi="Calibri" w:cs="Times New Roman" w:hint="default"/>
      </w:rPr>
    </w:lvl>
    <w:lvl w:ilvl="1" w:tplc="DE7E178A" w:tentative="1">
      <w:start w:val="1"/>
      <w:numFmt w:val="bullet"/>
      <w:lvlText w:val="o"/>
      <w:lvlJc w:val="left"/>
      <w:pPr>
        <w:ind w:left="1440" w:hanging="360"/>
      </w:pPr>
      <w:rPr>
        <w:rFonts w:ascii="Courier New" w:hAnsi="Courier New" w:cs="Courier New" w:hint="default"/>
      </w:rPr>
    </w:lvl>
    <w:lvl w:ilvl="2" w:tplc="5636D660" w:tentative="1">
      <w:start w:val="1"/>
      <w:numFmt w:val="bullet"/>
      <w:lvlText w:val=""/>
      <w:lvlJc w:val="left"/>
      <w:pPr>
        <w:ind w:left="2160" w:hanging="360"/>
      </w:pPr>
      <w:rPr>
        <w:rFonts w:ascii="Wingdings" w:hAnsi="Wingdings" w:hint="default"/>
      </w:rPr>
    </w:lvl>
    <w:lvl w:ilvl="3" w:tplc="DF9C10E8" w:tentative="1">
      <w:start w:val="1"/>
      <w:numFmt w:val="bullet"/>
      <w:lvlText w:val=""/>
      <w:lvlJc w:val="left"/>
      <w:pPr>
        <w:ind w:left="2880" w:hanging="360"/>
      </w:pPr>
      <w:rPr>
        <w:rFonts w:ascii="Symbol" w:hAnsi="Symbol" w:hint="default"/>
      </w:rPr>
    </w:lvl>
    <w:lvl w:ilvl="4" w:tplc="0400EC68" w:tentative="1">
      <w:start w:val="1"/>
      <w:numFmt w:val="bullet"/>
      <w:lvlText w:val="o"/>
      <w:lvlJc w:val="left"/>
      <w:pPr>
        <w:ind w:left="3600" w:hanging="360"/>
      </w:pPr>
      <w:rPr>
        <w:rFonts w:ascii="Courier New" w:hAnsi="Courier New" w:cs="Courier New" w:hint="default"/>
      </w:rPr>
    </w:lvl>
    <w:lvl w:ilvl="5" w:tplc="06E85708" w:tentative="1">
      <w:start w:val="1"/>
      <w:numFmt w:val="bullet"/>
      <w:lvlText w:val=""/>
      <w:lvlJc w:val="left"/>
      <w:pPr>
        <w:ind w:left="4320" w:hanging="360"/>
      </w:pPr>
      <w:rPr>
        <w:rFonts w:ascii="Wingdings" w:hAnsi="Wingdings" w:hint="default"/>
      </w:rPr>
    </w:lvl>
    <w:lvl w:ilvl="6" w:tplc="5FB8693A" w:tentative="1">
      <w:start w:val="1"/>
      <w:numFmt w:val="bullet"/>
      <w:lvlText w:val=""/>
      <w:lvlJc w:val="left"/>
      <w:pPr>
        <w:ind w:left="5040" w:hanging="360"/>
      </w:pPr>
      <w:rPr>
        <w:rFonts w:ascii="Symbol" w:hAnsi="Symbol" w:hint="default"/>
      </w:rPr>
    </w:lvl>
    <w:lvl w:ilvl="7" w:tplc="4EEC1664" w:tentative="1">
      <w:start w:val="1"/>
      <w:numFmt w:val="bullet"/>
      <w:lvlText w:val="o"/>
      <w:lvlJc w:val="left"/>
      <w:pPr>
        <w:ind w:left="5760" w:hanging="360"/>
      </w:pPr>
      <w:rPr>
        <w:rFonts w:ascii="Courier New" w:hAnsi="Courier New" w:cs="Courier New" w:hint="default"/>
      </w:rPr>
    </w:lvl>
    <w:lvl w:ilvl="8" w:tplc="70389D08" w:tentative="1">
      <w:start w:val="1"/>
      <w:numFmt w:val="bullet"/>
      <w:lvlText w:val=""/>
      <w:lvlJc w:val="left"/>
      <w:pPr>
        <w:ind w:left="6480" w:hanging="360"/>
      </w:pPr>
      <w:rPr>
        <w:rFonts w:ascii="Wingdings" w:hAnsi="Wingdings" w:hint="default"/>
      </w:rPr>
    </w:lvl>
  </w:abstractNum>
  <w:abstractNum w:abstractNumId="18" w15:restartNumberingAfterBreak="0">
    <w:nsid w:val="47106167"/>
    <w:multiLevelType w:val="hybridMultilevel"/>
    <w:tmpl w:val="D45A0670"/>
    <w:lvl w:ilvl="0" w:tplc="64825FEC">
      <w:start w:val="1"/>
      <w:numFmt w:val="bullet"/>
      <w:lvlText w:val=""/>
      <w:lvlJc w:val="left"/>
      <w:pPr>
        <w:ind w:left="720" w:hanging="360"/>
      </w:pPr>
      <w:rPr>
        <w:rFonts w:ascii="Symbol" w:hAnsi="Symbol" w:hint="default"/>
      </w:rPr>
    </w:lvl>
    <w:lvl w:ilvl="1" w:tplc="7E0400F6" w:tentative="1">
      <w:start w:val="1"/>
      <w:numFmt w:val="bullet"/>
      <w:lvlText w:val="o"/>
      <w:lvlJc w:val="left"/>
      <w:pPr>
        <w:ind w:left="1440" w:hanging="360"/>
      </w:pPr>
      <w:rPr>
        <w:rFonts w:ascii="Courier New" w:hAnsi="Courier New" w:cs="Courier New" w:hint="default"/>
      </w:rPr>
    </w:lvl>
    <w:lvl w:ilvl="2" w:tplc="2E70DCDE" w:tentative="1">
      <w:start w:val="1"/>
      <w:numFmt w:val="bullet"/>
      <w:lvlText w:val=""/>
      <w:lvlJc w:val="left"/>
      <w:pPr>
        <w:ind w:left="2160" w:hanging="360"/>
      </w:pPr>
      <w:rPr>
        <w:rFonts w:ascii="Wingdings" w:hAnsi="Wingdings" w:hint="default"/>
      </w:rPr>
    </w:lvl>
    <w:lvl w:ilvl="3" w:tplc="E93088A0" w:tentative="1">
      <w:start w:val="1"/>
      <w:numFmt w:val="bullet"/>
      <w:lvlText w:val=""/>
      <w:lvlJc w:val="left"/>
      <w:pPr>
        <w:ind w:left="2880" w:hanging="360"/>
      </w:pPr>
      <w:rPr>
        <w:rFonts w:ascii="Symbol" w:hAnsi="Symbol" w:hint="default"/>
      </w:rPr>
    </w:lvl>
    <w:lvl w:ilvl="4" w:tplc="D4EC1F2C" w:tentative="1">
      <w:start w:val="1"/>
      <w:numFmt w:val="bullet"/>
      <w:lvlText w:val="o"/>
      <w:lvlJc w:val="left"/>
      <w:pPr>
        <w:ind w:left="3600" w:hanging="360"/>
      </w:pPr>
      <w:rPr>
        <w:rFonts w:ascii="Courier New" w:hAnsi="Courier New" w:cs="Courier New" w:hint="default"/>
      </w:rPr>
    </w:lvl>
    <w:lvl w:ilvl="5" w:tplc="28EE7E64" w:tentative="1">
      <w:start w:val="1"/>
      <w:numFmt w:val="bullet"/>
      <w:lvlText w:val=""/>
      <w:lvlJc w:val="left"/>
      <w:pPr>
        <w:ind w:left="4320" w:hanging="360"/>
      </w:pPr>
      <w:rPr>
        <w:rFonts w:ascii="Wingdings" w:hAnsi="Wingdings" w:hint="default"/>
      </w:rPr>
    </w:lvl>
    <w:lvl w:ilvl="6" w:tplc="4F6E9312" w:tentative="1">
      <w:start w:val="1"/>
      <w:numFmt w:val="bullet"/>
      <w:lvlText w:val=""/>
      <w:lvlJc w:val="left"/>
      <w:pPr>
        <w:ind w:left="5040" w:hanging="360"/>
      </w:pPr>
      <w:rPr>
        <w:rFonts w:ascii="Symbol" w:hAnsi="Symbol" w:hint="default"/>
      </w:rPr>
    </w:lvl>
    <w:lvl w:ilvl="7" w:tplc="BA943E6C" w:tentative="1">
      <w:start w:val="1"/>
      <w:numFmt w:val="bullet"/>
      <w:lvlText w:val="o"/>
      <w:lvlJc w:val="left"/>
      <w:pPr>
        <w:ind w:left="5760" w:hanging="360"/>
      </w:pPr>
      <w:rPr>
        <w:rFonts w:ascii="Courier New" w:hAnsi="Courier New" w:cs="Courier New" w:hint="default"/>
      </w:rPr>
    </w:lvl>
    <w:lvl w:ilvl="8" w:tplc="293A07C8" w:tentative="1">
      <w:start w:val="1"/>
      <w:numFmt w:val="bullet"/>
      <w:lvlText w:val=""/>
      <w:lvlJc w:val="left"/>
      <w:pPr>
        <w:ind w:left="6480" w:hanging="360"/>
      </w:pPr>
      <w:rPr>
        <w:rFonts w:ascii="Wingdings" w:hAnsi="Wingdings" w:hint="default"/>
      </w:rPr>
    </w:lvl>
  </w:abstractNum>
  <w:abstractNum w:abstractNumId="19" w15:restartNumberingAfterBreak="0">
    <w:nsid w:val="487E475D"/>
    <w:multiLevelType w:val="hybridMultilevel"/>
    <w:tmpl w:val="0B3C399C"/>
    <w:lvl w:ilvl="0" w:tplc="7C7E85D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D1C384E"/>
    <w:multiLevelType w:val="hybridMultilevel"/>
    <w:tmpl w:val="B1E65268"/>
    <w:lvl w:ilvl="0" w:tplc="902A3840">
      <w:start w:val="1"/>
      <w:numFmt w:val="bullet"/>
      <w:lvlText w:val=""/>
      <w:lvlJc w:val="left"/>
      <w:pPr>
        <w:ind w:left="720" w:hanging="360"/>
      </w:pPr>
      <w:rPr>
        <w:rFonts w:ascii="Symbol" w:hAnsi="Symbol" w:hint="default"/>
      </w:rPr>
    </w:lvl>
    <w:lvl w:ilvl="1" w:tplc="5900B890" w:tentative="1">
      <w:start w:val="1"/>
      <w:numFmt w:val="bullet"/>
      <w:lvlText w:val="o"/>
      <w:lvlJc w:val="left"/>
      <w:pPr>
        <w:ind w:left="1440" w:hanging="360"/>
      </w:pPr>
      <w:rPr>
        <w:rFonts w:ascii="Courier New" w:hAnsi="Courier New" w:cs="Courier New" w:hint="default"/>
      </w:rPr>
    </w:lvl>
    <w:lvl w:ilvl="2" w:tplc="FB685E2A" w:tentative="1">
      <w:start w:val="1"/>
      <w:numFmt w:val="bullet"/>
      <w:lvlText w:val=""/>
      <w:lvlJc w:val="left"/>
      <w:pPr>
        <w:ind w:left="2160" w:hanging="360"/>
      </w:pPr>
      <w:rPr>
        <w:rFonts w:ascii="Wingdings" w:hAnsi="Wingdings" w:hint="default"/>
      </w:rPr>
    </w:lvl>
    <w:lvl w:ilvl="3" w:tplc="C9401792" w:tentative="1">
      <w:start w:val="1"/>
      <w:numFmt w:val="bullet"/>
      <w:lvlText w:val=""/>
      <w:lvlJc w:val="left"/>
      <w:pPr>
        <w:ind w:left="2880" w:hanging="360"/>
      </w:pPr>
      <w:rPr>
        <w:rFonts w:ascii="Symbol" w:hAnsi="Symbol" w:hint="default"/>
      </w:rPr>
    </w:lvl>
    <w:lvl w:ilvl="4" w:tplc="80909E68" w:tentative="1">
      <w:start w:val="1"/>
      <w:numFmt w:val="bullet"/>
      <w:lvlText w:val="o"/>
      <w:lvlJc w:val="left"/>
      <w:pPr>
        <w:ind w:left="3600" w:hanging="360"/>
      </w:pPr>
      <w:rPr>
        <w:rFonts w:ascii="Courier New" w:hAnsi="Courier New" w:cs="Courier New" w:hint="default"/>
      </w:rPr>
    </w:lvl>
    <w:lvl w:ilvl="5" w:tplc="6E2E5A22" w:tentative="1">
      <w:start w:val="1"/>
      <w:numFmt w:val="bullet"/>
      <w:lvlText w:val=""/>
      <w:lvlJc w:val="left"/>
      <w:pPr>
        <w:ind w:left="4320" w:hanging="360"/>
      </w:pPr>
      <w:rPr>
        <w:rFonts w:ascii="Wingdings" w:hAnsi="Wingdings" w:hint="default"/>
      </w:rPr>
    </w:lvl>
    <w:lvl w:ilvl="6" w:tplc="3894E2EE" w:tentative="1">
      <w:start w:val="1"/>
      <w:numFmt w:val="bullet"/>
      <w:lvlText w:val=""/>
      <w:lvlJc w:val="left"/>
      <w:pPr>
        <w:ind w:left="5040" w:hanging="360"/>
      </w:pPr>
      <w:rPr>
        <w:rFonts w:ascii="Symbol" w:hAnsi="Symbol" w:hint="default"/>
      </w:rPr>
    </w:lvl>
    <w:lvl w:ilvl="7" w:tplc="4232CCEE" w:tentative="1">
      <w:start w:val="1"/>
      <w:numFmt w:val="bullet"/>
      <w:lvlText w:val="o"/>
      <w:lvlJc w:val="left"/>
      <w:pPr>
        <w:ind w:left="5760" w:hanging="360"/>
      </w:pPr>
      <w:rPr>
        <w:rFonts w:ascii="Courier New" w:hAnsi="Courier New" w:cs="Courier New" w:hint="default"/>
      </w:rPr>
    </w:lvl>
    <w:lvl w:ilvl="8" w:tplc="84844086" w:tentative="1">
      <w:start w:val="1"/>
      <w:numFmt w:val="bullet"/>
      <w:lvlText w:val=""/>
      <w:lvlJc w:val="left"/>
      <w:pPr>
        <w:ind w:left="6480" w:hanging="360"/>
      </w:pPr>
      <w:rPr>
        <w:rFonts w:ascii="Wingdings" w:hAnsi="Wingdings" w:hint="default"/>
      </w:rPr>
    </w:lvl>
  </w:abstractNum>
  <w:abstractNum w:abstractNumId="22" w15:restartNumberingAfterBreak="0">
    <w:nsid w:val="61C62C7D"/>
    <w:multiLevelType w:val="hybridMultilevel"/>
    <w:tmpl w:val="C5468DBA"/>
    <w:lvl w:ilvl="0" w:tplc="90EAFEF8">
      <w:start w:val="1"/>
      <w:numFmt w:val="decimal"/>
      <w:lvlText w:val="%1)"/>
      <w:lvlJc w:val="left"/>
      <w:pPr>
        <w:ind w:left="360" w:hanging="360"/>
      </w:pPr>
    </w:lvl>
    <w:lvl w:ilvl="1" w:tplc="3B6E641C" w:tentative="1">
      <w:start w:val="1"/>
      <w:numFmt w:val="lowerLetter"/>
      <w:lvlText w:val="%2."/>
      <w:lvlJc w:val="left"/>
      <w:pPr>
        <w:ind w:left="1080" w:hanging="360"/>
      </w:pPr>
    </w:lvl>
    <w:lvl w:ilvl="2" w:tplc="F7285316" w:tentative="1">
      <w:start w:val="1"/>
      <w:numFmt w:val="lowerRoman"/>
      <w:lvlText w:val="%3."/>
      <w:lvlJc w:val="right"/>
      <w:pPr>
        <w:ind w:left="1800" w:hanging="180"/>
      </w:pPr>
    </w:lvl>
    <w:lvl w:ilvl="3" w:tplc="DCC8A34E" w:tentative="1">
      <w:start w:val="1"/>
      <w:numFmt w:val="decimal"/>
      <w:lvlText w:val="%4."/>
      <w:lvlJc w:val="left"/>
      <w:pPr>
        <w:ind w:left="2520" w:hanging="360"/>
      </w:pPr>
    </w:lvl>
    <w:lvl w:ilvl="4" w:tplc="724A0DE6" w:tentative="1">
      <w:start w:val="1"/>
      <w:numFmt w:val="lowerLetter"/>
      <w:lvlText w:val="%5."/>
      <w:lvlJc w:val="left"/>
      <w:pPr>
        <w:ind w:left="3240" w:hanging="360"/>
      </w:pPr>
    </w:lvl>
    <w:lvl w:ilvl="5" w:tplc="700E3EBE" w:tentative="1">
      <w:start w:val="1"/>
      <w:numFmt w:val="lowerRoman"/>
      <w:lvlText w:val="%6."/>
      <w:lvlJc w:val="right"/>
      <w:pPr>
        <w:ind w:left="3960" w:hanging="180"/>
      </w:pPr>
    </w:lvl>
    <w:lvl w:ilvl="6" w:tplc="8680472E" w:tentative="1">
      <w:start w:val="1"/>
      <w:numFmt w:val="decimal"/>
      <w:lvlText w:val="%7."/>
      <w:lvlJc w:val="left"/>
      <w:pPr>
        <w:ind w:left="4680" w:hanging="360"/>
      </w:pPr>
    </w:lvl>
    <w:lvl w:ilvl="7" w:tplc="0952EA84" w:tentative="1">
      <w:start w:val="1"/>
      <w:numFmt w:val="lowerLetter"/>
      <w:lvlText w:val="%8."/>
      <w:lvlJc w:val="left"/>
      <w:pPr>
        <w:ind w:left="5400" w:hanging="360"/>
      </w:pPr>
    </w:lvl>
    <w:lvl w:ilvl="8" w:tplc="8F5428D2" w:tentative="1">
      <w:start w:val="1"/>
      <w:numFmt w:val="lowerRoman"/>
      <w:lvlText w:val="%9."/>
      <w:lvlJc w:val="right"/>
      <w:pPr>
        <w:ind w:left="6120" w:hanging="180"/>
      </w:pPr>
    </w:lvl>
  </w:abstractNum>
  <w:abstractNum w:abstractNumId="23" w15:restartNumberingAfterBreak="0">
    <w:nsid w:val="63446B39"/>
    <w:multiLevelType w:val="hybridMultilevel"/>
    <w:tmpl w:val="64D821DE"/>
    <w:lvl w:ilvl="0" w:tplc="157EC6F4">
      <w:start w:val="1"/>
      <w:numFmt w:val="bullet"/>
      <w:lvlText w:val=""/>
      <w:lvlJc w:val="left"/>
      <w:pPr>
        <w:ind w:left="720" w:hanging="360"/>
      </w:pPr>
      <w:rPr>
        <w:rFonts w:ascii="Wingdings" w:hAnsi="Wingdings" w:cs="Wingdings" w:hint="default"/>
        <w:color w:val="365F91" w:themeColor="accent1" w:themeShade="BF"/>
      </w:rPr>
    </w:lvl>
    <w:lvl w:ilvl="1" w:tplc="23280934" w:tentative="1">
      <w:start w:val="1"/>
      <w:numFmt w:val="bullet"/>
      <w:lvlText w:val="o"/>
      <w:lvlJc w:val="left"/>
      <w:pPr>
        <w:ind w:left="1440" w:hanging="360"/>
      </w:pPr>
      <w:rPr>
        <w:rFonts w:ascii="Courier New" w:hAnsi="Courier New" w:cs="Courier New" w:hint="default"/>
      </w:rPr>
    </w:lvl>
    <w:lvl w:ilvl="2" w:tplc="728CE53C" w:tentative="1">
      <w:start w:val="1"/>
      <w:numFmt w:val="bullet"/>
      <w:lvlText w:val=""/>
      <w:lvlJc w:val="left"/>
      <w:pPr>
        <w:ind w:left="2160" w:hanging="360"/>
      </w:pPr>
      <w:rPr>
        <w:rFonts w:ascii="Wingdings" w:hAnsi="Wingdings" w:hint="default"/>
      </w:rPr>
    </w:lvl>
    <w:lvl w:ilvl="3" w:tplc="D556CA96" w:tentative="1">
      <w:start w:val="1"/>
      <w:numFmt w:val="bullet"/>
      <w:lvlText w:val=""/>
      <w:lvlJc w:val="left"/>
      <w:pPr>
        <w:ind w:left="2880" w:hanging="360"/>
      </w:pPr>
      <w:rPr>
        <w:rFonts w:ascii="Symbol" w:hAnsi="Symbol" w:hint="default"/>
      </w:rPr>
    </w:lvl>
    <w:lvl w:ilvl="4" w:tplc="584E1F66" w:tentative="1">
      <w:start w:val="1"/>
      <w:numFmt w:val="bullet"/>
      <w:lvlText w:val="o"/>
      <w:lvlJc w:val="left"/>
      <w:pPr>
        <w:ind w:left="3600" w:hanging="360"/>
      </w:pPr>
      <w:rPr>
        <w:rFonts w:ascii="Courier New" w:hAnsi="Courier New" w:cs="Courier New" w:hint="default"/>
      </w:rPr>
    </w:lvl>
    <w:lvl w:ilvl="5" w:tplc="D30E35FC" w:tentative="1">
      <w:start w:val="1"/>
      <w:numFmt w:val="bullet"/>
      <w:lvlText w:val=""/>
      <w:lvlJc w:val="left"/>
      <w:pPr>
        <w:ind w:left="4320" w:hanging="360"/>
      </w:pPr>
      <w:rPr>
        <w:rFonts w:ascii="Wingdings" w:hAnsi="Wingdings" w:hint="default"/>
      </w:rPr>
    </w:lvl>
    <w:lvl w:ilvl="6" w:tplc="72407B30" w:tentative="1">
      <w:start w:val="1"/>
      <w:numFmt w:val="bullet"/>
      <w:lvlText w:val=""/>
      <w:lvlJc w:val="left"/>
      <w:pPr>
        <w:ind w:left="5040" w:hanging="360"/>
      </w:pPr>
      <w:rPr>
        <w:rFonts w:ascii="Symbol" w:hAnsi="Symbol" w:hint="default"/>
      </w:rPr>
    </w:lvl>
    <w:lvl w:ilvl="7" w:tplc="5426C4DC" w:tentative="1">
      <w:start w:val="1"/>
      <w:numFmt w:val="bullet"/>
      <w:lvlText w:val="o"/>
      <w:lvlJc w:val="left"/>
      <w:pPr>
        <w:ind w:left="5760" w:hanging="360"/>
      </w:pPr>
      <w:rPr>
        <w:rFonts w:ascii="Courier New" w:hAnsi="Courier New" w:cs="Courier New" w:hint="default"/>
      </w:rPr>
    </w:lvl>
    <w:lvl w:ilvl="8" w:tplc="9E722A08" w:tentative="1">
      <w:start w:val="1"/>
      <w:numFmt w:val="bullet"/>
      <w:lvlText w:val=""/>
      <w:lvlJc w:val="left"/>
      <w:pPr>
        <w:ind w:left="6480" w:hanging="360"/>
      </w:pPr>
      <w:rPr>
        <w:rFonts w:ascii="Wingdings" w:hAnsi="Wingdings" w:hint="default"/>
      </w:rPr>
    </w:lvl>
  </w:abstractNum>
  <w:abstractNum w:abstractNumId="24" w15:restartNumberingAfterBreak="0">
    <w:nsid w:val="66495A00"/>
    <w:multiLevelType w:val="hybridMultilevel"/>
    <w:tmpl w:val="E050EF24"/>
    <w:lvl w:ilvl="0" w:tplc="3CD2A2D6">
      <w:start w:val="12"/>
      <w:numFmt w:val="bullet"/>
      <w:lvlText w:val="-"/>
      <w:lvlJc w:val="left"/>
      <w:pPr>
        <w:ind w:left="720" w:hanging="360"/>
      </w:pPr>
      <w:rPr>
        <w:rFonts w:ascii="Calibri" w:eastAsia="Times New Roman" w:hAnsi="Calibri" w:cs="Times New Roman" w:hint="default"/>
      </w:rPr>
    </w:lvl>
    <w:lvl w:ilvl="1" w:tplc="62549188" w:tentative="1">
      <w:start w:val="1"/>
      <w:numFmt w:val="bullet"/>
      <w:lvlText w:val="o"/>
      <w:lvlJc w:val="left"/>
      <w:pPr>
        <w:ind w:left="1440" w:hanging="360"/>
      </w:pPr>
      <w:rPr>
        <w:rFonts w:ascii="Courier New" w:hAnsi="Courier New" w:cs="Courier New" w:hint="default"/>
      </w:rPr>
    </w:lvl>
    <w:lvl w:ilvl="2" w:tplc="A6DCD2F2" w:tentative="1">
      <w:start w:val="1"/>
      <w:numFmt w:val="bullet"/>
      <w:lvlText w:val=""/>
      <w:lvlJc w:val="left"/>
      <w:pPr>
        <w:ind w:left="2160" w:hanging="360"/>
      </w:pPr>
      <w:rPr>
        <w:rFonts w:ascii="Wingdings" w:hAnsi="Wingdings" w:hint="default"/>
      </w:rPr>
    </w:lvl>
    <w:lvl w:ilvl="3" w:tplc="056AF0B8" w:tentative="1">
      <w:start w:val="1"/>
      <w:numFmt w:val="bullet"/>
      <w:lvlText w:val=""/>
      <w:lvlJc w:val="left"/>
      <w:pPr>
        <w:ind w:left="2880" w:hanging="360"/>
      </w:pPr>
      <w:rPr>
        <w:rFonts w:ascii="Symbol" w:hAnsi="Symbol" w:hint="default"/>
      </w:rPr>
    </w:lvl>
    <w:lvl w:ilvl="4" w:tplc="773834B0" w:tentative="1">
      <w:start w:val="1"/>
      <w:numFmt w:val="bullet"/>
      <w:lvlText w:val="o"/>
      <w:lvlJc w:val="left"/>
      <w:pPr>
        <w:ind w:left="3600" w:hanging="360"/>
      </w:pPr>
      <w:rPr>
        <w:rFonts w:ascii="Courier New" w:hAnsi="Courier New" w:cs="Courier New" w:hint="default"/>
      </w:rPr>
    </w:lvl>
    <w:lvl w:ilvl="5" w:tplc="A410A77A" w:tentative="1">
      <w:start w:val="1"/>
      <w:numFmt w:val="bullet"/>
      <w:lvlText w:val=""/>
      <w:lvlJc w:val="left"/>
      <w:pPr>
        <w:ind w:left="4320" w:hanging="360"/>
      </w:pPr>
      <w:rPr>
        <w:rFonts w:ascii="Wingdings" w:hAnsi="Wingdings" w:hint="default"/>
      </w:rPr>
    </w:lvl>
    <w:lvl w:ilvl="6" w:tplc="6FF44B22" w:tentative="1">
      <w:start w:val="1"/>
      <w:numFmt w:val="bullet"/>
      <w:lvlText w:val=""/>
      <w:lvlJc w:val="left"/>
      <w:pPr>
        <w:ind w:left="5040" w:hanging="360"/>
      </w:pPr>
      <w:rPr>
        <w:rFonts w:ascii="Symbol" w:hAnsi="Symbol" w:hint="default"/>
      </w:rPr>
    </w:lvl>
    <w:lvl w:ilvl="7" w:tplc="E126F0AC" w:tentative="1">
      <w:start w:val="1"/>
      <w:numFmt w:val="bullet"/>
      <w:lvlText w:val="o"/>
      <w:lvlJc w:val="left"/>
      <w:pPr>
        <w:ind w:left="5760" w:hanging="360"/>
      </w:pPr>
      <w:rPr>
        <w:rFonts w:ascii="Courier New" w:hAnsi="Courier New" w:cs="Courier New" w:hint="default"/>
      </w:rPr>
    </w:lvl>
    <w:lvl w:ilvl="8" w:tplc="7520D1A4" w:tentative="1">
      <w:start w:val="1"/>
      <w:numFmt w:val="bullet"/>
      <w:lvlText w:val=""/>
      <w:lvlJc w:val="left"/>
      <w:pPr>
        <w:ind w:left="6480" w:hanging="360"/>
      </w:pPr>
      <w:rPr>
        <w:rFonts w:ascii="Wingdings" w:hAnsi="Wingdings" w:hint="default"/>
      </w:rPr>
    </w:lvl>
  </w:abstractNum>
  <w:abstractNum w:abstractNumId="25" w15:restartNumberingAfterBreak="0">
    <w:nsid w:val="6A0801C7"/>
    <w:multiLevelType w:val="hybridMultilevel"/>
    <w:tmpl w:val="C33A257A"/>
    <w:lvl w:ilvl="0" w:tplc="A36E6660">
      <w:start w:val="1"/>
      <w:numFmt w:val="decimal"/>
      <w:lvlText w:val="%1)"/>
      <w:lvlJc w:val="left"/>
      <w:pPr>
        <w:ind w:left="720" w:hanging="360"/>
      </w:pPr>
    </w:lvl>
    <w:lvl w:ilvl="1" w:tplc="F4BC84E0" w:tentative="1">
      <w:start w:val="1"/>
      <w:numFmt w:val="lowerLetter"/>
      <w:lvlText w:val="%2."/>
      <w:lvlJc w:val="left"/>
      <w:pPr>
        <w:ind w:left="1440" w:hanging="360"/>
      </w:pPr>
    </w:lvl>
    <w:lvl w:ilvl="2" w:tplc="2012BF42" w:tentative="1">
      <w:start w:val="1"/>
      <w:numFmt w:val="lowerRoman"/>
      <w:lvlText w:val="%3."/>
      <w:lvlJc w:val="right"/>
      <w:pPr>
        <w:ind w:left="2160" w:hanging="180"/>
      </w:pPr>
    </w:lvl>
    <w:lvl w:ilvl="3" w:tplc="EDBA9022" w:tentative="1">
      <w:start w:val="1"/>
      <w:numFmt w:val="decimal"/>
      <w:lvlText w:val="%4."/>
      <w:lvlJc w:val="left"/>
      <w:pPr>
        <w:ind w:left="2880" w:hanging="360"/>
      </w:pPr>
    </w:lvl>
    <w:lvl w:ilvl="4" w:tplc="EE887882" w:tentative="1">
      <w:start w:val="1"/>
      <w:numFmt w:val="lowerLetter"/>
      <w:lvlText w:val="%5."/>
      <w:lvlJc w:val="left"/>
      <w:pPr>
        <w:ind w:left="3600" w:hanging="360"/>
      </w:pPr>
    </w:lvl>
    <w:lvl w:ilvl="5" w:tplc="A9827D5A" w:tentative="1">
      <w:start w:val="1"/>
      <w:numFmt w:val="lowerRoman"/>
      <w:lvlText w:val="%6."/>
      <w:lvlJc w:val="right"/>
      <w:pPr>
        <w:ind w:left="4320" w:hanging="180"/>
      </w:pPr>
    </w:lvl>
    <w:lvl w:ilvl="6" w:tplc="474A42E2" w:tentative="1">
      <w:start w:val="1"/>
      <w:numFmt w:val="decimal"/>
      <w:lvlText w:val="%7."/>
      <w:lvlJc w:val="left"/>
      <w:pPr>
        <w:ind w:left="5040" w:hanging="360"/>
      </w:pPr>
    </w:lvl>
    <w:lvl w:ilvl="7" w:tplc="4A2E58BE" w:tentative="1">
      <w:start w:val="1"/>
      <w:numFmt w:val="lowerLetter"/>
      <w:lvlText w:val="%8."/>
      <w:lvlJc w:val="left"/>
      <w:pPr>
        <w:ind w:left="5760" w:hanging="360"/>
      </w:pPr>
    </w:lvl>
    <w:lvl w:ilvl="8" w:tplc="D3863AD4" w:tentative="1">
      <w:start w:val="1"/>
      <w:numFmt w:val="lowerRoman"/>
      <w:lvlText w:val="%9."/>
      <w:lvlJc w:val="right"/>
      <w:pPr>
        <w:ind w:left="6480" w:hanging="180"/>
      </w:pPr>
    </w:lvl>
  </w:abstractNum>
  <w:abstractNum w:abstractNumId="26" w15:restartNumberingAfterBreak="0">
    <w:nsid w:val="6FD57C8E"/>
    <w:multiLevelType w:val="hybridMultilevel"/>
    <w:tmpl w:val="0DEA2AE8"/>
    <w:lvl w:ilvl="0" w:tplc="9CDE7786">
      <w:start w:val="1"/>
      <w:numFmt w:val="lowerLetter"/>
      <w:lvlText w:val="%1)"/>
      <w:lvlJc w:val="left"/>
      <w:pPr>
        <w:ind w:left="720" w:hanging="360"/>
      </w:pPr>
      <w:rPr>
        <w:rFonts w:hint="default"/>
      </w:rPr>
    </w:lvl>
    <w:lvl w:ilvl="1" w:tplc="D680644E" w:tentative="1">
      <w:start w:val="1"/>
      <w:numFmt w:val="lowerLetter"/>
      <w:lvlText w:val="%2."/>
      <w:lvlJc w:val="left"/>
      <w:pPr>
        <w:ind w:left="1440" w:hanging="360"/>
      </w:pPr>
    </w:lvl>
    <w:lvl w:ilvl="2" w:tplc="5936FCD8" w:tentative="1">
      <w:start w:val="1"/>
      <w:numFmt w:val="lowerRoman"/>
      <w:lvlText w:val="%3."/>
      <w:lvlJc w:val="right"/>
      <w:pPr>
        <w:ind w:left="2160" w:hanging="180"/>
      </w:pPr>
    </w:lvl>
    <w:lvl w:ilvl="3" w:tplc="B18CC294" w:tentative="1">
      <w:start w:val="1"/>
      <w:numFmt w:val="decimal"/>
      <w:lvlText w:val="%4."/>
      <w:lvlJc w:val="left"/>
      <w:pPr>
        <w:ind w:left="2880" w:hanging="360"/>
      </w:pPr>
    </w:lvl>
    <w:lvl w:ilvl="4" w:tplc="52D06A34" w:tentative="1">
      <w:start w:val="1"/>
      <w:numFmt w:val="lowerLetter"/>
      <w:lvlText w:val="%5."/>
      <w:lvlJc w:val="left"/>
      <w:pPr>
        <w:ind w:left="3600" w:hanging="360"/>
      </w:pPr>
    </w:lvl>
    <w:lvl w:ilvl="5" w:tplc="B5668428" w:tentative="1">
      <w:start w:val="1"/>
      <w:numFmt w:val="lowerRoman"/>
      <w:lvlText w:val="%6."/>
      <w:lvlJc w:val="right"/>
      <w:pPr>
        <w:ind w:left="4320" w:hanging="180"/>
      </w:pPr>
    </w:lvl>
    <w:lvl w:ilvl="6" w:tplc="559CDA90" w:tentative="1">
      <w:start w:val="1"/>
      <w:numFmt w:val="decimal"/>
      <w:lvlText w:val="%7."/>
      <w:lvlJc w:val="left"/>
      <w:pPr>
        <w:ind w:left="5040" w:hanging="360"/>
      </w:pPr>
    </w:lvl>
    <w:lvl w:ilvl="7" w:tplc="594646E8" w:tentative="1">
      <w:start w:val="1"/>
      <w:numFmt w:val="lowerLetter"/>
      <w:lvlText w:val="%8."/>
      <w:lvlJc w:val="left"/>
      <w:pPr>
        <w:ind w:left="5760" w:hanging="360"/>
      </w:pPr>
    </w:lvl>
    <w:lvl w:ilvl="8" w:tplc="C0FACE98" w:tentative="1">
      <w:start w:val="1"/>
      <w:numFmt w:val="lowerRoman"/>
      <w:lvlText w:val="%9."/>
      <w:lvlJc w:val="right"/>
      <w:pPr>
        <w:ind w:left="6480" w:hanging="180"/>
      </w:pPr>
    </w:lvl>
  </w:abstractNum>
  <w:abstractNum w:abstractNumId="27" w15:restartNumberingAfterBreak="0">
    <w:nsid w:val="70C32F71"/>
    <w:multiLevelType w:val="hybridMultilevel"/>
    <w:tmpl w:val="68BE9B40"/>
    <w:lvl w:ilvl="0" w:tplc="01CC2F40">
      <w:start w:val="1"/>
      <w:numFmt w:val="decimal"/>
      <w:lvlText w:val="%1."/>
      <w:lvlJc w:val="left"/>
      <w:pPr>
        <w:ind w:left="720" w:hanging="360"/>
      </w:pPr>
      <w:rPr>
        <w:rFonts w:ascii="Verdana" w:eastAsia="SimSun" w:hAnsi="Verdana" w:cs="Times New Roman"/>
        <w:sz w:val="18"/>
        <w:szCs w:val="18"/>
      </w:rPr>
    </w:lvl>
    <w:lvl w:ilvl="1" w:tplc="F1AE5844">
      <w:start w:val="1"/>
      <w:numFmt w:val="lowerLetter"/>
      <w:lvlText w:val="%2."/>
      <w:lvlJc w:val="left"/>
      <w:pPr>
        <w:ind w:left="1440" w:hanging="360"/>
      </w:pPr>
    </w:lvl>
    <w:lvl w:ilvl="2" w:tplc="A9BC204C" w:tentative="1">
      <w:start w:val="1"/>
      <w:numFmt w:val="lowerRoman"/>
      <w:lvlText w:val="%3."/>
      <w:lvlJc w:val="right"/>
      <w:pPr>
        <w:ind w:left="2160" w:hanging="180"/>
      </w:pPr>
    </w:lvl>
    <w:lvl w:ilvl="3" w:tplc="53F0B7CA" w:tentative="1">
      <w:start w:val="1"/>
      <w:numFmt w:val="decimal"/>
      <w:lvlText w:val="%4."/>
      <w:lvlJc w:val="left"/>
      <w:pPr>
        <w:ind w:left="2880" w:hanging="360"/>
      </w:pPr>
    </w:lvl>
    <w:lvl w:ilvl="4" w:tplc="7988B3E6" w:tentative="1">
      <w:start w:val="1"/>
      <w:numFmt w:val="lowerLetter"/>
      <w:lvlText w:val="%5."/>
      <w:lvlJc w:val="left"/>
      <w:pPr>
        <w:ind w:left="3600" w:hanging="360"/>
      </w:pPr>
    </w:lvl>
    <w:lvl w:ilvl="5" w:tplc="0B724FAA" w:tentative="1">
      <w:start w:val="1"/>
      <w:numFmt w:val="lowerRoman"/>
      <w:lvlText w:val="%6."/>
      <w:lvlJc w:val="right"/>
      <w:pPr>
        <w:ind w:left="4320" w:hanging="180"/>
      </w:pPr>
    </w:lvl>
    <w:lvl w:ilvl="6" w:tplc="82B27070" w:tentative="1">
      <w:start w:val="1"/>
      <w:numFmt w:val="decimal"/>
      <w:lvlText w:val="%7."/>
      <w:lvlJc w:val="left"/>
      <w:pPr>
        <w:ind w:left="5040" w:hanging="360"/>
      </w:pPr>
    </w:lvl>
    <w:lvl w:ilvl="7" w:tplc="FF4E10F8" w:tentative="1">
      <w:start w:val="1"/>
      <w:numFmt w:val="lowerLetter"/>
      <w:lvlText w:val="%8."/>
      <w:lvlJc w:val="left"/>
      <w:pPr>
        <w:ind w:left="5760" w:hanging="360"/>
      </w:pPr>
    </w:lvl>
    <w:lvl w:ilvl="8" w:tplc="798E9AB0" w:tentative="1">
      <w:start w:val="1"/>
      <w:numFmt w:val="lowerRoman"/>
      <w:lvlText w:val="%9."/>
      <w:lvlJc w:val="right"/>
      <w:pPr>
        <w:ind w:left="6480" w:hanging="180"/>
      </w:pPr>
    </w:lvl>
  </w:abstractNum>
  <w:abstractNum w:abstractNumId="2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C08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A41E02"/>
    <w:multiLevelType w:val="hybridMultilevel"/>
    <w:tmpl w:val="D83CEE94"/>
    <w:lvl w:ilvl="0" w:tplc="C4AA4912">
      <w:start w:val="1"/>
      <w:numFmt w:val="bullet"/>
      <w:lvlText w:val=""/>
      <w:lvlJc w:val="left"/>
      <w:pPr>
        <w:ind w:left="720" w:hanging="360"/>
      </w:pPr>
      <w:rPr>
        <w:rFonts w:ascii="Symbol" w:hAnsi="Symbol" w:hint="default"/>
        <w:color w:val="365F91" w:themeColor="accent1" w:themeShade="BF"/>
      </w:rPr>
    </w:lvl>
    <w:lvl w:ilvl="1" w:tplc="BF84A44E" w:tentative="1">
      <w:start w:val="1"/>
      <w:numFmt w:val="bullet"/>
      <w:lvlText w:val="o"/>
      <w:lvlJc w:val="left"/>
      <w:pPr>
        <w:ind w:left="1440" w:hanging="360"/>
      </w:pPr>
      <w:rPr>
        <w:rFonts w:ascii="Courier New" w:hAnsi="Courier New" w:cs="Courier New" w:hint="default"/>
      </w:rPr>
    </w:lvl>
    <w:lvl w:ilvl="2" w:tplc="D41E20C6" w:tentative="1">
      <w:start w:val="1"/>
      <w:numFmt w:val="bullet"/>
      <w:lvlText w:val=""/>
      <w:lvlJc w:val="left"/>
      <w:pPr>
        <w:ind w:left="2160" w:hanging="360"/>
      </w:pPr>
      <w:rPr>
        <w:rFonts w:ascii="Wingdings" w:hAnsi="Wingdings" w:hint="default"/>
      </w:rPr>
    </w:lvl>
    <w:lvl w:ilvl="3" w:tplc="C18E1A44" w:tentative="1">
      <w:start w:val="1"/>
      <w:numFmt w:val="bullet"/>
      <w:lvlText w:val=""/>
      <w:lvlJc w:val="left"/>
      <w:pPr>
        <w:ind w:left="2880" w:hanging="360"/>
      </w:pPr>
      <w:rPr>
        <w:rFonts w:ascii="Symbol" w:hAnsi="Symbol" w:hint="default"/>
      </w:rPr>
    </w:lvl>
    <w:lvl w:ilvl="4" w:tplc="0C963848" w:tentative="1">
      <w:start w:val="1"/>
      <w:numFmt w:val="bullet"/>
      <w:lvlText w:val="o"/>
      <w:lvlJc w:val="left"/>
      <w:pPr>
        <w:ind w:left="3600" w:hanging="360"/>
      </w:pPr>
      <w:rPr>
        <w:rFonts w:ascii="Courier New" w:hAnsi="Courier New" w:cs="Courier New" w:hint="default"/>
      </w:rPr>
    </w:lvl>
    <w:lvl w:ilvl="5" w:tplc="7D5006AE" w:tentative="1">
      <w:start w:val="1"/>
      <w:numFmt w:val="bullet"/>
      <w:lvlText w:val=""/>
      <w:lvlJc w:val="left"/>
      <w:pPr>
        <w:ind w:left="4320" w:hanging="360"/>
      </w:pPr>
      <w:rPr>
        <w:rFonts w:ascii="Wingdings" w:hAnsi="Wingdings" w:hint="default"/>
      </w:rPr>
    </w:lvl>
    <w:lvl w:ilvl="6" w:tplc="8FEE1D82" w:tentative="1">
      <w:start w:val="1"/>
      <w:numFmt w:val="bullet"/>
      <w:lvlText w:val=""/>
      <w:lvlJc w:val="left"/>
      <w:pPr>
        <w:ind w:left="5040" w:hanging="360"/>
      </w:pPr>
      <w:rPr>
        <w:rFonts w:ascii="Symbol" w:hAnsi="Symbol" w:hint="default"/>
      </w:rPr>
    </w:lvl>
    <w:lvl w:ilvl="7" w:tplc="6772FDA4" w:tentative="1">
      <w:start w:val="1"/>
      <w:numFmt w:val="bullet"/>
      <w:lvlText w:val="o"/>
      <w:lvlJc w:val="left"/>
      <w:pPr>
        <w:ind w:left="5760" w:hanging="360"/>
      </w:pPr>
      <w:rPr>
        <w:rFonts w:ascii="Courier New" w:hAnsi="Courier New" w:cs="Courier New" w:hint="default"/>
      </w:rPr>
    </w:lvl>
    <w:lvl w:ilvl="8" w:tplc="1D4E8C6C" w:tentative="1">
      <w:start w:val="1"/>
      <w:numFmt w:val="bullet"/>
      <w:lvlText w:val=""/>
      <w:lvlJc w:val="left"/>
      <w:pPr>
        <w:ind w:left="6480" w:hanging="360"/>
      </w:pPr>
      <w:rPr>
        <w:rFonts w:ascii="Wingdings" w:hAnsi="Wingdings" w:hint="default"/>
      </w:rPr>
    </w:lvl>
  </w:abstractNum>
  <w:abstractNum w:abstractNumId="31" w15:restartNumberingAfterBreak="0">
    <w:nsid w:val="7DD24548"/>
    <w:multiLevelType w:val="hybridMultilevel"/>
    <w:tmpl w:val="2570C3E8"/>
    <w:lvl w:ilvl="0" w:tplc="4782C318">
      <w:start w:val="1"/>
      <w:numFmt w:val="lowerLetter"/>
      <w:lvlText w:val="%1)"/>
      <w:lvlJc w:val="left"/>
      <w:pPr>
        <w:ind w:left="720" w:hanging="360"/>
      </w:pPr>
      <w:rPr>
        <w:rFonts w:hint="default"/>
      </w:rPr>
    </w:lvl>
    <w:lvl w:ilvl="1" w:tplc="1C567F5A" w:tentative="1">
      <w:start w:val="1"/>
      <w:numFmt w:val="lowerLetter"/>
      <w:lvlText w:val="%2."/>
      <w:lvlJc w:val="left"/>
      <w:pPr>
        <w:ind w:left="1440" w:hanging="360"/>
      </w:pPr>
    </w:lvl>
    <w:lvl w:ilvl="2" w:tplc="1F5C946E" w:tentative="1">
      <w:start w:val="1"/>
      <w:numFmt w:val="lowerRoman"/>
      <w:lvlText w:val="%3."/>
      <w:lvlJc w:val="right"/>
      <w:pPr>
        <w:ind w:left="2160" w:hanging="180"/>
      </w:pPr>
    </w:lvl>
    <w:lvl w:ilvl="3" w:tplc="ECD89BD0" w:tentative="1">
      <w:start w:val="1"/>
      <w:numFmt w:val="decimal"/>
      <w:lvlText w:val="%4."/>
      <w:lvlJc w:val="left"/>
      <w:pPr>
        <w:ind w:left="2880" w:hanging="360"/>
      </w:pPr>
    </w:lvl>
    <w:lvl w:ilvl="4" w:tplc="1B1A0046" w:tentative="1">
      <w:start w:val="1"/>
      <w:numFmt w:val="lowerLetter"/>
      <w:lvlText w:val="%5."/>
      <w:lvlJc w:val="left"/>
      <w:pPr>
        <w:ind w:left="3600" w:hanging="360"/>
      </w:pPr>
    </w:lvl>
    <w:lvl w:ilvl="5" w:tplc="C01A255A" w:tentative="1">
      <w:start w:val="1"/>
      <w:numFmt w:val="lowerRoman"/>
      <w:lvlText w:val="%6."/>
      <w:lvlJc w:val="right"/>
      <w:pPr>
        <w:ind w:left="4320" w:hanging="180"/>
      </w:pPr>
    </w:lvl>
    <w:lvl w:ilvl="6" w:tplc="4FFE2544" w:tentative="1">
      <w:start w:val="1"/>
      <w:numFmt w:val="decimal"/>
      <w:lvlText w:val="%7."/>
      <w:lvlJc w:val="left"/>
      <w:pPr>
        <w:ind w:left="5040" w:hanging="360"/>
      </w:pPr>
    </w:lvl>
    <w:lvl w:ilvl="7" w:tplc="E4D6A628" w:tentative="1">
      <w:start w:val="1"/>
      <w:numFmt w:val="lowerLetter"/>
      <w:lvlText w:val="%8."/>
      <w:lvlJc w:val="left"/>
      <w:pPr>
        <w:ind w:left="5760" w:hanging="360"/>
      </w:pPr>
    </w:lvl>
    <w:lvl w:ilvl="8" w:tplc="BF54841A"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8"/>
  </w:num>
  <w:num w:numId="4">
    <w:abstractNumId w:val="12"/>
  </w:num>
  <w:num w:numId="5">
    <w:abstractNumId w:val="20"/>
  </w:num>
  <w:num w:numId="6">
    <w:abstractNumId w:val="21"/>
  </w:num>
  <w:num w:numId="7">
    <w:abstractNumId w:val="25"/>
  </w:num>
  <w:num w:numId="8">
    <w:abstractNumId w:val="17"/>
  </w:num>
  <w:num w:numId="9">
    <w:abstractNumId w:val="15"/>
  </w:num>
  <w:num w:numId="10">
    <w:abstractNumId w:val="27"/>
  </w:num>
  <w:num w:numId="11">
    <w:abstractNumId w:val="13"/>
  </w:num>
  <w:num w:numId="12">
    <w:abstractNumId w:val="22"/>
  </w:num>
  <w:num w:numId="13">
    <w:abstractNumId w:val="23"/>
  </w:num>
  <w:num w:numId="14">
    <w:abstractNumId w:val="30"/>
  </w:num>
  <w:num w:numId="15">
    <w:abstractNumId w:val="16"/>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1"/>
  </w:num>
  <w:num w:numId="27">
    <w:abstractNumId w:val="26"/>
  </w:num>
  <w:num w:numId="28">
    <w:abstractNumId w:val="29"/>
  </w:num>
  <w:num w:numId="29">
    <w:abstractNumId w:val="24"/>
  </w:num>
  <w:num w:numId="30">
    <w:abstractNumId w:val="18"/>
  </w:num>
  <w:num w:numId="31">
    <w:abstractNumId w:val="3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22A29"/>
    <w:rsid w:val="000355FD"/>
    <w:rsid w:val="00047CA3"/>
    <w:rsid w:val="00050E06"/>
    <w:rsid w:val="00051E39"/>
    <w:rsid w:val="000544F3"/>
    <w:rsid w:val="00075C63"/>
    <w:rsid w:val="00077239"/>
    <w:rsid w:val="00080905"/>
    <w:rsid w:val="000822BE"/>
    <w:rsid w:val="00086491"/>
    <w:rsid w:val="00086BA6"/>
    <w:rsid w:val="00091346"/>
    <w:rsid w:val="000B1248"/>
    <w:rsid w:val="000F73FF"/>
    <w:rsid w:val="001060C0"/>
    <w:rsid w:val="001113E0"/>
    <w:rsid w:val="00114CF7"/>
    <w:rsid w:val="00123B68"/>
    <w:rsid w:val="001241BD"/>
    <w:rsid w:val="00126F2E"/>
    <w:rsid w:val="00146F6F"/>
    <w:rsid w:val="00147DA1"/>
    <w:rsid w:val="00152957"/>
    <w:rsid w:val="00187BD9"/>
    <w:rsid w:val="00190B55"/>
    <w:rsid w:val="00194CFB"/>
    <w:rsid w:val="00195257"/>
    <w:rsid w:val="001B2ED3"/>
    <w:rsid w:val="001C3B5F"/>
    <w:rsid w:val="001D058F"/>
    <w:rsid w:val="001E3EB3"/>
    <w:rsid w:val="002009EA"/>
    <w:rsid w:val="00202CA0"/>
    <w:rsid w:val="002154A6"/>
    <w:rsid w:val="002162CD"/>
    <w:rsid w:val="002255B3"/>
    <w:rsid w:val="00236E8A"/>
    <w:rsid w:val="00252ACF"/>
    <w:rsid w:val="00271316"/>
    <w:rsid w:val="002767EA"/>
    <w:rsid w:val="00296313"/>
    <w:rsid w:val="002D58BE"/>
    <w:rsid w:val="003013EE"/>
    <w:rsid w:val="003235B2"/>
    <w:rsid w:val="0032666B"/>
    <w:rsid w:val="0035052A"/>
    <w:rsid w:val="00377BD3"/>
    <w:rsid w:val="00384088"/>
    <w:rsid w:val="0038489B"/>
    <w:rsid w:val="0039169B"/>
    <w:rsid w:val="003A7F8C"/>
    <w:rsid w:val="003B532E"/>
    <w:rsid w:val="003B6F14"/>
    <w:rsid w:val="003D0F8B"/>
    <w:rsid w:val="004131D4"/>
    <w:rsid w:val="0041348E"/>
    <w:rsid w:val="004232DD"/>
    <w:rsid w:val="00447308"/>
    <w:rsid w:val="004765FF"/>
    <w:rsid w:val="00492075"/>
    <w:rsid w:val="004969AD"/>
    <w:rsid w:val="004B13CB"/>
    <w:rsid w:val="004B4FDF"/>
    <w:rsid w:val="004D5D5C"/>
    <w:rsid w:val="0050139F"/>
    <w:rsid w:val="00507968"/>
    <w:rsid w:val="00514D8B"/>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6376E"/>
    <w:rsid w:val="008711AE"/>
    <w:rsid w:val="00872FC8"/>
    <w:rsid w:val="008801D3"/>
    <w:rsid w:val="008845D0"/>
    <w:rsid w:val="008A40E9"/>
    <w:rsid w:val="008B43F2"/>
    <w:rsid w:val="008B61EA"/>
    <w:rsid w:val="008B6CFF"/>
    <w:rsid w:val="008C382B"/>
    <w:rsid w:val="008E5C4B"/>
    <w:rsid w:val="00910B26"/>
    <w:rsid w:val="009274B4"/>
    <w:rsid w:val="00934EA2"/>
    <w:rsid w:val="00944A5C"/>
    <w:rsid w:val="00952A66"/>
    <w:rsid w:val="009A526E"/>
    <w:rsid w:val="009C56E5"/>
    <w:rsid w:val="009E5FC8"/>
    <w:rsid w:val="009E687A"/>
    <w:rsid w:val="00A03C5C"/>
    <w:rsid w:val="00A066F1"/>
    <w:rsid w:val="00A141AF"/>
    <w:rsid w:val="00A16D29"/>
    <w:rsid w:val="00A20E5E"/>
    <w:rsid w:val="00A30305"/>
    <w:rsid w:val="00A31D2D"/>
    <w:rsid w:val="00A33C0E"/>
    <w:rsid w:val="00A4600A"/>
    <w:rsid w:val="00A538A6"/>
    <w:rsid w:val="00A54C25"/>
    <w:rsid w:val="00A710E7"/>
    <w:rsid w:val="00A7372E"/>
    <w:rsid w:val="00A93B85"/>
    <w:rsid w:val="00AA0B18"/>
    <w:rsid w:val="00AA666F"/>
    <w:rsid w:val="00AB4927"/>
    <w:rsid w:val="00B004E5"/>
    <w:rsid w:val="00B15F9D"/>
    <w:rsid w:val="00B639E9"/>
    <w:rsid w:val="00B817CD"/>
    <w:rsid w:val="00B84E60"/>
    <w:rsid w:val="00B911B2"/>
    <w:rsid w:val="00B951D0"/>
    <w:rsid w:val="00BA70B7"/>
    <w:rsid w:val="00BB29C8"/>
    <w:rsid w:val="00BB3A95"/>
    <w:rsid w:val="00BC0382"/>
    <w:rsid w:val="00BD4981"/>
    <w:rsid w:val="00C0018F"/>
    <w:rsid w:val="00C20466"/>
    <w:rsid w:val="00C214ED"/>
    <w:rsid w:val="00C234E6"/>
    <w:rsid w:val="00C324A8"/>
    <w:rsid w:val="00C54517"/>
    <w:rsid w:val="00C64CD8"/>
    <w:rsid w:val="00C95D2D"/>
    <w:rsid w:val="00C97C68"/>
    <w:rsid w:val="00CA1A47"/>
    <w:rsid w:val="00CB2BB6"/>
    <w:rsid w:val="00CC247A"/>
    <w:rsid w:val="00CE5E47"/>
    <w:rsid w:val="00CF020F"/>
    <w:rsid w:val="00CF2B5B"/>
    <w:rsid w:val="00D14CE0"/>
    <w:rsid w:val="00D2165D"/>
    <w:rsid w:val="00D36333"/>
    <w:rsid w:val="00D5651D"/>
    <w:rsid w:val="00D61C5B"/>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2BAB"/>
    <w:rsid w:val="00E245CC"/>
    <w:rsid w:val="00E26226"/>
    <w:rsid w:val="00E27EF0"/>
    <w:rsid w:val="00E4165C"/>
    <w:rsid w:val="00E45D05"/>
    <w:rsid w:val="00E55816"/>
    <w:rsid w:val="00E55AEF"/>
    <w:rsid w:val="00E976C1"/>
    <w:rsid w:val="00EA12E5"/>
    <w:rsid w:val="00F02766"/>
    <w:rsid w:val="00F04067"/>
    <w:rsid w:val="00F05BD4"/>
    <w:rsid w:val="00F11A98"/>
    <w:rsid w:val="00F21A1D"/>
    <w:rsid w:val="00F65C19"/>
    <w:rsid w:val="00F86C14"/>
    <w:rsid w:val="00FA16F2"/>
    <w:rsid w:val="00FB3D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65D"/>
    <w:rPr>
      <w:rFonts w:asciiTheme="minorHAnsi" w:hAnsiTheme="minorHAnsi"/>
      <w:b/>
      <w:sz w:val="28"/>
      <w:lang w:val="en-GB" w:eastAsia="en-US"/>
    </w:rPr>
  </w:style>
  <w:style w:type="character" w:customStyle="1" w:styleId="Heading2Char">
    <w:name w:val="Heading 2 Char"/>
    <w:basedOn w:val="DefaultParagraphFont"/>
    <w:link w:val="Heading2"/>
    <w:rsid w:val="00D2165D"/>
    <w:rPr>
      <w:rFonts w:asciiTheme="minorHAnsi" w:hAnsiTheme="minorHAnsi"/>
      <w:b/>
      <w:sz w:val="24"/>
      <w:lang w:val="en-GB" w:eastAsia="en-US"/>
    </w:rPr>
  </w:style>
  <w:style w:type="character" w:customStyle="1" w:styleId="Heading3Char">
    <w:name w:val="Heading 3 Char"/>
    <w:basedOn w:val="DefaultParagraphFont"/>
    <w:link w:val="Heading3"/>
    <w:rsid w:val="00D2165D"/>
    <w:rPr>
      <w:rFonts w:asciiTheme="minorHAnsi" w:hAnsiTheme="minorHAnsi"/>
      <w:b/>
      <w:sz w:val="24"/>
      <w:lang w:val="en-GB" w:eastAsia="en-US"/>
    </w:rPr>
  </w:style>
  <w:style w:type="character" w:customStyle="1" w:styleId="Heading4Char">
    <w:name w:val="Heading 4 Char"/>
    <w:basedOn w:val="DefaultParagraphFont"/>
    <w:link w:val="Heading4"/>
    <w:rsid w:val="00D2165D"/>
    <w:rPr>
      <w:rFonts w:asciiTheme="minorHAnsi" w:hAnsiTheme="minorHAnsi"/>
      <w:b/>
      <w:sz w:val="24"/>
      <w:lang w:val="en-GB" w:eastAsia="en-US"/>
    </w:rPr>
  </w:style>
  <w:style w:type="character" w:customStyle="1" w:styleId="Heading5Char">
    <w:name w:val="Heading 5 Char"/>
    <w:basedOn w:val="DefaultParagraphFont"/>
    <w:link w:val="Heading5"/>
    <w:rsid w:val="00D2165D"/>
    <w:rPr>
      <w:rFonts w:asciiTheme="minorHAnsi" w:hAnsiTheme="minorHAnsi"/>
      <w:b/>
      <w:sz w:val="24"/>
      <w:lang w:val="en-GB" w:eastAsia="en-US"/>
    </w:rPr>
  </w:style>
  <w:style w:type="character" w:customStyle="1" w:styleId="Heading6Char">
    <w:name w:val="Heading 6 Char"/>
    <w:basedOn w:val="DefaultParagraphFont"/>
    <w:link w:val="Heading6"/>
    <w:rsid w:val="00D2165D"/>
    <w:rPr>
      <w:rFonts w:asciiTheme="minorHAnsi" w:hAnsiTheme="minorHAnsi"/>
      <w:b/>
      <w:sz w:val="24"/>
      <w:lang w:val="en-GB" w:eastAsia="en-US"/>
    </w:rPr>
  </w:style>
  <w:style w:type="character" w:customStyle="1" w:styleId="Heading7Char">
    <w:name w:val="Heading 7 Char"/>
    <w:basedOn w:val="DefaultParagraphFont"/>
    <w:link w:val="Heading7"/>
    <w:rsid w:val="00D2165D"/>
    <w:rPr>
      <w:rFonts w:asciiTheme="minorHAnsi" w:hAnsiTheme="minorHAnsi"/>
      <w:b/>
      <w:sz w:val="24"/>
      <w:lang w:val="en-GB" w:eastAsia="en-US"/>
    </w:rPr>
  </w:style>
  <w:style w:type="character" w:customStyle="1" w:styleId="Heading8Char">
    <w:name w:val="Heading 8 Char"/>
    <w:basedOn w:val="DefaultParagraphFont"/>
    <w:link w:val="Heading8"/>
    <w:rsid w:val="00D2165D"/>
    <w:rPr>
      <w:rFonts w:asciiTheme="minorHAnsi" w:hAnsiTheme="minorHAnsi"/>
      <w:b/>
      <w:sz w:val="24"/>
      <w:lang w:val="en-GB" w:eastAsia="en-US"/>
    </w:rPr>
  </w:style>
  <w:style w:type="character" w:customStyle="1" w:styleId="Heading9Char">
    <w:name w:val="Heading 9 Char"/>
    <w:basedOn w:val="DefaultParagraphFont"/>
    <w:link w:val="Heading9"/>
    <w:rsid w:val="00D2165D"/>
    <w:rPr>
      <w:rFonts w:asciiTheme="minorHAnsi" w:hAnsiTheme="minorHAnsi"/>
      <w:b/>
      <w:sz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E27EF0"/>
    <w:pPr>
      <w:tabs>
        <w:tab w:val="left" w:pos="2608"/>
        <w:tab w:val="left" w:pos="3345"/>
      </w:tabs>
      <w:spacing w:before="80"/>
      <w:ind w:left="794" w:hanging="794"/>
    </w:pPr>
  </w:style>
  <w:style w:type="character" w:customStyle="1" w:styleId="enumlev1Char">
    <w:name w:val="enumlev1 Char"/>
    <w:basedOn w:val="DefaultParagraphFont"/>
    <w:link w:val="enumlev1"/>
    <w:locked/>
    <w:rsid w:val="00D2165D"/>
    <w:rPr>
      <w:rFonts w:asciiTheme="minorHAnsi" w:hAnsiTheme="minorHAnsi"/>
      <w:sz w:val="24"/>
      <w:lang w:val="en-GB" w:eastAsia="en-US"/>
    </w:rPr>
  </w:style>
  <w:style w:type="paragraph" w:customStyle="1" w:styleId="enumlev2">
    <w:name w:val="enumlev2"/>
    <w:basedOn w:val="enumlev1"/>
    <w:link w:val="enumlev2Char"/>
    <w:qFormat/>
    <w:rsid w:val="00E27EF0"/>
    <w:pPr>
      <w:ind w:left="1531" w:hanging="397"/>
    </w:pPr>
  </w:style>
  <w:style w:type="character" w:customStyle="1" w:styleId="enumlev2Char">
    <w:name w:val="enumlev2 Char"/>
    <w:basedOn w:val="enumlev1Char"/>
    <w:link w:val="enumlev2"/>
    <w:rsid w:val="00D2165D"/>
    <w:rPr>
      <w:rFonts w:asciiTheme="minorHAnsi" w:hAnsiTheme="minorHAnsi"/>
      <w:sz w:val="24"/>
      <w:lang w:val="en-GB" w:eastAsia="en-US"/>
    </w:r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character" w:customStyle="1" w:styleId="ListParagraphChar">
    <w:name w:val="List Paragraph Char"/>
    <w:basedOn w:val="DefaultParagraphFont"/>
    <w:link w:val="ListParagraph"/>
    <w:uiPriority w:val="34"/>
    <w:rsid w:val="00D2165D"/>
    <w:rPr>
      <w:rFonts w:asciiTheme="minorHAnsi" w:hAnsiTheme="minorHAnsi"/>
      <w:sz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table" w:styleId="TableGrid">
    <w:name w:val="Table Grid"/>
    <w:basedOn w:val="TableNormal"/>
    <w:rsid w:val="00D2165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N1">
    <w:name w:val="ASN.1"/>
    <w:basedOn w:val="Normal"/>
    <w:rsid w:val="00D2165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ddate">
    <w:name w:val="ddate"/>
    <w:basedOn w:val="Normal"/>
    <w:rsid w:val="00D2165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paragraph" w:customStyle="1" w:styleId="dnum">
    <w:name w:val="dnum"/>
    <w:basedOn w:val="Normal"/>
    <w:rsid w:val="00D2165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fr-FR"/>
    </w:rPr>
  </w:style>
  <w:style w:type="paragraph" w:customStyle="1" w:styleId="dorlang">
    <w:name w:val="dorlang"/>
    <w:basedOn w:val="Normal"/>
    <w:rsid w:val="00D2165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paragraph" w:styleId="Index1">
    <w:name w:val="index 1"/>
    <w:basedOn w:val="Normal"/>
    <w:next w:val="Normal"/>
    <w:semiHidden/>
    <w:rsid w:val="00D2165D"/>
    <w:rPr>
      <w:lang w:val="fr-FR"/>
    </w:rPr>
  </w:style>
  <w:style w:type="character" w:styleId="LineNumber">
    <w:name w:val="line number"/>
    <w:rsid w:val="00D2165D"/>
    <w:rPr>
      <w:rFonts w:asciiTheme="minorHAnsi" w:hAnsiTheme="minorHAnsi"/>
    </w:rPr>
  </w:style>
  <w:style w:type="character" w:styleId="PageNumber">
    <w:name w:val="page number"/>
    <w:basedOn w:val="DefaultParagraphFont"/>
    <w:rsid w:val="00D2165D"/>
    <w:rPr>
      <w:rFonts w:asciiTheme="minorHAnsi" w:hAnsiTheme="minorHAnsi"/>
    </w:rPr>
  </w:style>
  <w:style w:type="paragraph" w:customStyle="1" w:styleId="Recref">
    <w:name w:val="Rec_ref"/>
    <w:basedOn w:val="Rectitle"/>
    <w:next w:val="Normal"/>
    <w:rsid w:val="00D2165D"/>
    <w:pPr>
      <w:tabs>
        <w:tab w:val="clear" w:pos="794"/>
        <w:tab w:val="clear" w:pos="1191"/>
        <w:tab w:val="clear" w:pos="1588"/>
        <w:tab w:val="clear" w:pos="1985"/>
      </w:tabs>
      <w:spacing w:before="120"/>
    </w:pPr>
    <w:rPr>
      <w:b w:val="0"/>
      <w:i/>
      <w:sz w:val="24"/>
      <w:lang w:val="fr-FR"/>
    </w:rPr>
  </w:style>
  <w:style w:type="paragraph" w:customStyle="1" w:styleId="Questionref">
    <w:name w:val="Question_ref"/>
    <w:basedOn w:val="Normal"/>
    <w:next w:val="Questiondate"/>
    <w:rsid w:val="00D2165D"/>
    <w:rPr>
      <w:lang w:val="fr-FR"/>
    </w:rPr>
  </w:style>
  <w:style w:type="character" w:customStyle="1" w:styleId="Recdef">
    <w:name w:val="Rec_def"/>
    <w:basedOn w:val="DefaultParagraphFont"/>
    <w:rsid w:val="00D2165D"/>
    <w:rPr>
      <w:rFonts w:asciiTheme="minorHAnsi" w:hAnsiTheme="minorHAnsi"/>
      <w:b/>
    </w:rPr>
  </w:style>
  <w:style w:type="paragraph" w:customStyle="1" w:styleId="Reftext">
    <w:name w:val="Ref_text"/>
    <w:basedOn w:val="Normal"/>
    <w:rsid w:val="00D2165D"/>
    <w:pPr>
      <w:ind w:left="794" w:hanging="794"/>
    </w:pPr>
    <w:rPr>
      <w:lang w:val="fr-FR"/>
    </w:rPr>
  </w:style>
  <w:style w:type="paragraph" w:customStyle="1" w:styleId="Reftitle">
    <w:name w:val="Ref_title"/>
    <w:basedOn w:val="Normal"/>
    <w:next w:val="Reftext"/>
    <w:rsid w:val="00D2165D"/>
    <w:pPr>
      <w:spacing w:before="480"/>
      <w:jc w:val="center"/>
    </w:pPr>
    <w:rPr>
      <w:caps/>
      <w:lang w:val="fr-FR"/>
    </w:rPr>
  </w:style>
  <w:style w:type="paragraph" w:customStyle="1" w:styleId="Repdate">
    <w:name w:val="Rep_date"/>
    <w:basedOn w:val="Recdate"/>
    <w:next w:val="Normalaftertitle"/>
    <w:rsid w:val="00D2165D"/>
    <w:pPr>
      <w:tabs>
        <w:tab w:val="clear" w:pos="794"/>
        <w:tab w:val="clear" w:pos="1191"/>
        <w:tab w:val="clear" w:pos="1588"/>
        <w:tab w:val="clear" w:pos="1985"/>
      </w:tabs>
    </w:pPr>
    <w:rPr>
      <w:i/>
      <w:lang w:val="fr-FR"/>
    </w:rPr>
  </w:style>
  <w:style w:type="paragraph" w:customStyle="1" w:styleId="RepNo">
    <w:name w:val="Rep_No"/>
    <w:basedOn w:val="RecNo"/>
    <w:next w:val="Normal"/>
    <w:rsid w:val="00D2165D"/>
    <w:rPr>
      <w:lang w:val="fr-FR"/>
    </w:rPr>
  </w:style>
  <w:style w:type="paragraph" w:customStyle="1" w:styleId="Repref">
    <w:name w:val="Rep_ref"/>
    <w:basedOn w:val="Recref"/>
    <w:next w:val="Repdate"/>
    <w:rsid w:val="00D2165D"/>
  </w:style>
  <w:style w:type="paragraph" w:customStyle="1" w:styleId="Reptitle">
    <w:name w:val="Rep_title"/>
    <w:basedOn w:val="Rectitle"/>
    <w:next w:val="Repref"/>
    <w:rsid w:val="00D2165D"/>
    <w:rPr>
      <w:lang w:val="fr-FR"/>
    </w:rPr>
  </w:style>
  <w:style w:type="paragraph" w:customStyle="1" w:styleId="Resdate">
    <w:name w:val="Res_date"/>
    <w:basedOn w:val="Recdate"/>
    <w:next w:val="Normalaftertitle"/>
    <w:rsid w:val="00D2165D"/>
    <w:pPr>
      <w:tabs>
        <w:tab w:val="clear" w:pos="794"/>
        <w:tab w:val="clear" w:pos="1191"/>
        <w:tab w:val="clear" w:pos="1588"/>
        <w:tab w:val="clear" w:pos="1985"/>
      </w:tabs>
    </w:pPr>
    <w:rPr>
      <w:i/>
      <w:lang w:val="fr-FR"/>
    </w:rPr>
  </w:style>
  <w:style w:type="character" w:customStyle="1" w:styleId="Resdef">
    <w:name w:val="Res_def"/>
    <w:basedOn w:val="DefaultParagraphFont"/>
    <w:rsid w:val="00D2165D"/>
    <w:rPr>
      <w:rFonts w:asciiTheme="minorHAnsi" w:hAnsiTheme="minorHAnsi"/>
      <w:b/>
    </w:rPr>
  </w:style>
  <w:style w:type="paragraph" w:customStyle="1" w:styleId="Resref">
    <w:name w:val="Res_ref"/>
    <w:basedOn w:val="Recref"/>
    <w:next w:val="Resdate"/>
    <w:rsid w:val="00D2165D"/>
  </w:style>
  <w:style w:type="paragraph" w:customStyle="1" w:styleId="toc0">
    <w:name w:val="toc 0"/>
    <w:basedOn w:val="Normal"/>
    <w:next w:val="TOC1"/>
    <w:rsid w:val="00D2165D"/>
    <w:pPr>
      <w:tabs>
        <w:tab w:val="clear" w:pos="794"/>
        <w:tab w:val="clear" w:pos="1191"/>
        <w:tab w:val="clear" w:pos="1588"/>
        <w:tab w:val="clear" w:pos="1985"/>
        <w:tab w:val="right" w:pos="9781"/>
      </w:tabs>
    </w:pPr>
    <w:rPr>
      <w:b/>
      <w:lang w:val="fr-FR"/>
    </w:rPr>
  </w:style>
  <w:style w:type="paragraph" w:customStyle="1" w:styleId="CEONormal">
    <w:name w:val="CEO_Normal"/>
    <w:link w:val="CEONormalChar"/>
    <w:qFormat/>
    <w:rsid w:val="00D2165D"/>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D2165D"/>
    <w:rPr>
      <w:rFonts w:ascii="Verdana" w:eastAsia="SimSun" w:hAnsi="Verdana"/>
      <w:sz w:val="19"/>
      <w:szCs w:val="19"/>
      <w:lang w:val="en-GB" w:eastAsia="en-US"/>
    </w:rPr>
  </w:style>
  <w:style w:type="paragraph" w:customStyle="1" w:styleId="CEOcontribution-H123">
    <w:name w:val="CEO_contribution-H123"/>
    <w:basedOn w:val="Normal"/>
    <w:next w:val="CEONormal"/>
    <w:link w:val="CEOcontribution-H123CharChar"/>
    <w:rsid w:val="00D2165D"/>
    <w:pPr>
      <w:keepNext/>
      <w:keepLines/>
      <w:numPr>
        <w:numId w:val="9"/>
      </w:numPr>
      <w:tabs>
        <w:tab w:val="clear" w:pos="794"/>
        <w:tab w:val="clear" w:pos="1191"/>
        <w:tab w:val="clear" w:pos="1588"/>
        <w:tab w:val="clear" w:pos="1985"/>
      </w:tabs>
      <w:overflowPunct/>
      <w:autoSpaceDE/>
      <w:autoSpaceDN/>
      <w:adjustRightInd/>
      <w:spacing w:before="480" w:after="120"/>
      <w:textAlignment w:val="auto"/>
    </w:pPr>
    <w:rPr>
      <w:rFonts w:ascii="Verdana" w:eastAsia="SimHei" w:hAnsi="Verdana" w:cs="Simplified Arabic"/>
      <w:b/>
      <w:sz w:val="19"/>
      <w:szCs w:val="19"/>
    </w:rPr>
  </w:style>
  <w:style w:type="character" w:customStyle="1" w:styleId="CEOcontribution-H123CharChar">
    <w:name w:val="CEO_contribution-H123 Char Char"/>
    <w:link w:val="CEOcontribution-H123"/>
    <w:locked/>
    <w:rsid w:val="00D2165D"/>
    <w:rPr>
      <w:rFonts w:ascii="Verdana" w:eastAsia="SimHei" w:hAnsi="Verdana" w:cs="Simplified Arabic"/>
      <w:b/>
      <w:sz w:val="19"/>
      <w:szCs w:val="19"/>
      <w:lang w:val="en-GB" w:eastAsia="en-US"/>
    </w:rPr>
  </w:style>
  <w:style w:type="paragraph" w:styleId="TOCHeading">
    <w:name w:val="TOC Heading"/>
    <w:basedOn w:val="Heading1"/>
    <w:next w:val="Normal"/>
    <w:uiPriority w:val="39"/>
    <w:unhideWhenUsed/>
    <w:qFormat/>
    <w:rsid w:val="00D2165D"/>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BDTNormal">
    <w:name w:val="BDT_Normal"/>
    <w:link w:val="BDTNormalChar"/>
    <w:uiPriority w:val="99"/>
    <w:rsid w:val="00D2165D"/>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uiPriority w:val="99"/>
    <w:locked/>
    <w:rsid w:val="00D2165D"/>
    <w:rPr>
      <w:rFonts w:ascii="Calibri" w:eastAsia="SimSun" w:hAnsi="Calibri" w:cs="Traditional Arabic"/>
      <w:sz w:val="22"/>
      <w:szCs w:val="30"/>
      <w:lang w:val="es-ES" w:eastAsia="en-US"/>
    </w:rPr>
  </w:style>
  <w:style w:type="paragraph" w:customStyle="1" w:styleId="Default">
    <w:name w:val="Default"/>
    <w:rsid w:val="00D2165D"/>
    <w:pPr>
      <w:autoSpaceDE w:val="0"/>
      <w:autoSpaceDN w:val="0"/>
      <w:adjustRightInd w:val="0"/>
    </w:pPr>
    <w:rPr>
      <w:rFonts w:ascii="Calibri" w:eastAsiaTheme="minorEastAsia" w:hAnsi="Calibri" w:cs="Calibri"/>
      <w:color w:val="000000"/>
      <w:sz w:val="24"/>
      <w:szCs w:val="24"/>
    </w:rPr>
  </w:style>
  <w:style w:type="paragraph" w:styleId="PlainText">
    <w:name w:val="Plain Text"/>
    <w:basedOn w:val="Normal"/>
    <w:link w:val="PlainTextChar"/>
    <w:uiPriority w:val="99"/>
    <w:unhideWhenUsed/>
    <w:rsid w:val="00D2165D"/>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D2165D"/>
    <w:rPr>
      <w:rFonts w:ascii="Calibri" w:eastAsia="SimSun" w:hAnsi="Calibri" w:cs="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itu.int/ITU-D/tdag/" TargetMode="External"/><Relationship Id="rId26" Type="http://schemas.openxmlformats.org/officeDocument/2006/relationships/image" Target="media/image6.png"/><Relationship Id="rId39" Type="http://schemas.openxmlformats.org/officeDocument/2006/relationships/hyperlink" Target="https://www.itu.int/en/ITU-D/Projects/Pages/Portfolio.aspx"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image" Target="media/image10.png"/><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4-TDAG22-C-0076/en" TargetMode="External"/><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hyperlink" Target="https://www.itu.int/md/D14-TDAG22-C-0016/fr"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4-TDAG21-C-0043/en" TargetMode="External"/><Relationship Id="rId20" Type="http://schemas.openxmlformats.org/officeDocument/2006/relationships/hyperlink" Target="https://www.itu.int/md/D14-TDAG19-C-0026/en" TargetMode="External"/><Relationship Id="rId29" Type="http://schemas.openxmlformats.org/officeDocument/2006/relationships/image" Target="media/image7.png"/><Relationship Id="rId41" Type="http://schemas.openxmlformats.org/officeDocument/2006/relationships/hyperlink" Target="https://www.itu.int/md/D14-TDAG22-C-002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4-TDAG20-C-0032/en" TargetMode="External"/><Relationship Id="rId32" Type="http://schemas.openxmlformats.org/officeDocument/2006/relationships/hyperlink" Target="https://www.itu.int/md/D14-TDAG22-C-0073/en" TargetMode="External"/><Relationship Id="rId37" Type="http://schemas.openxmlformats.org/officeDocument/2006/relationships/hyperlink" Target="https://www.itu.int/md/D14-TDAG22-C-0069/fr" TargetMode="External"/><Relationship Id="rId40" Type="http://schemas.openxmlformats.org/officeDocument/2006/relationships/hyperlink" Target="https://www.itu.int/en/ITU-D/Projects/Pages/figures.aspx"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D14-TDAG20-C-0032/en" TargetMode="External"/><Relationship Id="rId23" Type="http://schemas.openxmlformats.org/officeDocument/2006/relationships/chart" Target="charts/chart1.xml"/><Relationship Id="rId28" Type="http://schemas.openxmlformats.org/officeDocument/2006/relationships/hyperlink" Target="https://www.itu.int/md/D14-TDAG21-C-0043/en" TargetMode="External"/><Relationship Id="rId36" Type="http://schemas.openxmlformats.org/officeDocument/2006/relationships/hyperlink" Target="https://www.itu.int/md/D14-TDAG22-C-0016/fr" TargetMode="External"/><Relationship Id="rId10" Type="http://schemas.openxmlformats.org/officeDocument/2006/relationships/footnotes" Target="footnotes.xml"/><Relationship Id="rId19" Type="http://schemas.openxmlformats.org/officeDocument/2006/relationships/hyperlink" Target="http://www.itu.int/ITU-D/tdag/" TargetMode="External"/><Relationship Id="rId31" Type="http://schemas.openxmlformats.org/officeDocument/2006/relationships/chart" Target="charts/chart3.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19-C-0026/en" TargetMode="External"/><Relationship Id="rId22" Type="http://schemas.openxmlformats.org/officeDocument/2006/relationships/image" Target="media/image4.png"/><Relationship Id="rId27" Type="http://schemas.openxmlformats.org/officeDocument/2006/relationships/chart" Target="charts/chart2.xml"/><Relationship Id="rId30" Type="http://schemas.openxmlformats.org/officeDocument/2006/relationships/image" Target="media/image8.png"/><Relationship Id="rId35" Type="http://schemas.openxmlformats.org/officeDocument/2006/relationships/chart" Target="charts/chart4.xm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Users\Cabral\Documents\Dropbox\_work\itu\meetings\3%20statutory%20meetings\tdag\2017\20170511%20dt9\20170526%20include%202017%20tdag\documents_v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265160973367166E-2"/>
          <c:y val="2.0507799219398226E-3"/>
          <c:w val="0.41242138378953347"/>
          <c:h val="0.7777419661920498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0E521E84-D2FA-47DC-B8F8-80A1E69D0C9D}"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{0E521E84-D2FA-47DC-B8F8-80A1E69D0C9D}</c15:txfldGUID>
                      <c15:f>'[documents_v8.xlsx]2014'!$C$2</c15:f>
                      <c15:dlblFieldTableCache>
                        <c:ptCount val="1"/>
                        <c:pt idx="0">
                          <c:v>63%</c:v>
                        </c:pt>
                      </c15:dlblFieldTableCache>
                    </c15:dlblFTEntry>
                  </c15:dlblFieldTable>
                  <c15:showDataLabelsRange val="0"/>
                </c:ext>
              </c:extLst>
            </c:dLbl>
            <c:dLbl>
              <c:idx val="1"/>
              <c:layout/>
              <c:tx>
                <c:rich>
                  <a:bodyPr/>
                  <a:lstStyle/>
                  <a:p>
                    <a:fld id="{4FD67DB6-8532-4FDA-AB76-1AE3FC33B329}"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{4FD67DB6-8532-4FDA-AB76-1AE3FC33B329}</c15:txfldGUID>
                      <c15:f>'[documents_v8.xlsx]2014'!$C$3</c15:f>
                      <c15:dlblFieldTableCache>
                        <c:ptCount val="1"/>
                        <c:pt idx="0">
                          <c:v>22%</c:v>
                        </c:pt>
                      </c15:dlblFieldTableCache>
                    </c15:dlblFTEntry>
                  </c15:dlblFieldTable>
                  <c15:showDataLabelsRange val="0"/>
                </c:ext>
              </c:extLst>
            </c:dLbl>
            <c:dLbl>
              <c:idx val="2"/>
              <c:layout/>
              <c:tx>
                <c:rich>
                  <a:bodyPr/>
                  <a:lstStyle/>
                  <a:p>
                    <a:fld id="{B26B53C3-F4EF-4276-A66D-F26A237F461A}"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{B26B53C3-F4EF-4276-A66D-F26A237F461A}</c15:txfldGUID>
                      <c15:f>'[documents_v8.xlsx]2014'!$C$4</c15:f>
                      <c15:dlblFieldTableCache>
                        <c:ptCount val="1"/>
                        <c:pt idx="0">
                          <c:v>10%</c:v>
                        </c:pt>
                      </c15:dlblFieldTableCache>
                    </c15:dlblFTEntry>
                  </c15:dlblFieldTable>
                  <c15:showDataLabelsRange val="0"/>
                </c:ext>
              </c:extLst>
            </c:dLbl>
            <c:dLbl>
              <c:idx val="3"/>
              <c:layout/>
              <c:tx>
                <c:rich>
                  <a:bodyPr/>
                  <a:lstStyle/>
                  <a:p>
                    <a:fld id="{5C59DB73-999B-4B2D-9E8C-02A4FC268269}"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{5C59DB73-999B-4B2D-9E8C-02A4FC268269}</c15:txfldGUID>
                      <c15:f>'[documents_v8.xlsx]2014'!$C$5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'2014'!$A$2:$A$5</c:f>
              <c:strCache>
                <c:ptCount val="4"/>
                <c:pt idx="0">
                  <c:v>Contributions</c:v>
                </c:pt>
                <c:pt idx="1">
                  <c:v>Information documents</c:v>
                </c:pt>
                <c:pt idx="2">
                  <c:v>Temporary documents</c:v>
                </c:pt>
                <c:pt idx="3">
                  <c:v>Administrative documents</c:v>
                </c:pt>
              </c:strCache>
            </c:strRef>
          </c:cat>
          <c:val>
            <c:numRef>
              <c:f>'2014'!$B$2:$B$5</c:f>
              <c:numCache>
                <c:formatCode>General</c:formatCode>
                <c:ptCount val="4"/>
                <c:pt idx="0">
                  <c:v>31</c:v>
                </c:pt>
                <c:pt idx="1">
                  <c:v>11</c:v>
                </c:pt>
                <c:pt idx="2">
                  <c:v>5</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7918276099860718"/>
          <c:y val="0.25064664844355594"/>
          <c:w val="0.2575087100946955"/>
          <c:h val="0.291452817102525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65659019204252E-2"/>
          <c:y val="6.5404526622564192E-4"/>
          <c:w val="0.45346993469857466"/>
          <c:h val="0.8797575612277770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218BB769-1308-4C08-8622-BF22E99DD10E}"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{218BB769-1308-4C08-8622-BF22E99DD10E}</c15:txfldGUID>
                      <c15:f>'[documents_v8.xlsx]2015'!$C$2</c15:f>
                      <c15:dlblFieldTableCache>
                        <c:ptCount val="1"/>
                        <c:pt idx="0">
                          <c:v>72%</c:v>
                        </c:pt>
                      </c15:dlblFieldTableCache>
                    </c15:dlblFTEntry>
                  </c15:dlblFieldTable>
                  <c15:showDataLabelsRange val="0"/>
                </c:ext>
              </c:extLst>
            </c:dLbl>
            <c:dLbl>
              <c:idx val="1"/>
              <c:layout/>
              <c:tx>
                <c:rich>
                  <a:bodyPr/>
                  <a:lstStyle/>
                  <a:p>
                    <a:fld id="{07064097-33DB-48DF-B23D-ED4F0FA07715}"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{07064097-33DB-48DF-B23D-ED4F0FA07715}</c15:txfldGUID>
                      <c15:f>'[documents_v8.xlsx]2015'!$C$3</c15:f>
                      <c15:dlblFieldTableCache>
                        <c:ptCount val="1"/>
                        <c:pt idx="0">
                          <c:v>19%</c:v>
                        </c:pt>
                      </c15:dlblFieldTableCache>
                    </c15:dlblFTEntry>
                  </c15:dlblFieldTable>
                  <c15:showDataLabelsRange val="0"/>
                </c:ext>
              </c:extLst>
            </c:dLbl>
            <c:dLbl>
              <c:idx val="2"/>
              <c:layout/>
              <c:tx>
                <c:rich>
                  <a:bodyPr/>
                  <a:lstStyle/>
                  <a:p>
                    <a:fld id="{8A7C307A-010B-42A3-AE22-48A2667BE49D}"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{8A7C307A-010B-42A3-AE22-48A2667BE49D}</c15:txfldGUID>
                      <c15:f>'[documents_v8.xlsx]2015'!$C$4</c15:f>
                      <c15:dlblFieldTableCache>
                        <c:ptCount val="1"/>
                        <c:pt idx="0">
                          <c:v>4%</c:v>
                        </c:pt>
                      </c15:dlblFieldTableCache>
                    </c15:dlblFTEntry>
                  </c15:dlblFieldTable>
                  <c15:showDataLabelsRange val="0"/>
                </c:ext>
              </c:extLst>
            </c:dLbl>
            <c:dLbl>
              <c:idx val="3"/>
              <c:layout/>
              <c:tx>
                <c:rich>
                  <a:bodyPr/>
                  <a:lstStyle/>
                  <a:p>
                    <a:fld id="{68448D5C-4A16-4D3E-8273-C300CE7D9E1D}"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{68448D5C-4A16-4D3E-8273-C300CE7D9E1D}</c15:txfldGUID>
                      <c15:f>'[documents_v8.xlsx]2015'!$C$5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'2015'!$A$2:$A$5</c:f>
              <c:strCache>
                <c:ptCount val="4"/>
                <c:pt idx="0">
                  <c:v>Contributions</c:v>
                </c:pt>
                <c:pt idx="1">
                  <c:v>Information documents</c:v>
                </c:pt>
                <c:pt idx="2">
                  <c:v>Temporary documents</c:v>
                </c:pt>
                <c:pt idx="3">
                  <c:v>Administrative documents</c:v>
                </c:pt>
              </c:strCache>
            </c:strRef>
          </c:cat>
          <c:val>
            <c:numRef>
              <c:f>'2015'!$B$2:$B$5</c:f>
              <c:numCache>
                <c:formatCode>General</c:formatCode>
                <c:ptCount val="4"/>
                <c:pt idx="0">
                  <c:v>34</c:v>
                </c:pt>
                <c:pt idx="1">
                  <c:v>9</c:v>
                </c:pt>
                <c:pt idx="2">
                  <c:v>2</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462744204546767"/>
          <c:y val="0.25856214928414634"/>
          <c:w val="0.27578942896973579"/>
          <c:h val="0.32112498782561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007355286721407E-2"/>
          <c:y val="1.4954965161728884E-4"/>
          <c:w val="0.46661450288791478"/>
          <c:h val="0.9087233520270398"/>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10E6E78A-E4A3-4091-9CB3-E41DAFC5A29C}"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{10E6E78A-E4A3-4091-9CB3-E41DAFC5A29C}</c15:txfldGUID>
                      <c15:f>'[documents_v8.xlsx]2016'!$C$2</c15:f>
                      <c15:dlblFieldTableCache>
                        <c:ptCount val="1"/>
                        <c:pt idx="0">
                          <c:v>79%</c:v>
                        </c:pt>
                      </c15:dlblFieldTableCache>
                    </c15:dlblFTEntry>
                  </c15:dlblFieldTable>
                  <c15:showDataLabelsRange val="0"/>
                </c:ext>
              </c:extLst>
            </c:dLbl>
            <c:dLbl>
              <c:idx val="1"/>
              <c:layout/>
              <c:tx>
                <c:rich>
                  <a:bodyPr/>
                  <a:lstStyle/>
                  <a:p>
                    <a:fld id="{1B1C8C77-E2B3-4614-8253-157E2ECEFD01}"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{1B1C8C77-E2B3-4614-8253-157E2ECEFD01}</c15:txfldGUID>
                      <c15:f>'[documents_v8.xlsx]2016'!$C$3</c15:f>
                      <c15:dlblFieldTableCache>
                        <c:ptCount val="1"/>
                        <c:pt idx="0">
                          <c:v>12%</c:v>
                        </c:pt>
                      </c15:dlblFieldTableCache>
                    </c15:dlblFTEntry>
                  </c15:dlblFieldTable>
                  <c15:showDataLabelsRange val="0"/>
                </c:ext>
              </c:extLst>
            </c:dLbl>
            <c:dLbl>
              <c:idx val="2"/>
              <c:layout/>
              <c:tx>
                <c:rich>
                  <a:bodyPr/>
                  <a:lstStyle/>
                  <a:p>
                    <a:fld id="{781FFA65-E8BB-41E9-A50A-D3A83DA44CB3}"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{781FFA65-E8BB-41E9-A50A-D3A83DA44CB3}</c15:txfldGUID>
                      <c15:f>'[documents_v8.xlsx]2016'!$C$4</c15:f>
                      <c15:dlblFieldTableCache>
                        <c:ptCount val="1"/>
                        <c:pt idx="0">
                          <c:v>5%</c:v>
                        </c:pt>
                      </c15:dlblFieldTableCache>
                    </c15:dlblFTEntry>
                  </c15:dlblFieldTable>
                  <c15:showDataLabelsRange val="0"/>
                </c:ext>
              </c:extLst>
            </c:dLbl>
            <c:dLbl>
              <c:idx val="3"/>
              <c:layout/>
              <c:tx>
                <c:rich>
                  <a:bodyPr/>
                  <a:lstStyle/>
                  <a:p>
                    <a:fld id="{79722D31-55A4-4C9B-940D-6032D4727E39}"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{79722D31-55A4-4C9B-940D-6032D4727E39}</c15:txfldGUID>
                      <c15:f>'[documents_v8.xlsx]2016'!$C$5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'2016'!$A$2:$A$5</c:f>
              <c:strCache>
                <c:ptCount val="4"/>
                <c:pt idx="0">
                  <c:v>Contributions</c:v>
                </c:pt>
                <c:pt idx="1">
                  <c:v>Information documents</c:v>
                </c:pt>
                <c:pt idx="2">
                  <c:v>Temporary documents</c:v>
                </c:pt>
                <c:pt idx="3">
                  <c:v>Administrative documents</c:v>
                </c:pt>
              </c:strCache>
            </c:strRef>
          </c:cat>
          <c:val>
            <c:numRef>
              <c:f>'2016'!$B$2:$B$5</c:f>
              <c:numCache>
                <c:formatCode>General</c:formatCode>
                <c:ptCount val="4"/>
                <c:pt idx="0">
                  <c:v>45</c:v>
                </c:pt>
                <c:pt idx="1">
                  <c:v>7</c:v>
                </c:pt>
                <c:pt idx="2">
                  <c:v>3</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786866362798116"/>
          <c:y val="0.20383579750372927"/>
          <c:w val="0.2769780301289454"/>
          <c:h val="0.32374327309805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EB41ECFD-DD05-49C2-B258-BD5E1E81DC5F}"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{EB41ECFD-DD05-49C2-B258-BD5E1E81DC5F}</c15:txfldGUID>
                      <c15:f>'[documents_v8.xlsx]2017'!$C$2</c15:f>
                      <c15:dlblFieldTableCache>
                        <c:ptCount val="1"/>
                        <c:pt idx="0">
                          <c:v>74%</c:v>
                        </c:pt>
                      </c15:dlblFieldTableCache>
                    </c15:dlblFTEntry>
                  </c15:dlblFieldTable>
                  <c15:showDataLabelsRange val="0"/>
                </c:ext>
              </c:extLst>
            </c:dLbl>
            <c:dLbl>
              <c:idx val="1"/>
              <c:layout/>
              <c:tx>
                <c:rich>
                  <a:bodyPr/>
                  <a:lstStyle/>
                  <a:p>
                    <a:fld id="{A9200244-9EC0-4F0E-A974-D4982E4C944C}"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{A9200244-9EC0-4F0E-A974-D4982E4C944C}</c15:txfldGUID>
                      <c15:f>'[documents_v8.xlsx]2017'!$C$3</c15:f>
                      <c15:dlblFieldTableCache>
                        <c:ptCount val="1"/>
                        <c:pt idx="0">
                          <c:v>11%</c:v>
                        </c:pt>
                      </c15:dlblFieldTableCache>
                    </c15:dlblFTEntry>
                  </c15:dlblFieldTable>
                  <c15:showDataLabelsRange val="0"/>
                </c:ext>
              </c:extLst>
            </c:dLbl>
            <c:dLbl>
              <c:idx val="2"/>
              <c:layout/>
              <c:tx>
                <c:rich>
                  <a:bodyPr/>
                  <a:lstStyle/>
                  <a:p>
                    <a:fld id="{3FDF0D43-D558-4260-8EBA-965F35023073}"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{3FDF0D43-D558-4260-8EBA-965F35023073}</c15:txfldGUID>
                      <c15:f>'[documents_v8.xlsx]2017'!$C$4</c15:f>
                      <c15:dlblFieldTableCache>
                        <c:ptCount val="1"/>
                        <c:pt idx="0">
                          <c:v>15%</c:v>
                        </c:pt>
                      </c15:dlblFieldTableCache>
                    </c15:dlblFTEntry>
                  </c15:dlblFieldTable>
                  <c15:showDataLabelsRange val="0"/>
                </c:ext>
              </c:extLst>
            </c:dLbl>
            <c:dLbl>
              <c:idx val="3"/>
              <c:layout/>
              <c:tx>
                <c:rich>
                  <a:bodyPr/>
                  <a:lstStyle/>
                  <a:p>
                    <a:fld id="{0FCC3FBB-9736-4DC8-8654-90CB121595AB}"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{0FCC3FBB-9736-4DC8-8654-90CB121595AB}</c15:txfldGUID>
                      <c15:f>'[documents_v8.xlsx]2017'!$C$5</c15:f>
                      <c15:dlblFieldTableCache>
                        <c:ptCount val="1"/>
                        <c:pt idx="0">
                          <c:v>1%</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'2017'!$A$2:$A$5</c:f>
              <c:strCache>
                <c:ptCount val="4"/>
                <c:pt idx="0">
                  <c:v>Contributions</c:v>
                </c:pt>
                <c:pt idx="1">
                  <c:v>Information documents</c:v>
                </c:pt>
                <c:pt idx="2">
                  <c:v>Temporary documents</c:v>
                </c:pt>
                <c:pt idx="3">
                  <c:v>Administrative documents</c:v>
                </c:pt>
              </c:strCache>
            </c:strRef>
          </c:cat>
          <c:val>
            <c:numRef>
              <c:f>'2017'!$B$2:$B$5</c:f>
              <c:numCache>
                <c:formatCode>General</c:formatCode>
                <c:ptCount val="4"/>
                <c:pt idx="0">
                  <c:v>75</c:v>
                </c:pt>
                <c:pt idx="1">
                  <c:v>11</c:v>
                </c:pt>
                <c:pt idx="2">
                  <c:v>15</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32a1a8c5-2265-4ebc-b7a0-2071e2c5c9bb"/>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996b2e75-67fd-4955-a3b0-5ab9934cb50b"/>
    <ds:schemaRef ds:uri="http://purl.org/dc/dcmityp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DE681C-017E-493D-A127-DA569544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30</Pages>
  <Words>10584</Words>
  <Characters>60332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70775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
  <cp:lastModifiedBy>BDT - nd</cp:lastModifiedBy>
  <cp:revision>25</cp:revision>
  <cp:lastPrinted>2017-03-09T15:07:00Z</cp:lastPrinted>
  <dcterms:created xsi:type="dcterms:W3CDTF">2017-07-14T11:33:00Z</dcterms:created>
  <dcterms:modified xsi:type="dcterms:W3CDTF">2017-08-22T07:40:00Z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