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75A5ADC4" wp14:editId="70081E54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883A2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883A28">
              <w:rPr>
                <w:b/>
                <w:bCs/>
                <w:szCs w:val="24"/>
                <w:lang w:val="es-ES_tradnl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76724C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9</w:t>
            </w:r>
            <w:r w:rsidR="00883A28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883A28">
              <w:rPr>
                <w:b/>
                <w:bCs/>
                <w:szCs w:val="24"/>
                <w:lang w:val="fr-FR"/>
              </w:rPr>
              <w:t>June</w:t>
            </w:r>
            <w:proofErr w:type="spellEnd"/>
            <w:r w:rsidR="00883A28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34608E" w:rsidRDefault="00EA38B1" w:rsidP="003C0D01">
            <w:pPr>
              <w:pStyle w:val="Source"/>
              <w:spacing w:before="240" w:after="240"/>
              <w:rPr>
                <w:szCs w:val="28"/>
              </w:rPr>
            </w:pPr>
            <w:r w:rsidRPr="0034608E">
              <w:rPr>
                <w:szCs w:val="28"/>
              </w:rPr>
              <w:t>Secretary-General</w:t>
            </w:r>
          </w:p>
        </w:tc>
      </w:tr>
      <w:tr w:rsidR="00D83BF5" w:rsidRPr="003C0D01" w:rsidTr="00487272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34608E" w:rsidRDefault="00EA38B1" w:rsidP="0034608E">
            <w:pPr>
              <w:pStyle w:val="Title1"/>
              <w:spacing w:before="120" w:after="120"/>
              <w:rPr>
                <w:bCs/>
                <w:szCs w:val="28"/>
              </w:rPr>
            </w:pPr>
            <w:r w:rsidRPr="0034608E">
              <w:rPr>
                <w:rFonts w:cstheme="minorHAnsi"/>
                <w:bCs/>
                <w:szCs w:val="28"/>
              </w:rPr>
              <w:t xml:space="preserve">Draft Agenda of the </w:t>
            </w:r>
            <w:r w:rsidRPr="0034608E">
              <w:rPr>
                <w:bCs/>
                <w:szCs w:val="28"/>
              </w:rPr>
              <w:t xml:space="preserve">World Telecommunication </w:t>
            </w:r>
            <w:r w:rsidR="0034608E">
              <w:rPr>
                <w:bCs/>
                <w:szCs w:val="28"/>
              </w:rPr>
              <w:br/>
            </w:r>
            <w:r w:rsidRPr="0034608E">
              <w:rPr>
                <w:bCs/>
                <w:szCs w:val="28"/>
              </w:rPr>
              <w:t>Development Conference (WTDC</w:t>
            </w:r>
            <w:r w:rsidRPr="0034608E">
              <w:rPr>
                <w:bCs/>
                <w:szCs w:val="28"/>
              </w:rPr>
              <w:noBreakHyphen/>
              <w:t>17)</w:t>
            </w:r>
          </w:p>
        </w:tc>
      </w:tr>
      <w:tr w:rsidR="00487272" w:rsidRPr="003C0D01" w:rsidTr="00487272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272" w:rsidRPr="0034608E" w:rsidRDefault="00487272" w:rsidP="0034608E">
            <w:pPr>
              <w:pStyle w:val="Title1"/>
              <w:spacing w:before="120" w:after="120"/>
              <w:rPr>
                <w:rFonts w:cstheme="minorHAnsi"/>
                <w:bCs/>
                <w:szCs w:val="28"/>
              </w:rPr>
            </w:pPr>
          </w:p>
        </w:tc>
      </w:tr>
    </w:tbl>
    <w:bookmarkEnd w:id="7"/>
    <w:bookmarkEnd w:id="8"/>
    <w:p w:rsidR="00487272" w:rsidRPr="00AB48AF" w:rsidRDefault="00487272" w:rsidP="00487272">
      <w:r w:rsidRPr="00AB48AF">
        <w:t xml:space="preserve">The proposed agenda of the conference was the subject of a consultation of the Member States carried out under </w:t>
      </w:r>
      <w:hyperlink r:id="rId14" w:history="1">
        <w:r w:rsidRPr="00487272">
          <w:rPr>
            <w:rStyle w:val="Hyperlink"/>
          </w:rPr>
          <w:t>Circular Letter No. CL-23</w:t>
        </w:r>
      </w:hyperlink>
      <w:r w:rsidRPr="00AB48AF">
        <w:t xml:space="preserve"> </w:t>
      </w:r>
      <w:r w:rsidRPr="001548E5">
        <w:t xml:space="preserve">dated </w:t>
      </w:r>
      <w:r>
        <w:t>26 May 2016</w:t>
      </w:r>
      <w:r w:rsidRPr="00AB48AF">
        <w:t>. The required majority of the Member States approved the proposed draft agenda.</w:t>
      </w:r>
      <w:r>
        <w:t xml:space="preserve"> </w:t>
      </w:r>
    </w:p>
    <w:p w:rsidR="00487272" w:rsidRPr="00AB48AF" w:rsidRDefault="00487272" w:rsidP="0086178F">
      <w:r w:rsidRPr="00AB48AF">
        <w:t xml:space="preserve">The positive results of the consultation of the Member States were communicated to the membership </w:t>
      </w:r>
      <w:r w:rsidRPr="001548E5">
        <w:t xml:space="preserve">under </w:t>
      </w:r>
      <w:hyperlink r:id="rId15" w:history="1">
        <w:r w:rsidRPr="00487272">
          <w:rPr>
            <w:rStyle w:val="Hyperlink"/>
            <w:rFonts w:ascii="Calibri" w:hAnsi="Calibri" w:cs="Calibri"/>
            <w:szCs w:val="24"/>
          </w:rPr>
          <w:t>Circular</w:t>
        </w:r>
        <w:r w:rsidRPr="00487272">
          <w:rPr>
            <w:rStyle w:val="Hyperlink"/>
            <w:rFonts w:ascii="Calibri" w:hAnsi="Calibri" w:cs="Calibri"/>
            <w:szCs w:val="24"/>
          </w:rPr>
          <w:noBreakHyphen/>
          <w:t>Letter No. CL-29</w:t>
        </w:r>
      </w:hyperlink>
      <w:r w:rsidRPr="001548E5">
        <w:t xml:space="preserve"> dated </w:t>
      </w:r>
      <w:r>
        <w:t>30 June 2016</w:t>
      </w:r>
      <w:r w:rsidRPr="001548E5">
        <w:t xml:space="preserve"> </w:t>
      </w:r>
      <w:r>
        <w:t>and</w:t>
      </w:r>
      <w:r w:rsidRPr="00AB48AF">
        <w:t xml:space="preserve"> </w:t>
      </w:r>
      <w:r>
        <w:t xml:space="preserve">were </w:t>
      </w:r>
      <w:r w:rsidRPr="00AB48AF">
        <w:t xml:space="preserve">published in </w:t>
      </w:r>
      <w:hyperlink r:id="rId16" w:history="1">
        <w:r w:rsidRPr="0086178F">
          <w:rPr>
            <w:rStyle w:val="Hyperlink"/>
          </w:rPr>
          <w:t xml:space="preserve">Notification </w:t>
        </w:r>
        <w:r w:rsidR="0086178F" w:rsidRPr="0086178F">
          <w:rPr>
            <w:rStyle w:val="Hyperlink"/>
            <w:rFonts w:ascii="Calibri" w:hAnsi="Calibri" w:cs="Calibri"/>
            <w:szCs w:val="24"/>
          </w:rPr>
          <w:t>N°1583</w:t>
        </w:r>
      </w:hyperlink>
      <w:r w:rsidRPr="001548E5">
        <w:t xml:space="preserve"> of </w:t>
      </w:r>
      <w:r w:rsidR="0086178F">
        <w:t>June</w:t>
      </w:r>
      <w:r>
        <w:t xml:space="preserve"> 2016.</w:t>
      </w:r>
    </w:p>
    <w:p w:rsidR="00487272" w:rsidRPr="00AB48AF" w:rsidRDefault="00487272" w:rsidP="00487272">
      <w:r w:rsidRPr="00AB48AF">
        <w:t>The text of the agenda is found in annex.</w:t>
      </w:r>
    </w:p>
    <w:p w:rsidR="00487272" w:rsidRDefault="00487272" w:rsidP="00487272"/>
    <w:p w:rsidR="00487272" w:rsidRDefault="00487272" w:rsidP="00487272"/>
    <w:p w:rsidR="00487272" w:rsidRDefault="004872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="Calibri"/>
          <w:b/>
          <w:bCs/>
          <w:color w:val="000000"/>
          <w:szCs w:val="24"/>
          <w:lang w:eastAsia="zh-CN"/>
        </w:rPr>
      </w:pPr>
      <w:r>
        <w:rPr>
          <w:b/>
          <w:bCs/>
        </w:rPr>
        <w:br w:type="page"/>
      </w:r>
    </w:p>
    <w:p w:rsidR="00883A28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24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  <w:b/>
          <w:bCs/>
        </w:rPr>
        <w:lastRenderedPageBreak/>
        <w:t xml:space="preserve">I. </w:t>
      </w:r>
      <w:r w:rsidR="0034608E">
        <w:rPr>
          <w:rFonts w:asciiTheme="minorHAnsi" w:hAnsiTheme="minorHAnsi"/>
          <w:b/>
          <w:bCs/>
        </w:rPr>
        <w:tab/>
      </w:r>
      <w:r w:rsidRPr="0034608E">
        <w:rPr>
          <w:rFonts w:asciiTheme="minorHAnsi" w:hAnsiTheme="minorHAnsi"/>
          <w:b/>
          <w:bCs/>
        </w:rPr>
        <w:t xml:space="preserve">Report on the implementation of the Dubai Action Plan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1.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Sharing success stories and lessons learned from implementing the Dubai Action Plan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2.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Report of the Telecommunication Development Advisory Group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3.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Report of Study Groups </w:t>
      </w:r>
    </w:p>
    <w:p w:rsidR="00883A28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4.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>Report on the implementation of outcomes of other ITU Conferences, Assembli</w:t>
      </w:r>
      <w:r w:rsidR="008170FE" w:rsidRPr="0034608E">
        <w:rPr>
          <w:rFonts w:asciiTheme="minorHAnsi" w:hAnsiTheme="minorHAnsi"/>
        </w:rPr>
        <w:t xml:space="preserve">es and meetings related </w:t>
      </w:r>
      <w:r w:rsidRPr="0034608E">
        <w:rPr>
          <w:rFonts w:asciiTheme="minorHAnsi" w:hAnsiTheme="minorHAnsi"/>
        </w:rPr>
        <w:t xml:space="preserve">to ITU-D work: </w:t>
      </w:r>
    </w:p>
    <w:p w:rsidR="008170FE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a.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Plenipotentiary Conference (PP-14)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proofErr w:type="gramStart"/>
      <w:r w:rsidRPr="0034608E">
        <w:rPr>
          <w:rFonts w:asciiTheme="minorHAnsi" w:hAnsiTheme="minorHAnsi"/>
        </w:rPr>
        <w:t>b</w:t>
      </w:r>
      <w:proofErr w:type="gramEnd"/>
      <w:r w:rsidRPr="0034608E">
        <w:rPr>
          <w:rFonts w:asciiTheme="minorHAnsi" w:hAnsiTheme="minorHAnsi"/>
        </w:rPr>
        <w:t>.</w:t>
      </w:r>
      <w:r w:rsidR="0034608E">
        <w:rPr>
          <w:rFonts w:asciiTheme="minorHAnsi" w:hAnsiTheme="minorHAnsi"/>
        </w:rPr>
        <w:tab/>
      </w:r>
      <w:proofErr w:type="spellStart"/>
      <w:r w:rsidRPr="0034608E">
        <w:rPr>
          <w:rFonts w:asciiTheme="minorHAnsi" w:hAnsiTheme="minorHAnsi"/>
        </w:rPr>
        <w:t>Radiocommunication</w:t>
      </w:r>
      <w:proofErr w:type="spellEnd"/>
      <w:r w:rsidRPr="0034608E">
        <w:rPr>
          <w:rFonts w:asciiTheme="minorHAnsi" w:hAnsiTheme="minorHAnsi"/>
        </w:rPr>
        <w:t xml:space="preserve"> Assembly (RA-15)/World </w:t>
      </w:r>
      <w:proofErr w:type="spellStart"/>
      <w:r w:rsidRPr="0034608E">
        <w:rPr>
          <w:rFonts w:asciiTheme="minorHAnsi" w:hAnsiTheme="minorHAnsi"/>
        </w:rPr>
        <w:t>Radiocommunication</w:t>
      </w:r>
      <w:proofErr w:type="spellEnd"/>
      <w:r w:rsidRPr="0034608E">
        <w:rPr>
          <w:rFonts w:asciiTheme="minorHAnsi" w:hAnsiTheme="minorHAnsi"/>
        </w:rPr>
        <w:t xml:space="preserve"> Conference (WRC-15) </w:t>
      </w:r>
    </w:p>
    <w:p w:rsidR="008170FE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c.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World Telecommunication Standardization Assembly (WTSA-16) </w:t>
      </w:r>
    </w:p>
    <w:p w:rsidR="008170FE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 w:cs="Verdana"/>
        </w:rPr>
        <w:t xml:space="preserve">5.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 w:cs="Verdana"/>
        </w:rPr>
        <w:t xml:space="preserve">ITU-D contribution to World Summit on the Information Society action lines </w:t>
      </w:r>
    </w:p>
    <w:p w:rsidR="008170FE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  <w:b/>
          <w:bCs/>
        </w:rPr>
      </w:pPr>
      <w:r w:rsidRPr="0034608E">
        <w:rPr>
          <w:rFonts w:asciiTheme="minorHAnsi" w:hAnsiTheme="minorHAnsi"/>
          <w:b/>
          <w:bCs/>
        </w:rPr>
        <w:t xml:space="preserve">II. </w:t>
      </w:r>
      <w:r w:rsidR="0034608E">
        <w:rPr>
          <w:rFonts w:asciiTheme="minorHAnsi" w:hAnsiTheme="minorHAnsi"/>
          <w:b/>
          <w:bCs/>
        </w:rPr>
        <w:tab/>
      </w:r>
      <w:r w:rsidRPr="0034608E">
        <w:rPr>
          <w:rFonts w:asciiTheme="minorHAnsi" w:hAnsiTheme="minorHAnsi"/>
          <w:b/>
          <w:bCs/>
        </w:rPr>
        <w:t xml:space="preserve">ICT policies and strategies for achieving Sustainable Development Goals </w:t>
      </w:r>
    </w:p>
    <w:p w:rsidR="008170FE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rPr>
          <w:rFonts w:asciiTheme="minorHAnsi" w:hAnsiTheme="minorHAnsi"/>
        </w:rPr>
      </w:pPr>
      <w:r w:rsidRPr="0034608E">
        <w:rPr>
          <w:rFonts w:asciiTheme="minorHAnsi" w:hAnsiTheme="minorHAnsi" w:cs="Verdana"/>
        </w:rPr>
        <w:t xml:space="preserve">Ministerial and Industry leaders’ roundtables </w:t>
      </w:r>
    </w:p>
    <w:p w:rsidR="008170FE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  <w:b/>
          <w:bCs/>
        </w:rPr>
      </w:pPr>
      <w:r w:rsidRPr="0034608E">
        <w:rPr>
          <w:rFonts w:asciiTheme="minorHAnsi" w:hAnsiTheme="minorHAnsi"/>
          <w:b/>
          <w:bCs/>
        </w:rPr>
        <w:t xml:space="preserve">III. </w:t>
      </w:r>
      <w:r w:rsidR="0034608E">
        <w:rPr>
          <w:rFonts w:asciiTheme="minorHAnsi" w:hAnsiTheme="minorHAnsi"/>
          <w:b/>
          <w:bCs/>
        </w:rPr>
        <w:tab/>
      </w:r>
      <w:r w:rsidRPr="0034608E">
        <w:rPr>
          <w:rFonts w:asciiTheme="minorHAnsi" w:hAnsiTheme="minorHAnsi"/>
          <w:b/>
          <w:bCs/>
        </w:rPr>
        <w:t xml:space="preserve">ITU-D work plan for 2018-2021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 w:rsidRPr="0034608E">
        <w:rPr>
          <w:rFonts w:asciiTheme="minorHAnsi" w:hAnsiTheme="minorHAnsi" w:cs="Verdana"/>
        </w:rPr>
        <w:t xml:space="preserve">1.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/>
        </w:rPr>
        <w:t xml:space="preserve">Outcomes of </w:t>
      </w:r>
      <w:r w:rsidRPr="0034608E">
        <w:rPr>
          <w:rFonts w:asciiTheme="minorHAnsi" w:hAnsiTheme="minorHAnsi" w:cs="Verdana"/>
        </w:rPr>
        <w:t xml:space="preserve">Regional Preparatory Meetings for WTDC-17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 w:rsidRPr="0034608E">
        <w:rPr>
          <w:rFonts w:asciiTheme="minorHAnsi" w:hAnsiTheme="minorHAnsi" w:cs="Verdana"/>
        </w:rPr>
        <w:t xml:space="preserve">2.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/>
        </w:rPr>
        <w:t xml:space="preserve">ITU-D contribution to the ITU </w:t>
      </w:r>
      <w:r w:rsidRPr="0034608E">
        <w:rPr>
          <w:rFonts w:asciiTheme="minorHAnsi" w:hAnsiTheme="minorHAnsi" w:cs="Verdana"/>
        </w:rPr>
        <w:t xml:space="preserve">Strategic Plan for 2020-2023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 w:rsidRPr="0034608E">
        <w:rPr>
          <w:rFonts w:asciiTheme="minorHAnsi" w:hAnsiTheme="minorHAnsi" w:cs="Verdana"/>
        </w:rPr>
        <w:t xml:space="preserve">3.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 w:cs="Verdana"/>
        </w:rPr>
        <w:t xml:space="preserve">ITU-D Action Plan for 2018-2021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 w:rsidRPr="0034608E">
        <w:rPr>
          <w:rFonts w:asciiTheme="minorHAnsi" w:hAnsiTheme="minorHAnsi" w:cs="Verdana"/>
        </w:rPr>
        <w:t xml:space="preserve">4.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 w:cs="Verdana"/>
        </w:rPr>
        <w:t xml:space="preserve">WTDC-17 Declaration </w:t>
      </w:r>
    </w:p>
    <w:p w:rsidR="00883A28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 w:rsidRPr="0034608E">
        <w:rPr>
          <w:rFonts w:asciiTheme="minorHAnsi" w:hAnsiTheme="minorHAnsi" w:cs="Verdana"/>
        </w:rPr>
        <w:t xml:space="preserve">5.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 w:cs="Verdana"/>
        </w:rPr>
        <w:t xml:space="preserve">Telecommunication Development Advisory Group </w:t>
      </w:r>
    </w:p>
    <w:p w:rsidR="00883A28" w:rsidRPr="0034608E" w:rsidRDefault="0034608E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883A28" w:rsidRPr="0034608E">
        <w:rPr>
          <w:rFonts w:asciiTheme="minorHAnsi" w:hAnsiTheme="minorHAnsi"/>
        </w:rPr>
        <w:t xml:space="preserve">Authorization for the Telecommunication Development Advisory Group to act between world telecommunication development conferences (Resolution 24, Rev. Dubai, 2014) </w:t>
      </w:r>
    </w:p>
    <w:p w:rsidR="00883A28" w:rsidRPr="0034608E" w:rsidRDefault="0034608E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</w:r>
      <w:r w:rsidR="00883A28" w:rsidRPr="0034608E">
        <w:rPr>
          <w:rFonts w:asciiTheme="minorHAnsi" w:hAnsiTheme="minorHAnsi"/>
        </w:rPr>
        <w:t xml:space="preserve">Structure and working methods </w:t>
      </w:r>
    </w:p>
    <w:p w:rsidR="00883A28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 w:cs="Verdana"/>
        </w:rPr>
      </w:pPr>
      <w:r w:rsidRPr="0034608E">
        <w:rPr>
          <w:rFonts w:asciiTheme="minorHAnsi" w:hAnsiTheme="minorHAnsi" w:cs="Verdana"/>
        </w:rPr>
        <w:t xml:space="preserve">6. </w:t>
      </w:r>
      <w:r w:rsidR="0034608E">
        <w:rPr>
          <w:rFonts w:asciiTheme="minorHAnsi" w:hAnsiTheme="minorHAnsi" w:cs="Verdana"/>
        </w:rPr>
        <w:tab/>
      </w:r>
      <w:r w:rsidRPr="0034608E">
        <w:rPr>
          <w:rFonts w:asciiTheme="minorHAnsi" w:hAnsiTheme="minorHAnsi" w:cs="Verdana"/>
        </w:rPr>
        <w:t xml:space="preserve">Study Groups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a.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Study Questions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>b.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Structure and working methods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7.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Resolutions and recommendations </w:t>
      </w:r>
    </w:p>
    <w:p w:rsidR="00883A28" w:rsidRPr="0034608E" w:rsidRDefault="00883A28" w:rsidP="0034608E">
      <w:pPr>
        <w:pStyle w:val="Default"/>
        <w:keepNext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8.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Financing mechanisms for ICT development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  <w:rPr>
          <w:rFonts w:asciiTheme="minorHAnsi" w:hAnsiTheme="minorHAnsi"/>
        </w:rPr>
      </w:pPr>
      <w:r w:rsidRPr="0034608E">
        <w:rPr>
          <w:rFonts w:asciiTheme="minorHAnsi" w:hAnsiTheme="minorHAnsi"/>
        </w:rPr>
        <w:t xml:space="preserve">a. </w:t>
      </w:r>
      <w:r w:rsidR="0034608E">
        <w:rPr>
          <w:rFonts w:asciiTheme="minorHAnsi" w:hAnsiTheme="minorHAnsi"/>
        </w:rPr>
        <w:tab/>
      </w:r>
      <w:r w:rsidRPr="0034608E">
        <w:rPr>
          <w:rFonts w:asciiTheme="minorHAnsi" w:hAnsiTheme="minorHAnsi"/>
        </w:rPr>
        <w:t xml:space="preserve">Partnerships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1134" w:hanging="567"/>
      </w:pPr>
      <w:r w:rsidRPr="0034608E">
        <w:t xml:space="preserve">b. </w:t>
      </w:r>
      <w:r w:rsidR="0034608E">
        <w:tab/>
      </w:r>
      <w:r w:rsidRPr="0034608E">
        <w:t xml:space="preserve">Role of the private sector </w:t>
      </w:r>
    </w:p>
    <w:p w:rsidR="00883A28" w:rsidRPr="0034608E" w:rsidRDefault="00883A28" w:rsidP="0034608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before="120"/>
        <w:ind w:left="567" w:hanging="567"/>
      </w:pPr>
      <w:r w:rsidRPr="0034608E">
        <w:t xml:space="preserve">9. </w:t>
      </w:r>
      <w:r w:rsidR="0034608E">
        <w:tab/>
      </w:r>
      <w:r w:rsidRPr="0034608E">
        <w:t xml:space="preserve">Any other business </w:t>
      </w:r>
    </w:p>
    <w:p w:rsidR="00D83BF5" w:rsidRPr="0034608E" w:rsidRDefault="00D83BF5" w:rsidP="0034608E">
      <w:pPr>
        <w:overflowPunct/>
        <w:ind w:left="567" w:hanging="567"/>
        <w:jc w:val="center"/>
        <w:textAlignment w:val="auto"/>
        <w:rPr>
          <w:szCs w:val="24"/>
        </w:rPr>
      </w:pPr>
      <w:r w:rsidRPr="0034608E">
        <w:rPr>
          <w:szCs w:val="24"/>
        </w:rPr>
        <w:t>_______________</w:t>
      </w:r>
    </w:p>
    <w:sectPr w:rsidR="00D83BF5" w:rsidRPr="0034608E" w:rsidSect="003916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7631">
      <w:rPr>
        <w:noProof/>
      </w:rPr>
      <w:t>09.06.17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31" w:rsidRDefault="00107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107631" w:rsidRPr="00AF7A97" w:rsidTr="00CE0DEF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:rsidR="00107631" w:rsidRPr="00AF7A97" w:rsidRDefault="00107631" w:rsidP="001076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:rsidR="00107631" w:rsidRPr="004D495C" w:rsidRDefault="00107631" w:rsidP="00107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:rsidR="00107631" w:rsidRPr="00AF7A97" w:rsidRDefault="00107631" w:rsidP="00107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Yushi Torigoe, Deputy to the Director, </w:t>
          </w:r>
          <w:r>
            <w:rPr>
              <w:sz w:val="18"/>
              <w:szCs w:val="18"/>
            </w:rPr>
            <w:t>Telecommunication Development Bureau</w:t>
          </w:r>
        </w:p>
      </w:tc>
    </w:tr>
    <w:tr w:rsidR="00107631" w:rsidRPr="00AF7A97" w:rsidTr="00CE0DEF">
      <w:tc>
        <w:tcPr>
          <w:tcW w:w="1526" w:type="dxa"/>
          <w:shd w:val="clear" w:color="auto" w:fill="auto"/>
        </w:tcPr>
        <w:p w:rsidR="00107631" w:rsidRPr="004D495C" w:rsidRDefault="00107631" w:rsidP="001076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107631" w:rsidRPr="004D495C" w:rsidRDefault="00107631" w:rsidP="00107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:rsidR="00107631" w:rsidRPr="00AF7A97" w:rsidRDefault="00107631" w:rsidP="00107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</w:tr>
    <w:tr w:rsidR="00107631" w:rsidRPr="00AF7A97" w:rsidTr="00CE0DEF">
      <w:tc>
        <w:tcPr>
          <w:tcW w:w="1526" w:type="dxa"/>
          <w:shd w:val="clear" w:color="auto" w:fill="auto"/>
        </w:tcPr>
        <w:p w:rsidR="00107631" w:rsidRPr="004D495C" w:rsidRDefault="00107631" w:rsidP="001076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107631" w:rsidRPr="004D495C" w:rsidRDefault="00107631" w:rsidP="00107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:rsidR="00107631" w:rsidRPr="00AF7A97" w:rsidRDefault="00107631" w:rsidP="001076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>
            <w:rPr>
              <w:sz w:val="18"/>
              <w:szCs w:val="18"/>
              <w:lang w:val="en-US"/>
            </w:rPr>
            <w:t xml:space="preserve">  </w:t>
          </w:r>
        </w:p>
      </w:tc>
    </w:tr>
  </w:tbl>
  <w:bookmarkStart w:id="10" w:name="_GoBack"/>
  <w:bookmarkEnd w:id="10"/>
  <w:p w:rsidR="00E45D05" w:rsidRPr="00D83BF5" w:rsidRDefault="00107631" w:rsidP="006B7ED8">
    <w:pPr>
      <w:jc w:val="center"/>
    </w:pPr>
    <w:r>
      <w:fldChar w:fldCharType="begin"/>
    </w:r>
    <w:r>
      <w:instrText xml:space="preserve"> HYPERLINK "http://www.itu.int/en/ITU-D/Conferences/WTDC/WTDC17/Pages/default.aspx" </w:instrText>
    </w:r>
    <w:r>
      <w:fldChar w:fldCharType="separate"/>
    </w:r>
    <w:r w:rsidR="00AF3F56" w:rsidRPr="008B61EA">
      <w:rPr>
        <w:rStyle w:val="Hyperlink"/>
        <w:sz w:val="20"/>
      </w:rPr>
      <w:t>WTDC-17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31" w:rsidRDefault="00107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8170FE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8170FE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07631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31" w:rsidRDefault="00107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F73FF"/>
    <w:rsid w:val="00107631"/>
    <w:rsid w:val="00111404"/>
    <w:rsid w:val="00114CF7"/>
    <w:rsid w:val="00123B68"/>
    <w:rsid w:val="00126F2E"/>
    <w:rsid w:val="00146F6F"/>
    <w:rsid w:val="00147DA1"/>
    <w:rsid w:val="00150D92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4608E"/>
    <w:rsid w:val="00377BD3"/>
    <w:rsid w:val="00384088"/>
    <w:rsid w:val="0038489B"/>
    <w:rsid w:val="0039169B"/>
    <w:rsid w:val="003A7F8C"/>
    <w:rsid w:val="003B532E"/>
    <w:rsid w:val="003B6F14"/>
    <w:rsid w:val="003C0D01"/>
    <w:rsid w:val="003D0F8B"/>
    <w:rsid w:val="004131D4"/>
    <w:rsid w:val="0041348E"/>
    <w:rsid w:val="00447308"/>
    <w:rsid w:val="004765FF"/>
    <w:rsid w:val="00487272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1759"/>
    <w:rsid w:val="00657DE0"/>
    <w:rsid w:val="0067199F"/>
    <w:rsid w:val="00685313"/>
    <w:rsid w:val="006A6E9B"/>
    <w:rsid w:val="006B7C2A"/>
    <w:rsid w:val="006B7ED8"/>
    <w:rsid w:val="006C23DA"/>
    <w:rsid w:val="006E3D45"/>
    <w:rsid w:val="007149F9"/>
    <w:rsid w:val="00733A30"/>
    <w:rsid w:val="00745AEE"/>
    <w:rsid w:val="007479EA"/>
    <w:rsid w:val="00750F10"/>
    <w:rsid w:val="0076724C"/>
    <w:rsid w:val="007742CA"/>
    <w:rsid w:val="007D06F0"/>
    <w:rsid w:val="007D45E3"/>
    <w:rsid w:val="007D5320"/>
    <w:rsid w:val="007F735C"/>
    <w:rsid w:val="00800972"/>
    <w:rsid w:val="00804475"/>
    <w:rsid w:val="00811633"/>
    <w:rsid w:val="008170FE"/>
    <w:rsid w:val="00821CEF"/>
    <w:rsid w:val="00832828"/>
    <w:rsid w:val="0083645A"/>
    <w:rsid w:val="00840B0F"/>
    <w:rsid w:val="0086178F"/>
    <w:rsid w:val="008711AE"/>
    <w:rsid w:val="00872FC8"/>
    <w:rsid w:val="008801D3"/>
    <w:rsid w:val="00883A28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F3F56"/>
    <w:rsid w:val="00B004E5"/>
    <w:rsid w:val="00B15F9D"/>
    <w:rsid w:val="00B639E9"/>
    <w:rsid w:val="00B817CD"/>
    <w:rsid w:val="00B911B2"/>
    <w:rsid w:val="00B94722"/>
    <w:rsid w:val="00B951D0"/>
    <w:rsid w:val="00BB29C8"/>
    <w:rsid w:val="00BB3A95"/>
    <w:rsid w:val="00BC0382"/>
    <w:rsid w:val="00C0018F"/>
    <w:rsid w:val="00C04F3B"/>
    <w:rsid w:val="00C20466"/>
    <w:rsid w:val="00C214ED"/>
    <w:rsid w:val="00C234E6"/>
    <w:rsid w:val="00C324A8"/>
    <w:rsid w:val="00C47683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A38B1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883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8170FE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4872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auto"/>
      <w:textAlignment w:val="baseline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487272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Start">
    <w:name w:val="CEO_contributionStart"/>
    <w:next w:val="CEONormal"/>
    <w:rsid w:val="00487272"/>
    <w:pPr>
      <w:spacing w:before="360" w:after="120"/>
    </w:pPr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online/mm/scripts/notif?_month=01/06/20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6-SG-CIR-0029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6-SG-CIR-0023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17CABF87-E919-4A70-AFAF-C183EF00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2412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Edgar, Caroline</cp:lastModifiedBy>
  <cp:revision>2</cp:revision>
  <cp:lastPrinted>2011-08-24T07:41:00Z</cp:lastPrinted>
  <dcterms:created xsi:type="dcterms:W3CDTF">2017-06-14T10:36:00Z</dcterms:created>
  <dcterms:modified xsi:type="dcterms:W3CDTF">2017-06-14T10:36:00Z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