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5639"/>
        <w:gridCol w:w="2570"/>
      </w:tblGrid>
      <w:tr w:rsidR="002D6488" w:rsidTr="000D3BEF">
        <w:tc>
          <w:tcPr>
            <w:tcW w:w="1430" w:type="dxa"/>
            <w:tcBorders>
              <w:bottom w:val="single" w:sz="12" w:space="0" w:color="auto"/>
            </w:tcBorders>
            <w:vAlign w:val="center"/>
          </w:tcPr>
          <w:p w:rsidR="002D6488" w:rsidRDefault="002D6488" w:rsidP="000D3BEF">
            <w:pPr>
              <w:spacing w:before="0" w:line="240" w:lineRule="auto"/>
              <w:jc w:val="left"/>
              <w:rPr>
                <w:rtl/>
                <w:lang w:bidi="ar-EG"/>
              </w:rPr>
            </w:pPr>
            <w:r w:rsidRPr="00CC1F10">
              <w:rPr>
                <w:noProof/>
                <w:color w:val="3399FF"/>
                <w:lang w:eastAsia="zh-CN"/>
              </w:rPr>
              <w:drawing>
                <wp:inline distT="0" distB="0" distL="0" distR="0">
                  <wp:extent cx="771436" cy="700405"/>
                  <wp:effectExtent l="0" t="0" r="0" b="4445"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9" w:type="dxa"/>
            <w:tcBorders>
              <w:bottom w:val="single" w:sz="12" w:space="0" w:color="auto"/>
            </w:tcBorders>
          </w:tcPr>
          <w:p w:rsidR="000D3BEF" w:rsidRPr="00CB30F8" w:rsidRDefault="000D3BEF" w:rsidP="000D3BEF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60"/>
              <w:jc w:val="left"/>
              <w:rPr>
                <w:rFonts w:eastAsiaTheme="minorEastAsia"/>
                <w:b/>
                <w:bCs/>
                <w:sz w:val="32"/>
                <w:szCs w:val="40"/>
                <w:rtl/>
                <w:lang w:eastAsia="zh-CN" w:bidi="ar-SY"/>
              </w:rPr>
            </w:pPr>
            <w:r w:rsidRPr="00CB30F8">
              <w:rPr>
                <w:rFonts w:eastAsiaTheme="minorEastAsia" w:hint="cs"/>
                <w:b/>
                <w:bCs/>
                <w:sz w:val="32"/>
                <w:szCs w:val="40"/>
                <w:rtl/>
                <w:lang w:eastAsia="zh-CN" w:bidi="ar-EG"/>
              </w:rPr>
              <w:t xml:space="preserve">الفريق الاستشاري لتنمية الاتصالات </w:t>
            </w:r>
            <w:r w:rsidRPr="00CB30F8">
              <w:rPr>
                <w:rFonts w:eastAsiaTheme="minorEastAsia"/>
                <w:b/>
                <w:bCs/>
                <w:sz w:val="32"/>
                <w:szCs w:val="40"/>
                <w:lang w:eastAsia="zh-CN" w:bidi="ar-SY"/>
              </w:rPr>
              <w:t>(TDAG)</w:t>
            </w:r>
          </w:p>
          <w:p w:rsidR="002D6488" w:rsidRPr="002D6488" w:rsidRDefault="000D3BEF" w:rsidP="000D3BEF">
            <w:pPr>
              <w:spacing w:before="60"/>
              <w:rPr>
                <w:b/>
                <w:bCs/>
                <w:sz w:val="24"/>
                <w:szCs w:val="32"/>
                <w:rtl/>
                <w:lang w:bidi="ar-EG"/>
              </w:rPr>
            </w:pPr>
            <w:r w:rsidRPr="00CB30F8">
              <w:rPr>
                <w:rFonts w:eastAsiaTheme="minorEastAsia"/>
                <w:b/>
                <w:bCs/>
                <w:w w:val="110"/>
                <w:sz w:val="24"/>
                <w:szCs w:val="32"/>
                <w:rtl/>
                <w:lang w:eastAsia="zh-CN" w:bidi="ar-EG"/>
              </w:rPr>
              <w:t>الاجتماع</w:t>
            </w:r>
            <w:r w:rsidRPr="00CB30F8">
              <w:rPr>
                <w:rFonts w:eastAsiaTheme="minorEastAsia" w:hint="cs"/>
                <w:b/>
                <w:bCs/>
                <w:w w:val="110"/>
                <w:sz w:val="24"/>
                <w:szCs w:val="32"/>
                <w:rtl/>
                <w:lang w:eastAsia="zh-CN" w:bidi="ar-EG"/>
              </w:rPr>
              <w:t xml:space="preserve"> </w:t>
            </w:r>
            <w:r>
              <w:rPr>
                <w:rFonts w:eastAsiaTheme="minorEastAsia" w:hint="cs"/>
                <w:b/>
                <w:bCs/>
                <w:w w:val="110"/>
                <w:sz w:val="24"/>
                <w:szCs w:val="32"/>
                <w:rtl/>
                <w:lang w:eastAsia="zh-CN" w:bidi="ar-EG"/>
              </w:rPr>
              <w:t>الثاني</w:t>
            </w:r>
            <w:r w:rsidRPr="00CB30F8">
              <w:rPr>
                <w:rFonts w:eastAsiaTheme="minorEastAsia"/>
                <w:b/>
                <w:bCs/>
                <w:w w:val="110"/>
                <w:sz w:val="24"/>
                <w:szCs w:val="32"/>
                <w:rtl/>
                <w:lang w:eastAsia="zh-CN" w:bidi="ar-EG"/>
              </w:rPr>
              <w:t xml:space="preserve"> </w:t>
            </w:r>
            <w:r w:rsidRPr="00CB30F8">
              <w:rPr>
                <w:rFonts w:eastAsiaTheme="minorEastAsia" w:hint="cs"/>
                <w:b/>
                <w:bCs/>
                <w:w w:val="110"/>
                <w:sz w:val="24"/>
                <w:szCs w:val="32"/>
                <w:rtl/>
                <w:lang w:eastAsia="zh-CN" w:bidi="ar-EG"/>
              </w:rPr>
              <w:t xml:space="preserve">والعشرون، </w:t>
            </w:r>
            <w:r>
              <w:rPr>
                <w:rFonts w:eastAsiaTheme="minorEastAsia" w:hint="cs"/>
                <w:b/>
                <w:bCs/>
                <w:w w:val="110"/>
                <w:sz w:val="24"/>
                <w:szCs w:val="32"/>
                <w:rtl/>
                <w:lang w:eastAsia="zh-CN" w:bidi="ar-EG"/>
              </w:rPr>
              <w:t>جنيف</w:t>
            </w:r>
            <w:r w:rsidRPr="00CB30F8">
              <w:rPr>
                <w:rFonts w:eastAsiaTheme="minorEastAsia" w:hint="cs"/>
                <w:b/>
                <w:bCs/>
                <w:w w:val="110"/>
                <w:sz w:val="24"/>
                <w:szCs w:val="32"/>
                <w:rtl/>
                <w:lang w:eastAsia="zh-CN" w:bidi="ar-EG"/>
              </w:rPr>
              <w:t xml:space="preserve">، </w:t>
            </w:r>
            <w:r>
              <w:rPr>
                <w:rFonts w:eastAsiaTheme="minorEastAsia"/>
                <w:b/>
                <w:bCs/>
                <w:w w:val="110"/>
                <w:sz w:val="24"/>
                <w:szCs w:val="32"/>
                <w:lang w:eastAsia="zh-CN" w:bidi="ar-EG"/>
              </w:rPr>
              <w:t>12</w:t>
            </w:r>
            <w:r w:rsidRPr="00CB30F8">
              <w:rPr>
                <w:rFonts w:eastAsiaTheme="minorEastAsia"/>
                <w:b/>
                <w:bCs/>
                <w:w w:val="110"/>
                <w:sz w:val="24"/>
                <w:szCs w:val="32"/>
                <w:lang w:eastAsia="zh-CN" w:bidi="ar-EG"/>
              </w:rPr>
              <w:t>-</w:t>
            </w:r>
            <w:r>
              <w:rPr>
                <w:rFonts w:eastAsiaTheme="minorEastAsia"/>
                <w:b/>
                <w:bCs/>
                <w:w w:val="110"/>
                <w:sz w:val="24"/>
                <w:szCs w:val="32"/>
                <w:lang w:eastAsia="zh-CN" w:bidi="ar-EG"/>
              </w:rPr>
              <w:t>9</w:t>
            </w:r>
            <w:r w:rsidRPr="00CB30F8">
              <w:rPr>
                <w:rFonts w:eastAsiaTheme="minorEastAsia" w:hint="cs"/>
                <w:b/>
                <w:bCs/>
                <w:w w:val="110"/>
                <w:sz w:val="24"/>
                <w:szCs w:val="32"/>
                <w:rtl/>
                <w:lang w:eastAsia="zh-CN" w:bidi="ar-SY"/>
              </w:rPr>
              <w:t xml:space="preserve"> </w:t>
            </w:r>
            <w:r>
              <w:rPr>
                <w:rFonts w:eastAsiaTheme="minorEastAsia" w:hint="cs"/>
                <w:b/>
                <w:bCs/>
                <w:w w:val="110"/>
                <w:sz w:val="24"/>
                <w:szCs w:val="32"/>
                <w:rtl/>
                <w:lang w:eastAsia="zh-CN" w:bidi="ar-SY"/>
              </w:rPr>
              <w:t>مايو</w:t>
            </w:r>
            <w:r w:rsidRPr="00CB30F8">
              <w:rPr>
                <w:rFonts w:eastAsiaTheme="minorEastAsia" w:hint="cs"/>
                <w:b/>
                <w:bCs/>
                <w:w w:val="110"/>
                <w:sz w:val="24"/>
                <w:szCs w:val="32"/>
                <w:rtl/>
                <w:lang w:eastAsia="zh-CN" w:bidi="ar-SY"/>
              </w:rPr>
              <w:t xml:space="preserve"> </w:t>
            </w:r>
            <w:r w:rsidRPr="00CB30F8">
              <w:rPr>
                <w:rFonts w:eastAsiaTheme="minorEastAsia"/>
                <w:b/>
                <w:bCs/>
                <w:w w:val="110"/>
                <w:sz w:val="24"/>
                <w:szCs w:val="32"/>
                <w:lang w:eastAsia="zh-CN" w:bidi="ar-EG"/>
              </w:rPr>
              <w:t>201</w:t>
            </w:r>
            <w:r>
              <w:rPr>
                <w:rFonts w:eastAsiaTheme="minorEastAsia"/>
                <w:b/>
                <w:bCs/>
                <w:w w:val="110"/>
                <w:sz w:val="24"/>
                <w:szCs w:val="32"/>
                <w:lang w:eastAsia="zh-CN" w:bidi="ar-EG"/>
              </w:rPr>
              <w:t>7</w:t>
            </w:r>
          </w:p>
        </w:tc>
        <w:tc>
          <w:tcPr>
            <w:tcW w:w="2570" w:type="dxa"/>
            <w:tcBorders>
              <w:bottom w:val="single" w:sz="12" w:space="0" w:color="auto"/>
            </w:tcBorders>
            <w:vAlign w:val="center"/>
          </w:tcPr>
          <w:p w:rsidR="002D6488" w:rsidRDefault="002D6488" w:rsidP="000D3BEF">
            <w:pPr>
              <w:spacing w:before="0" w:line="240" w:lineRule="auto"/>
              <w:jc w:val="right"/>
              <w:rPr>
                <w:rtl/>
                <w:lang w:bidi="ar-EG"/>
              </w:rPr>
            </w:pPr>
            <w:r w:rsidRPr="004949B5">
              <w:rPr>
                <w:noProof/>
                <w:color w:val="189CD7"/>
                <w:lang w:eastAsia="zh-CN"/>
              </w:rPr>
              <w:drawing>
                <wp:inline distT="0" distB="0" distL="0" distR="0">
                  <wp:extent cx="1494790" cy="559435"/>
                  <wp:effectExtent l="0" t="0" r="0" b="0"/>
                  <wp:docPr id="1" name="Picture 1" descr="C:\Users\ponder\AppData\Local\Microsoft\Windows\Temporary Internet Files\Content.Word\BDT-25th_anniversary_2017-Logo_411959-1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nder\AppData\Local\Microsoft\Windows\Temporary Internet Files\Content.Word\BDT-25th_anniversary_2017-Logo_411959-1_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488" w:rsidTr="002D6488">
        <w:tc>
          <w:tcPr>
            <w:tcW w:w="1430" w:type="dxa"/>
            <w:tcBorders>
              <w:top w:val="single" w:sz="12" w:space="0" w:color="auto"/>
            </w:tcBorders>
          </w:tcPr>
          <w:p w:rsidR="002D6488" w:rsidRDefault="002D6488" w:rsidP="002D6488">
            <w:pPr>
              <w:spacing w:before="0" w:line="300" w:lineRule="exact"/>
              <w:rPr>
                <w:rtl/>
                <w:lang w:bidi="ar-EG"/>
              </w:rPr>
            </w:pPr>
          </w:p>
        </w:tc>
        <w:tc>
          <w:tcPr>
            <w:tcW w:w="5639" w:type="dxa"/>
            <w:tcBorders>
              <w:top w:val="single" w:sz="12" w:space="0" w:color="auto"/>
            </w:tcBorders>
          </w:tcPr>
          <w:p w:rsidR="002D6488" w:rsidRDefault="002D6488" w:rsidP="002D6488">
            <w:pPr>
              <w:spacing w:before="0" w:line="300" w:lineRule="exact"/>
              <w:rPr>
                <w:rtl/>
                <w:lang w:bidi="ar-EG"/>
              </w:rPr>
            </w:pPr>
          </w:p>
        </w:tc>
        <w:tc>
          <w:tcPr>
            <w:tcW w:w="2570" w:type="dxa"/>
            <w:tcBorders>
              <w:top w:val="single" w:sz="12" w:space="0" w:color="auto"/>
            </w:tcBorders>
          </w:tcPr>
          <w:p w:rsidR="002D6488" w:rsidRDefault="002D6488" w:rsidP="002D6488">
            <w:pPr>
              <w:spacing w:before="0" w:line="300" w:lineRule="exact"/>
              <w:rPr>
                <w:rtl/>
                <w:lang w:bidi="ar-EG"/>
              </w:rPr>
            </w:pPr>
          </w:p>
        </w:tc>
      </w:tr>
      <w:tr w:rsidR="002D6488" w:rsidTr="00FF5D75">
        <w:tc>
          <w:tcPr>
            <w:tcW w:w="7069" w:type="dxa"/>
            <w:gridSpan w:val="2"/>
          </w:tcPr>
          <w:p w:rsidR="002D6488" w:rsidRPr="00AA6BF1" w:rsidRDefault="007C3F65" w:rsidP="00E33771">
            <w:pPr>
              <w:pStyle w:val="Committee"/>
              <w:bidi/>
              <w:spacing w:before="20" w:after="20"/>
              <w:rPr>
                <w:rtl/>
                <w:lang w:val="en-US" w:bidi="ar-EG"/>
              </w:rPr>
            </w:pPr>
            <w:r>
              <w:rPr>
                <w:rFonts w:hint="cs"/>
                <w:rtl/>
                <w:lang w:val="en-US" w:bidi="ar-EG"/>
              </w:rPr>
              <w:t>الجلسة العامة</w:t>
            </w:r>
          </w:p>
        </w:tc>
        <w:tc>
          <w:tcPr>
            <w:tcW w:w="2570" w:type="dxa"/>
          </w:tcPr>
          <w:p w:rsidR="002D6488" w:rsidRPr="002D6488" w:rsidRDefault="002D6488" w:rsidP="00E33771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 w:rsidRPr="002D648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="0056509A">
              <w:rPr>
                <w:b/>
                <w:bCs/>
                <w:lang w:bidi="ar-EG"/>
              </w:rPr>
              <w:t>TDAG17-22</w:t>
            </w:r>
            <w:r w:rsidRPr="002D6488">
              <w:rPr>
                <w:b/>
                <w:bCs/>
                <w:lang w:bidi="ar-EG"/>
              </w:rPr>
              <w:t>/</w:t>
            </w:r>
            <w:r w:rsidR="00FF5D75">
              <w:rPr>
                <w:b/>
                <w:bCs/>
                <w:lang w:bidi="ar-EG"/>
              </w:rPr>
              <w:t>40</w:t>
            </w:r>
            <w:r w:rsidR="00D94196">
              <w:rPr>
                <w:b/>
                <w:bCs/>
                <w:lang w:bidi="ar-EG"/>
              </w:rPr>
              <w:t>-A</w:t>
            </w:r>
          </w:p>
        </w:tc>
      </w:tr>
      <w:tr w:rsidR="002D6488" w:rsidTr="00FF5D75">
        <w:tc>
          <w:tcPr>
            <w:tcW w:w="7069" w:type="dxa"/>
            <w:gridSpan w:val="2"/>
          </w:tcPr>
          <w:p w:rsidR="002D6488" w:rsidRPr="002D6488" w:rsidRDefault="002D6488" w:rsidP="00E33771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570" w:type="dxa"/>
          </w:tcPr>
          <w:p w:rsidR="002D6488" w:rsidRPr="002D6488" w:rsidRDefault="00FF5D75" w:rsidP="00E33771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25</w:t>
            </w:r>
            <w:r w:rsidR="004565AA" w:rsidRPr="00B4079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أبريل</w:t>
            </w:r>
            <w:r w:rsidR="004565AA" w:rsidRPr="00B4079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4565AA" w:rsidRPr="00B40798">
              <w:rPr>
                <w:b/>
                <w:bCs/>
                <w:lang w:bidi="ar-EG"/>
              </w:rPr>
              <w:t>2017</w:t>
            </w:r>
          </w:p>
        </w:tc>
      </w:tr>
      <w:tr w:rsidR="002D6488" w:rsidTr="00FF5D75">
        <w:tc>
          <w:tcPr>
            <w:tcW w:w="7069" w:type="dxa"/>
            <w:gridSpan w:val="2"/>
          </w:tcPr>
          <w:p w:rsidR="002D6488" w:rsidRPr="002D6488" w:rsidRDefault="002D6488" w:rsidP="00E33771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2570" w:type="dxa"/>
          </w:tcPr>
          <w:p w:rsidR="002D6488" w:rsidRPr="002D6488" w:rsidRDefault="002D6488" w:rsidP="00E33771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 w:rsidRPr="002D6488">
              <w:rPr>
                <w:rFonts w:hint="cs"/>
                <w:b/>
                <w:bCs/>
                <w:rtl/>
                <w:lang w:bidi="ar-EG"/>
              </w:rPr>
              <w:t>الأصل: بالإنكليزية</w:t>
            </w:r>
          </w:p>
        </w:tc>
      </w:tr>
      <w:tr w:rsidR="002D6488" w:rsidTr="00FF5D75">
        <w:tc>
          <w:tcPr>
            <w:tcW w:w="9639" w:type="dxa"/>
            <w:gridSpan w:val="3"/>
          </w:tcPr>
          <w:p w:rsidR="002D6488" w:rsidRDefault="00FF5D75" w:rsidP="007F4AB4">
            <w:pPr>
              <w:pStyle w:val="Source"/>
              <w:spacing w:after="0"/>
              <w:rPr>
                <w:rtl/>
              </w:rPr>
            </w:pPr>
            <w:r w:rsidRPr="00FF5D75">
              <w:rPr>
                <w:rtl/>
                <w:lang w:bidi="ar-SA"/>
              </w:rPr>
              <w:t>الاجتماع الإقليمي التحضيري للمؤتمر العالمي لتنمية الاتصالات</w:t>
            </w:r>
            <w:r>
              <w:rPr>
                <w:lang w:bidi="ar-SA"/>
              </w:rPr>
              <w:br/>
            </w:r>
            <w:r w:rsidRPr="00FF5D75">
              <w:rPr>
                <w:rtl/>
                <w:lang w:bidi="ar-SA"/>
              </w:rPr>
              <w:t>لعام</w:t>
            </w:r>
            <w:r>
              <w:rPr>
                <w:rFonts w:hint="cs"/>
                <w:rtl/>
              </w:rPr>
              <w:t xml:space="preserve"> </w:t>
            </w:r>
            <w:r>
              <w:t>2017</w:t>
            </w:r>
            <w:r w:rsidRPr="00FF5D75">
              <w:rPr>
                <w:rtl/>
                <w:lang w:bidi="ar-SA"/>
              </w:rPr>
              <w:t xml:space="preserve"> </w:t>
            </w:r>
            <w:r w:rsidRPr="00FF5D75">
              <w:rPr>
                <w:lang w:bidi="ar-SA"/>
              </w:rPr>
              <w:t>(WTDC-17)</w:t>
            </w:r>
            <w:r>
              <w:rPr>
                <w:rFonts w:hint="cs"/>
                <w:rtl/>
                <w:lang w:bidi="ar-SA"/>
              </w:rPr>
              <w:t xml:space="preserve"> </w:t>
            </w:r>
            <w:r w:rsidRPr="00FF5D75">
              <w:rPr>
                <w:rtl/>
                <w:lang w:bidi="ar-SA"/>
              </w:rPr>
              <w:t>لمنطقة الدول العربية</w:t>
            </w:r>
            <w:r>
              <w:rPr>
                <w:rFonts w:hint="cs"/>
                <w:rtl/>
              </w:rPr>
              <w:t xml:space="preserve"> </w:t>
            </w:r>
            <w:r w:rsidRPr="00FF5D75">
              <w:rPr>
                <w:lang w:val="en-GB"/>
              </w:rPr>
              <w:t>(RPM-ARB)</w:t>
            </w:r>
          </w:p>
        </w:tc>
      </w:tr>
      <w:tr w:rsidR="00707FC4" w:rsidTr="00FF5D75">
        <w:tc>
          <w:tcPr>
            <w:tcW w:w="9639" w:type="dxa"/>
            <w:gridSpan w:val="3"/>
          </w:tcPr>
          <w:p w:rsidR="00707FC4" w:rsidRPr="00FF5D75" w:rsidRDefault="00FF5D75" w:rsidP="00FF5D75">
            <w:pPr>
              <w:pStyle w:val="Title1"/>
              <w:rPr>
                <w:highlight w:val="yellow"/>
                <w:rtl/>
              </w:rPr>
            </w:pPr>
            <w:r w:rsidRPr="007A3826">
              <w:rPr>
                <w:rtl/>
                <w:lang w:bidi="ar-SA"/>
              </w:rPr>
              <w:t>نتائج الاجتماع الإقليمي التحضيري</w:t>
            </w:r>
            <w:r w:rsidRPr="007A3826">
              <w:rPr>
                <w:rFonts w:hint="cs"/>
                <w:rtl/>
                <w:lang w:bidi="ar-SA"/>
              </w:rPr>
              <w:t xml:space="preserve"> </w:t>
            </w:r>
            <w:r w:rsidRPr="007A3826">
              <w:rPr>
                <w:rtl/>
                <w:lang w:bidi="ar-SA"/>
              </w:rPr>
              <w:t>لمنطقة الدول العربية</w:t>
            </w:r>
            <w:r w:rsidRPr="007A3826">
              <w:rPr>
                <w:rFonts w:hint="cs"/>
                <w:rtl/>
                <w:lang w:bidi="ar-SA"/>
              </w:rPr>
              <w:t xml:space="preserve"> </w:t>
            </w:r>
            <w:r w:rsidRPr="007A3826">
              <w:rPr>
                <w:lang w:val="en-GB" w:bidi="ar-SA"/>
              </w:rPr>
              <w:t>(RPM-ARB)</w:t>
            </w:r>
          </w:p>
        </w:tc>
      </w:tr>
    </w:tbl>
    <w:p w:rsidR="006157A3" w:rsidRDefault="006157A3" w:rsidP="008B5B5D">
      <w:pPr>
        <w:rPr>
          <w:rtl/>
          <w:lang w:bidi="ar-EG"/>
        </w:rPr>
      </w:pPr>
    </w:p>
    <w:tbl>
      <w:tblPr>
        <w:tblStyle w:val="TableGrid"/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6E77E7" w:rsidTr="007C54DD">
        <w:tc>
          <w:tcPr>
            <w:tcW w:w="9623" w:type="dxa"/>
          </w:tcPr>
          <w:p w:rsidR="006E77E7" w:rsidRPr="0056509A" w:rsidRDefault="0056509A" w:rsidP="00042A87">
            <w:pPr>
              <w:tabs>
                <w:tab w:val="clear" w:pos="1134"/>
                <w:tab w:val="left" w:pos="1701"/>
              </w:tabs>
              <w:spacing w:before="160" w:after="60"/>
              <w:rPr>
                <w:b/>
                <w:bCs/>
                <w:rtl/>
                <w:lang w:bidi="ar-EG"/>
              </w:rPr>
            </w:pPr>
            <w:r w:rsidRPr="0056509A">
              <w:rPr>
                <w:rFonts w:hint="cs"/>
                <w:b/>
                <w:bCs/>
                <w:rtl/>
                <w:lang w:bidi="ar-EG"/>
              </w:rPr>
              <w:t>ملخص:</w:t>
            </w:r>
          </w:p>
          <w:p w:rsidR="0056509A" w:rsidRPr="005350B1" w:rsidRDefault="007A3826" w:rsidP="005350B1">
            <w:pPr>
              <w:tabs>
                <w:tab w:val="clear" w:pos="1134"/>
                <w:tab w:val="left" w:pos="1701"/>
              </w:tabs>
              <w:spacing w:before="60" w:after="60"/>
              <w:rPr>
                <w:rtl/>
                <w:lang w:bidi="ar-EG"/>
              </w:rPr>
            </w:pPr>
            <w:r w:rsidRPr="005350B1">
              <w:rPr>
                <w:rFonts w:hint="cs"/>
                <w:rtl/>
              </w:rPr>
              <w:t>تتضمن هذه الوثيقة جميع النتائج المتفق عليها الصادرة عن الاجتماع الإقليمي التحضيري لمنطقة الدولة العربية الذي عُقد في</w:t>
            </w:r>
            <w:r w:rsidR="005350B1">
              <w:rPr>
                <w:rFonts w:hint="eastAsia"/>
                <w:rtl/>
              </w:rPr>
              <w:t> </w:t>
            </w:r>
            <w:r w:rsidRPr="005350B1">
              <w:rPr>
                <w:rFonts w:hint="cs"/>
                <w:rtl/>
              </w:rPr>
              <w:t>الخرطوم، السودان</w:t>
            </w:r>
            <w:r w:rsidR="00F81C3A" w:rsidRPr="005350B1">
              <w:rPr>
                <w:rFonts w:hint="cs"/>
                <w:rtl/>
              </w:rPr>
              <w:t>،</w:t>
            </w:r>
            <w:r w:rsidRPr="005350B1">
              <w:rPr>
                <w:rFonts w:hint="cs"/>
                <w:rtl/>
              </w:rPr>
              <w:t xml:space="preserve"> من </w:t>
            </w:r>
            <w:r w:rsidRPr="005350B1">
              <w:t>30</w:t>
            </w:r>
            <w:r w:rsidRPr="005350B1">
              <w:rPr>
                <w:rFonts w:hint="cs"/>
                <w:rtl/>
              </w:rPr>
              <w:t xml:space="preserve"> يناير إلى </w:t>
            </w:r>
            <w:r w:rsidRPr="005350B1">
              <w:t>1</w:t>
            </w:r>
            <w:r w:rsidRPr="005350B1">
              <w:rPr>
                <w:rFonts w:hint="cs"/>
                <w:rtl/>
                <w:lang w:bidi="ar-EG"/>
              </w:rPr>
              <w:t xml:space="preserve"> فبراير </w:t>
            </w:r>
            <w:r w:rsidRPr="005350B1">
              <w:rPr>
                <w:lang w:bidi="ar-EG"/>
              </w:rPr>
              <w:t>2017</w:t>
            </w:r>
            <w:r w:rsidRPr="005350B1">
              <w:rPr>
                <w:rFonts w:hint="cs"/>
                <w:rtl/>
                <w:lang w:bidi="ar-EG"/>
              </w:rPr>
              <w:t xml:space="preserve"> على النحو المبين في تقرير الرئيس (الوثيقة </w:t>
            </w:r>
            <w:hyperlink r:id="rId12" w:history="1">
              <w:r w:rsidRPr="005350B1">
                <w:rPr>
                  <w:rStyle w:val="Hyperlink"/>
                  <w:rFonts w:ascii="Calibri" w:hAnsi="Calibri"/>
                </w:rPr>
                <w:t>RPM-ARB17/46</w:t>
              </w:r>
            </w:hyperlink>
            <w:r w:rsidRPr="005350B1">
              <w:rPr>
                <w:rFonts w:hint="cs"/>
                <w:rtl/>
                <w:lang w:bidi="ar-EG"/>
              </w:rPr>
              <w:t xml:space="preserve">) وهي: </w:t>
            </w:r>
          </w:p>
          <w:p w:rsidR="00FF5D75" w:rsidRDefault="00FF5D75" w:rsidP="002F3666">
            <w:pPr>
              <w:pStyle w:val="enumlev1"/>
              <w:ind w:left="794" w:hanging="794"/>
              <w:rPr>
                <w:rtl/>
                <w:lang w:bidi="ar-EG"/>
              </w:rPr>
            </w:pPr>
            <w:r>
              <w:rPr>
                <w:rFonts w:hint="cs"/>
                <w:spacing w:val="-4"/>
                <w:rtl/>
              </w:rPr>
              <w:t>-</w:t>
            </w:r>
            <w:r>
              <w:rPr>
                <w:rtl/>
                <w:lang w:bidi="ar-EG"/>
              </w:rPr>
              <w:tab/>
            </w:r>
            <w:r w:rsidR="006B49E4">
              <w:rPr>
                <w:rFonts w:hint="cs"/>
                <w:rtl/>
                <w:lang w:bidi="ar-EG"/>
              </w:rPr>
              <w:t>مش</w:t>
            </w:r>
            <w:r w:rsidR="000852C7">
              <w:rPr>
                <w:rFonts w:hint="cs"/>
                <w:rtl/>
                <w:lang w:bidi="ar-EG"/>
              </w:rPr>
              <w:t xml:space="preserve">روع </w:t>
            </w:r>
            <w:r w:rsidR="007A3826">
              <w:rPr>
                <w:rFonts w:hint="cs"/>
                <w:rtl/>
                <w:lang w:bidi="ar-EG"/>
              </w:rPr>
              <w:t>المبادرات الإقليمية الجديدة</w:t>
            </w:r>
            <w:r w:rsidR="006B49E4">
              <w:rPr>
                <w:rFonts w:hint="cs"/>
                <w:rtl/>
                <w:lang w:bidi="ar-EG"/>
              </w:rPr>
              <w:t>.</w:t>
            </w:r>
          </w:p>
          <w:p w:rsidR="0056509A" w:rsidRPr="0056509A" w:rsidRDefault="0056509A" w:rsidP="00042A87">
            <w:pPr>
              <w:tabs>
                <w:tab w:val="clear" w:pos="1134"/>
                <w:tab w:val="left" w:pos="1701"/>
              </w:tabs>
              <w:spacing w:before="160" w:after="60"/>
              <w:rPr>
                <w:b/>
                <w:bCs/>
                <w:rtl/>
                <w:lang w:bidi="ar-EG"/>
              </w:rPr>
            </w:pPr>
            <w:r w:rsidRPr="0056509A">
              <w:rPr>
                <w:rFonts w:hint="cs"/>
                <w:b/>
                <w:bCs/>
                <w:rtl/>
                <w:lang w:bidi="ar-EG"/>
              </w:rPr>
              <w:t>الإجراء المطلوب:</w:t>
            </w:r>
          </w:p>
          <w:p w:rsidR="0056509A" w:rsidRDefault="006B49E4" w:rsidP="00042A87">
            <w:pPr>
              <w:tabs>
                <w:tab w:val="clear" w:pos="1134"/>
                <w:tab w:val="left" w:pos="1701"/>
              </w:tabs>
              <w:spacing w:before="60" w:after="60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يُدعى الفريق الاستشاري لتنمية الاتصالات إلى الإحاطة علماً بهذه الوثيقة.</w:t>
            </w:r>
          </w:p>
          <w:p w:rsidR="0056509A" w:rsidRPr="0056509A" w:rsidRDefault="0056509A" w:rsidP="00042A87">
            <w:pPr>
              <w:tabs>
                <w:tab w:val="clear" w:pos="1134"/>
                <w:tab w:val="left" w:pos="1701"/>
              </w:tabs>
              <w:spacing w:before="160" w:after="60"/>
              <w:rPr>
                <w:b/>
                <w:bCs/>
                <w:rtl/>
                <w:lang w:bidi="ar-EG"/>
              </w:rPr>
            </w:pPr>
            <w:r w:rsidRPr="0056509A">
              <w:rPr>
                <w:rFonts w:hint="cs"/>
                <w:b/>
                <w:bCs/>
                <w:rtl/>
                <w:lang w:bidi="ar-EG"/>
              </w:rPr>
              <w:t>المراجع:</w:t>
            </w:r>
          </w:p>
          <w:p w:rsidR="0056509A" w:rsidRDefault="00B27E49" w:rsidP="00FF5D75">
            <w:pPr>
              <w:tabs>
                <w:tab w:val="clear" w:pos="1134"/>
                <w:tab w:val="left" w:pos="1701"/>
              </w:tabs>
              <w:spacing w:before="60" w:after="60"/>
              <w:rPr>
                <w:rtl/>
                <w:lang w:bidi="ar-EG"/>
              </w:rPr>
            </w:pPr>
            <w:hyperlink r:id="rId13" w:history="1">
              <w:bookmarkStart w:id="0" w:name="lt_pId021"/>
              <w:r w:rsidR="00FF5D75" w:rsidRPr="004D5970">
                <w:rPr>
                  <w:rStyle w:val="Hyperlink"/>
                  <w:rFonts w:ascii="Calibri" w:hAnsi="Calibri"/>
                  <w:spacing w:val="-4"/>
                  <w:lang w:val="en-GB"/>
                </w:rPr>
                <w:t>RPM-ARB17/46</w:t>
              </w:r>
              <w:bookmarkEnd w:id="0"/>
            </w:hyperlink>
          </w:p>
          <w:p w:rsidR="0056509A" w:rsidRPr="0056509A" w:rsidRDefault="0056509A" w:rsidP="006E77E7">
            <w:pPr>
              <w:tabs>
                <w:tab w:val="clear" w:pos="1134"/>
                <w:tab w:val="left" w:pos="1701"/>
              </w:tabs>
              <w:spacing w:before="60" w:after="60"/>
              <w:jc w:val="left"/>
              <w:rPr>
                <w:sz w:val="2"/>
                <w:szCs w:val="2"/>
                <w:rtl/>
                <w:lang w:bidi="ar-EG"/>
              </w:rPr>
            </w:pPr>
          </w:p>
        </w:tc>
      </w:tr>
    </w:tbl>
    <w:p w:rsidR="00792EFC" w:rsidRDefault="00792EFC" w:rsidP="00792EFC">
      <w:pPr>
        <w:rPr>
          <w:rtl/>
        </w:rPr>
      </w:pPr>
      <w:bookmarkStart w:id="1" w:name="lt_pId022"/>
    </w:p>
    <w:p w:rsidR="00FF5D75" w:rsidRDefault="007C54DD" w:rsidP="007C54DD">
      <w:pPr>
        <w:pStyle w:val="Proposal"/>
        <w:rPr>
          <w:rtl/>
        </w:rPr>
      </w:pPr>
      <w:r w:rsidRPr="00682BBD">
        <w:t>ADD</w:t>
      </w:r>
      <w:bookmarkEnd w:id="1"/>
      <w:r>
        <w:tab/>
      </w:r>
      <w:bookmarkStart w:id="2" w:name="lt_pId023"/>
      <w:r w:rsidRPr="004428D5">
        <w:rPr>
          <w:b w:val="0"/>
          <w:bCs w:val="0"/>
        </w:rPr>
        <w:t>RPM-ARB/40/1</w:t>
      </w:r>
      <w:bookmarkEnd w:id="2"/>
    </w:p>
    <w:p w:rsidR="00F81842" w:rsidRDefault="00FF5D75" w:rsidP="005115FF">
      <w:pPr>
        <w:pStyle w:val="Sectiontitle"/>
        <w:bidi/>
        <w:rPr>
          <w:rtl/>
        </w:rPr>
      </w:pPr>
      <w:r w:rsidRPr="00FF5D75">
        <w:rPr>
          <w:rtl/>
        </w:rPr>
        <w:t>المبادرات الإقليمية لمنطقة الدول العربية</w:t>
      </w:r>
    </w:p>
    <w:p w:rsidR="007C54DD" w:rsidRPr="00582B6F" w:rsidRDefault="000852C7" w:rsidP="000852C7">
      <w:pPr>
        <w:pStyle w:val="Heading1"/>
        <w:rPr>
          <w:rtl/>
        </w:rPr>
      </w:pPr>
      <w:r w:rsidRPr="000852C7">
        <w:rPr>
          <w:lang w:val="en-GB"/>
        </w:rPr>
        <w:t>ARB1</w:t>
      </w:r>
      <w:r w:rsidR="007C54DD" w:rsidRPr="0090431F">
        <w:rPr>
          <w:rFonts w:hint="cs"/>
          <w:rtl/>
        </w:rPr>
        <w:t>:</w:t>
      </w:r>
      <w:r w:rsidR="007C54DD" w:rsidRPr="00582B6F">
        <w:rPr>
          <w:rFonts w:hint="cs"/>
          <w:rtl/>
        </w:rPr>
        <w:t xml:space="preserve"> البيئة وتغير المناخ والاتصالات</w:t>
      </w:r>
      <w:r w:rsidR="007C54DD">
        <w:rPr>
          <w:rFonts w:hint="cs"/>
          <w:rtl/>
        </w:rPr>
        <w:t xml:space="preserve"> في </w:t>
      </w:r>
      <w:r w:rsidR="007C54DD" w:rsidRPr="00582B6F">
        <w:rPr>
          <w:rFonts w:hint="cs"/>
          <w:rtl/>
        </w:rPr>
        <w:t>حالات الطوارئ</w:t>
      </w:r>
    </w:p>
    <w:p w:rsidR="007C54DD" w:rsidRPr="00582B6F" w:rsidRDefault="007C54DD" w:rsidP="007C54DD">
      <w:pPr>
        <w:rPr>
          <w:b/>
          <w:bCs/>
          <w:rtl/>
          <w:lang w:bidi="ar-EG"/>
        </w:rPr>
      </w:pPr>
      <w:r w:rsidRPr="00582B6F">
        <w:rPr>
          <w:rFonts w:hint="cs"/>
          <w:b/>
          <w:bCs/>
          <w:rtl/>
          <w:lang w:bidi="ar-EG"/>
        </w:rPr>
        <w:t>الهدف:</w:t>
      </w:r>
      <w:r w:rsidRPr="0030686C">
        <w:rPr>
          <w:rFonts w:hint="cs"/>
          <w:rtl/>
          <w:lang w:bidi="ar-EG"/>
        </w:rPr>
        <w:t xml:space="preserve"> </w:t>
      </w:r>
      <w:r w:rsidRPr="007C54DD">
        <w:rPr>
          <w:rFonts w:hint="cs"/>
          <w:rtl/>
          <w:lang w:bidi="ar-EG"/>
        </w:rPr>
        <w:t>زيادة الوعي وتقديم الدعم بشأن التحديات الرئيسية في مجال البيئة وتغير المناخ والاتصالات في حالات الطوارئ</w:t>
      </w:r>
      <w:r w:rsidR="00A82652">
        <w:rPr>
          <w:rFonts w:hint="cs"/>
          <w:rtl/>
          <w:lang w:bidi="ar-EG"/>
        </w:rPr>
        <w:t>،</w:t>
      </w:r>
      <w:r w:rsidRPr="007C54DD">
        <w:rPr>
          <w:rFonts w:hint="cs"/>
          <w:rtl/>
          <w:lang w:bidi="ar-EG"/>
        </w:rPr>
        <w:t xml:space="preserve"> ووضع الأطر التنظيمية و</w:t>
      </w:r>
      <w:r w:rsidR="00E205F4">
        <w:rPr>
          <w:rFonts w:hint="cs"/>
          <w:rtl/>
          <w:lang w:bidi="ar-EG"/>
        </w:rPr>
        <w:t xml:space="preserve">اتخاذ </w:t>
      </w:r>
      <w:r w:rsidRPr="007C54DD">
        <w:rPr>
          <w:rFonts w:hint="cs"/>
          <w:rtl/>
          <w:lang w:bidi="ar-EG"/>
        </w:rPr>
        <w:t>التدابير اللازمة لمواجهة التحديات في هذا المجال</w:t>
      </w:r>
      <w:r>
        <w:rPr>
          <w:rFonts w:hint="cs"/>
          <w:rtl/>
          <w:lang w:bidi="ar-EG"/>
        </w:rPr>
        <w:t>.</w:t>
      </w:r>
    </w:p>
    <w:p w:rsidR="007C54DD" w:rsidRPr="00582B6F" w:rsidRDefault="00A82652" w:rsidP="00A82652">
      <w:pPr>
        <w:pStyle w:val="Heading1"/>
        <w:rPr>
          <w:rtl/>
        </w:rPr>
      </w:pPr>
      <w:r w:rsidRPr="00A82652">
        <w:rPr>
          <w:lang w:val="en-GB"/>
        </w:rPr>
        <w:lastRenderedPageBreak/>
        <w:t>ARB2</w:t>
      </w:r>
      <w:r w:rsidR="007C54DD" w:rsidRPr="00582B6F">
        <w:rPr>
          <w:rFonts w:hint="cs"/>
          <w:rtl/>
        </w:rPr>
        <w:t>: الثقة والأمن</w:t>
      </w:r>
      <w:r w:rsidR="007C54DD">
        <w:rPr>
          <w:rFonts w:hint="cs"/>
          <w:rtl/>
        </w:rPr>
        <w:t xml:space="preserve"> في </w:t>
      </w:r>
      <w:r w:rsidR="007C54DD" w:rsidRPr="00582B6F">
        <w:rPr>
          <w:rFonts w:hint="cs"/>
          <w:rtl/>
        </w:rPr>
        <w:t>استعمال تكنولوجيا</w:t>
      </w:r>
      <w:r w:rsidR="007C54DD">
        <w:rPr>
          <w:rFonts w:hint="cs"/>
          <w:rtl/>
        </w:rPr>
        <w:t>ت</w:t>
      </w:r>
      <w:r w:rsidR="007C54DD" w:rsidRPr="00582B6F">
        <w:rPr>
          <w:rFonts w:hint="cs"/>
          <w:rtl/>
        </w:rPr>
        <w:t xml:space="preserve"> المعلومات والاتصالات</w:t>
      </w:r>
    </w:p>
    <w:p w:rsidR="007C54DD" w:rsidRPr="007C54DD" w:rsidRDefault="007C54DD" w:rsidP="00A82652">
      <w:pPr>
        <w:rPr>
          <w:spacing w:val="-2"/>
          <w:rtl/>
          <w:lang w:bidi="ar-EG"/>
        </w:rPr>
      </w:pPr>
      <w:r w:rsidRPr="007645F2">
        <w:rPr>
          <w:rFonts w:hint="cs"/>
          <w:b/>
          <w:bCs/>
          <w:spacing w:val="-2"/>
          <w:rtl/>
          <w:lang w:bidi="ar-EG"/>
        </w:rPr>
        <w:t>الهدف:</w:t>
      </w:r>
      <w:r w:rsidRPr="00806E91">
        <w:rPr>
          <w:rFonts w:hint="cs"/>
          <w:spacing w:val="-2"/>
          <w:rtl/>
          <w:lang w:bidi="ar-EG"/>
        </w:rPr>
        <w:t xml:space="preserve"> </w:t>
      </w:r>
      <w:r w:rsidRPr="007C54DD">
        <w:rPr>
          <w:rFonts w:hint="cs"/>
          <w:spacing w:val="-2"/>
          <w:rtl/>
          <w:lang w:bidi="ar-EG"/>
        </w:rPr>
        <w:t>تعزيز الثقة والأمن في استعمال تكنولوجيات المعلومات والاتصالات</w:t>
      </w:r>
      <w:r w:rsidR="00A82652">
        <w:rPr>
          <w:rFonts w:hint="cs"/>
          <w:spacing w:val="-2"/>
          <w:rtl/>
          <w:lang w:bidi="ar-EG"/>
        </w:rPr>
        <w:t>،</w:t>
      </w:r>
      <w:r w:rsidRPr="007C54DD">
        <w:rPr>
          <w:rFonts w:hint="cs"/>
          <w:spacing w:val="-2"/>
          <w:rtl/>
          <w:lang w:bidi="ar-EG"/>
        </w:rPr>
        <w:t xml:space="preserve"> وحماية الأطفال على الخط</w:t>
      </w:r>
      <w:r w:rsidR="00A82652">
        <w:rPr>
          <w:rFonts w:hint="cs"/>
          <w:spacing w:val="-2"/>
          <w:rtl/>
          <w:lang w:bidi="ar-EG"/>
        </w:rPr>
        <w:t>،</w:t>
      </w:r>
      <w:r w:rsidRPr="007C54DD">
        <w:rPr>
          <w:rFonts w:hint="cs"/>
          <w:spacing w:val="-2"/>
          <w:rtl/>
          <w:lang w:bidi="ar-EG"/>
        </w:rPr>
        <w:t xml:space="preserve"> ومكافحة جميع أشكال التهديدات السيبرانية بما في ذلك إساءة استعمال تكنولوجيات المعلومات والاتصالات</w:t>
      </w:r>
      <w:r>
        <w:rPr>
          <w:rFonts w:hint="cs"/>
          <w:spacing w:val="-2"/>
          <w:rtl/>
          <w:lang w:bidi="ar-EG"/>
        </w:rPr>
        <w:t>.</w:t>
      </w:r>
    </w:p>
    <w:p w:rsidR="007C54DD" w:rsidRPr="00582B6F" w:rsidRDefault="00762AD9" w:rsidP="00762AD9">
      <w:pPr>
        <w:pStyle w:val="Heading1"/>
        <w:rPr>
          <w:rFonts w:hint="cs"/>
          <w:rtl/>
        </w:rPr>
      </w:pPr>
      <w:r w:rsidRPr="00762AD9">
        <w:rPr>
          <w:lang w:val="en-GB"/>
        </w:rPr>
        <w:t>ARB3</w:t>
      </w:r>
      <w:r w:rsidR="007C54DD" w:rsidRPr="00582B6F">
        <w:rPr>
          <w:rFonts w:hint="cs"/>
          <w:rtl/>
        </w:rPr>
        <w:t>: الشمول المالي الرقمي</w:t>
      </w:r>
      <w:bookmarkStart w:id="3" w:name="_GoBack"/>
      <w:bookmarkEnd w:id="3"/>
    </w:p>
    <w:p w:rsidR="007C54DD" w:rsidRPr="007C54DD" w:rsidRDefault="007C54DD" w:rsidP="00D50683">
      <w:pPr>
        <w:rPr>
          <w:rtl/>
          <w:lang w:bidi="ar-EG"/>
        </w:rPr>
      </w:pPr>
      <w:r w:rsidRPr="00582B6F">
        <w:rPr>
          <w:rFonts w:hint="cs"/>
          <w:b/>
          <w:bCs/>
          <w:rtl/>
          <w:lang w:bidi="ar-EG"/>
        </w:rPr>
        <w:t>الهدف:</w:t>
      </w:r>
      <w:r w:rsidRPr="00806E91">
        <w:rPr>
          <w:rFonts w:hint="cs"/>
          <w:rtl/>
          <w:lang w:bidi="ar-EG"/>
        </w:rPr>
        <w:t xml:space="preserve"> </w:t>
      </w:r>
      <w:r w:rsidRPr="007C54DD">
        <w:rPr>
          <w:rFonts w:hint="cs"/>
          <w:rtl/>
          <w:lang w:bidi="ar-EG"/>
        </w:rPr>
        <w:t>دعم وتمكين النفاذ إلى الخدمات المالية الرقمية واستعمالها من خلال استعمال الاتصالات</w:t>
      </w:r>
      <w:r w:rsidR="00E420FB">
        <w:rPr>
          <w:rFonts w:hint="cs"/>
          <w:rtl/>
          <w:lang w:bidi="ar-EG"/>
        </w:rPr>
        <w:t xml:space="preserve"> وتكنولوجيا</w:t>
      </w:r>
      <w:r w:rsidRPr="007C54DD">
        <w:rPr>
          <w:rFonts w:hint="cs"/>
          <w:rtl/>
          <w:lang w:bidi="ar-EG"/>
        </w:rPr>
        <w:t xml:space="preserve"> المعلومات وتحقيق مستويات عالية من الشمول المالي الرقمي</w:t>
      </w:r>
      <w:r>
        <w:rPr>
          <w:rFonts w:hint="cs"/>
          <w:rtl/>
          <w:lang w:bidi="ar-EG"/>
        </w:rPr>
        <w:t>.</w:t>
      </w:r>
    </w:p>
    <w:p w:rsidR="007C54DD" w:rsidRPr="00582B6F" w:rsidRDefault="00D50683" w:rsidP="00D50683">
      <w:pPr>
        <w:pStyle w:val="Heading1"/>
        <w:rPr>
          <w:rtl/>
        </w:rPr>
      </w:pPr>
      <w:r w:rsidRPr="00D50683">
        <w:rPr>
          <w:lang w:val="en-GB"/>
        </w:rPr>
        <w:t>ARB4</w:t>
      </w:r>
      <w:r w:rsidR="007C54DD" w:rsidRPr="00582B6F">
        <w:rPr>
          <w:rFonts w:hint="cs"/>
          <w:rtl/>
        </w:rPr>
        <w:t>: إنترنت الأشياء والمدن الذكية والبي</w:t>
      </w:r>
      <w:r w:rsidR="007C54DD">
        <w:rPr>
          <w:rFonts w:hint="cs"/>
          <w:rtl/>
        </w:rPr>
        <w:t>ا</w:t>
      </w:r>
      <w:r w:rsidR="007C54DD" w:rsidRPr="00582B6F">
        <w:rPr>
          <w:rFonts w:hint="cs"/>
          <w:rtl/>
        </w:rPr>
        <w:t>نات الضخمة</w:t>
      </w:r>
    </w:p>
    <w:p w:rsidR="007C54DD" w:rsidRPr="007C54DD" w:rsidRDefault="007C54DD" w:rsidP="00127508">
      <w:pPr>
        <w:rPr>
          <w:rtl/>
          <w:lang w:bidi="ar-EG"/>
        </w:rPr>
      </w:pPr>
      <w:r w:rsidRPr="00582B6F">
        <w:rPr>
          <w:rFonts w:hint="cs"/>
          <w:b/>
          <w:bCs/>
          <w:rtl/>
          <w:lang w:bidi="ar-EG"/>
        </w:rPr>
        <w:t>الهدف:</w:t>
      </w:r>
      <w:r w:rsidRPr="000E2988">
        <w:rPr>
          <w:rFonts w:hint="cs"/>
          <w:rtl/>
          <w:lang w:bidi="ar-EG"/>
        </w:rPr>
        <w:t xml:space="preserve"> </w:t>
      </w:r>
      <w:r w:rsidR="00801AD6">
        <w:rPr>
          <w:rFonts w:hint="cs"/>
          <w:rtl/>
          <w:lang w:bidi="ar-EG"/>
        </w:rPr>
        <w:t xml:space="preserve">إذكاء </w:t>
      </w:r>
      <w:r w:rsidRPr="007C54DD">
        <w:rPr>
          <w:rFonts w:hint="cs"/>
          <w:rtl/>
          <w:lang w:bidi="ar-EG"/>
        </w:rPr>
        <w:t>الوعي بخصوص أهمية التحديات المقبلة في عصر إنترنت الأشياء والبيانات الضخمة وكيفية مواجهتها</w:t>
      </w:r>
      <w:r w:rsidR="00F93671">
        <w:rPr>
          <w:rFonts w:hint="cs"/>
          <w:rtl/>
          <w:lang w:bidi="ar-EG"/>
        </w:rPr>
        <w:t>،</w:t>
      </w:r>
      <w:r w:rsidRPr="007C54DD">
        <w:rPr>
          <w:rFonts w:hint="cs"/>
          <w:rtl/>
          <w:lang w:bidi="ar-EG"/>
        </w:rPr>
        <w:t xml:space="preserve"> ووضع الأطر التنظيمية واتخاذ التدابير اللازمة التي من شأنها أن تساعد على مواكبة التطورات السريعة في مجال الاتصالات</w:t>
      </w:r>
      <w:r w:rsidR="00127508">
        <w:rPr>
          <w:rFonts w:hint="cs"/>
          <w:rtl/>
          <w:lang w:bidi="ar-EG"/>
        </w:rPr>
        <w:t xml:space="preserve"> وتكنولوجيا</w:t>
      </w:r>
      <w:r w:rsidRPr="007C54DD">
        <w:rPr>
          <w:rFonts w:hint="cs"/>
          <w:rtl/>
          <w:lang w:bidi="ar-EG"/>
        </w:rPr>
        <w:t xml:space="preserve"> المعلومات</w:t>
      </w:r>
      <w:r w:rsidR="00127508">
        <w:rPr>
          <w:rFonts w:hint="cs"/>
          <w:rtl/>
          <w:lang w:bidi="ar-EG"/>
        </w:rPr>
        <w:t>، والسعي إلى التحول</w:t>
      </w:r>
      <w:r w:rsidRPr="007C54DD">
        <w:rPr>
          <w:rFonts w:hint="cs"/>
          <w:rtl/>
          <w:lang w:bidi="ar-EG"/>
        </w:rPr>
        <w:t xml:space="preserve"> إلى المدن والمجتمعات الذكية</w:t>
      </w:r>
      <w:r>
        <w:rPr>
          <w:rFonts w:hint="cs"/>
          <w:rtl/>
          <w:lang w:bidi="ar-EG"/>
        </w:rPr>
        <w:t>.</w:t>
      </w:r>
    </w:p>
    <w:p w:rsidR="007C54DD" w:rsidRPr="00582B6F" w:rsidRDefault="00127508" w:rsidP="00127508">
      <w:pPr>
        <w:pStyle w:val="Heading1"/>
        <w:rPr>
          <w:rtl/>
        </w:rPr>
      </w:pPr>
      <w:r w:rsidRPr="00127508">
        <w:rPr>
          <w:lang w:val="en-GB"/>
        </w:rPr>
        <w:t>ARB5</w:t>
      </w:r>
      <w:r w:rsidR="007C54DD" w:rsidRPr="00582B6F">
        <w:rPr>
          <w:rFonts w:hint="cs"/>
          <w:rtl/>
        </w:rPr>
        <w:t>: الابتكار وريادة الأعمال</w:t>
      </w:r>
    </w:p>
    <w:p w:rsidR="007C54DD" w:rsidRPr="007C54DD" w:rsidRDefault="007C54DD" w:rsidP="00127508">
      <w:pPr>
        <w:rPr>
          <w:rtl/>
          <w:lang w:bidi="ar-EG"/>
        </w:rPr>
      </w:pPr>
      <w:r w:rsidRPr="00A7395B">
        <w:rPr>
          <w:rFonts w:hint="cs"/>
          <w:b/>
          <w:bCs/>
          <w:spacing w:val="-4"/>
          <w:rtl/>
          <w:lang w:bidi="ar-EG"/>
        </w:rPr>
        <w:t>الهدف:</w:t>
      </w:r>
      <w:r w:rsidRPr="00A7395B">
        <w:rPr>
          <w:rFonts w:hint="cs"/>
          <w:spacing w:val="-4"/>
          <w:rtl/>
          <w:lang w:bidi="ar-EG"/>
        </w:rPr>
        <w:t xml:space="preserve"> بناء القدرات </w:t>
      </w:r>
      <w:r w:rsidR="00127508" w:rsidRPr="00A7395B">
        <w:rPr>
          <w:rFonts w:hint="cs"/>
          <w:spacing w:val="-4"/>
          <w:rtl/>
          <w:lang w:bidi="ar-EG"/>
        </w:rPr>
        <w:t>وإذكاء الوعي</w:t>
      </w:r>
      <w:r w:rsidRPr="00A7395B">
        <w:rPr>
          <w:rFonts w:hint="cs"/>
          <w:spacing w:val="-4"/>
          <w:rtl/>
          <w:lang w:bidi="ar-EG"/>
        </w:rPr>
        <w:t xml:space="preserve"> بشأن ثقافة الابتكار وريادة الأعمال</w:t>
      </w:r>
      <w:r w:rsidR="00127508" w:rsidRPr="00A7395B">
        <w:rPr>
          <w:rFonts w:hint="cs"/>
          <w:spacing w:val="-4"/>
          <w:rtl/>
          <w:lang w:bidi="ar-EG"/>
        </w:rPr>
        <w:t>،</w:t>
      </w:r>
      <w:r w:rsidRPr="00A7395B">
        <w:rPr>
          <w:rFonts w:hint="cs"/>
          <w:spacing w:val="-4"/>
          <w:rtl/>
          <w:lang w:bidi="ar-EG"/>
        </w:rPr>
        <w:t xml:space="preserve"> خاصةً </w:t>
      </w:r>
      <w:r w:rsidR="00127508" w:rsidRPr="00A7395B">
        <w:rPr>
          <w:rFonts w:hint="cs"/>
          <w:spacing w:val="-4"/>
          <w:rtl/>
          <w:lang w:bidi="ar-EG"/>
        </w:rPr>
        <w:t>لتمكين الشباب والنساء،</w:t>
      </w:r>
      <w:r w:rsidRPr="00A7395B">
        <w:rPr>
          <w:rFonts w:hint="cs"/>
          <w:spacing w:val="-4"/>
          <w:rtl/>
          <w:lang w:bidi="ar-EG"/>
        </w:rPr>
        <w:t xml:space="preserve"> بغية</w:t>
      </w:r>
      <w:r w:rsidR="00127508" w:rsidRPr="00A7395B">
        <w:rPr>
          <w:rFonts w:hint="cs"/>
          <w:spacing w:val="-4"/>
          <w:rtl/>
          <w:lang w:bidi="ar-EG"/>
        </w:rPr>
        <w:t xml:space="preserve"> (تكييف/الاستفادة من</w:t>
      </w:r>
      <w:r w:rsidR="00127508" w:rsidRPr="0064692F">
        <w:rPr>
          <w:rFonts w:hint="cs"/>
          <w:spacing w:val="-4"/>
          <w:rtl/>
          <w:lang w:bidi="ar-EG"/>
        </w:rPr>
        <w:t>/</w:t>
      </w:r>
      <w:r w:rsidRPr="0064692F">
        <w:rPr>
          <w:rFonts w:hint="cs"/>
          <w:spacing w:val="-4"/>
          <w:rtl/>
          <w:lang w:bidi="ar-EG"/>
        </w:rPr>
        <w:t>تسخير</w:t>
      </w:r>
      <w:r w:rsidR="00127508" w:rsidRPr="0064692F">
        <w:rPr>
          <w:rFonts w:hint="cs"/>
          <w:spacing w:val="-4"/>
          <w:rtl/>
          <w:lang w:bidi="ar-EG"/>
        </w:rPr>
        <w:t>/استعمال)</w:t>
      </w:r>
      <w:r w:rsidRPr="0064692F">
        <w:rPr>
          <w:rFonts w:hint="cs"/>
          <w:spacing w:val="-4"/>
          <w:rtl/>
          <w:lang w:bidi="ar-EG"/>
        </w:rPr>
        <w:t xml:space="preserve"> أدوات تكنولوجيا المعلومات والاتصالات في إطلاق مشاريع و</w:t>
      </w:r>
      <w:r w:rsidR="00127508" w:rsidRPr="0064692F">
        <w:rPr>
          <w:rFonts w:hint="cs"/>
          <w:spacing w:val="-4"/>
          <w:rtl/>
          <w:lang w:bidi="ar-EG"/>
        </w:rPr>
        <w:t xml:space="preserve">تنفيذ </w:t>
      </w:r>
      <w:r w:rsidRPr="0064692F">
        <w:rPr>
          <w:rFonts w:hint="cs"/>
          <w:spacing w:val="-4"/>
          <w:rtl/>
          <w:lang w:bidi="ar-EG"/>
        </w:rPr>
        <w:t xml:space="preserve">أنشطة اقتصادية </w:t>
      </w:r>
      <w:r w:rsidR="00127508" w:rsidRPr="0064692F">
        <w:rPr>
          <w:rFonts w:hint="cs"/>
          <w:spacing w:val="-4"/>
          <w:rtl/>
          <w:lang w:bidi="ar-EG"/>
        </w:rPr>
        <w:t>تمكّن من</w:t>
      </w:r>
      <w:r w:rsidRPr="0064692F">
        <w:rPr>
          <w:rFonts w:hint="cs"/>
          <w:spacing w:val="-4"/>
          <w:rtl/>
          <w:lang w:bidi="ar-EG"/>
        </w:rPr>
        <w:t xml:space="preserve"> توفير فرص العمل.</w:t>
      </w:r>
    </w:p>
    <w:p w:rsidR="00FF5D75" w:rsidRPr="00C82D17" w:rsidRDefault="00FF5D75" w:rsidP="007C54DD">
      <w:pPr>
        <w:pStyle w:val="Reasons"/>
        <w:rPr>
          <w:b w:val="0"/>
          <w:bCs w:val="0"/>
          <w:rtl/>
        </w:rPr>
      </w:pPr>
    </w:p>
    <w:p w:rsidR="00B750BB" w:rsidRDefault="00B750BB" w:rsidP="00B750BB">
      <w:pPr>
        <w:spacing w:before="600"/>
        <w:jc w:val="center"/>
        <w:rPr>
          <w:rtl/>
          <w:lang w:bidi="ar-EG"/>
        </w:rPr>
      </w:pPr>
      <w:r>
        <w:rPr>
          <w:rtl/>
          <w:lang w:bidi="ar-EG"/>
        </w:rPr>
        <w:t>___________</w:t>
      </w:r>
    </w:p>
    <w:sectPr w:rsidR="00B750BB" w:rsidSect="008B5B5D">
      <w:headerReference w:type="default" r:id="rId14"/>
      <w:footerReference w:type="default" r:id="rId15"/>
      <w:footerReference w:type="first" r:id="rId1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D75" w:rsidRDefault="00FF5D75" w:rsidP="00E07379">
      <w:pPr>
        <w:spacing w:before="0" w:line="240" w:lineRule="auto"/>
      </w:pPr>
      <w:r>
        <w:separator/>
      </w:r>
    </w:p>
  </w:endnote>
  <w:endnote w:type="continuationSeparator" w:id="0">
    <w:p w:rsidR="00FF5D75" w:rsidRDefault="00FF5D75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75" w:rsidRPr="004565AA" w:rsidRDefault="00FF5D75" w:rsidP="00B27E49">
    <w:pPr>
      <w:tabs>
        <w:tab w:val="clear" w:pos="1134"/>
        <w:tab w:val="left" w:pos="5529"/>
        <w:tab w:val="right" w:pos="9639"/>
      </w:tabs>
      <w:bidi w:val="0"/>
      <w:spacing w:line="240" w:lineRule="auto"/>
      <w:rPr>
        <w:lang w:val="es-ES"/>
      </w:rPr>
    </w:pPr>
    <w:r w:rsidRPr="0056509A">
      <w:rPr>
        <w:rFonts w:eastAsiaTheme="minorEastAsia" w:cs="Calibri"/>
        <w:sz w:val="16"/>
        <w:szCs w:val="16"/>
        <w:lang w:val="en-GB" w:eastAsia="zh-CN"/>
      </w:rPr>
      <w:fldChar w:fldCharType="begin"/>
    </w:r>
    <w:r w:rsidRPr="0056509A">
      <w:rPr>
        <w:rFonts w:eastAsiaTheme="minorEastAsia" w:cs="Calibri"/>
        <w:sz w:val="16"/>
        <w:szCs w:val="16"/>
        <w:lang w:val="es-ES" w:eastAsia="zh-CN"/>
      </w:rPr>
      <w:instrText xml:space="preserve"> FILENAME \p \* MERGEFORMAT </w:instrText>
    </w:r>
    <w:r w:rsidRPr="0056509A">
      <w:rPr>
        <w:rFonts w:eastAsiaTheme="minorEastAsia" w:cs="Calibri"/>
        <w:sz w:val="16"/>
        <w:szCs w:val="16"/>
        <w:lang w:val="en-GB" w:eastAsia="zh-CN"/>
      </w:rPr>
      <w:fldChar w:fldCharType="separate"/>
    </w:r>
    <w:r w:rsidR="00B27E49">
      <w:rPr>
        <w:rFonts w:eastAsiaTheme="minorEastAsia" w:cs="Calibri"/>
        <w:noProof/>
        <w:sz w:val="16"/>
        <w:szCs w:val="16"/>
        <w:lang w:val="es-ES" w:eastAsia="zh-CN"/>
      </w:rPr>
      <w:t>P:\ARA\ITU-D\CONF-D\TDAG17\000\040A.docx</w:t>
    </w:r>
    <w:r w:rsidRPr="0056509A">
      <w:rPr>
        <w:rFonts w:eastAsiaTheme="minorEastAsia" w:cs="Calibri"/>
        <w:sz w:val="16"/>
        <w:szCs w:val="16"/>
        <w:lang w:eastAsia="zh-CN"/>
      </w:rPr>
      <w:fldChar w:fldCharType="end"/>
    </w:r>
    <w:r w:rsidR="00B27E49">
      <w:rPr>
        <w:rFonts w:eastAsiaTheme="minorEastAsia" w:cs="Calibri"/>
        <w:sz w:val="16"/>
        <w:szCs w:val="16"/>
        <w:lang w:val="es-ES" w:eastAsia="zh-CN"/>
      </w:rPr>
      <w:t>   </w:t>
    </w:r>
    <w:r w:rsidRPr="0056509A">
      <w:rPr>
        <w:rFonts w:eastAsiaTheme="minorEastAsia" w:cs="Calibri"/>
        <w:sz w:val="16"/>
        <w:szCs w:val="16"/>
        <w:lang w:val="es-ES" w:eastAsia="zh-CN"/>
      </w:rPr>
      <w:t>(</w:t>
    </w:r>
    <w:r>
      <w:rPr>
        <w:rFonts w:eastAsiaTheme="minorEastAsia" w:cs="Calibri"/>
        <w:sz w:val="16"/>
        <w:szCs w:val="16"/>
        <w:lang w:val="es-ES" w:eastAsia="zh-CN"/>
      </w:rPr>
      <w:t>416124</w:t>
    </w:r>
    <w:r w:rsidRPr="0056509A">
      <w:rPr>
        <w:rFonts w:eastAsiaTheme="minorEastAsia" w:cs="Calibri"/>
        <w:sz w:val="16"/>
        <w:szCs w:val="16"/>
        <w:lang w:val="es-ES" w:eastAsia="zh-CN"/>
      </w:rPr>
      <w:t>)</w:t>
    </w:r>
    <w:r w:rsidRPr="0056509A">
      <w:rPr>
        <w:rFonts w:eastAsiaTheme="minorEastAsia" w:cs="Calibri"/>
        <w:sz w:val="16"/>
        <w:szCs w:val="16"/>
        <w:lang w:val="es-ES" w:eastAsia="zh-CN"/>
      </w:rPr>
      <w:tab/>
    </w:r>
    <w:r w:rsidRPr="0056509A">
      <w:rPr>
        <w:rFonts w:eastAsiaTheme="minorEastAsia" w:cs="Calibri"/>
        <w:sz w:val="16"/>
        <w:szCs w:val="16"/>
        <w:lang w:val="en-GB" w:eastAsia="zh-CN"/>
      </w:rPr>
      <w:fldChar w:fldCharType="begin"/>
    </w:r>
    <w:r w:rsidRPr="0056509A">
      <w:rPr>
        <w:rFonts w:eastAsiaTheme="minorEastAsia" w:cs="Calibri"/>
        <w:sz w:val="16"/>
        <w:szCs w:val="16"/>
        <w:lang w:val="en-GB" w:eastAsia="zh-CN"/>
      </w:rPr>
      <w:instrText xml:space="preserve"> savedate \@ dd.MM.yy </w:instrText>
    </w:r>
    <w:r w:rsidRPr="0056509A">
      <w:rPr>
        <w:rFonts w:eastAsiaTheme="minorEastAsia" w:cs="Calibri"/>
        <w:sz w:val="16"/>
        <w:szCs w:val="16"/>
        <w:lang w:val="en-GB" w:eastAsia="zh-CN"/>
      </w:rPr>
      <w:fldChar w:fldCharType="separate"/>
    </w:r>
    <w:r w:rsidR="00B27E49">
      <w:rPr>
        <w:rFonts w:eastAsiaTheme="minorEastAsia" w:cs="Calibri"/>
        <w:noProof/>
        <w:sz w:val="16"/>
        <w:szCs w:val="16"/>
        <w:lang w:val="en-GB" w:eastAsia="zh-CN"/>
      </w:rPr>
      <w:t>05.05.17</w:t>
    </w:r>
    <w:r w:rsidRPr="0056509A">
      <w:rPr>
        <w:rFonts w:eastAsiaTheme="minorEastAsia" w:cs="Calibri"/>
        <w:sz w:val="16"/>
        <w:szCs w:val="16"/>
        <w:lang w:eastAsia="zh-CN"/>
      </w:rPr>
      <w:fldChar w:fldCharType="end"/>
    </w:r>
    <w:r w:rsidRPr="0056509A">
      <w:rPr>
        <w:rFonts w:eastAsiaTheme="minorEastAsia" w:cs="Calibri"/>
        <w:sz w:val="16"/>
        <w:szCs w:val="16"/>
        <w:lang w:val="es-ES" w:eastAsia="zh-CN"/>
      </w:rPr>
      <w:tab/>
    </w:r>
    <w:r w:rsidRPr="0056509A">
      <w:rPr>
        <w:rFonts w:eastAsiaTheme="minorEastAsia" w:cs="Calibri"/>
        <w:sz w:val="16"/>
        <w:szCs w:val="16"/>
        <w:lang w:val="en-GB" w:eastAsia="zh-CN"/>
      </w:rPr>
      <w:fldChar w:fldCharType="begin"/>
    </w:r>
    <w:r w:rsidRPr="0056509A">
      <w:rPr>
        <w:rFonts w:eastAsiaTheme="minorEastAsia" w:cs="Calibri"/>
        <w:sz w:val="16"/>
        <w:szCs w:val="16"/>
        <w:lang w:val="en-GB" w:eastAsia="zh-CN"/>
      </w:rPr>
      <w:instrText xml:space="preserve"> printdate \@ dd.MM.yy </w:instrText>
    </w:r>
    <w:r w:rsidRPr="0056509A">
      <w:rPr>
        <w:rFonts w:eastAsiaTheme="minorEastAsia" w:cs="Calibri"/>
        <w:sz w:val="16"/>
        <w:szCs w:val="16"/>
        <w:lang w:val="en-GB" w:eastAsia="zh-CN"/>
      </w:rPr>
      <w:fldChar w:fldCharType="separate"/>
    </w:r>
    <w:r w:rsidR="00B27E49">
      <w:rPr>
        <w:rFonts w:eastAsiaTheme="minorEastAsia" w:cs="Calibri"/>
        <w:noProof/>
        <w:sz w:val="16"/>
        <w:szCs w:val="16"/>
        <w:lang w:val="en-GB" w:eastAsia="zh-CN"/>
      </w:rPr>
      <w:t>13.03.17</w:t>
    </w:r>
    <w:r w:rsidRPr="0056509A">
      <w:rPr>
        <w:rFonts w:eastAsiaTheme="minorEastAsia" w:cs="Calibri"/>
        <w:sz w:val="16"/>
        <w:szCs w:val="16"/>
        <w:lang w:eastAsia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75" w:rsidRPr="00CB30F8" w:rsidRDefault="00B27E49" w:rsidP="0056509A">
    <w:pPr>
      <w:tabs>
        <w:tab w:val="clear" w:pos="1134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  <w:rPr>
        <w:rFonts w:cs="Times New Roman"/>
        <w:caps/>
        <w:noProof/>
        <w:sz w:val="16"/>
        <w:szCs w:val="20"/>
        <w:lang w:val="fr-FR"/>
      </w:rPr>
    </w:pPr>
    <w:hyperlink r:id="rId1" w:history="1">
      <w:r w:rsidR="00FF5D75" w:rsidRPr="00CB30F8">
        <w:rPr>
          <w:rFonts w:cs="Times New Roman"/>
          <w:color w:val="0000FF"/>
          <w:sz w:val="18"/>
          <w:szCs w:val="18"/>
          <w:u w:val="single"/>
        </w:rPr>
        <w:t>http://www.itu.int/ITU-D/TDAG/</w:t>
      </w:r>
    </w:hyperlink>
    <w:hyperlink r:id="rId2" w:history="1"/>
  </w:p>
  <w:p w:rsidR="00FF5D75" w:rsidRPr="004565AA" w:rsidRDefault="00FF5D75" w:rsidP="00B27E49">
    <w:pPr>
      <w:tabs>
        <w:tab w:val="clear" w:pos="1134"/>
        <w:tab w:val="left" w:pos="5529"/>
        <w:tab w:val="right" w:pos="9639"/>
      </w:tabs>
      <w:bidi w:val="0"/>
      <w:spacing w:line="240" w:lineRule="auto"/>
      <w:rPr>
        <w:vanish/>
        <w:lang w:val="es-ES"/>
      </w:rPr>
    </w:pPr>
    <w:r w:rsidRPr="0056509A">
      <w:rPr>
        <w:rFonts w:eastAsiaTheme="minorEastAsia" w:cs="Calibri"/>
        <w:vanish/>
        <w:sz w:val="16"/>
        <w:szCs w:val="16"/>
        <w:lang w:val="en-GB" w:eastAsia="zh-CN"/>
      </w:rPr>
      <w:fldChar w:fldCharType="begin"/>
    </w:r>
    <w:r w:rsidRPr="0056509A">
      <w:rPr>
        <w:rFonts w:eastAsiaTheme="minorEastAsia" w:cs="Calibri"/>
        <w:vanish/>
        <w:sz w:val="16"/>
        <w:szCs w:val="16"/>
        <w:lang w:val="es-ES" w:eastAsia="zh-CN"/>
      </w:rPr>
      <w:instrText xml:space="preserve"> FILENAME \p \* MERGEFORMAT </w:instrText>
    </w:r>
    <w:r w:rsidRPr="0056509A">
      <w:rPr>
        <w:rFonts w:eastAsiaTheme="minorEastAsia" w:cs="Calibri"/>
        <w:vanish/>
        <w:sz w:val="16"/>
        <w:szCs w:val="16"/>
        <w:lang w:val="en-GB" w:eastAsia="zh-CN"/>
      </w:rPr>
      <w:fldChar w:fldCharType="separate"/>
    </w:r>
    <w:r w:rsidR="007C3F65">
      <w:rPr>
        <w:rFonts w:eastAsiaTheme="minorEastAsia" w:cs="Calibri"/>
        <w:noProof/>
        <w:vanish/>
        <w:sz w:val="16"/>
        <w:szCs w:val="16"/>
        <w:lang w:val="es-ES" w:eastAsia="zh-CN"/>
      </w:rPr>
      <w:t>P:\ARA\ITU-D\CONF-D\TDAG17\000\040A.docx</w:t>
    </w:r>
    <w:r w:rsidRPr="0056509A">
      <w:rPr>
        <w:rFonts w:eastAsiaTheme="minorEastAsia" w:cs="Calibri"/>
        <w:vanish/>
        <w:sz w:val="16"/>
        <w:szCs w:val="16"/>
        <w:lang w:eastAsia="zh-CN"/>
      </w:rPr>
      <w:fldChar w:fldCharType="end"/>
    </w:r>
    <w:r w:rsidR="00B27E49">
      <w:rPr>
        <w:rFonts w:eastAsiaTheme="minorEastAsia" w:cs="Calibri"/>
        <w:vanish/>
        <w:sz w:val="16"/>
        <w:szCs w:val="16"/>
        <w:lang w:val="es-ES" w:eastAsia="zh-CN"/>
      </w:rPr>
      <w:t>   </w:t>
    </w:r>
    <w:r w:rsidRPr="0056509A">
      <w:rPr>
        <w:rFonts w:eastAsiaTheme="minorEastAsia" w:cs="Calibri"/>
        <w:vanish/>
        <w:sz w:val="16"/>
        <w:szCs w:val="16"/>
        <w:lang w:val="es-ES" w:eastAsia="zh-CN"/>
      </w:rPr>
      <w:t>(</w:t>
    </w:r>
    <w:r>
      <w:rPr>
        <w:rFonts w:eastAsiaTheme="minorEastAsia" w:cs="Calibri"/>
        <w:vanish/>
        <w:sz w:val="16"/>
        <w:szCs w:val="16"/>
        <w:lang w:val="es-ES" w:eastAsia="zh-CN"/>
      </w:rPr>
      <w:t>416124</w:t>
    </w:r>
    <w:r w:rsidRPr="0056509A">
      <w:rPr>
        <w:rFonts w:eastAsiaTheme="minorEastAsia" w:cs="Calibri"/>
        <w:vanish/>
        <w:sz w:val="16"/>
        <w:szCs w:val="16"/>
        <w:lang w:val="es-ES" w:eastAsia="zh-CN"/>
      </w:rPr>
      <w:t>)</w:t>
    </w:r>
    <w:r w:rsidRPr="0056509A">
      <w:rPr>
        <w:rFonts w:eastAsiaTheme="minorEastAsia" w:cs="Calibri"/>
        <w:vanish/>
        <w:sz w:val="16"/>
        <w:szCs w:val="16"/>
        <w:lang w:val="es-ES" w:eastAsia="zh-CN"/>
      </w:rPr>
      <w:tab/>
    </w:r>
    <w:r w:rsidRPr="0056509A">
      <w:rPr>
        <w:rFonts w:eastAsiaTheme="minorEastAsia" w:cs="Calibri"/>
        <w:vanish/>
        <w:sz w:val="16"/>
        <w:szCs w:val="16"/>
        <w:lang w:val="en-GB" w:eastAsia="zh-CN"/>
      </w:rPr>
      <w:fldChar w:fldCharType="begin"/>
    </w:r>
    <w:r w:rsidRPr="0056509A">
      <w:rPr>
        <w:rFonts w:eastAsiaTheme="minorEastAsia" w:cs="Calibri"/>
        <w:vanish/>
        <w:sz w:val="16"/>
        <w:szCs w:val="16"/>
        <w:lang w:val="en-GB" w:eastAsia="zh-CN"/>
      </w:rPr>
      <w:instrText xml:space="preserve"> savedate \@ dd.MM.yy </w:instrText>
    </w:r>
    <w:r w:rsidRPr="0056509A">
      <w:rPr>
        <w:rFonts w:eastAsiaTheme="minorEastAsia" w:cs="Calibri"/>
        <w:vanish/>
        <w:sz w:val="16"/>
        <w:szCs w:val="16"/>
        <w:lang w:val="en-GB" w:eastAsia="zh-CN"/>
      </w:rPr>
      <w:fldChar w:fldCharType="separate"/>
    </w:r>
    <w:r w:rsidR="007F22EA">
      <w:rPr>
        <w:rFonts w:eastAsiaTheme="minorEastAsia" w:cs="Calibri"/>
        <w:noProof/>
        <w:vanish/>
        <w:sz w:val="16"/>
        <w:szCs w:val="16"/>
        <w:lang w:val="en-GB" w:eastAsia="zh-CN"/>
      </w:rPr>
      <w:t>04.05.17</w:t>
    </w:r>
    <w:r w:rsidRPr="0056509A">
      <w:rPr>
        <w:rFonts w:eastAsiaTheme="minorEastAsia" w:cs="Calibri"/>
        <w:vanish/>
        <w:sz w:val="16"/>
        <w:szCs w:val="16"/>
        <w:lang w:eastAsia="zh-CN"/>
      </w:rPr>
      <w:fldChar w:fldCharType="end"/>
    </w:r>
    <w:r w:rsidRPr="0056509A">
      <w:rPr>
        <w:rFonts w:eastAsiaTheme="minorEastAsia" w:cs="Calibri"/>
        <w:vanish/>
        <w:sz w:val="16"/>
        <w:szCs w:val="16"/>
        <w:lang w:val="es-ES" w:eastAsia="zh-CN"/>
      </w:rPr>
      <w:tab/>
    </w:r>
    <w:r w:rsidRPr="0056509A">
      <w:rPr>
        <w:rFonts w:eastAsiaTheme="minorEastAsia" w:cs="Calibri"/>
        <w:vanish/>
        <w:sz w:val="16"/>
        <w:szCs w:val="16"/>
        <w:lang w:val="en-GB" w:eastAsia="zh-CN"/>
      </w:rPr>
      <w:fldChar w:fldCharType="begin"/>
    </w:r>
    <w:r w:rsidRPr="0056509A">
      <w:rPr>
        <w:rFonts w:eastAsiaTheme="minorEastAsia" w:cs="Calibri"/>
        <w:vanish/>
        <w:sz w:val="16"/>
        <w:szCs w:val="16"/>
        <w:lang w:val="en-GB" w:eastAsia="zh-CN"/>
      </w:rPr>
      <w:instrText xml:space="preserve"> printdate \@ dd.MM.yy </w:instrText>
    </w:r>
    <w:r w:rsidRPr="0056509A">
      <w:rPr>
        <w:rFonts w:eastAsiaTheme="minorEastAsia" w:cs="Calibri"/>
        <w:vanish/>
        <w:sz w:val="16"/>
        <w:szCs w:val="16"/>
        <w:lang w:val="en-GB" w:eastAsia="zh-CN"/>
      </w:rPr>
      <w:fldChar w:fldCharType="separate"/>
    </w:r>
    <w:r w:rsidR="007C3F65">
      <w:rPr>
        <w:rFonts w:eastAsiaTheme="minorEastAsia" w:cs="Calibri"/>
        <w:noProof/>
        <w:vanish/>
        <w:sz w:val="16"/>
        <w:szCs w:val="16"/>
        <w:lang w:val="en-GB" w:eastAsia="zh-CN"/>
      </w:rPr>
      <w:t>13.03.17</w:t>
    </w:r>
    <w:r w:rsidRPr="0056509A">
      <w:rPr>
        <w:rFonts w:eastAsiaTheme="minorEastAsia" w:cs="Calibri"/>
        <w:vanish/>
        <w:sz w:val="16"/>
        <w:szCs w:val="16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D75" w:rsidRDefault="00FF5D75" w:rsidP="00E07379">
      <w:pPr>
        <w:spacing w:before="0" w:line="240" w:lineRule="auto"/>
      </w:pPr>
      <w:r>
        <w:separator/>
      </w:r>
    </w:p>
  </w:footnote>
  <w:footnote w:type="continuationSeparator" w:id="0">
    <w:p w:rsidR="00FF5D75" w:rsidRDefault="00FF5D75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75" w:rsidRPr="007F22EA" w:rsidRDefault="00FF5D75" w:rsidP="00FF5D75">
    <w:pPr>
      <w:pStyle w:val="Header"/>
      <w:tabs>
        <w:tab w:val="clear" w:pos="4680"/>
        <w:tab w:val="clear" w:pos="9360"/>
        <w:tab w:val="center" w:pos="4819"/>
        <w:tab w:val="right" w:pos="9639"/>
      </w:tabs>
      <w:spacing w:before="120" w:after="240"/>
      <w:rPr>
        <w:rtl/>
        <w:lang w:bidi="ar-EG"/>
      </w:rPr>
    </w:pPr>
    <w:r w:rsidRPr="007F22EA">
      <w:tab/>
      <w:t>ITU-D/TDAG17-22/40-A</w:t>
    </w:r>
    <w:r w:rsidRPr="007F22EA">
      <w:rPr>
        <w:rtl/>
        <w:lang w:bidi="ar-EG"/>
      </w:rPr>
      <w:tab/>
    </w:r>
    <w:r w:rsidRPr="007F22EA">
      <w:rPr>
        <w:rFonts w:hint="cs"/>
        <w:rtl/>
      </w:rPr>
      <w:t xml:space="preserve">الصفحة </w:t>
    </w:r>
    <w:r w:rsidRPr="007F22EA">
      <w:rPr>
        <w:szCs w:val="22"/>
        <w:lang w:val="en-GB"/>
      </w:rPr>
      <w:fldChar w:fldCharType="begin"/>
    </w:r>
    <w:r w:rsidRPr="007F22EA">
      <w:rPr>
        <w:szCs w:val="22"/>
        <w:lang w:val="en-GB"/>
      </w:rPr>
      <w:instrText xml:space="preserve"> PAGE </w:instrText>
    </w:r>
    <w:r w:rsidRPr="007F22EA">
      <w:rPr>
        <w:szCs w:val="22"/>
        <w:lang w:val="en-GB"/>
      </w:rPr>
      <w:fldChar w:fldCharType="separate"/>
    </w:r>
    <w:r w:rsidR="00B27E49">
      <w:rPr>
        <w:noProof/>
        <w:szCs w:val="22"/>
        <w:rtl/>
        <w:lang w:val="en-GB"/>
      </w:rPr>
      <w:t>2</w:t>
    </w:r>
    <w:r w:rsidRPr="007F22EA">
      <w:rPr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2C"/>
    <w:rsid w:val="000124CC"/>
    <w:rsid w:val="00041F8B"/>
    <w:rsid w:val="00042A87"/>
    <w:rsid w:val="00046444"/>
    <w:rsid w:val="0004672C"/>
    <w:rsid w:val="0006023B"/>
    <w:rsid w:val="000852C7"/>
    <w:rsid w:val="000859DE"/>
    <w:rsid w:val="0008638B"/>
    <w:rsid w:val="00090574"/>
    <w:rsid w:val="00092FC2"/>
    <w:rsid w:val="000A1677"/>
    <w:rsid w:val="000B407F"/>
    <w:rsid w:val="000C13C2"/>
    <w:rsid w:val="000D3BEF"/>
    <w:rsid w:val="000E2988"/>
    <w:rsid w:val="000F0B1C"/>
    <w:rsid w:val="000F1D42"/>
    <w:rsid w:val="000F4D07"/>
    <w:rsid w:val="00102A03"/>
    <w:rsid w:val="001040A3"/>
    <w:rsid w:val="00127508"/>
    <w:rsid w:val="00173915"/>
    <w:rsid w:val="00186911"/>
    <w:rsid w:val="001B15EC"/>
    <w:rsid w:val="0022345D"/>
    <w:rsid w:val="00225854"/>
    <w:rsid w:val="0023283D"/>
    <w:rsid w:val="002462AD"/>
    <w:rsid w:val="00252E0C"/>
    <w:rsid w:val="00267E17"/>
    <w:rsid w:val="00276881"/>
    <w:rsid w:val="002916BE"/>
    <w:rsid w:val="002978F4"/>
    <w:rsid w:val="002B028D"/>
    <w:rsid w:val="002B435E"/>
    <w:rsid w:val="002C4DAE"/>
    <w:rsid w:val="002D4DD1"/>
    <w:rsid w:val="002D6488"/>
    <w:rsid w:val="002D6669"/>
    <w:rsid w:val="002E6541"/>
    <w:rsid w:val="002F2E3A"/>
    <w:rsid w:val="002F3666"/>
    <w:rsid w:val="002F5560"/>
    <w:rsid w:val="002F7232"/>
    <w:rsid w:val="0030486B"/>
    <w:rsid w:val="0030686C"/>
    <w:rsid w:val="003231B9"/>
    <w:rsid w:val="003275AC"/>
    <w:rsid w:val="00333D29"/>
    <w:rsid w:val="00336E41"/>
    <w:rsid w:val="003409F4"/>
    <w:rsid w:val="00357185"/>
    <w:rsid w:val="003C475F"/>
    <w:rsid w:val="003E4132"/>
    <w:rsid w:val="003E5E3F"/>
    <w:rsid w:val="003E78B0"/>
    <w:rsid w:val="003F678F"/>
    <w:rsid w:val="0042686F"/>
    <w:rsid w:val="004367CE"/>
    <w:rsid w:val="004428D5"/>
    <w:rsid w:val="00443869"/>
    <w:rsid w:val="004565AA"/>
    <w:rsid w:val="004712C6"/>
    <w:rsid w:val="00497703"/>
    <w:rsid w:val="004D5970"/>
    <w:rsid w:val="004F0F06"/>
    <w:rsid w:val="00501E0E"/>
    <w:rsid w:val="005115FF"/>
    <w:rsid w:val="00517481"/>
    <w:rsid w:val="005204D7"/>
    <w:rsid w:val="00530420"/>
    <w:rsid w:val="005350B1"/>
    <w:rsid w:val="00552BC5"/>
    <w:rsid w:val="0055516A"/>
    <w:rsid w:val="0056374C"/>
    <w:rsid w:val="0056509A"/>
    <w:rsid w:val="0056614F"/>
    <w:rsid w:val="0056708C"/>
    <w:rsid w:val="0057656F"/>
    <w:rsid w:val="00576731"/>
    <w:rsid w:val="00584424"/>
    <w:rsid w:val="0059285F"/>
    <w:rsid w:val="005A24B1"/>
    <w:rsid w:val="005B7B8A"/>
    <w:rsid w:val="005C1F73"/>
    <w:rsid w:val="005D6476"/>
    <w:rsid w:val="005D6C0D"/>
    <w:rsid w:val="005E5283"/>
    <w:rsid w:val="005E58F5"/>
    <w:rsid w:val="00606660"/>
    <w:rsid w:val="006157A3"/>
    <w:rsid w:val="00617F70"/>
    <w:rsid w:val="00620E60"/>
    <w:rsid w:val="0063315A"/>
    <w:rsid w:val="0064692F"/>
    <w:rsid w:val="0065591D"/>
    <w:rsid w:val="00662C5A"/>
    <w:rsid w:val="00666C28"/>
    <w:rsid w:val="00670AF5"/>
    <w:rsid w:val="006B49E4"/>
    <w:rsid w:val="006C1556"/>
    <w:rsid w:val="006C2C84"/>
    <w:rsid w:val="006E77E7"/>
    <w:rsid w:val="006F267F"/>
    <w:rsid w:val="006F63F7"/>
    <w:rsid w:val="006F6F03"/>
    <w:rsid w:val="00706D7A"/>
    <w:rsid w:val="00707FC4"/>
    <w:rsid w:val="00726AEC"/>
    <w:rsid w:val="007530CA"/>
    <w:rsid w:val="00762AD9"/>
    <w:rsid w:val="00792EFC"/>
    <w:rsid w:val="0079553D"/>
    <w:rsid w:val="007A03CD"/>
    <w:rsid w:val="007A3826"/>
    <w:rsid w:val="007B0163"/>
    <w:rsid w:val="007B01CC"/>
    <w:rsid w:val="007C3F65"/>
    <w:rsid w:val="007C54DD"/>
    <w:rsid w:val="007E7C6C"/>
    <w:rsid w:val="007F1D8A"/>
    <w:rsid w:val="007F22EA"/>
    <w:rsid w:val="007F394E"/>
    <w:rsid w:val="007F4AB4"/>
    <w:rsid w:val="007F5E80"/>
    <w:rsid w:val="007F6238"/>
    <w:rsid w:val="007F646C"/>
    <w:rsid w:val="00801AD6"/>
    <w:rsid w:val="00801FCD"/>
    <w:rsid w:val="00803D7E"/>
    <w:rsid w:val="00803F08"/>
    <w:rsid w:val="00806E91"/>
    <w:rsid w:val="008235CD"/>
    <w:rsid w:val="00823A07"/>
    <w:rsid w:val="00835FEC"/>
    <w:rsid w:val="008513CB"/>
    <w:rsid w:val="00874D9C"/>
    <w:rsid w:val="008A1810"/>
    <w:rsid w:val="008B0945"/>
    <w:rsid w:val="008B5B5D"/>
    <w:rsid w:val="008F591E"/>
    <w:rsid w:val="0090431F"/>
    <w:rsid w:val="00917694"/>
    <w:rsid w:val="00923199"/>
    <w:rsid w:val="009263CD"/>
    <w:rsid w:val="00930E6D"/>
    <w:rsid w:val="00936346"/>
    <w:rsid w:val="00972CA2"/>
    <w:rsid w:val="00982B28"/>
    <w:rsid w:val="00984EA5"/>
    <w:rsid w:val="00992593"/>
    <w:rsid w:val="009C17E1"/>
    <w:rsid w:val="009C35ED"/>
    <w:rsid w:val="009F1C12"/>
    <w:rsid w:val="00A124CB"/>
    <w:rsid w:val="00A2167A"/>
    <w:rsid w:val="00A25A43"/>
    <w:rsid w:val="00A325D8"/>
    <w:rsid w:val="00A3295B"/>
    <w:rsid w:val="00A42AE5"/>
    <w:rsid w:val="00A52B61"/>
    <w:rsid w:val="00A64820"/>
    <w:rsid w:val="00A71DD6"/>
    <w:rsid w:val="00A723C7"/>
    <w:rsid w:val="00A7395B"/>
    <w:rsid w:val="00A80E11"/>
    <w:rsid w:val="00A82652"/>
    <w:rsid w:val="00A97F94"/>
    <w:rsid w:val="00AA6BF1"/>
    <w:rsid w:val="00AB1309"/>
    <w:rsid w:val="00AC2C52"/>
    <w:rsid w:val="00AD1503"/>
    <w:rsid w:val="00AE7244"/>
    <w:rsid w:val="00AF0FF1"/>
    <w:rsid w:val="00AF3FEE"/>
    <w:rsid w:val="00B02F46"/>
    <w:rsid w:val="00B2000C"/>
    <w:rsid w:val="00B20ADE"/>
    <w:rsid w:val="00B27E49"/>
    <w:rsid w:val="00B66B9A"/>
    <w:rsid w:val="00B750BB"/>
    <w:rsid w:val="00B7532D"/>
    <w:rsid w:val="00B82089"/>
    <w:rsid w:val="00B970AE"/>
    <w:rsid w:val="00BA1427"/>
    <w:rsid w:val="00BD2824"/>
    <w:rsid w:val="00BD34D9"/>
    <w:rsid w:val="00BE49D0"/>
    <w:rsid w:val="00BF2C38"/>
    <w:rsid w:val="00C23331"/>
    <w:rsid w:val="00C265DA"/>
    <w:rsid w:val="00C32B14"/>
    <w:rsid w:val="00C442F2"/>
    <w:rsid w:val="00C6519B"/>
    <w:rsid w:val="00C674FE"/>
    <w:rsid w:val="00C7297D"/>
    <w:rsid w:val="00C75633"/>
    <w:rsid w:val="00C8242E"/>
    <w:rsid w:val="00C82615"/>
    <w:rsid w:val="00C82D17"/>
    <w:rsid w:val="00C867DB"/>
    <w:rsid w:val="00CA2A38"/>
    <w:rsid w:val="00CA50FF"/>
    <w:rsid w:val="00CB6960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25E0A"/>
    <w:rsid w:val="00D45542"/>
    <w:rsid w:val="00D50683"/>
    <w:rsid w:val="00D76BE0"/>
    <w:rsid w:val="00D77D0F"/>
    <w:rsid w:val="00D94196"/>
    <w:rsid w:val="00DA1CF0"/>
    <w:rsid w:val="00DB2271"/>
    <w:rsid w:val="00DB5659"/>
    <w:rsid w:val="00DC24B4"/>
    <w:rsid w:val="00DC5E81"/>
    <w:rsid w:val="00DD7A05"/>
    <w:rsid w:val="00DE513F"/>
    <w:rsid w:val="00DF16DC"/>
    <w:rsid w:val="00DF5361"/>
    <w:rsid w:val="00E002E8"/>
    <w:rsid w:val="00E009A1"/>
    <w:rsid w:val="00E00D15"/>
    <w:rsid w:val="00E071BE"/>
    <w:rsid w:val="00E07379"/>
    <w:rsid w:val="00E14494"/>
    <w:rsid w:val="00E17033"/>
    <w:rsid w:val="00E205F4"/>
    <w:rsid w:val="00E22744"/>
    <w:rsid w:val="00E32189"/>
    <w:rsid w:val="00E33771"/>
    <w:rsid w:val="00E420FB"/>
    <w:rsid w:val="00E43560"/>
    <w:rsid w:val="00E45211"/>
    <w:rsid w:val="00E7380C"/>
    <w:rsid w:val="00E74BE7"/>
    <w:rsid w:val="00E86CC9"/>
    <w:rsid w:val="00E93D52"/>
    <w:rsid w:val="00E96624"/>
    <w:rsid w:val="00EC0529"/>
    <w:rsid w:val="00F126F1"/>
    <w:rsid w:val="00F2106A"/>
    <w:rsid w:val="00F36D8B"/>
    <w:rsid w:val="00F401D0"/>
    <w:rsid w:val="00F45F2B"/>
    <w:rsid w:val="00F57AE4"/>
    <w:rsid w:val="00F67150"/>
    <w:rsid w:val="00F71E96"/>
    <w:rsid w:val="00F81842"/>
    <w:rsid w:val="00F81C3A"/>
    <w:rsid w:val="00F84366"/>
    <w:rsid w:val="00F85089"/>
    <w:rsid w:val="00F85564"/>
    <w:rsid w:val="00F86CFA"/>
    <w:rsid w:val="00F93671"/>
    <w:rsid w:val="00FD58BD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FA64399C-CFD3-409A-827F-99B501B5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4D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2D6488"/>
    <w:pPr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after="60" w:line="340" w:lineRule="exact"/>
      <w:jc w:val="left"/>
      <w:textAlignment w:val="baseline"/>
    </w:pPr>
    <w:rPr>
      <w:b/>
      <w:bCs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2D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D14-RPMARB-C-0046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D14-RPMARB-C-0046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TDAG/Pages/default.aspx" TargetMode="External"/><Relationship Id="rId1" Type="http://schemas.openxmlformats.org/officeDocument/2006/relationships/hyperlink" Target="http://www.itu.int/ITU-D/TDA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de10a323-94a9-4e93-88b4-ea964576960d"/>
    <ds:schemaRef ds:uri="996b2e75-67fd-4955-a3b0-5ab9934cb50b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E02D44-79EC-44FA-A2C1-582204A5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Gergis, Mina</dc:creator>
  <cp:keywords>DPM_v2016.12.12.1_prod</cp:keywords>
  <dc:description>Template used by DPM and CPI for the WTSA-16</dc:description>
  <cp:lastModifiedBy>Awad, Samy</cp:lastModifiedBy>
  <cp:revision>36</cp:revision>
  <cp:lastPrinted>2017-03-13T12:32:00Z</cp:lastPrinted>
  <dcterms:created xsi:type="dcterms:W3CDTF">2017-05-04T13:07:00Z</dcterms:created>
  <dcterms:modified xsi:type="dcterms:W3CDTF">2017-05-05T10:21:00Z</dcterms:modified>
  <cp:category>Conference document</cp:category>
</cp:coreProperties>
</file>