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42"/>
        <w:tblW w:w="9889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1276"/>
        <w:gridCol w:w="5527"/>
        <w:gridCol w:w="3086"/>
      </w:tblGrid>
      <w:tr w:rsidR="00054016" w:rsidRPr="00BD7A1A" w:rsidTr="00054016">
        <w:trPr>
          <w:trHeight w:val="1134"/>
        </w:trPr>
        <w:tc>
          <w:tcPr>
            <w:tcW w:w="1276" w:type="dxa"/>
          </w:tcPr>
          <w:p w:rsidR="00054016" w:rsidRPr="00623F75" w:rsidRDefault="00054016" w:rsidP="005834D5">
            <w:pPr>
              <w:pStyle w:val="Heading1"/>
              <w:spacing w:before="120" w:after="120"/>
              <w:rPr>
                <w:sz w:val="36"/>
                <w:szCs w:val="36"/>
              </w:rPr>
            </w:pPr>
            <w:r w:rsidRPr="00CC1F10">
              <w:rPr>
                <w:noProof/>
                <w:color w:val="3399FF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794A024" wp14:editId="1BD089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7" w:type="dxa"/>
          </w:tcPr>
          <w:p w:rsidR="00054016" w:rsidRPr="00054016" w:rsidRDefault="00054016" w:rsidP="00BD7A1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="SimSun"/>
                <w:b/>
                <w:bCs/>
                <w:sz w:val="32"/>
                <w:szCs w:val="22"/>
              </w:rPr>
            </w:pPr>
            <w:r w:rsidRPr="00054016">
              <w:rPr>
                <w:rFonts w:ascii="SimSun" w:hAnsi="SimSun" w:cs="SimSun" w:hint="eastAsia"/>
                <w:b/>
                <w:bCs/>
                <w:sz w:val="32"/>
                <w:szCs w:val="22"/>
              </w:rPr>
              <w:t>电信发展顾问组</w:t>
            </w:r>
            <w:r w:rsidRPr="00054016">
              <w:rPr>
                <w:rFonts w:cs="SimSun"/>
                <w:b/>
                <w:bCs/>
                <w:sz w:val="32"/>
                <w:szCs w:val="22"/>
              </w:rPr>
              <w:t>（</w:t>
            </w:r>
            <w:r w:rsidRPr="00054016">
              <w:rPr>
                <w:rFonts w:cstheme="minorHAnsi"/>
                <w:b/>
                <w:bCs/>
                <w:sz w:val="32"/>
                <w:szCs w:val="22"/>
              </w:rPr>
              <w:t>TDAG</w:t>
            </w:r>
            <w:r w:rsidRPr="00054016">
              <w:rPr>
                <w:rFonts w:cs="SimSun"/>
                <w:b/>
                <w:bCs/>
                <w:sz w:val="32"/>
                <w:szCs w:val="22"/>
              </w:rPr>
              <w:t>）</w:t>
            </w:r>
          </w:p>
          <w:p w:rsidR="00054016" w:rsidRPr="00054016" w:rsidRDefault="00054016" w:rsidP="00503C2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360"/>
              <w:textAlignment w:val="auto"/>
              <w:rPr>
                <w:rFonts w:asciiTheme="minorHAnsi" w:eastAsiaTheme="majorEastAsia" w:hAnsiTheme="minorHAnsi" w:cstheme="minorHAnsi"/>
                <w:b/>
                <w:bCs/>
                <w:position w:val="6"/>
                <w:szCs w:val="24"/>
              </w:rPr>
            </w:pPr>
            <w:r w:rsidRPr="00054016">
              <w:rPr>
                <w:rFonts w:ascii="SimSun" w:hAnsi="SimSun" w:hint="eastAsia"/>
                <w:b/>
                <w:bCs/>
                <w:szCs w:val="24"/>
                <w:lang w:val="fr-CH"/>
              </w:rPr>
              <w:t>第</w:t>
            </w:r>
            <w:r w:rsidRPr="00054016">
              <w:rPr>
                <w:b/>
                <w:bCs/>
                <w:szCs w:val="24"/>
                <w:lang w:val="fr-CH"/>
              </w:rPr>
              <w:t>2</w:t>
            </w:r>
            <w:r w:rsidRPr="00054016">
              <w:rPr>
                <w:rFonts w:asciiTheme="minorHAnsi" w:hAnsiTheme="minorHAnsi"/>
                <w:b/>
                <w:bCs/>
                <w:szCs w:val="24"/>
                <w:lang w:val="fr-CH"/>
              </w:rPr>
              <w:t>2</w:t>
            </w:r>
            <w:r w:rsidRPr="00054016">
              <w:rPr>
                <w:rFonts w:ascii="SimSun" w:hAnsi="SimSun" w:hint="eastAsia"/>
                <w:b/>
                <w:bCs/>
                <w:szCs w:val="24"/>
                <w:lang w:val="fr-CH"/>
              </w:rPr>
              <w:t>次</w:t>
            </w:r>
            <w:r w:rsidRPr="00054016">
              <w:rPr>
                <w:rFonts w:ascii="SimSun" w:hAnsi="SimSun"/>
                <w:b/>
                <w:bCs/>
                <w:szCs w:val="24"/>
                <w:lang w:val="fr-CH"/>
              </w:rPr>
              <w:t>会议，</w:t>
            </w:r>
            <w:r w:rsidRPr="00054016">
              <w:rPr>
                <w:rFonts w:asciiTheme="minorHAnsi" w:hAnsiTheme="minorHAnsi"/>
                <w:b/>
                <w:bCs/>
                <w:szCs w:val="24"/>
              </w:rPr>
              <w:t>201</w:t>
            </w:r>
            <w:r w:rsidRPr="00054016">
              <w:rPr>
                <w:rFonts w:asciiTheme="minorHAnsi" w:hAnsiTheme="minorHAnsi"/>
                <w:b/>
                <w:bCs/>
                <w:szCs w:val="24"/>
                <w:lang w:val="en-US"/>
              </w:rPr>
              <w:t>7</w:t>
            </w:r>
            <w:r w:rsidRPr="00054016">
              <w:rPr>
                <w:rFonts w:ascii="SimSun" w:hAnsi="SimSun"/>
                <w:b/>
                <w:bCs/>
                <w:szCs w:val="24"/>
              </w:rPr>
              <w:t>年</w:t>
            </w:r>
            <w:r w:rsidRPr="00054016">
              <w:rPr>
                <w:rFonts w:asciiTheme="minorHAnsi" w:hAnsiTheme="minorHAnsi"/>
                <w:b/>
                <w:bCs/>
                <w:szCs w:val="24"/>
                <w:lang w:val="en-US"/>
              </w:rPr>
              <w:t>5</w:t>
            </w:r>
            <w:r w:rsidRPr="00054016">
              <w:rPr>
                <w:rFonts w:ascii="SimSun" w:hAnsi="SimSun"/>
                <w:b/>
                <w:bCs/>
                <w:szCs w:val="24"/>
              </w:rPr>
              <w:t>月</w:t>
            </w:r>
            <w:r w:rsidRPr="00054016">
              <w:rPr>
                <w:rFonts w:asciiTheme="minorHAnsi" w:hAnsiTheme="minorHAnsi"/>
                <w:b/>
                <w:bCs/>
                <w:szCs w:val="24"/>
                <w:lang w:val="en-US"/>
              </w:rPr>
              <w:t>9</w:t>
            </w:r>
            <w:r w:rsidRPr="00054016">
              <w:rPr>
                <w:rFonts w:asciiTheme="minorHAnsi" w:hAnsiTheme="minorHAnsi"/>
                <w:b/>
                <w:bCs/>
                <w:szCs w:val="24"/>
              </w:rPr>
              <w:t>-1</w:t>
            </w:r>
            <w:r w:rsidRPr="00054016">
              <w:rPr>
                <w:rFonts w:asciiTheme="minorHAnsi" w:hAnsiTheme="minorHAnsi"/>
                <w:b/>
                <w:bCs/>
                <w:szCs w:val="24"/>
                <w:lang w:val="en-US"/>
              </w:rPr>
              <w:t>2</w:t>
            </w:r>
            <w:r w:rsidRPr="00054016">
              <w:rPr>
                <w:rFonts w:ascii="SimSun" w:hAnsi="SimSun"/>
                <w:b/>
                <w:bCs/>
                <w:szCs w:val="24"/>
              </w:rPr>
              <w:t>日，日内瓦</w:t>
            </w:r>
          </w:p>
        </w:tc>
        <w:tc>
          <w:tcPr>
            <w:tcW w:w="3086" w:type="dxa"/>
            <w:vAlign w:val="center"/>
          </w:tcPr>
          <w:p w:rsidR="00054016" w:rsidRPr="00BD7A1A" w:rsidRDefault="00340B49" w:rsidP="00E93040">
            <w:pPr>
              <w:widowControl w:val="0"/>
              <w:spacing w:before="0"/>
              <w:rPr>
                <w:szCs w:val="22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5D745C41" wp14:editId="540412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-14605</wp:posOffset>
                  </wp:positionV>
                  <wp:extent cx="1788160" cy="831215"/>
                  <wp:effectExtent l="0" t="0" r="2540" b="6985"/>
                  <wp:wrapNone/>
                  <wp:docPr id="2" name="Picture 2" descr="C:\Users\murphy\AppData\Local\Microsoft\Windows\Temporary Internet Files\Content.Outlook\PQ94T9LJ\bd_C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rphy\AppData\Local\Microsoft\Windows\Temporary Internet Files\Content.Outlook\PQ94T9LJ\bd_C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34D5" w:rsidRPr="00892207" w:rsidTr="008129BB">
        <w:trPr>
          <w:trHeight w:val="238"/>
        </w:trPr>
        <w:tc>
          <w:tcPr>
            <w:tcW w:w="6803" w:type="dxa"/>
            <w:gridSpan w:val="2"/>
            <w:tcBorders>
              <w:top w:val="single" w:sz="12" w:space="0" w:color="auto"/>
            </w:tcBorders>
          </w:tcPr>
          <w:p w:rsidR="005834D5" w:rsidRPr="00892207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086" w:type="dxa"/>
            <w:tcBorders>
              <w:top w:val="single" w:sz="12" w:space="0" w:color="auto"/>
            </w:tcBorders>
          </w:tcPr>
          <w:p w:rsidR="005834D5" w:rsidRPr="00892207" w:rsidRDefault="005834D5" w:rsidP="00BD7A1A">
            <w:pPr>
              <w:widowControl w:val="0"/>
              <w:spacing w:before="0"/>
              <w:rPr>
                <w:rFonts w:asciiTheme="minorHAnsi" w:hAnsiTheme="minorHAnsi"/>
                <w:szCs w:val="24"/>
              </w:rPr>
            </w:pPr>
          </w:p>
        </w:tc>
      </w:tr>
      <w:tr w:rsidR="005834D5" w:rsidRPr="00892207" w:rsidTr="008129BB">
        <w:trPr>
          <w:trHeight w:val="80"/>
        </w:trPr>
        <w:tc>
          <w:tcPr>
            <w:tcW w:w="6803" w:type="dxa"/>
            <w:gridSpan w:val="2"/>
          </w:tcPr>
          <w:p w:rsidR="005834D5" w:rsidRPr="00892207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bCs/>
                <w:smallCaps/>
                <w:szCs w:val="24"/>
              </w:rPr>
            </w:pPr>
          </w:p>
        </w:tc>
        <w:tc>
          <w:tcPr>
            <w:tcW w:w="3086" w:type="dxa"/>
          </w:tcPr>
          <w:p w:rsidR="005834D5" w:rsidRPr="00892207" w:rsidRDefault="00170869" w:rsidP="00054016">
            <w:pPr>
              <w:widowControl w:val="0"/>
              <w:spacing w:before="0"/>
              <w:rPr>
                <w:rFonts w:asciiTheme="minorHAnsi" w:hAnsiTheme="minorHAnsi"/>
                <w:b/>
                <w:bCs/>
                <w:szCs w:val="24"/>
              </w:rPr>
            </w:pPr>
            <w:r w:rsidRPr="00616C29">
              <w:rPr>
                <w:rFonts w:ascii="SimSun" w:hAnsi="SimSun" w:cs="SimSun" w:hint="eastAsia"/>
                <w:b/>
                <w:szCs w:val="24"/>
                <w:lang w:val="en-AU"/>
              </w:rPr>
              <w:t>文件</w:t>
            </w:r>
            <w:r w:rsidRPr="00616C29">
              <w:rPr>
                <w:b/>
                <w:szCs w:val="24"/>
                <w:lang w:val="en-AU"/>
              </w:rPr>
              <w:t xml:space="preserve"> </w:t>
            </w:r>
            <w:bookmarkStart w:id="0" w:name="DocRef1"/>
            <w:bookmarkEnd w:id="0"/>
            <w:r>
              <w:rPr>
                <w:b/>
                <w:szCs w:val="24"/>
                <w:lang w:val="en-AU"/>
              </w:rPr>
              <w:t>TDAG17-22</w:t>
            </w:r>
            <w:r w:rsidRPr="00616C29">
              <w:rPr>
                <w:rFonts w:cstheme="minorHAnsi"/>
                <w:b/>
                <w:szCs w:val="24"/>
                <w:lang w:val="en-AU"/>
              </w:rPr>
              <w:t>/</w:t>
            </w:r>
            <w:bookmarkStart w:id="1" w:name="DocNo1"/>
            <w:bookmarkEnd w:id="1"/>
            <w:r w:rsidR="009D712D">
              <w:rPr>
                <w:rFonts w:cstheme="minorHAnsi"/>
                <w:b/>
                <w:szCs w:val="24"/>
                <w:lang w:val="en-US"/>
              </w:rPr>
              <w:t>31</w:t>
            </w:r>
            <w:r>
              <w:rPr>
                <w:rFonts w:cstheme="minorHAnsi"/>
                <w:b/>
                <w:szCs w:val="24"/>
                <w:lang w:val="en-AU"/>
              </w:rPr>
              <w:t>-C</w:t>
            </w:r>
          </w:p>
        </w:tc>
      </w:tr>
      <w:tr w:rsidR="005834D5" w:rsidRPr="00892207" w:rsidTr="008129BB">
        <w:tc>
          <w:tcPr>
            <w:tcW w:w="6803" w:type="dxa"/>
            <w:gridSpan w:val="2"/>
          </w:tcPr>
          <w:p w:rsidR="005834D5" w:rsidRPr="00892207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086" w:type="dxa"/>
          </w:tcPr>
          <w:p w:rsidR="005834D5" w:rsidRPr="00892207" w:rsidRDefault="00170869" w:rsidP="00161F03">
            <w:pPr>
              <w:widowControl w:val="0"/>
              <w:spacing w:before="0"/>
              <w:rPr>
                <w:rFonts w:asciiTheme="minorHAnsi" w:eastAsiaTheme="majorEastAsia" w:hAnsiTheme="minorHAnsi"/>
                <w:b/>
                <w:bCs/>
                <w:szCs w:val="24"/>
              </w:rPr>
            </w:pPr>
            <w:bookmarkStart w:id="2" w:name="CreationDate"/>
            <w:bookmarkEnd w:id="2"/>
            <w:r>
              <w:rPr>
                <w:rFonts w:asciiTheme="minorHAnsi" w:eastAsiaTheme="majorEastAsia" w:hAnsiTheme="minorHAnsi" w:hint="eastAsia"/>
                <w:b/>
                <w:bCs/>
                <w:szCs w:val="24"/>
                <w:lang w:val="en-US"/>
              </w:rPr>
              <w:t>2</w:t>
            </w:r>
            <w:r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017</w:t>
            </w:r>
            <w:r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年</w:t>
            </w:r>
            <w:r w:rsidR="00161F03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5</w:t>
            </w:r>
            <w:r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月</w:t>
            </w:r>
            <w:r w:rsidR="001625F0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1</w:t>
            </w:r>
            <w:r w:rsidR="009D712D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0</w:t>
            </w:r>
            <w:r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日</w:t>
            </w:r>
          </w:p>
        </w:tc>
      </w:tr>
      <w:tr w:rsidR="005834D5" w:rsidRPr="00892207" w:rsidTr="008129BB">
        <w:tc>
          <w:tcPr>
            <w:tcW w:w="6803" w:type="dxa"/>
            <w:gridSpan w:val="2"/>
          </w:tcPr>
          <w:p w:rsidR="005834D5" w:rsidRPr="00892207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086" w:type="dxa"/>
          </w:tcPr>
          <w:p w:rsidR="005834D5" w:rsidRPr="00892207" w:rsidRDefault="00170869" w:rsidP="00937076">
            <w:pPr>
              <w:widowControl w:val="0"/>
              <w:spacing w:before="0"/>
              <w:rPr>
                <w:rFonts w:asciiTheme="minorHAnsi" w:eastAsiaTheme="minorEastAsia" w:hAnsiTheme="minorHAnsi"/>
                <w:b/>
                <w:bCs/>
                <w:szCs w:val="24"/>
              </w:rPr>
            </w:pPr>
            <w:r w:rsidRPr="00616C29">
              <w:rPr>
                <w:rFonts w:eastAsiaTheme="minorEastAsia" w:cstheme="minorHAnsi" w:hint="eastAsia"/>
                <w:b/>
                <w:bCs/>
                <w:szCs w:val="24"/>
              </w:rPr>
              <w:t>原文</w:t>
            </w:r>
            <w:r w:rsidRPr="00616C29">
              <w:rPr>
                <w:rFonts w:eastAsiaTheme="minorEastAsia" w:cstheme="minorHAnsi"/>
                <w:b/>
                <w:bCs/>
                <w:szCs w:val="24"/>
              </w:rPr>
              <w:t>：</w:t>
            </w:r>
            <w:bookmarkStart w:id="3" w:name="Original"/>
            <w:bookmarkEnd w:id="3"/>
            <w:r w:rsidR="001625F0">
              <w:rPr>
                <w:rFonts w:eastAsiaTheme="minorEastAsia" w:cstheme="minorHAnsi" w:hint="eastAsia"/>
                <w:b/>
                <w:bCs/>
                <w:szCs w:val="24"/>
              </w:rPr>
              <w:t>英文</w:t>
            </w:r>
          </w:p>
        </w:tc>
      </w:tr>
      <w:tr w:rsidR="00916B10" w:rsidRPr="00BD7A1A" w:rsidTr="008129BB">
        <w:trPr>
          <w:trHeight w:val="850"/>
        </w:trPr>
        <w:tc>
          <w:tcPr>
            <w:tcW w:w="9889" w:type="dxa"/>
            <w:gridSpan w:val="3"/>
          </w:tcPr>
          <w:p w:rsidR="00916B10" w:rsidRPr="003B4E96" w:rsidRDefault="00856BB8" w:rsidP="00856BB8">
            <w:pPr>
              <w:pStyle w:val="Source"/>
              <w:framePr w:hSpace="0" w:wrap="auto" w:vAnchor="margin" w:hAnchor="text" w:xAlign="left" w:yAlign="inline"/>
            </w:pPr>
            <w:bookmarkStart w:id="4" w:name="Source"/>
            <w:bookmarkEnd w:id="4"/>
            <w:r>
              <w:rPr>
                <w:rFonts w:hint="eastAsia"/>
              </w:rPr>
              <w:t>电信发展顾问组战略规划、运作规划和</w:t>
            </w:r>
            <w:r>
              <w:br/>
            </w:r>
            <w:r>
              <w:rPr>
                <w:rFonts w:hint="eastAsia"/>
              </w:rPr>
              <w:t>宣言信函通信组主席</w:t>
            </w:r>
          </w:p>
        </w:tc>
      </w:tr>
      <w:tr w:rsidR="00916B10" w:rsidRPr="00856BB8" w:rsidTr="002E65BA">
        <w:tc>
          <w:tcPr>
            <w:tcW w:w="9889" w:type="dxa"/>
            <w:gridSpan w:val="3"/>
          </w:tcPr>
          <w:p w:rsidR="00916B10" w:rsidRPr="00856BB8" w:rsidRDefault="00856BB8" w:rsidP="00856BB8">
            <w:pPr>
              <w:pStyle w:val="Title1"/>
              <w:framePr w:wrap="auto" w:xAlign="left"/>
              <w:rPr>
                <w:lang w:val="en-GB"/>
              </w:rPr>
            </w:pPr>
            <w:bookmarkStart w:id="5" w:name="Title"/>
            <w:bookmarkEnd w:id="5"/>
            <w:r w:rsidRPr="00856BB8">
              <w:rPr>
                <w:rFonts w:hint="eastAsia"/>
                <w:lang w:val="en-GB"/>
              </w:rPr>
              <w:t>电信发展顾问组战略规划、运作规划和</w:t>
            </w:r>
            <w:r>
              <w:rPr>
                <w:lang w:val="en-GB"/>
              </w:rPr>
              <w:br/>
            </w:r>
            <w:r w:rsidRPr="00856BB8">
              <w:rPr>
                <w:rFonts w:hint="eastAsia"/>
                <w:lang w:val="en-GB"/>
              </w:rPr>
              <w:t>宣言信函通信组主席的报告</w:t>
            </w:r>
          </w:p>
        </w:tc>
      </w:tr>
      <w:tr w:rsidR="00054016" w:rsidRPr="00856BB8" w:rsidTr="002E65BA"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054016" w:rsidRPr="00856BB8" w:rsidRDefault="00054016" w:rsidP="00892207">
            <w:pPr>
              <w:spacing w:before="0"/>
            </w:pPr>
          </w:p>
        </w:tc>
      </w:tr>
      <w:tr w:rsidR="00054016" w:rsidRPr="005B29F3" w:rsidTr="002E65BA">
        <w:trPr>
          <w:trHeight w:val="70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16" w:rsidRPr="00856BB8" w:rsidRDefault="008E15F3" w:rsidP="00054016">
            <w:pPr>
              <w:spacing w:before="2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概要</w:t>
            </w:r>
            <w:r w:rsidRPr="00856BB8">
              <w:rPr>
                <w:b/>
                <w:bCs/>
              </w:rPr>
              <w:t>：</w:t>
            </w:r>
          </w:p>
          <w:p w:rsidR="009D712D" w:rsidRPr="009D712D" w:rsidRDefault="00856BB8" w:rsidP="00856B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firstLineChars="200" w:firstLine="480"/>
              <w:rPr>
                <w:lang w:val="en-GB"/>
              </w:rPr>
            </w:pPr>
            <w:r>
              <w:rPr>
                <w:rFonts w:hint="eastAsia"/>
              </w:rPr>
              <w:t>本文件是</w:t>
            </w:r>
            <w:r w:rsidRPr="000C1730">
              <w:rPr>
                <w:rFonts w:hint="eastAsia"/>
              </w:rPr>
              <w:t>电信发展顾问组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TDAG</w:t>
            </w:r>
            <w:r>
              <w:rPr>
                <w:rFonts w:hint="eastAsia"/>
              </w:rPr>
              <w:t>）战略规划</w:t>
            </w:r>
            <w:r>
              <w:t>、运作规划</w:t>
            </w:r>
            <w:r>
              <w:rPr>
                <w:rFonts w:hint="eastAsia"/>
              </w:rPr>
              <w:t>和宣言信函通信组（</w:t>
            </w:r>
            <w:r>
              <w:rPr>
                <w:rFonts w:hint="eastAsia"/>
              </w:rPr>
              <w:t>CG-SPOPD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日会议的报告，</w:t>
            </w:r>
            <w:r>
              <w:t>其中介绍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>ITU-D</w:t>
            </w:r>
            <w:r>
              <w:rPr>
                <w:rFonts w:hint="eastAsia"/>
              </w:rPr>
              <w:t>向国际电联</w:t>
            </w:r>
            <w:r>
              <w:rPr>
                <w:rFonts w:hint="eastAsia"/>
              </w:rPr>
              <w:t>2020-202</w:t>
            </w:r>
            <w:r>
              <w:t>3</w:t>
            </w:r>
            <w:r>
              <w:rPr>
                <w:rFonts w:hint="eastAsia"/>
              </w:rPr>
              <w:t>年战略规划所</w:t>
            </w:r>
            <w:r>
              <w:t>提交文稿的初步草案、</w:t>
            </w:r>
            <w:r>
              <w:rPr>
                <w:rFonts w:hint="eastAsia"/>
              </w:rPr>
              <w:t>ITU-D</w:t>
            </w:r>
            <w:r>
              <w:t xml:space="preserve"> </w:t>
            </w:r>
            <w:r>
              <w:rPr>
                <w:rFonts w:hint="eastAsia"/>
              </w:rPr>
              <w:t>2018-2021</w:t>
            </w:r>
            <w:r>
              <w:rPr>
                <w:rFonts w:hint="eastAsia"/>
              </w:rPr>
              <w:t>年行动计划初步草案以及</w:t>
            </w:r>
            <w:r>
              <w:rPr>
                <w:rFonts w:hint="eastAsia"/>
              </w:rPr>
              <w:t>CG-SPOPD</w:t>
            </w:r>
            <w:r>
              <w:rPr>
                <w:rFonts w:hint="eastAsia"/>
              </w:rPr>
              <w:t>拟定的《</w:t>
            </w:r>
            <w:r>
              <w:rPr>
                <w:rFonts w:hint="eastAsia"/>
              </w:rPr>
              <w:t>WTDC-17</w:t>
            </w:r>
            <w:r>
              <w:rPr>
                <w:rFonts w:hint="eastAsia"/>
              </w:rPr>
              <w:t>宣言》初步草案的起草历程</w:t>
            </w:r>
            <w:r>
              <w:t>，</w:t>
            </w:r>
            <w:r>
              <w:rPr>
                <w:rFonts w:hint="eastAsia"/>
              </w:rPr>
              <w:t>并</w:t>
            </w:r>
            <w:r>
              <w:t>介绍了</w:t>
            </w:r>
            <w:r>
              <w:rPr>
                <w:rFonts w:hint="eastAsia"/>
              </w:rPr>
              <w:t>TDAG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WTDC-17</w:t>
            </w:r>
            <w:r>
              <w:rPr>
                <w:rFonts w:hint="eastAsia"/>
              </w:rPr>
              <w:t>的六个区域性筹备会议（</w:t>
            </w:r>
            <w:r>
              <w:rPr>
                <w:rFonts w:hint="eastAsia"/>
              </w:rPr>
              <w:t>RPM</w:t>
            </w:r>
            <w:r>
              <w:rPr>
                <w:rFonts w:hint="eastAsia"/>
              </w:rPr>
              <w:t>）对</w:t>
            </w:r>
            <w:r>
              <w:t>上述草案</w:t>
            </w:r>
            <w:r>
              <w:rPr>
                <w:rFonts w:hint="eastAsia"/>
              </w:rPr>
              <w:t>的审议情况。</w:t>
            </w:r>
          </w:p>
          <w:p w:rsidR="005B29F3" w:rsidRPr="001625F0" w:rsidRDefault="009D712D" w:rsidP="0075415A">
            <w:pPr>
              <w:ind w:firstLineChars="200" w:firstLine="480"/>
              <w:rPr>
                <w:b/>
                <w:bCs/>
                <w:lang w:val="en-GB"/>
              </w:rPr>
            </w:pPr>
            <w:r w:rsidRPr="009D712D">
              <w:rPr>
                <w:lang w:val="en-GB"/>
              </w:rPr>
              <w:t>CG-SPOPD</w:t>
            </w:r>
            <w:r w:rsidR="00D23AAD">
              <w:rPr>
                <w:rFonts w:hint="eastAsia"/>
                <w:lang w:val="en-GB"/>
              </w:rPr>
              <w:t>同意</w:t>
            </w:r>
            <w:r w:rsidR="00D23AAD">
              <w:rPr>
                <w:lang w:val="en-GB"/>
              </w:rPr>
              <w:t>将</w:t>
            </w:r>
            <w:r w:rsidR="00D23AAD">
              <w:rPr>
                <w:rFonts w:hint="eastAsia"/>
                <w:lang w:val="en-GB"/>
              </w:rPr>
              <w:t>TDAG17/7</w:t>
            </w:r>
            <w:r w:rsidR="00D23AAD">
              <w:rPr>
                <w:rFonts w:hint="eastAsia"/>
                <w:lang w:val="en-GB"/>
              </w:rPr>
              <w:t>、</w:t>
            </w:r>
            <w:r w:rsidR="00D23AAD">
              <w:rPr>
                <w:rFonts w:hint="eastAsia"/>
                <w:lang w:val="en-GB"/>
              </w:rPr>
              <w:t>8</w:t>
            </w:r>
            <w:r w:rsidR="00D23AAD">
              <w:rPr>
                <w:rFonts w:hint="eastAsia"/>
                <w:lang w:val="en-GB"/>
              </w:rPr>
              <w:t>和</w:t>
            </w:r>
            <w:r w:rsidR="00D23AAD">
              <w:rPr>
                <w:rFonts w:hint="eastAsia"/>
                <w:lang w:val="en-GB"/>
              </w:rPr>
              <w:t>9</w:t>
            </w:r>
            <w:r w:rsidR="00D23AAD">
              <w:rPr>
                <w:rFonts w:hint="eastAsia"/>
                <w:lang w:val="en-GB"/>
              </w:rPr>
              <w:t>号</w:t>
            </w:r>
            <w:r w:rsidR="00D23AAD">
              <w:rPr>
                <w:lang w:val="en-GB"/>
              </w:rPr>
              <w:t>文件中包括的有关战略规划、行动计划和宣言的提案汇编提交</w:t>
            </w:r>
            <w:r w:rsidR="00D23AAD">
              <w:rPr>
                <w:rFonts w:hint="eastAsia"/>
                <w:lang w:val="en-GB"/>
              </w:rPr>
              <w:t>TDAG</w:t>
            </w:r>
            <w:r w:rsidR="00D23AAD">
              <w:rPr>
                <w:rFonts w:hint="eastAsia"/>
                <w:lang w:val="en-GB"/>
              </w:rPr>
              <w:t>进一步</w:t>
            </w:r>
            <w:r w:rsidR="00D23AAD">
              <w:rPr>
                <w:lang w:val="en-GB"/>
              </w:rPr>
              <w:t>审议，</w:t>
            </w:r>
            <w:r w:rsidR="000C5861">
              <w:rPr>
                <w:rFonts w:hint="eastAsia"/>
                <w:lang w:val="en-GB"/>
              </w:rPr>
              <w:t>供</w:t>
            </w:r>
            <w:r w:rsidR="00D23AAD">
              <w:rPr>
                <w:lang w:val="en-GB"/>
              </w:rPr>
              <w:t>区域组用于</w:t>
            </w:r>
            <w:r w:rsidR="00D23AAD">
              <w:rPr>
                <w:rFonts w:hint="eastAsia"/>
                <w:lang w:val="en-GB"/>
              </w:rPr>
              <w:t>制定</w:t>
            </w:r>
            <w:r w:rsidR="00D23AAD">
              <w:rPr>
                <w:lang w:val="en-GB"/>
              </w:rPr>
              <w:t>提交</w:t>
            </w:r>
            <w:r w:rsidR="00D23AAD">
              <w:rPr>
                <w:rFonts w:hint="eastAsia"/>
                <w:lang w:val="en-GB"/>
              </w:rPr>
              <w:t>WTDC-17</w:t>
            </w:r>
            <w:r w:rsidR="00D23AAD">
              <w:rPr>
                <w:rFonts w:hint="eastAsia"/>
                <w:lang w:val="en-GB"/>
              </w:rPr>
              <w:t>的</w:t>
            </w:r>
            <w:r w:rsidR="00D23AAD">
              <w:rPr>
                <w:lang w:val="en-GB"/>
              </w:rPr>
              <w:t>共同提案，</w:t>
            </w:r>
            <w:r w:rsidR="00DC232C">
              <w:rPr>
                <w:rFonts w:hint="eastAsia"/>
                <w:lang w:val="en-GB"/>
              </w:rPr>
              <w:t>同时</w:t>
            </w:r>
            <w:r w:rsidR="00DC232C" w:rsidRPr="000C5861">
              <w:rPr>
                <w:lang w:val="en-GB"/>
              </w:rPr>
              <w:t>供成员国用于</w:t>
            </w:r>
            <w:r w:rsidR="00DC232C">
              <w:rPr>
                <w:rFonts w:hint="eastAsia"/>
                <w:lang w:val="en-GB"/>
              </w:rPr>
              <w:t>向</w:t>
            </w:r>
            <w:r w:rsidR="00DC232C" w:rsidRPr="000C5861">
              <w:rPr>
                <w:lang w:val="en-GB"/>
              </w:rPr>
              <w:t>大会提交提案</w:t>
            </w:r>
            <w:r w:rsidR="00DC232C" w:rsidRPr="000C5861">
              <w:rPr>
                <w:rFonts w:hint="eastAsia"/>
                <w:lang w:val="en-GB"/>
              </w:rPr>
              <w:t>。</w:t>
            </w:r>
          </w:p>
          <w:p w:rsidR="00054016" w:rsidRPr="005B29F3" w:rsidRDefault="008E15F3" w:rsidP="00054016">
            <w:pPr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</w:rPr>
              <w:t>需</w:t>
            </w:r>
            <w:r w:rsidR="00054016" w:rsidRPr="00054016">
              <w:rPr>
                <w:b/>
                <w:bCs/>
              </w:rPr>
              <w:t>采取</w:t>
            </w:r>
            <w:r>
              <w:rPr>
                <w:rFonts w:hint="eastAsia"/>
                <w:b/>
                <w:bCs/>
              </w:rPr>
              <w:t>的</w:t>
            </w:r>
            <w:r w:rsidR="00054016" w:rsidRPr="00054016">
              <w:rPr>
                <w:b/>
                <w:bCs/>
              </w:rPr>
              <w:t>行动</w:t>
            </w:r>
            <w:r w:rsidR="00054016" w:rsidRPr="005B29F3">
              <w:rPr>
                <w:b/>
                <w:bCs/>
                <w:lang w:val="en-GB"/>
              </w:rPr>
              <w:t>：</w:t>
            </w:r>
          </w:p>
          <w:p w:rsidR="00054016" w:rsidRPr="009D712D" w:rsidRDefault="00856BB8" w:rsidP="00455FC6">
            <w:pPr>
              <w:ind w:firstLineChars="200" w:firstLine="480"/>
              <w:rPr>
                <w:b/>
                <w:bCs/>
                <w:lang w:val="en-GB"/>
              </w:rPr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TDAG</w:t>
            </w:r>
            <w:r>
              <w:rPr>
                <w:rFonts w:hint="eastAsia"/>
              </w:rPr>
              <w:t>审议本报告，并酌情</w:t>
            </w:r>
            <w:r w:rsidR="00455FC6">
              <w:rPr>
                <w:rFonts w:hint="eastAsia"/>
              </w:rPr>
              <w:t>进一步</w:t>
            </w:r>
            <w:r>
              <w:t>提出</w:t>
            </w:r>
            <w:r>
              <w:rPr>
                <w:rFonts w:hint="eastAsia"/>
              </w:rPr>
              <w:t>任何</w:t>
            </w:r>
            <w:r w:rsidR="00455FC6">
              <w:rPr>
                <w:rFonts w:hint="eastAsia"/>
              </w:rPr>
              <w:t>被认为</w:t>
            </w:r>
            <w:r w:rsidR="00455FC6">
              <w:t>适当的</w:t>
            </w:r>
            <w:r>
              <w:rPr>
                <w:rFonts w:hint="eastAsia"/>
              </w:rPr>
              <w:t>意见。</w:t>
            </w:r>
            <w:r>
              <w:t>在</w:t>
            </w:r>
            <w:r>
              <w:rPr>
                <w:rFonts w:hint="eastAsia"/>
              </w:rPr>
              <w:t>成员</w:t>
            </w:r>
            <w:r>
              <w:t>为</w:t>
            </w:r>
            <w:r>
              <w:rPr>
                <w:rFonts w:hint="eastAsia"/>
              </w:rPr>
              <w:t>WTDC-17</w:t>
            </w:r>
            <w:r>
              <w:rPr>
                <w:rFonts w:hint="eastAsia"/>
              </w:rPr>
              <w:t>编制</w:t>
            </w:r>
            <w:r>
              <w:t>文稿的</w:t>
            </w:r>
            <w:r>
              <w:rPr>
                <w:rFonts w:hint="eastAsia"/>
              </w:rPr>
              <w:t>过程</w:t>
            </w:r>
            <w:r>
              <w:t>中，</w:t>
            </w:r>
            <w:r>
              <w:rPr>
                <w:rFonts w:hint="eastAsia"/>
              </w:rPr>
              <w:t>TDAG-17</w:t>
            </w:r>
            <w:r>
              <w:rPr>
                <w:rFonts w:hint="eastAsia"/>
              </w:rPr>
              <w:t>的成果将作为参考文件提交给它们。</w:t>
            </w:r>
          </w:p>
          <w:p w:rsidR="005B29F3" w:rsidRPr="005B29F3" w:rsidRDefault="005B29F3" w:rsidP="00054016">
            <w:pPr>
              <w:rPr>
                <w:b/>
                <w:bCs/>
                <w:lang w:val="en-GB"/>
              </w:rPr>
            </w:pPr>
          </w:p>
          <w:p w:rsidR="00054016" w:rsidRPr="005B29F3" w:rsidRDefault="00054016" w:rsidP="00054016">
            <w:pPr>
              <w:rPr>
                <w:b/>
                <w:bCs/>
                <w:lang w:val="en-GB"/>
              </w:rPr>
            </w:pPr>
            <w:r w:rsidRPr="00054016">
              <w:rPr>
                <w:rFonts w:hint="eastAsia"/>
                <w:b/>
                <w:bCs/>
              </w:rPr>
              <w:t>参考文件</w:t>
            </w:r>
            <w:r w:rsidRPr="005B29F3">
              <w:rPr>
                <w:b/>
                <w:bCs/>
                <w:lang w:val="en-GB"/>
              </w:rPr>
              <w:t>：</w:t>
            </w:r>
          </w:p>
          <w:p w:rsidR="00054016" w:rsidRDefault="00856BB8" w:rsidP="00054016">
            <w:pPr>
              <w:rPr>
                <w:lang w:val="en-GB"/>
              </w:rPr>
            </w:pPr>
            <w:r>
              <w:rPr>
                <w:szCs w:val="24"/>
              </w:rPr>
              <w:t>TDAG17/</w:t>
            </w:r>
            <w:hyperlink r:id="rId10" w:history="1">
              <w:r w:rsidRPr="00D529B2">
                <w:rPr>
                  <w:rStyle w:val="Hyperlink"/>
                </w:rPr>
                <w:t>7</w:t>
              </w:r>
            </w:hyperlink>
            <w:r>
              <w:rPr>
                <w:rFonts w:hint="eastAsia"/>
              </w:rPr>
              <w:t>、</w:t>
            </w:r>
            <w:hyperlink r:id="rId11" w:history="1">
              <w:r w:rsidRPr="00D529B2">
                <w:rPr>
                  <w:rStyle w:val="Hyperlink"/>
                </w:rPr>
                <w:t>8</w:t>
              </w:r>
            </w:hyperlink>
            <w:r>
              <w:rPr>
                <w:rFonts w:hint="eastAsia"/>
              </w:rPr>
              <w:t>和</w:t>
            </w:r>
            <w:hyperlink r:id="rId12" w:history="1">
              <w:r w:rsidRPr="00D529B2">
                <w:rPr>
                  <w:rStyle w:val="Hyperlink"/>
                </w:rPr>
                <w:t>9</w:t>
              </w:r>
            </w:hyperlink>
            <w:r w:rsidR="00EF0D0C" w:rsidRPr="00EF0D0C">
              <w:rPr>
                <w:rFonts w:hint="eastAsia"/>
                <w:szCs w:val="24"/>
              </w:rPr>
              <w:t>号</w:t>
            </w:r>
            <w:r w:rsidR="00EF0D0C" w:rsidRPr="00EF0D0C">
              <w:rPr>
                <w:szCs w:val="24"/>
              </w:rPr>
              <w:t>文件</w:t>
            </w:r>
          </w:p>
          <w:p w:rsidR="005B29F3" w:rsidRPr="001625F0" w:rsidRDefault="005B29F3" w:rsidP="00054016">
            <w:pPr>
              <w:rPr>
                <w:lang w:val="en-GB"/>
              </w:rPr>
            </w:pPr>
          </w:p>
        </w:tc>
      </w:tr>
    </w:tbl>
    <w:p w:rsidR="00480EE0" w:rsidRPr="001625F0" w:rsidRDefault="00480EE0" w:rsidP="00480EE0">
      <w:pPr>
        <w:rPr>
          <w:lang w:val="en-GB"/>
        </w:rPr>
      </w:pPr>
      <w:bookmarkStart w:id="6" w:name="Proposal"/>
      <w:bookmarkEnd w:id="6"/>
    </w:p>
    <w:p w:rsidR="00937076" w:rsidRDefault="00937076" w:rsidP="0032202E">
      <w:pPr>
        <w:pStyle w:val="Reasons"/>
        <w:rPr>
          <w:lang w:val="en-GB"/>
        </w:rPr>
      </w:pPr>
    </w:p>
    <w:p w:rsidR="001625F0" w:rsidRPr="00DC7F06" w:rsidRDefault="001625F0" w:rsidP="00DC7F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lang w:val="en-GB"/>
        </w:rPr>
      </w:pPr>
      <w:r>
        <w:rPr>
          <w:lang w:val="en-GB"/>
        </w:rPr>
        <w:br w:type="page"/>
      </w:r>
    </w:p>
    <w:p w:rsidR="00856BB8" w:rsidRDefault="00856BB8" w:rsidP="00856BB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firstLineChars="200" w:firstLine="480"/>
        <w:jc w:val="both"/>
      </w:pPr>
      <w:r>
        <w:rPr>
          <w:rFonts w:hint="eastAsia"/>
        </w:rPr>
        <w:lastRenderedPageBreak/>
        <w:t>本文件是</w:t>
      </w:r>
      <w:r w:rsidRPr="000C1730">
        <w:rPr>
          <w:rFonts w:hint="eastAsia"/>
        </w:rPr>
        <w:t>电信发展顾问组</w:t>
      </w:r>
      <w:r>
        <w:rPr>
          <w:rFonts w:hint="eastAsia"/>
        </w:rPr>
        <w:t>（</w:t>
      </w:r>
      <w:r>
        <w:rPr>
          <w:rFonts w:hint="eastAsia"/>
        </w:rPr>
        <w:t>TDAG</w:t>
      </w:r>
      <w:r>
        <w:rPr>
          <w:rFonts w:hint="eastAsia"/>
        </w:rPr>
        <w:t>）战略规划</w:t>
      </w:r>
      <w:r>
        <w:t>、运作规划</w:t>
      </w:r>
      <w:r>
        <w:rPr>
          <w:rFonts w:hint="eastAsia"/>
        </w:rPr>
        <w:t>和宣言信函通信组（</w:t>
      </w:r>
      <w:r>
        <w:rPr>
          <w:rFonts w:hint="eastAsia"/>
        </w:rPr>
        <w:t>CG-SPOPD</w:t>
      </w:r>
      <w:r>
        <w:rPr>
          <w:rFonts w:hint="eastAsia"/>
        </w:rPr>
        <w:t>）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日会议的报告</w:t>
      </w:r>
    </w:p>
    <w:p w:rsidR="00856BB8" w:rsidRDefault="00856BB8" w:rsidP="00856BB8">
      <w:pPr>
        <w:ind w:firstLineChars="200" w:firstLine="480"/>
        <w:jc w:val="both"/>
      </w:pPr>
      <w:r>
        <w:rPr>
          <w:rFonts w:hint="eastAsia"/>
        </w:rPr>
        <w:t>CG-SPOPD</w:t>
      </w:r>
      <w:r>
        <w:rPr>
          <w:rFonts w:hint="eastAsia"/>
        </w:rPr>
        <w:t>编制了</w:t>
      </w:r>
      <w:r>
        <w:rPr>
          <w:rFonts w:hint="eastAsia"/>
        </w:rPr>
        <w:t>ITU-D</w:t>
      </w:r>
      <w:r>
        <w:rPr>
          <w:rFonts w:hint="eastAsia"/>
        </w:rPr>
        <w:t>向国际电联</w:t>
      </w:r>
      <w:r>
        <w:rPr>
          <w:rFonts w:hint="eastAsia"/>
        </w:rPr>
        <w:t>2020-2023</w:t>
      </w:r>
      <w:r>
        <w:rPr>
          <w:rFonts w:hint="eastAsia"/>
        </w:rPr>
        <w:t>年战略规划所提交</w:t>
      </w:r>
      <w:r>
        <w:t>文稿的</w:t>
      </w:r>
      <w:r>
        <w:rPr>
          <w:rFonts w:hint="eastAsia"/>
        </w:rPr>
        <w:t>初步草案、</w:t>
      </w:r>
      <w:r>
        <w:rPr>
          <w:rFonts w:hint="eastAsia"/>
        </w:rPr>
        <w:t>ITU-D</w:t>
      </w:r>
      <w:r>
        <w:t xml:space="preserve"> </w:t>
      </w:r>
      <w:r>
        <w:rPr>
          <w:rFonts w:hint="eastAsia"/>
        </w:rPr>
        <w:t>2018-2021</w:t>
      </w:r>
      <w:r>
        <w:rPr>
          <w:rFonts w:hint="eastAsia"/>
        </w:rPr>
        <w:t>年行动计划初步草案和《</w:t>
      </w:r>
      <w:r>
        <w:rPr>
          <w:rFonts w:hint="eastAsia"/>
        </w:rPr>
        <w:t>WTDC-17</w:t>
      </w:r>
      <w:r>
        <w:rPr>
          <w:rFonts w:hint="eastAsia"/>
        </w:rPr>
        <w:t>宣言》初步</w:t>
      </w:r>
      <w:r>
        <w:t>草案</w:t>
      </w:r>
      <w:r>
        <w:rPr>
          <w:rFonts w:hint="eastAsia"/>
        </w:rPr>
        <w:t>。</w:t>
      </w:r>
    </w:p>
    <w:p w:rsidR="00856BB8" w:rsidRDefault="00856BB8" w:rsidP="00856BB8">
      <w:pPr>
        <w:ind w:firstLineChars="200" w:firstLine="480"/>
        <w:jc w:val="both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月和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月的</w:t>
      </w:r>
      <w:r>
        <w:rPr>
          <w:rFonts w:hint="eastAsia"/>
        </w:rPr>
        <w:t>CG-SPOPD</w:t>
      </w:r>
      <w:r>
        <w:rPr>
          <w:rFonts w:hint="eastAsia"/>
        </w:rPr>
        <w:t>会议对</w:t>
      </w:r>
      <w:r>
        <w:t>上述草案</w:t>
      </w:r>
      <w:r>
        <w:rPr>
          <w:rFonts w:hint="eastAsia"/>
        </w:rPr>
        <w:t>进行了审议，并</w:t>
      </w:r>
      <w:r>
        <w:t>在</w:t>
      </w:r>
      <w:r>
        <w:rPr>
          <w:rFonts w:hint="eastAsia"/>
        </w:rPr>
        <w:t>随后</w:t>
      </w:r>
      <w:r>
        <w:t>将</w:t>
      </w:r>
      <w:r>
        <w:rPr>
          <w:rFonts w:hint="eastAsia"/>
        </w:rPr>
        <w:t>其提交给</w:t>
      </w:r>
      <w:r>
        <w:rPr>
          <w:rFonts w:hint="eastAsia"/>
        </w:rPr>
        <w:t>TDAG</w:t>
      </w:r>
      <w:r>
        <w:rPr>
          <w:rFonts w:hint="eastAsia"/>
        </w:rPr>
        <w:t>。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月的</w:t>
      </w:r>
      <w:r>
        <w:rPr>
          <w:rFonts w:hint="eastAsia"/>
        </w:rPr>
        <w:t>TDAG</w:t>
      </w:r>
      <w:r>
        <w:rPr>
          <w:rFonts w:hint="eastAsia"/>
        </w:rPr>
        <w:t>会议决定</w:t>
      </w:r>
      <w:r>
        <w:t>将</w:t>
      </w:r>
      <w:r>
        <w:rPr>
          <w:rFonts w:hint="eastAsia"/>
        </w:rPr>
        <w:t>三份文件发布在</w:t>
      </w:r>
      <w:r>
        <w:rPr>
          <w:rFonts w:hint="eastAsia"/>
        </w:rPr>
        <w:t>CG-SPOPD</w:t>
      </w:r>
      <w:r>
        <w:rPr>
          <w:rFonts w:hint="eastAsia"/>
        </w:rPr>
        <w:t>网站上，</w:t>
      </w:r>
      <w:r>
        <w:t>以供</w:t>
      </w:r>
      <w:r>
        <w:rPr>
          <w:rFonts w:hint="eastAsia"/>
        </w:rPr>
        <w:t>ITU-D</w:t>
      </w:r>
      <w:r>
        <w:rPr>
          <w:rFonts w:hint="eastAsia"/>
        </w:rPr>
        <w:t>成员在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日之前进行在线磋商，这</w:t>
      </w:r>
      <w:r>
        <w:t>三份文件</w:t>
      </w:r>
      <w:r>
        <w:rPr>
          <w:rFonts w:hint="eastAsia"/>
        </w:rPr>
        <w:t>应包括经</w:t>
      </w:r>
      <w:r>
        <w:rPr>
          <w:rFonts w:hint="eastAsia"/>
        </w:rPr>
        <w:t>TDAG-16</w:t>
      </w:r>
      <w:r>
        <w:rPr>
          <w:rFonts w:hint="eastAsia"/>
        </w:rPr>
        <w:t>同意的对《行动计划》的具体修改意见。关于</w:t>
      </w:r>
      <w:r>
        <w:t>《</w:t>
      </w:r>
      <w:r>
        <w:rPr>
          <w:rFonts w:hint="eastAsia"/>
        </w:rPr>
        <w:t>战略规划</w:t>
      </w:r>
      <w:r>
        <w:t>》</w:t>
      </w:r>
      <w:r>
        <w:rPr>
          <w:rFonts w:hint="eastAsia"/>
        </w:rPr>
        <w:t>和《行动计划》，在此截止期限之前并未提出进一步修改意见。</w:t>
      </w:r>
    </w:p>
    <w:p w:rsidR="00856BB8" w:rsidRDefault="00856BB8" w:rsidP="00856BB8">
      <w:pPr>
        <w:ind w:firstLineChars="200" w:firstLine="480"/>
        <w:jc w:val="both"/>
        <w:rPr>
          <w:szCs w:val="24"/>
        </w:rPr>
      </w:pPr>
      <w:r>
        <w:rPr>
          <w:rFonts w:hint="eastAsia"/>
        </w:rPr>
        <w:t>在线磋商期间就</w:t>
      </w:r>
      <w:r>
        <w:t>《</w:t>
      </w:r>
      <w:r>
        <w:rPr>
          <w:rFonts w:hint="eastAsia"/>
        </w:rPr>
        <w:t>宣言</w:t>
      </w:r>
      <w:r>
        <w:t>》</w:t>
      </w:r>
      <w:r>
        <w:rPr>
          <w:rFonts w:hint="eastAsia"/>
        </w:rPr>
        <w:t>提出的修改意见已纳入《</w:t>
      </w:r>
      <w:r>
        <w:rPr>
          <w:rFonts w:hint="eastAsia"/>
        </w:rPr>
        <w:t>WTDC-17</w:t>
      </w:r>
      <w:r>
        <w:rPr>
          <w:rFonts w:hint="eastAsia"/>
        </w:rPr>
        <w:t>宣言》的</w:t>
      </w:r>
      <w:r>
        <w:t>初步草案</w:t>
      </w:r>
      <w:r>
        <w:rPr>
          <w:rFonts w:hint="eastAsia"/>
        </w:rPr>
        <w:t>中。</w:t>
      </w:r>
    </w:p>
    <w:p w:rsidR="00856BB8" w:rsidRDefault="00856BB8" w:rsidP="00856BB8">
      <w:pPr>
        <w:ind w:firstLineChars="200" w:firstLine="480"/>
        <w:jc w:val="both"/>
      </w:pPr>
      <w:r>
        <w:rPr>
          <w:rFonts w:hint="eastAsia"/>
        </w:rPr>
        <w:t>随后，作为</w:t>
      </w:r>
      <w:r>
        <w:rPr>
          <w:rFonts w:hint="eastAsia"/>
        </w:rPr>
        <w:t>2017</w:t>
      </w:r>
      <w:r>
        <w:rPr>
          <w:rFonts w:hint="eastAsia"/>
        </w:rPr>
        <w:t>年世界电信发展大会（</w:t>
      </w:r>
      <w:r>
        <w:rPr>
          <w:rFonts w:hint="eastAsia"/>
        </w:rPr>
        <w:t>WTDC-17</w:t>
      </w:r>
      <w:r>
        <w:rPr>
          <w:rFonts w:hint="eastAsia"/>
        </w:rPr>
        <w:t>）的所有六个区域性筹备会议（</w:t>
      </w:r>
      <w:r>
        <w:rPr>
          <w:rFonts w:hint="eastAsia"/>
        </w:rPr>
        <w:t>RPM</w:t>
      </w:r>
      <w:r>
        <w:rPr>
          <w:rFonts w:hint="eastAsia"/>
        </w:rPr>
        <w:t>）的文稿，提交了三份文件的最新版本。</w:t>
      </w:r>
    </w:p>
    <w:p w:rsidR="00856BB8" w:rsidRDefault="00856BB8" w:rsidP="00856BB8">
      <w:pPr>
        <w:ind w:firstLineChars="200" w:firstLine="480"/>
        <w:jc w:val="both"/>
      </w:pPr>
      <w:r>
        <w:rPr>
          <w:rFonts w:hint="eastAsia"/>
        </w:rPr>
        <w:t>五个区域性</w:t>
      </w:r>
      <w:r>
        <w:t>筹备会议</w:t>
      </w:r>
      <w:r>
        <w:rPr>
          <w:rFonts w:hint="eastAsia"/>
        </w:rPr>
        <w:t>对</w:t>
      </w:r>
      <w:r>
        <w:rPr>
          <w:rFonts w:hint="eastAsia"/>
        </w:rPr>
        <w:t>ITU-D</w:t>
      </w:r>
      <w:r>
        <w:rPr>
          <w:rFonts w:hint="eastAsia"/>
        </w:rPr>
        <w:t>向国际电联</w:t>
      </w:r>
      <w:r>
        <w:rPr>
          <w:rFonts w:hint="eastAsia"/>
        </w:rPr>
        <w:t>2020-2023</w:t>
      </w:r>
      <w:r>
        <w:rPr>
          <w:rFonts w:hint="eastAsia"/>
        </w:rPr>
        <w:t>年战略规划所提交</w:t>
      </w:r>
      <w:r>
        <w:t>文稿的</w:t>
      </w:r>
      <w:r>
        <w:rPr>
          <w:rFonts w:hint="eastAsia"/>
        </w:rPr>
        <w:t>初步草案和</w:t>
      </w:r>
      <w:r>
        <w:rPr>
          <w:rFonts w:hint="eastAsia"/>
        </w:rPr>
        <w:t>ITU-D</w:t>
      </w:r>
      <w:r>
        <w:t xml:space="preserve"> </w:t>
      </w:r>
      <w:r>
        <w:rPr>
          <w:rFonts w:hint="eastAsia"/>
        </w:rPr>
        <w:t>2018-2021</w:t>
      </w:r>
      <w:r>
        <w:rPr>
          <w:rFonts w:hint="eastAsia"/>
        </w:rPr>
        <w:t>年行动计划初步草案表示欢迎，并同意需要在区域层面对《</w:t>
      </w:r>
      <w:r>
        <w:t>战略规划</w:t>
      </w:r>
      <w:r>
        <w:rPr>
          <w:rFonts w:hint="eastAsia"/>
        </w:rPr>
        <w:t>》和《行动计划》做出进一步讨论，</w:t>
      </w:r>
      <w:r>
        <w:t>以</w:t>
      </w:r>
      <w:r>
        <w:rPr>
          <w:rFonts w:hint="eastAsia"/>
        </w:rPr>
        <w:t>针对《</w:t>
      </w:r>
      <w:r>
        <w:t>战略规划</w:t>
      </w:r>
      <w:r>
        <w:rPr>
          <w:rFonts w:hint="eastAsia"/>
        </w:rPr>
        <w:t>》和《行动计划》为</w:t>
      </w:r>
      <w:r>
        <w:rPr>
          <w:rFonts w:hint="eastAsia"/>
        </w:rPr>
        <w:t>TDAG</w:t>
      </w:r>
      <w:r>
        <w:rPr>
          <w:rFonts w:hint="eastAsia"/>
        </w:rPr>
        <w:t>和</w:t>
      </w:r>
      <w:r>
        <w:rPr>
          <w:rFonts w:hint="eastAsia"/>
        </w:rPr>
        <w:t>WTDC-17</w:t>
      </w:r>
      <w:r>
        <w:rPr>
          <w:rFonts w:hint="eastAsia"/>
        </w:rPr>
        <w:t>编制区域性文稿。</w:t>
      </w:r>
    </w:p>
    <w:p w:rsidR="00856BB8" w:rsidRDefault="00856BB8" w:rsidP="00856BB8">
      <w:pPr>
        <w:ind w:firstLineChars="200" w:firstLine="480"/>
        <w:jc w:val="both"/>
      </w:pPr>
      <w:r>
        <w:rPr>
          <w:rFonts w:hint="eastAsia"/>
        </w:rPr>
        <w:t>RPM-CIS</w:t>
      </w:r>
      <w:r>
        <w:rPr>
          <w:rFonts w:hint="eastAsia"/>
        </w:rPr>
        <w:t>、</w:t>
      </w:r>
      <w:r>
        <w:rPr>
          <w:rFonts w:hint="eastAsia"/>
        </w:rPr>
        <w:t>RPM-AFR</w:t>
      </w:r>
      <w:r>
        <w:rPr>
          <w:rFonts w:hint="eastAsia"/>
        </w:rPr>
        <w:t>、</w:t>
      </w:r>
      <w:r>
        <w:rPr>
          <w:rFonts w:hint="eastAsia"/>
        </w:rPr>
        <w:t>RPM-ARB</w:t>
      </w:r>
      <w:r>
        <w:t>和</w:t>
      </w:r>
      <w:r>
        <w:rPr>
          <w:rFonts w:hint="eastAsia"/>
        </w:rPr>
        <w:t>RPM-EUR</w:t>
      </w:r>
      <w:r>
        <w:rPr>
          <w:rFonts w:hint="eastAsia"/>
        </w:rPr>
        <w:t>均同意，</w:t>
      </w:r>
      <w:r w:rsidRPr="00A27F5A">
        <w:rPr>
          <w:rFonts w:hint="eastAsia"/>
          <w:szCs w:val="24"/>
          <w:lang w:val="en-US"/>
        </w:rPr>
        <w:t>需要就</w:t>
      </w:r>
      <w:r>
        <w:rPr>
          <w:rFonts w:hint="eastAsia"/>
          <w:szCs w:val="24"/>
          <w:lang w:val="en-US"/>
        </w:rPr>
        <w:t>《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 w:rsidRPr="00A27F5A">
        <w:rPr>
          <w:rFonts w:hint="eastAsia"/>
          <w:szCs w:val="24"/>
          <w:lang w:val="en-US"/>
        </w:rPr>
        <w:t>宣言</w:t>
      </w:r>
      <w:r>
        <w:rPr>
          <w:rFonts w:hint="eastAsia"/>
          <w:szCs w:val="24"/>
          <w:lang w:val="en-US"/>
        </w:rPr>
        <w:t>》初步草案进行更多</w:t>
      </w:r>
      <w:r w:rsidRPr="00A27F5A">
        <w:rPr>
          <w:rFonts w:hint="eastAsia"/>
          <w:szCs w:val="24"/>
          <w:lang w:val="en-US"/>
        </w:rPr>
        <w:t>讨论</w:t>
      </w:r>
      <w:r w:rsidRPr="00A27F5A">
        <w:rPr>
          <w:rFonts w:hint="eastAsia"/>
          <w:szCs w:val="24"/>
        </w:rPr>
        <w:t>，</w:t>
      </w:r>
      <w:r w:rsidRPr="00A27F5A">
        <w:rPr>
          <w:rFonts w:hint="eastAsia"/>
          <w:szCs w:val="24"/>
          <w:lang w:val="en-US"/>
        </w:rPr>
        <w:t>以</w:t>
      </w:r>
      <w:r>
        <w:rPr>
          <w:rFonts w:hint="eastAsia"/>
          <w:szCs w:val="24"/>
          <w:lang w:val="en-US"/>
        </w:rPr>
        <w:t>针对</w:t>
      </w:r>
      <w:r>
        <w:rPr>
          <w:szCs w:val="24"/>
          <w:lang w:val="en-US"/>
        </w:rPr>
        <w:t>《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 w:rsidRPr="00A27F5A">
        <w:rPr>
          <w:rFonts w:hint="eastAsia"/>
          <w:szCs w:val="24"/>
          <w:lang w:val="en-US"/>
        </w:rPr>
        <w:t>宣言</w:t>
      </w:r>
      <w:r>
        <w:rPr>
          <w:szCs w:val="24"/>
          <w:lang w:val="en-US"/>
        </w:rPr>
        <w:t>》</w:t>
      </w:r>
      <w:r w:rsidRPr="00A27F5A">
        <w:rPr>
          <w:rFonts w:hint="eastAsia"/>
          <w:szCs w:val="24"/>
          <w:lang w:val="en-US"/>
        </w:rPr>
        <w:t>初步草案</w:t>
      </w:r>
      <w:r>
        <w:rPr>
          <w:rFonts w:hint="eastAsia"/>
          <w:szCs w:val="24"/>
          <w:lang w:val="en-US"/>
        </w:rPr>
        <w:t>来</w:t>
      </w:r>
      <w:r w:rsidRPr="00A27F5A">
        <w:rPr>
          <w:rFonts w:hint="eastAsia"/>
          <w:szCs w:val="24"/>
          <w:lang w:val="en-US"/>
        </w:rPr>
        <w:t>为</w:t>
      </w:r>
      <w:r w:rsidRPr="00A27F5A">
        <w:rPr>
          <w:rFonts w:hint="eastAsia"/>
          <w:szCs w:val="24"/>
          <w:lang w:val="en-US"/>
        </w:rPr>
        <w:t>TDAG</w:t>
      </w:r>
      <w:r w:rsidRPr="00A27F5A">
        <w:rPr>
          <w:rFonts w:hint="eastAsia"/>
          <w:szCs w:val="24"/>
          <w:lang w:val="en-US"/>
        </w:rPr>
        <w:t>和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>
        <w:rPr>
          <w:rFonts w:hint="eastAsia"/>
          <w:szCs w:val="24"/>
        </w:rPr>
        <w:t>编制</w:t>
      </w:r>
      <w:r w:rsidRPr="00A27F5A">
        <w:rPr>
          <w:rFonts w:hint="eastAsia"/>
          <w:szCs w:val="24"/>
          <w:lang w:val="en-US"/>
        </w:rPr>
        <w:t>区域</w:t>
      </w:r>
      <w:r>
        <w:rPr>
          <w:rFonts w:hint="eastAsia"/>
          <w:szCs w:val="24"/>
          <w:lang w:val="en-US"/>
        </w:rPr>
        <w:t>文稿</w:t>
      </w:r>
      <w:r w:rsidRPr="00A27F5A">
        <w:rPr>
          <w:rFonts w:hint="eastAsia"/>
          <w:szCs w:val="24"/>
          <w:lang w:val="en-US"/>
        </w:rPr>
        <w:t>。</w:t>
      </w:r>
    </w:p>
    <w:p w:rsidR="00856BB8" w:rsidRDefault="00856BB8" w:rsidP="00856BB8">
      <w:pPr>
        <w:ind w:firstLineChars="200" w:firstLine="480"/>
        <w:jc w:val="both"/>
      </w:pPr>
      <w:r w:rsidRPr="00A27F5A">
        <w:rPr>
          <w:rFonts w:hint="eastAsia"/>
          <w:szCs w:val="24"/>
          <w:lang w:val="en-US"/>
        </w:rPr>
        <w:t>RPM</w:t>
      </w:r>
      <w:r w:rsidRPr="00A27F5A">
        <w:rPr>
          <w:rFonts w:hint="eastAsia"/>
          <w:szCs w:val="24"/>
        </w:rPr>
        <w:t>-</w:t>
      </w:r>
      <w:r w:rsidRPr="00A27F5A">
        <w:rPr>
          <w:rFonts w:hint="eastAsia"/>
          <w:szCs w:val="24"/>
          <w:lang w:val="en-US"/>
        </w:rPr>
        <w:t>CIS</w:t>
      </w:r>
      <w:r w:rsidRPr="00A27F5A">
        <w:rPr>
          <w:rFonts w:hint="eastAsia"/>
          <w:szCs w:val="24"/>
          <w:lang w:val="en-US"/>
        </w:rPr>
        <w:t>支持</w:t>
      </w:r>
      <w:r>
        <w:rPr>
          <w:rFonts w:hint="eastAsia"/>
          <w:szCs w:val="24"/>
          <w:lang w:val="en-US"/>
        </w:rPr>
        <w:t>其</w:t>
      </w:r>
      <w:r>
        <w:rPr>
          <w:szCs w:val="24"/>
          <w:lang w:val="en-US"/>
        </w:rPr>
        <w:t>于</w:t>
      </w:r>
      <w:r w:rsidRPr="00A27F5A">
        <w:rPr>
          <w:rStyle w:val="Hyperlink"/>
          <w:rFonts w:hint="eastAsia"/>
          <w:lang w:val="en-US"/>
        </w:rPr>
        <w:t>RPM</w:t>
      </w:r>
      <w:r w:rsidRPr="00A27F5A">
        <w:rPr>
          <w:rStyle w:val="Hyperlink"/>
          <w:rFonts w:hint="eastAsia"/>
        </w:rPr>
        <w:t>-</w:t>
      </w:r>
      <w:hyperlink r:id="rId13" w:history="1">
        <w:r w:rsidRPr="00EF7E4B">
          <w:rPr>
            <w:rStyle w:val="Hyperlink"/>
            <w:rFonts w:hint="eastAsia"/>
            <w:lang w:val="en-US"/>
          </w:rPr>
          <w:t>CIS</w:t>
        </w:r>
        <w:r w:rsidRPr="00EF7E4B">
          <w:rPr>
            <w:rStyle w:val="Hyperlink"/>
            <w:rFonts w:hint="eastAsia"/>
          </w:rPr>
          <w:t>16</w:t>
        </w:r>
      </w:hyperlink>
      <w:r w:rsidRPr="00A27F5A">
        <w:rPr>
          <w:rStyle w:val="Hyperlink"/>
          <w:rFonts w:hint="eastAsia"/>
        </w:rPr>
        <w:t>/26</w:t>
      </w:r>
      <w:r w:rsidRPr="00A27F5A">
        <w:rPr>
          <w:rFonts w:hint="eastAsia"/>
          <w:szCs w:val="24"/>
          <w:lang w:val="en-US"/>
        </w:rPr>
        <w:t>号文件</w:t>
      </w:r>
      <w:r>
        <w:rPr>
          <w:rFonts w:hint="eastAsia"/>
          <w:szCs w:val="24"/>
          <w:lang w:val="en-US"/>
        </w:rPr>
        <w:t>中提出</w:t>
      </w:r>
      <w:r w:rsidRPr="00A27F5A">
        <w:rPr>
          <w:rFonts w:hint="eastAsia"/>
          <w:szCs w:val="24"/>
          <w:lang w:val="en-US"/>
        </w:rPr>
        <w:t>的修订</w:t>
      </w:r>
      <w:r>
        <w:rPr>
          <w:rFonts w:hint="eastAsia"/>
          <w:szCs w:val="24"/>
          <w:lang w:val="en-US"/>
        </w:rPr>
        <w:t>意见</w:t>
      </w:r>
      <w:r w:rsidRPr="00A27F5A">
        <w:rPr>
          <w:rFonts w:hint="eastAsia"/>
          <w:szCs w:val="24"/>
        </w:rPr>
        <w:t>，</w:t>
      </w:r>
      <w:r w:rsidRPr="00A27F5A">
        <w:rPr>
          <w:rFonts w:hint="eastAsia"/>
          <w:szCs w:val="24"/>
          <w:lang w:val="en-US"/>
        </w:rPr>
        <w:t>并同意在此基础上为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>
        <w:rPr>
          <w:rFonts w:hint="eastAsia"/>
          <w:szCs w:val="24"/>
        </w:rPr>
        <w:t>编制</w:t>
      </w:r>
      <w:r w:rsidRPr="00A27F5A">
        <w:rPr>
          <w:rFonts w:hint="eastAsia"/>
          <w:szCs w:val="24"/>
          <w:lang w:val="en-US"/>
        </w:rPr>
        <w:t>区域共同提案。</w:t>
      </w:r>
    </w:p>
    <w:p w:rsidR="00856BB8" w:rsidRDefault="00856BB8" w:rsidP="00856BB8">
      <w:pPr>
        <w:ind w:firstLineChars="200" w:firstLine="480"/>
        <w:jc w:val="both"/>
      </w:pPr>
      <w:r w:rsidRPr="00A27F5A">
        <w:rPr>
          <w:rFonts w:hint="eastAsia"/>
          <w:szCs w:val="24"/>
          <w:lang w:val="en-US"/>
        </w:rPr>
        <w:t>RPM</w:t>
      </w:r>
      <w:r w:rsidRPr="00A27F5A">
        <w:rPr>
          <w:rFonts w:hint="eastAsia"/>
          <w:szCs w:val="24"/>
        </w:rPr>
        <w:t>-</w:t>
      </w:r>
      <w:r w:rsidRPr="00A27F5A">
        <w:rPr>
          <w:rFonts w:hint="eastAsia"/>
          <w:szCs w:val="24"/>
          <w:lang w:val="en-US"/>
        </w:rPr>
        <w:t>AMS</w:t>
      </w:r>
      <w:r w:rsidRPr="00A27F5A">
        <w:rPr>
          <w:rFonts w:hint="eastAsia"/>
          <w:szCs w:val="24"/>
          <w:lang w:val="en-US"/>
        </w:rPr>
        <w:t>成立了</w:t>
      </w:r>
      <w:r>
        <w:rPr>
          <w:rFonts w:hint="eastAsia"/>
          <w:szCs w:val="24"/>
          <w:lang w:val="en-US"/>
        </w:rPr>
        <w:t>关于</w:t>
      </w:r>
      <w:r>
        <w:rPr>
          <w:szCs w:val="24"/>
          <w:lang w:val="en-US"/>
        </w:rPr>
        <w:t>《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 w:rsidRPr="00A27F5A">
        <w:rPr>
          <w:rFonts w:hint="eastAsia"/>
          <w:szCs w:val="24"/>
          <w:lang w:val="en-US"/>
        </w:rPr>
        <w:t>宣言</w:t>
      </w:r>
      <w:r>
        <w:rPr>
          <w:szCs w:val="24"/>
          <w:lang w:val="en-US"/>
        </w:rPr>
        <w:t>》</w:t>
      </w:r>
      <w:r>
        <w:rPr>
          <w:rFonts w:hint="eastAsia"/>
          <w:szCs w:val="24"/>
          <w:lang w:val="en-US"/>
        </w:rPr>
        <w:t>初步</w:t>
      </w:r>
      <w:r>
        <w:rPr>
          <w:szCs w:val="24"/>
          <w:lang w:val="en-US"/>
        </w:rPr>
        <w:t>草案</w:t>
      </w:r>
      <w:r>
        <w:rPr>
          <w:rFonts w:hint="eastAsia"/>
          <w:szCs w:val="24"/>
          <w:lang w:val="en-US"/>
        </w:rPr>
        <w:t>的特设</w:t>
      </w:r>
      <w:r w:rsidRPr="00A27F5A">
        <w:rPr>
          <w:rFonts w:hint="eastAsia"/>
          <w:szCs w:val="24"/>
          <w:lang w:val="en-US"/>
        </w:rPr>
        <w:t>组</w:t>
      </w:r>
      <w:r w:rsidRPr="00A27F5A">
        <w:rPr>
          <w:rFonts w:hint="eastAsia"/>
          <w:szCs w:val="24"/>
        </w:rPr>
        <w:t>，</w:t>
      </w:r>
      <w:r>
        <w:rPr>
          <w:rFonts w:hint="eastAsia"/>
          <w:szCs w:val="24"/>
          <w:lang w:val="en-US"/>
        </w:rPr>
        <w:t>并</w:t>
      </w:r>
      <w:r w:rsidRPr="00A27F5A">
        <w:rPr>
          <w:rFonts w:hint="eastAsia"/>
          <w:szCs w:val="24"/>
          <w:lang w:val="en-US"/>
        </w:rPr>
        <w:t>就</w:t>
      </w:r>
      <w:r w:rsidRPr="00A27F5A">
        <w:rPr>
          <w:rStyle w:val="Hyperlink"/>
          <w:rFonts w:hint="eastAsia"/>
        </w:rPr>
        <w:t>RPM-AMS</w:t>
      </w:r>
      <w:hyperlink r:id="rId14" w:history="1">
        <w:r w:rsidRPr="00EF7E4B">
          <w:rPr>
            <w:rStyle w:val="Hyperlink"/>
            <w:rFonts w:hint="eastAsia"/>
          </w:rPr>
          <w:t>主席报告附件</w:t>
        </w:r>
      </w:hyperlink>
      <w:r w:rsidRPr="00A27F5A">
        <w:rPr>
          <w:rStyle w:val="Hyperlink"/>
          <w:rFonts w:hint="eastAsia"/>
        </w:rPr>
        <w:t>2</w:t>
      </w:r>
      <w:r w:rsidRPr="00A27F5A">
        <w:rPr>
          <w:rFonts w:hint="eastAsia"/>
          <w:szCs w:val="24"/>
          <w:lang w:val="en-US"/>
        </w:rPr>
        <w:t>所载的</w:t>
      </w:r>
      <w:r w:rsidRPr="00A27F5A">
        <w:rPr>
          <w:rFonts w:hint="eastAsia"/>
          <w:szCs w:val="24"/>
          <w:lang w:val="en-US"/>
        </w:rPr>
        <w:t>RPM</w:t>
      </w:r>
      <w:r w:rsidRPr="00A27F5A">
        <w:rPr>
          <w:rFonts w:hint="eastAsia"/>
          <w:szCs w:val="24"/>
        </w:rPr>
        <w:t>-</w:t>
      </w:r>
      <w:r w:rsidRPr="00A27F5A">
        <w:rPr>
          <w:rFonts w:hint="eastAsia"/>
          <w:szCs w:val="24"/>
          <w:lang w:val="en-US"/>
        </w:rPr>
        <w:t>AMS</w:t>
      </w:r>
      <w:r>
        <w:rPr>
          <w:szCs w:val="24"/>
          <w:lang w:val="en-US"/>
        </w:rPr>
        <w:t>《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 w:rsidRPr="00A27F5A">
        <w:rPr>
          <w:rFonts w:hint="eastAsia"/>
          <w:szCs w:val="24"/>
          <w:lang w:val="en-US"/>
        </w:rPr>
        <w:t>宣言</w:t>
      </w:r>
      <w:r>
        <w:rPr>
          <w:szCs w:val="24"/>
          <w:lang w:val="en-US"/>
        </w:rPr>
        <w:t>》</w:t>
      </w:r>
      <w:r w:rsidRPr="00A27F5A">
        <w:rPr>
          <w:rFonts w:hint="eastAsia"/>
          <w:szCs w:val="24"/>
          <w:lang w:val="en-US"/>
        </w:rPr>
        <w:t>初步草案达成</w:t>
      </w:r>
      <w:r>
        <w:rPr>
          <w:rFonts w:hint="eastAsia"/>
          <w:szCs w:val="24"/>
          <w:lang w:val="en-US"/>
        </w:rPr>
        <w:t>了</w:t>
      </w:r>
      <w:r w:rsidRPr="00A27F5A">
        <w:rPr>
          <w:rFonts w:hint="eastAsia"/>
          <w:szCs w:val="24"/>
          <w:lang w:val="en-US"/>
        </w:rPr>
        <w:t>共识。</w:t>
      </w:r>
    </w:p>
    <w:p w:rsidR="00856BB8" w:rsidRDefault="00856BB8" w:rsidP="00856BB8">
      <w:pPr>
        <w:tabs>
          <w:tab w:val="left" w:pos="1951"/>
        </w:tabs>
        <w:ind w:firstLineChars="200" w:firstLine="480"/>
        <w:jc w:val="both"/>
      </w:pPr>
      <w:r w:rsidRPr="00A27F5A">
        <w:rPr>
          <w:rFonts w:hint="eastAsia"/>
          <w:szCs w:val="24"/>
          <w:lang w:val="en-US"/>
        </w:rPr>
        <w:t>RPM-ASP</w:t>
      </w:r>
      <w:r w:rsidRPr="00A27F5A">
        <w:rPr>
          <w:rFonts w:hint="eastAsia"/>
          <w:szCs w:val="24"/>
          <w:lang w:val="en-US"/>
        </w:rPr>
        <w:t>成立了</w:t>
      </w:r>
      <w:r>
        <w:rPr>
          <w:rFonts w:hint="eastAsia"/>
          <w:szCs w:val="24"/>
          <w:lang w:val="en-US"/>
        </w:rPr>
        <w:t>关于</w:t>
      </w:r>
      <w:r>
        <w:rPr>
          <w:szCs w:val="24"/>
          <w:lang w:val="en-US"/>
        </w:rPr>
        <w:t>《</w:t>
      </w:r>
      <w:r w:rsidRPr="00A27F5A">
        <w:rPr>
          <w:rFonts w:hint="eastAsia"/>
          <w:szCs w:val="24"/>
          <w:lang w:val="en-US"/>
        </w:rPr>
        <w:t>WTDC</w:t>
      </w:r>
      <w:r w:rsidRPr="00A27F5A">
        <w:rPr>
          <w:rFonts w:hint="eastAsia"/>
          <w:szCs w:val="24"/>
        </w:rPr>
        <w:t>-17</w:t>
      </w:r>
      <w:r w:rsidRPr="00A27F5A">
        <w:rPr>
          <w:rFonts w:hint="eastAsia"/>
          <w:szCs w:val="24"/>
          <w:lang w:val="en-US"/>
        </w:rPr>
        <w:t>宣言</w:t>
      </w:r>
      <w:r>
        <w:rPr>
          <w:szCs w:val="24"/>
          <w:lang w:val="en-US"/>
        </w:rPr>
        <w:t>》</w:t>
      </w:r>
      <w:r>
        <w:rPr>
          <w:rFonts w:hint="eastAsia"/>
          <w:szCs w:val="24"/>
          <w:lang w:val="en-US"/>
        </w:rPr>
        <w:t>初步</w:t>
      </w:r>
      <w:r>
        <w:rPr>
          <w:szCs w:val="24"/>
          <w:lang w:val="en-US"/>
        </w:rPr>
        <w:t>草案</w:t>
      </w:r>
      <w:r>
        <w:rPr>
          <w:rFonts w:hint="eastAsia"/>
          <w:szCs w:val="24"/>
          <w:lang w:val="en-US"/>
        </w:rPr>
        <w:t>的特设</w:t>
      </w:r>
      <w:r w:rsidRPr="00A27F5A">
        <w:rPr>
          <w:rFonts w:hint="eastAsia"/>
          <w:szCs w:val="24"/>
          <w:lang w:val="en-US"/>
        </w:rPr>
        <w:t>组，</w:t>
      </w:r>
      <w:r>
        <w:rPr>
          <w:rFonts w:hint="eastAsia"/>
          <w:szCs w:val="24"/>
          <w:lang w:val="en-US"/>
        </w:rPr>
        <w:t>同时</w:t>
      </w:r>
      <w:r w:rsidRPr="00A27F5A">
        <w:rPr>
          <w:rFonts w:hint="eastAsia"/>
          <w:szCs w:val="24"/>
          <w:lang w:val="en-US"/>
        </w:rPr>
        <w:t>注意到该特设组主席的报告，并同意</w:t>
      </w:r>
      <w:r>
        <w:rPr>
          <w:rFonts w:hint="eastAsia"/>
          <w:szCs w:val="24"/>
          <w:lang w:val="en-US"/>
        </w:rPr>
        <w:t>在</w:t>
      </w:r>
      <w:r>
        <w:rPr>
          <w:szCs w:val="24"/>
          <w:lang w:val="en-US"/>
        </w:rPr>
        <w:t>编制区域</w:t>
      </w:r>
      <w:r>
        <w:rPr>
          <w:rFonts w:hint="eastAsia"/>
          <w:szCs w:val="24"/>
          <w:lang w:val="en-US"/>
        </w:rPr>
        <w:t>综合提</w:t>
      </w:r>
      <w:r>
        <w:rPr>
          <w:szCs w:val="24"/>
          <w:lang w:val="en-US"/>
        </w:rPr>
        <w:t>案</w:t>
      </w:r>
      <w:r>
        <w:rPr>
          <w:rFonts w:hint="eastAsia"/>
          <w:szCs w:val="24"/>
          <w:lang w:val="en-US"/>
        </w:rPr>
        <w:t>的过程</w:t>
      </w:r>
      <w:r>
        <w:rPr>
          <w:szCs w:val="24"/>
          <w:lang w:val="en-US"/>
        </w:rPr>
        <w:t>中</w:t>
      </w:r>
      <w:r w:rsidRPr="00A27F5A">
        <w:rPr>
          <w:rFonts w:hint="eastAsia"/>
          <w:szCs w:val="24"/>
          <w:lang w:val="en-US"/>
        </w:rPr>
        <w:t>将其作为继续开展工作的基础。</w:t>
      </w:r>
      <w:r>
        <w:rPr>
          <w:rFonts w:hint="eastAsia"/>
          <w:szCs w:val="24"/>
          <w:lang w:val="en-US"/>
        </w:rPr>
        <w:t>此</w:t>
      </w:r>
      <w:r w:rsidRPr="00A27F5A">
        <w:rPr>
          <w:rFonts w:hint="eastAsia"/>
          <w:szCs w:val="24"/>
          <w:lang w:val="en-US"/>
        </w:rPr>
        <w:t>报告载于</w:t>
      </w:r>
      <w:r w:rsidRPr="00C24288">
        <w:rPr>
          <w:rStyle w:val="Hyperlink"/>
          <w:rFonts w:hint="eastAsia"/>
          <w:lang w:val="en-US"/>
        </w:rPr>
        <w:t>RPM-ASP</w:t>
      </w:r>
      <w:hyperlink r:id="rId15" w:history="1">
        <w:r w:rsidRPr="00EF7E4B">
          <w:rPr>
            <w:rStyle w:val="Hyperlink"/>
            <w:rFonts w:hint="eastAsia"/>
            <w:lang w:val="en-US"/>
          </w:rPr>
          <w:t>主席报告附件</w:t>
        </w:r>
      </w:hyperlink>
      <w:r>
        <w:rPr>
          <w:rStyle w:val="Hyperlink"/>
          <w:rFonts w:hint="eastAsia"/>
          <w:lang w:val="en-US"/>
        </w:rPr>
        <w:t>2</w:t>
      </w:r>
      <w:r w:rsidRPr="00A27F5A">
        <w:rPr>
          <w:rFonts w:hint="eastAsia"/>
          <w:szCs w:val="24"/>
          <w:lang w:val="en-US"/>
        </w:rPr>
        <w:t>。</w:t>
      </w:r>
    </w:p>
    <w:p w:rsidR="009D712D" w:rsidRPr="00856BB8" w:rsidRDefault="00D23AAD" w:rsidP="00D23AAD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firstLineChars="200" w:firstLine="480"/>
        <w:rPr>
          <w:lang w:val="en-GB"/>
        </w:rPr>
      </w:pPr>
      <w:r>
        <w:rPr>
          <w:rFonts w:hint="eastAsia"/>
        </w:rPr>
        <w:t>CG-SPOPD</w:t>
      </w:r>
      <w:r>
        <w:t>在</w:t>
      </w:r>
      <w:r>
        <w:rPr>
          <w:rFonts w:hint="eastAsia"/>
        </w:rPr>
        <w:t>其</w:t>
      </w:r>
      <w:r>
        <w:rPr>
          <w:rFonts w:hint="eastAsia"/>
        </w:rPr>
        <w:t>2017</w:t>
      </w:r>
      <w:r>
        <w:t>年</w:t>
      </w:r>
      <w:r>
        <w:rPr>
          <w:rFonts w:hint="eastAsia"/>
        </w:rPr>
        <w:t>5</w:t>
      </w:r>
      <w:r>
        <w:t>月</w:t>
      </w:r>
      <w:r>
        <w:rPr>
          <w:rFonts w:hint="eastAsia"/>
        </w:rPr>
        <w:t>9</w:t>
      </w:r>
      <w:r>
        <w:t>日会议上对</w:t>
      </w:r>
      <w:r>
        <w:rPr>
          <w:rFonts w:hint="eastAsia"/>
        </w:rPr>
        <w:t>RPM</w:t>
      </w:r>
      <w:r>
        <w:t>的工作表示欢迎，并</w:t>
      </w:r>
      <w:r>
        <w:rPr>
          <w:rFonts w:hint="eastAsia"/>
        </w:rPr>
        <w:t>就</w:t>
      </w:r>
      <w:r>
        <w:rPr>
          <w:rFonts w:hint="eastAsia"/>
        </w:rPr>
        <w:t>ITU-D</w:t>
      </w:r>
      <w:r>
        <w:t>提交国际电联</w:t>
      </w:r>
      <w:r>
        <w:rPr>
          <w:rFonts w:hint="eastAsia"/>
        </w:rPr>
        <w:t>2020</w:t>
      </w:r>
      <w:r>
        <w:t>-2023</w:t>
      </w:r>
      <w:r>
        <w:t>年战略规划的草案、</w:t>
      </w:r>
      <w:r>
        <w:rPr>
          <w:rFonts w:hint="eastAsia"/>
        </w:rPr>
        <w:t>TDAG17</w:t>
      </w:r>
      <w:r>
        <w:t>/DT/4</w:t>
      </w:r>
      <w:r>
        <w:t>和</w:t>
      </w:r>
      <w:r>
        <w:rPr>
          <w:rFonts w:hint="eastAsia"/>
        </w:rPr>
        <w:t>10</w:t>
      </w:r>
      <w:r>
        <w:t>号文件以及</w:t>
      </w:r>
      <w:r>
        <w:rPr>
          <w:rFonts w:hint="eastAsia"/>
        </w:rPr>
        <w:t>TDAG47</w:t>
      </w:r>
      <w:r>
        <w:rPr>
          <w:rFonts w:hint="eastAsia"/>
        </w:rPr>
        <w:t>、</w:t>
      </w:r>
      <w:r>
        <w:rPr>
          <w:rFonts w:hint="eastAsia"/>
        </w:rPr>
        <w:t>48</w:t>
      </w:r>
      <w:r>
        <w:t>和</w:t>
      </w:r>
      <w:r>
        <w:rPr>
          <w:rFonts w:hint="eastAsia"/>
        </w:rPr>
        <w:t>59</w:t>
      </w:r>
      <w:r>
        <w:t>号文件进行了讨论。</w:t>
      </w:r>
    </w:p>
    <w:p w:rsidR="007548F8" w:rsidRPr="00E45C67" w:rsidRDefault="007548F8" w:rsidP="007548F8">
      <w:pPr>
        <w:ind w:firstLineChars="200" w:firstLine="480"/>
      </w:pPr>
      <w:r w:rsidRPr="00E45C67">
        <w:t>ITU-D</w:t>
      </w:r>
      <w:r w:rsidRPr="00E45C67">
        <w:t>提交</w:t>
      </w:r>
      <w:r w:rsidRPr="00E45C67">
        <w:rPr>
          <w:rFonts w:hint="eastAsia"/>
        </w:rPr>
        <w:t>国际电联</w:t>
      </w:r>
      <w:r w:rsidRPr="00E45C67">
        <w:t>2020-2023</w:t>
      </w:r>
      <w:r w:rsidRPr="00E45C67">
        <w:rPr>
          <w:rFonts w:hint="eastAsia"/>
        </w:rPr>
        <w:t>年战略规划的文稿草案包括四个目标，符合以下三点：</w:t>
      </w:r>
    </w:p>
    <w:p w:rsidR="007548F8" w:rsidRPr="00E45C67" w:rsidRDefault="007548F8" w:rsidP="007548F8">
      <w:pPr>
        <w:pStyle w:val="enumlev1"/>
      </w:pPr>
      <w:r w:rsidRPr="00E45C67">
        <w:rPr>
          <w:rStyle w:val="shorttext"/>
          <w:rFonts w:cs="Arial" w:hint="eastAsia"/>
          <w:color w:val="222222"/>
        </w:rPr>
        <w:t>1)</w:t>
      </w:r>
      <w:r w:rsidRPr="00E45C67">
        <w:rPr>
          <w:rStyle w:val="shorttext"/>
          <w:rFonts w:cs="Arial"/>
          <w:color w:val="222222"/>
        </w:rPr>
        <w:tab/>
      </w:r>
      <w:r w:rsidRPr="00E45C67">
        <w:rPr>
          <w:rStyle w:val="shorttext"/>
          <w:rFonts w:cs="Arial" w:hint="eastAsia"/>
          <w:color w:val="222222"/>
        </w:rPr>
        <w:t>比当前</w:t>
      </w:r>
      <w:r w:rsidRPr="00E45C67">
        <w:t>2016-2019</w:t>
      </w:r>
      <w:r w:rsidRPr="00E45C67">
        <w:rPr>
          <w:rStyle w:val="shorttext"/>
          <w:rFonts w:hint="eastAsia"/>
        </w:rPr>
        <w:t>年战略规划更注重结果，遵循以结果为导向的管理方法。</w:t>
      </w:r>
    </w:p>
    <w:p w:rsidR="007548F8" w:rsidRPr="00E45C67" w:rsidRDefault="007548F8" w:rsidP="007548F8">
      <w:pPr>
        <w:pStyle w:val="enumlev1"/>
      </w:pPr>
      <w:r w:rsidRPr="00E45C67">
        <w:rPr>
          <w:rStyle w:val="shorttext"/>
          <w:rFonts w:cs="Arial"/>
          <w:color w:val="222222"/>
        </w:rPr>
        <w:t>2</w:t>
      </w:r>
      <w:r w:rsidRPr="00E45C67">
        <w:rPr>
          <w:rStyle w:val="shorttext"/>
          <w:rFonts w:cs="Arial" w:hint="eastAsia"/>
          <w:color w:val="222222"/>
        </w:rPr>
        <w:t>)</w:t>
      </w:r>
      <w:r w:rsidRPr="00E45C67">
        <w:rPr>
          <w:rStyle w:val="shorttext"/>
          <w:rFonts w:cs="Arial"/>
          <w:color w:val="222222"/>
        </w:rPr>
        <w:tab/>
      </w:r>
      <w:r w:rsidRPr="00EF0D0C">
        <w:rPr>
          <w:rFonts w:hint="eastAsia"/>
          <w:b/>
          <w:bCs/>
        </w:rPr>
        <w:t>保留</w:t>
      </w:r>
      <w:r w:rsidRPr="00E45C67">
        <w:rPr>
          <w:rFonts w:hint="eastAsia"/>
        </w:rPr>
        <w:t>了已简化的</w:t>
      </w:r>
      <w:r w:rsidRPr="00E45C67">
        <w:t>2016-2019</w:t>
      </w:r>
      <w:r w:rsidRPr="00E45C67">
        <w:rPr>
          <w:rFonts w:hint="eastAsia"/>
        </w:rPr>
        <w:t>年</w:t>
      </w:r>
      <w:r w:rsidRPr="00E45C67">
        <w:t>ITU-D</w:t>
      </w:r>
      <w:r w:rsidRPr="00E45C67">
        <w:rPr>
          <w:rFonts w:hint="eastAsia"/>
        </w:rPr>
        <w:t>战略规划的</w:t>
      </w:r>
      <w:r w:rsidRPr="00EF0D0C">
        <w:rPr>
          <w:rFonts w:hint="eastAsia"/>
          <w:b/>
          <w:bCs/>
        </w:rPr>
        <w:t>所有内容</w:t>
      </w:r>
      <w:r w:rsidRPr="00E45C67">
        <w:rPr>
          <w:rFonts w:hint="eastAsia"/>
        </w:rPr>
        <w:t>，并在文稿中提及了当前战略规划的相应成果和输出成果。此外，为便于参考，</w:t>
      </w:r>
      <w:r w:rsidRPr="00E45C67">
        <w:t>2016-2019</w:t>
      </w:r>
      <w:r w:rsidRPr="00E45C67">
        <w:rPr>
          <w:rFonts w:hint="eastAsia"/>
        </w:rPr>
        <w:t>年战略规划作为附件</w:t>
      </w:r>
      <w:r w:rsidRPr="00E45C67">
        <w:t>E</w:t>
      </w:r>
      <w:r w:rsidRPr="00E45C67">
        <w:t>载入其中</w:t>
      </w:r>
      <w:r w:rsidRPr="00E45C67">
        <w:rPr>
          <w:rFonts w:hint="eastAsia"/>
        </w:rPr>
        <w:t>。</w:t>
      </w:r>
    </w:p>
    <w:p w:rsidR="009D712D" w:rsidRDefault="007548F8" w:rsidP="007548F8">
      <w:pPr>
        <w:pStyle w:val="enumlev1"/>
      </w:pPr>
      <w:r w:rsidRPr="00E45C67">
        <w:rPr>
          <w:rStyle w:val="shorttext"/>
          <w:rFonts w:cs="Arial"/>
          <w:color w:val="222222"/>
        </w:rPr>
        <w:t>3</w:t>
      </w:r>
      <w:r w:rsidRPr="00E45C67">
        <w:rPr>
          <w:rStyle w:val="shorttext"/>
          <w:rFonts w:cs="Arial" w:hint="eastAsia"/>
          <w:color w:val="222222"/>
        </w:rPr>
        <w:t>)</w:t>
      </w:r>
      <w:r w:rsidRPr="00E45C67">
        <w:rPr>
          <w:rStyle w:val="shorttext"/>
          <w:rFonts w:cs="Arial"/>
          <w:color w:val="222222"/>
        </w:rPr>
        <w:tab/>
      </w:r>
      <w:r w:rsidRPr="00E45C67">
        <w:rPr>
          <w:rFonts w:hint="eastAsia"/>
        </w:rPr>
        <w:t>当前</w:t>
      </w:r>
      <w:r w:rsidRPr="00E45C67">
        <w:t>2016-2019</w:t>
      </w:r>
      <w:r w:rsidRPr="00E45C67">
        <w:rPr>
          <w:rFonts w:hint="eastAsia"/>
        </w:rPr>
        <w:t>年战略规划的五个目标以四个目标中提出，使用国际电联成员和利益攸关方认可的表述，迎合更广泛公众的兴趣，使目前未参与</w:t>
      </w:r>
      <w:r w:rsidRPr="00E45C67">
        <w:t>ITU</w:t>
      </w:r>
      <w:r w:rsidRPr="00E45C67">
        <w:noBreakHyphen/>
        <w:t>D</w:t>
      </w:r>
      <w:r w:rsidRPr="00E45C67">
        <w:t>工作的</w:t>
      </w:r>
      <w:r w:rsidRPr="00E45C67">
        <w:rPr>
          <w:rFonts w:hint="eastAsia"/>
        </w:rPr>
        <w:t>人员能够参与到我们重要的工作中来。文稿旨在简化现行战略规划的语言，包括消除重复。</w:t>
      </w:r>
    </w:p>
    <w:p w:rsidR="009D712D" w:rsidRPr="009D712D" w:rsidRDefault="00D23AAD" w:rsidP="0094605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firstLineChars="200" w:firstLine="480"/>
        <w:rPr>
          <w:lang w:val="en-GB"/>
        </w:rPr>
      </w:pPr>
      <w:r>
        <w:rPr>
          <w:lang w:val="en-GB"/>
        </w:rPr>
        <w:t>CG</w:t>
      </w:r>
      <w:r w:rsidRPr="00D23AAD">
        <w:t>-</w:t>
      </w:r>
      <w:r>
        <w:rPr>
          <w:lang w:val="en-GB"/>
        </w:rPr>
        <w:t>SPOPD</w:t>
      </w:r>
      <w:r>
        <w:rPr>
          <w:lang w:val="en-GB"/>
        </w:rPr>
        <w:t>就行动计划草案、</w:t>
      </w:r>
      <w:r w:rsidR="009D712D" w:rsidRPr="009D712D">
        <w:rPr>
          <w:lang w:val="en-GB"/>
        </w:rPr>
        <w:t>TDAG</w:t>
      </w:r>
      <w:r w:rsidR="009D712D" w:rsidRPr="00D23AAD">
        <w:t xml:space="preserve">17 </w:t>
      </w:r>
      <w:r w:rsidR="009D712D" w:rsidRPr="009D712D">
        <w:rPr>
          <w:lang w:val="en-GB"/>
        </w:rPr>
        <w:t>DT</w:t>
      </w:r>
      <w:r w:rsidR="009D712D" w:rsidRPr="00D23AAD">
        <w:t>/</w:t>
      </w:r>
      <w:hyperlink r:id="rId16" w:history="1">
        <w:r w:rsidR="009D712D" w:rsidRPr="00D23AAD">
          <w:t>5</w:t>
        </w:r>
      </w:hyperlink>
      <w:r>
        <w:t>和</w:t>
      </w:r>
      <w:r w:rsidR="009D712D" w:rsidRPr="00D23AAD">
        <w:t>11</w:t>
      </w:r>
      <w:r>
        <w:rPr>
          <w:rFonts w:hint="eastAsia"/>
        </w:rPr>
        <w:t>号</w:t>
      </w:r>
      <w:r>
        <w:t>文件以及</w:t>
      </w:r>
      <w:r>
        <w:rPr>
          <w:rFonts w:hint="eastAsia"/>
        </w:rPr>
        <w:t>TDAG</w:t>
      </w:r>
      <w:r>
        <w:t xml:space="preserve"> </w:t>
      </w:r>
      <w:r>
        <w:rPr>
          <w:rFonts w:hint="eastAsia"/>
        </w:rPr>
        <w:t>50</w:t>
      </w:r>
      <w:r>
        <w:t>和</w:t>
      </w:r>
      <w:r>
        <w:rPr>
          <w:rFonts w:hint="eastAsia"/>
        </w:rPr>
        <w:t>54</w:t>
      </w:r>
      <w:r>
        <w:t>号文件进行了讨论。</w:t>
      </w:r>
      <w:r>
        <w:rPr>
          <w:rFonts w:hint="eastAsia"/>
        </w:rPr>
        <w:t>中国</w:t>
      </w:r>
      <w:r w:rsidR="00946058">
        <w:rPr>
          <w:rFonts w:hint="eastAsia"/>
        </w:rPr>
        <w:t>经</w:t>
      </w:r>
      <w:r>
        <w:t>与</w:t>
      </w:r>
      <w:r>
        <w:rPr>
          <w:rFonts w:hint="eastAsia"/>
        </w:rPr>
        <w:t>TDAG</w:t>
      </w:r>
      <w:r>
        <w:t>代表非正式磋商，同意起草一份</w:t>
      </w:r>
      <w:r>
        <w:rPr>
          <w:rFonts w:hint="eastAsia"/>
        </w:rPr>
        <w:t>54</w:t>
      </w:r>
      <w:r>
        <w:t>号文件修订案</w:t>
      </w:r>
      <w:r>
        <w:rPr>
          <w:rFonts w:hint="eastAsia"/>
        </w:rPr>
        <w:t>提交</w:t>
      </w:r>
      <w:r>
        <w:rPr>
          <w:rFonts w:hint="eastAsia"/>
        </w:rPr>
        <w:t>T</w:t>
      </w:r>
      <w:bookmarkStart w:id="7" w:name="_GoBack"/>
      <w:bookmarkEnd w:id="7"/>
      <w:r>
        <w:rPr>
          <w:rFonts w:hint="eastAsia"/>
        </w:rPr>
        <w:t>DAG17</w:t>
      </w:r>
      <w:r>
        <w:rPr>
          <w:rFonts w:hint="eastAsia"/>
        </w:rPr>
        <w:t>。</w:t>
      </w:r>
    </w:p>
    <w:p w:rsidR="009D712D" w:rsidRPr="009D712D" w:rsidRDefault="009D712D" w:rsidP="00D23AAD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firstLineChars="200" w:firstLine="480"/>
        <w:rPr>
          <w:lang w:val="en-GB"/>
        </w:rPr>
      </w:pPr>
      <w:r w:rsidRPr="009D712D">
        <w:rPr>
          <w:lang w:val="en-GB"/>
        </w:rPr>
        <w:lastRenderedPageBreak/>
        <w:t>CG-SPOPD</w:t>
      </w:r>
      <w:r w:rsidR="00D23AAD">
        <w:rPr>
          <w:lang w:val="en-GB"/>
        </w:rPr>
        <w:t>就宣言、</w:t>
      </w:r>
      <w:r w:rsidRPr="009D712D">
        <w:rPr>
          <w:lang w:val="en-GB"/>
        </w:rPr>
        <w:t>TDAG17 DT/</w:t>
      </w:r>
      <w:hyperlink r:id="rId17" w:history="1">
        <w:r w:rsidRPr="009D712D">
          <w:rPr>
            <w:lang w:val="en-GB"/>
          </w:rPr>
          <w:t>6</w:t>
        </w:r>
      </w:hyperlink>
      <w:r w:rsidR="00D23AAD">
        <w:rPr>
          <w:lang w:val="en-GB"/>
        </w:rPr>
        <w:t>和</w:t>
      </w:r>
      <w:r w:rsidRPr="009D712D">
        <w:rPr>
          <w:lang w:val="en-GB"/>
        </w:rPr>
        <w:t>12</w:t>
      </w:r>
      <w:r w:rsidR="00D23AAD">
        <w:rPr>
          <w:lang w:val="en-GB"/>
        </w:rPr>
        <w:t>以及</w:t>
      </w:r>
      <w:r w:rsidR="00D23AAD">
        <w:rPr>
          <w:rFonts w:hint="eastAsia"/>
          <w:lang w:val="en-GB"/>
        </w:rPr>
        <w:t>TDAG1745</w:t>
      </w:r>
      <w:r w:rsidR="00D23AAD">
        <w:rPr>
          <w:rFonts w:hint="eastAsia"/>
          <w:lang w:val="en-GB"/>
        </w:rPr>
        <w:t>、</w:t>
      </w:r>
      <w:r w:rsidR="00D23AAD">
        <w:rPr>
          <w:rFonts w:hint="eastAsia"/>
          <w:lang w:val="en-GB"/>
        </w:rPr>
        <w:t>49</w:t>
      </w:r>
      <w:r w:rsidR="00D23AAD">
        <w:rPr>
          <w:rFonts w:hint="eastAsia"/>
          <w:lang w:val="en-GB"/>
        </w:rPr>
        <w:t>、</w:t>
      </w:r>
      <w:r w:rsidR="00D23AAD">
        <w:rPr>
          <w:rFonts w:hint="eastAsia"/>
          <w:lang w:val="en-GB"/>
        </w:rPr>
        <w:t>52</w:t>
      </w:r>
      <w:r w:rsidR="00D23AAD">
        <w:rPr>
          <w:rFonts w:hint="eastAsia"/>
          <w:lang w:val="en-GB"/>
        </w:rPr>
        <w:t>、</w:t>
      </w:r>
      <w:r w:rsidR="00D23AAD">
        <w:rPr>
          <w:rFonts w:hint="eastAsia"/>
          <w:lang w:val="en-GB"/>
        </w:rPr>
        <w:t>60</w:t>
      </w:r>
      <w:r w:rsidR="00D23AAD">
        <w:rPr>
          <w:lang w:val="en-GB"/>
        </w:rPr>
        <w:t>和</w:t>
      </w:r>
      <w:r w:rsidR="00D23AAD">
        <w:rPr>
          <w:rFonts w:hint="eastAsia"/>
          <w:lang w:val="en-GB"/>
        </w:rPr>
        <w:t>68</w:t>
      </w:r>
      <w:r w:rsidR="00D23AAD">
        <w:rPr>
          <w:lang w:val="en-GB"/>
        </w:rPr>
        <w:t>号文件进行了讨论。</w:t>
      </w:r>
    </w:p>
    <w:p w:rsidR="009D712D" w:rsidRPr="009D712D" w:rsidRDefault="00D23AAD" w:rsidP="0094605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firstLineChars="200" w:firstLine="480"/>
        <w:rPr>
          <w:lang w:val="en-GB"/>
        </w:rPr>
      </w:pPr>
      <w:r>
        <w:rPr>
          <w:rFonts w:hint="eastAsia"/>
          <w:lang w:val="en-GB"/>
        </w:rPr>
        <w:t>在</w:t>
      </w:r>
      <w:r>
        <w:rPr>
          <w:lang w:val="en-GB"/>
        </w:rPr>
        <w:t>对所有这些文件进行讨论期间，主席重申</w:t>
      </w:r>
      <w:r>
        <w:rPr>
          <w:rFonts w:hint="eastAsia"/>
          <w:lang w:val="en-GB"/>
        </w:rPr>
        <w:t>战略</w:t>
      </w:r>
      <w:r>
        <w:rPr>
          <w:lang w:val="en-GB"/>
        </w:rPr>
        <w:t>规划和宣言应保持在宏观层面</w:t>
      </w:r>
      <w:r>
        <w:rPr>
          <w:rFonts w:hint="eastAsia"/>
          <w:lang w:val="en-GB"/>
        </w:rPr>
        <w:t>，</w:t>
      </w:r>
      <w:r>
        <w:rPr>
          <w:lang w:val="en-GB"/>
        </w:rPr>
        <w:t>不能过</w:t>
      </w:r>
      <w:r w:rsidR="000C5861">
        <w:rPr>
          <w:rFonts w:hint="eastAsia"/>
          <w:lang w:val="en-GB"/>
        </w:rPr>
        <w:t>于</w:t>
      </w:r>
      <w:r>
        <w:rPr>
          <w:lang w:val="en-GB"/>
        </w:rPr>
        <w:t>琐碎，因为运作要素应</w:t>
      </w:r>
      <w:r w:rsidR="00946058">
        <w:rPr>
          <w:lang w:val="en-GB"/>
        </w:rPr>
        <w:t>体现</w:t>
      </w:r>
      <w:r>
        <w:rPr>
          <w:lang w:val="en-GB"/>
        </w:rPr>
        <w:t>在行动计划或年度和滚动式</w:t>
      </w:r>
      <w:r>
        <w:rPr>
          <w:rFonts w:hint="eastAsia"/>
          <w:lang w:val="en-GB"/>
        </w:rPr>
        <w:t>ITU-D</w:t>
      </w:r>
      <w:r>
        <w:rPr>
          <w:lang w:val="en-GB"/>
        </w:rPr>
        <w:t>运作规划中。</w:t>
      </w:r>
    </w:p>
    <w:p w:rsidR="009D712D" w:rsidRPr="009D712D" w:rsidRDefault="000C5861" w:rsidP="00DC232C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firstLineChars="200" w:firstLine="480"/>
        <w:rPr>
          <w:lang w:val="en-GB"/>
        </w:rPr>
      </w:pPr>
      <w:r w:rsidRPr="000C5861">
        <w:rPr>
          <w:lang w:val="en-GB"/>
        </w:rPr>
        <w:t>CG-SPOPD</w:t>
      </w:r>
      <w:r w:rsidRPr="000C5861">
        <w:rPr>
          <w:rFonts w:hint="eastAsia"/>
          <w:lang w:val="en-GB"/>
        </w:rPr>
        <w:t>同意</w:t>
      </w:r>
      <w:r w:rsidRPr="000C5861">
        <w:rPr>
          <w:lang w:val="en-GB"/>
        </w:rPr>
        <w:t>将</w:t>
      </w:r>
      <w:r w:rsidRPr="000C5861">
        <w:rPr>
          <w:rFonts w:hint="eastAsia"/>
          <w:lang w:val="en-GB"/>
        </w:rPr>
        <w:t>TDAG17/7</w:t>
      </w:r>
      <w:r w:rsidRPr="000C5861">
        <w:rPr>
          <w:rFonts w:hint="eastAsia"/>
          <w:lang w:val="en-GB"/>
        </w:rPr>
        <w:t>、</w:t>
      </w:r>
      <w:r w:rsidRPr="000C5861">
        <w:rPr>
          <w:rFonts w:hint="eastAsia"/>
          <w:lang w:val="en-GB"/>
        </w:rPr>
        <w:t>8</w:t>
      </w:r>
      <w:r w:rsidRPr="000C5861">
        <w:rPr>
          <w:rFonts w:hint="eastAsia"/>
          <w:lang w:val="en-GB"/>
        </w:rPr>
        <w:t>和</w:t>
      </w:r>
      <w:r w:rsidRPr="000C5861">
        <w:rPr>
          <w:rFonts w:hint="eastAsia"/>
          <w:lang w:val="en-GB"/>
        </w:rPr>
        <w:t>9</w:t>
      </w:r>
      <w:r w:rsidRPr="000C5861">
        <w:rPr>
          <w:rFonts w:hint="eastAsia"/>
          <w:lang w:val="en-GB"/>
        </w:rPr>
        <w:t>号</w:t>
      </w:r>
      <w:r w:rsidRPr="000C5861">
        <w:rPr>
          <w:lang w:val="en-GB"/>
        </w:rPr>
        <w:t>文件中包括的有关战略规划、行动计划和宣言的提案汇编提交</w:t>
      </w:r>
      <w:r w:rsidRPr="000C5861">
        <w:rPr>
          <w:rFonts w:hint="eastAsia"/>
          <w:lang w:val="en-GB"/>
        </w:rPr>
        <w:t>TDAG</w:t>
      </w:r>
      <w:r w:rsidRPr="000C5861">
        <w:rPr>
          <w:rFonts w:hint="eastAsia"/>
          <w:lang w:val="en-GB"/>
        </w:rPr>
        <w:t>进一步</w:t>
      </w:r>
      <w:r w:rsidRPr="000C5861">
        <w:rPr>
          <w:lang w:val="en-GB"/>
        </w:rPr>
        <w:t>审议，</w:t>
      </w:r>
      <w:r w:rsidRPr="000C5861">
        <w:rPr>
          <w:rFonts w:hint="eastAsia"/>
          <w:lang w:val="en-GB"/>
        </w:rPr>
        <w:t>供</w:t>
      </w:r>
      <w:r w:rsidRPr="000C5861">
        <w:rPr>
          <w:lang w:val="en-GB"/>
        </w:rPr>
        <w:t>区域组用于</w:t>
      </w:r>
      <w:r w:rsidRPr="000C5861">
        <w:rPr>
          <w:rFonts w:hint="eastAsia"/>
          <w:lang w:val="en-GB"/>
        </w:rPr>
        <w:t>制定</w:t>
      </w:r>
      <w:r w:rsidRPr="000C5861">
        <w:rPr>
          <w:lang w:val="en-GB"/>
        </w:rPr>
        <w:t>提交</w:t>
      </w:r>
      <w:r w:rsidRPr="000C5861">
        <w:rPr>
          <w:rFonts w:hint="eastAsia"/>
          <w:lang w:val="en-GB"/>
        </w:rPr>
        <w:t>WTDC-17</w:t>
      </w:r>
      <w:r w:rsidRPr="000C5861">
        <w:rPr>
          <w:rFonts w:hint="eastAsia"/>
          <w:lang w:val="en-GB"/>
        </w:rPr>
        <w:t>的</w:t>
      </w:r>
      <w:r w:rsidRPr="000C5861">
        <w:rPr>
          <w:lang w:val="en-GB"/>
        </w:rPr>
        <w:t>共同提案，</w:t>
      </w:r>
      <w:r w:rsidR="00A0544B">
        <w:rPr>
          <w:rFonts w:hint="eastAsia"/>
          <w:lang w:val="en-GB"/>
        </w:rPr>
        <w:t>同时</w:t>
      </w:r>
      <w:r w:rsidRPr="000C5861">
        <w:rPr>
          <w:lang w:val="en-GB"/>
        </w:rPr>
        <w:t>供成员国用于</w:t>
      </w:r>
      <w:r w:rsidR="00DC232C">
        <w:rPr>
          <w:rFonts w:hint="eastAsia"/>
          <w:lang w:val="en-GB"/>
        </w:rPr>
        <w:t>向</w:t>
      </w:r>
      <w:r w:rsidRPr="000C5861">
        <w:rPr>
          <w:lang w:val="en-GB"/>
        </w:rPr>
        <w:t>大会</w:t>
      </w:r>
      <w:r w:rsidR="00DC232C" w:rsidRPr="000C5861">
        <w:rPr>
          <w:lang w:val="en-GB"/>
        </w:rPr>
        <w:t>提交</w:t>
      </w:r>
      <w:r w:rsidRPr="000C5861">
        <w:rPr>
          <w:lang w:val="en-GB"/>
        </w:rPr>
        <w:t>提案</w:t>
      </w:r>
      <w:r w:rsidRPr="000C5861">
        <w:rPr>
          <w:rFonts w:hint="eastAsia"/>
          <w:lang w:val="en-GB"/>
        </w:rPr>
        <w:t>。</w:t>
      </w:r>
    </w:p>
    <w:p w:rsidR="009D712D" w:rsidRPr="009D712D" w:rsidRDefault="00D23AAD" w:rsidP="00D23AAD">
      <w:pPr>
        <w:spacing w:after="120"/>
        <w:ind w:firstLineChars="200" w:firstLine="480"/>
        <w:rPr>
          <w:lang w:val="en-GB"/>
        </w:rPr>
      </w:pPr>
      <w:r>
        <w:rPr>
          <w:lang w:val="en-GB"/>
        </w:rPr>
        <w:t>战略规划、行动计划和宣言提案汇编的链接见附件</w:t>
      </w:r>
      <w:r>
        <w:rPr>
          <w:rFonts w:hint="eastAsia"/>
          <w:lang w:val="en-GB"/>
        </w:rPr>
        <w:t>1</w:t>
      </w:r>
      <w:r>
        <w:rPr>
          <w:rFonts w:hint="eastAsia"/>
          <w:lang w:val="en-GB"/>
        </w:rPr>
        <w:t>、</w:t>
      </w:r>
      <w:r>
        <w:rPr>
          <w:rFonts w:hint="eastAsia"/>
          <w:lang w:val="en-GB"/>
        </w:rPr>
        <w:t>2</w:t>
      </w:r>
      <w:r>
        <w:rPr>
          <w:lang w:val="en-GB"/>
        </w:rPr>
        <w:t>和</w:t>
      </w:r>
      <w:r>
        <w:rPr>
          <w:rFonts w:hint="eastAsia"/>
          <w:lang w:val="en-GB"/>
        </w:rPr>
        <w:t>3</w:t>
      </w:r>
      <w:r>
        <w:rPr>
          <w:rFonts w:hint="eastAsia"/>
          <w:lang w:val="en-GB"/>
        </w:rPr>
        <w:t>。</w:t>
      </w:r>
    </w:p>
    <w:p w:rsidR="009D712D" w:rsidRPr="009D712D" w:rsidRDefault="00D23AAD" w:rsidP="00D23AAD">
      <w:pPr>
        <w:tabs>
          <w:tab w:val="left" w:pos="1951"/>
        </w:tabs>
        <w:ind w:firstLineChars="200" w:firstLine="480"/>
        <w:rPr>
          <w:lang w:val="en-GB"/>
        </w:rPr>
      </w:pPr>
      <w:r>
        <w:rPr>
          <w:lang w:val="en-GB"/>
        </w:rPr>
        <w:t>此外，</w:t>
      </w:r>
      <w:r w:rsidR="009D712D" w:rsidRPr="009D712D">
        <w:rPr>
          <w:lang w:val="en-GB"/>
        </w:rPr>
        <w:t>CG-SPOPD</w:t>
      </w:r>
      <w:r>
        <w:rPr>
          <w:lang w:val="en-GB"/>
        </w:rPr>
        <w:t>还批准了</w:t>
      </w:r>
      <w:r>
        <w:rPr>
          <w:rFonts w:hint="eastAsia"/>
          <w:lang w:val="en-GB"/>
        </w:rPr>
        <w:t>ITU-D 2017</w:t>
      </w:r>
      <w:r>
        <w:rPr>
          <w:lang w:val="en-GB"/>
        </w:rPr>
        <w:t>-2020</w:t>
      </w:r>
      <w:r>
        <w:rPr>
          <w:lang w:val="en-GB"/>
        </w:rPr>
        <w:t>年滚动式运作规划。</w:t>
      </w:r>
    </w:p>
    <w:p w:rsidR="007548F8" w:rsidRPr="00743932" w:rsidRDefault="007548F8" w:rsidP="007548F8">
      <w:pPr>
        <w:pStyle w:val="Headingb"/>
      </w:pPr>
      <w:r>
        <w:rPr>
          <w:rFonts w:hint="eastAsia"/>
        </w:rPr>
        <w:t>需</w:t>
      </w:r>
      <w:r>
        <w:t>采取的行动</w:t>
      </w:r>
    </w:p>
    <w:p w:rsidR="009D712D" w:rsidRPr="009D712D" w:rsidRDefault="007548F8" w:rsidP="00FB0989">
      <w:pPr>
        <w:ind w:firstLineChars="200" w:firstLine="480"/>
        <w:rPr>
          <w:szCs w:val="24"/>
          <w:lang w:val="en-GB"/>
        </w:rPr>
      </w:pPr>
      <w:r>
        <w:rPr>
          <w:rFonts w:hint="eastAsia"/>
        </w:rPr>
        <w:t>请</w:t>
      </w:r>
      <w:r>
        <w:rPr>
          <w:rFonts w:hint="eastAsia"/>
        </w:rPr>
        <w:t>TDAG</w:t>
      </w:r>
      <w:r>
        <w:rPr>
          <w:rFonts w:hint="eastAsia"/>
        </w:rPr>
        <w:t>审议本报告，并酌情</w:t>
      </w:r>
      <w:r w:rsidR="00FB0989">
        <w:rPr>
          <w:rFonts w:hint="eastAsia"/>
        </w:rPr>
        <w:t>进一步</w:t>
      </w:r>
      <w:r>
        <w:t>提出</w:t>
      </w:r>
      <w:r>
        <w:rPr>
          <w:rFonts w:hint="eastAsia"/>
        </w:rPr>
        <w:t>任何</w:t>
      </w:r>
      <w:r w:rsidR="00FB0989">
        <w:rPr>
          <w:rFonts w:hint="eastAsia"/>
        </w:rPr>
        <w:t>被认为</w:t>
      </w:r>
      <w:r w:rsidR="00FB0989">
        <w:t>适</w:t>
      </w:r>
      <w:r w:rsidR="00FB0989">
        <w:rPr>
          <w:rFonts w:hint="eastAsia"/>
        </w:rPr>
        <w:t>当</w:t>
      </w:r>
      <w:r w:rsidR="00FB0989">
        <w:t>的</w:t>
      </w:r>
      <w:r>
        <w:rPr>
          <w:rFonts w:hint="eastAsia"/>
        </w:rPr>
        <w:t>意见。</w:t>
      </w:r>
      <w:r>
        <w:t>在</w:t>
      </w:r>
      <w:r>
        <w:rPr>
          <w:rFonts w:hint="eastAsia"/>
        </w:rPr>
        <w:t>成员</w:t>
      </w:r>
      <w:r>
        <w:t>为</w:t>
      </w:r>
      <w:r>
        <w:rPr>
          <w:rFonts w:hint="eastAsia"/>
        </w:rPr>
        <w:t>WTDC-17</w:t>
      </w:r>
      <w:r>
        <w:rPr>
          <w:rFonts w:hint="eastAsia"/>
        </w:rPr>
        <w:t>编制</w:t>
      </w:r>
      <w:r>
        <w:t>文稿的</w:t>
      </w:r>
      <w:r>
        <w:rPr>
          <w:rFonts w:hint="eastAsia"/>
        </w:rPr>
        <w:t>过程</w:t>
      </w:r>
      <w:r>
        <w:t>中，</w:t>
      </w:r>
      <w:r>
        <w:rPr>
          <w:rFonts w:hint="eastAsia"/>
        </w:rPr>
        <w:t>TDAG-17</w:t>
      </w:r>
      <w:r>
        <w:rPr>
          <w:rFonts w:hint="eastAsia"/>
        </w:rPr>
        <w:t>的成果将作为参考文件提交给它们。</w:t>
      </w:r>
    </w:p>
    <w:p w:rsidR="009D712D" w:rsidRPr="009D712D" w:rsidRDefault="009D712D" w:rsidP="009D712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val="en-GB"/>
        </w:rPr>
      </w:pPr>
      <w:r w:rsidRPr="009D712D">
        <w:rPr>
          <w:szCs w:val="24"/>
          <w:lang w:val="en-GB"/>
        </w:rPr>
        <w:br w:type="page"/>
      </w:r>
    </w:p>
    <w:p w:rsidR="009D712D" w:rsidRPr="009D712D" w:rsidRDefault="007548F8" w:rsidP="009D712D">
      <w:pPr>
        <w:jc w:val="center"/>
        <w:rPr>
          <w:szCs w:val="24"/>
          <w:lang w:val="en-GB"/>
        </w:rPr>
      </w:pPr>
      <w:r>
        <w:rPr>
          <w:rFonts w:hint="eastAsia"/>
          <w:szCs w:val="24"/>
          <w:lang w:val="en-GB"/>
        </w:rPr>
        <w:lastRenderedPageBreak/>
        <w:t>附件</w:t>
      </w:r>
      <w:r w:rsidR="009D712D" w:rsidRPr="009D712D">
        <w:rPr>
          <w:szCs w:val="24"/>
          <w:lang w:val="en-GB"/>
        </w:rPr>
        <w:t>1</w:t>
      </w:r>
    </w:p>
    <w:p w:rsidR="009D712D" w:rsidRPr="009D712D" w:rsidRDefault="00BA4275" w:rsidP="0075415A">
      <w:pPr>
        <w:ind w:firstLineChars="200" w:firstLine="480"/>
        <w:rPr>
          <w:szCs w:val="24"/>
          <w:lang w:val="en-GB"/>
        </w:rPr>
      </w:pPr>
      <w:r w:rsidRPr="00BA4275">
        <w:rPr>
          <w:szCs w:val="24"/>
          <w:lang w:val="en-GB"/>
        </w:rPr>
        <w:t>RPM</w:t>
      </w:r>
      <w:r>
        <w:rPr>
          <w:rFonts w:hint="eastAsia"/>
          <w:szCs w:val="24"/>
          <w:lang w:val="en-GB"/>
        </w:rPr>
        <w:t>成果和提交</w:t>
      </w:r>
      <w:r w:rsidR="0075415A">
        <w:rPr>
          <w:szCs w:val="24"/>
          <w:lang w:val="en-GB"/>
        </w:rPr>
        <w:t>TDAG</w:t>
      </w:r>
      <w:r>
        <w:rPr>
          <w:rFonts w:hint="eastAsia"/>
          <w:szCs w:val="24"/>
          <w:lang w:val="en-GB"/>
        </w:rPr>
        <w:t>的有关</w:t>
      </w:r>
      <w:r>
        <w:rPr>
          <w:szCs w:val="24"/>
          <w:lang w:val="en-GB"/>
        </w:rPr>
        <w:t>国际电联</w:t>
      </w:r>
      <w:r w:rsidRPr="00FB0989">
        <w:rPr>
          <w:szCs w:val="24"/>
          <w:lang w:val="en-GB"/>
        </w:rPr>
        <w:t>2020-2023</w:t>
      </w:r>
      <w:r>
        <w:rPr>
          <w:rFonts w:hint="eastAsia"/>
          <w:szCs w:val="24"/>
          <w:lang w:val="en-GB"/>
        </w:rPr>
        <w:t>年</w:t>
      </w:r>
      <w:r>
        <w:rPr>
          <w:szCs w:val="24"/>
          <w:lang w:val="en-GB"/>
        </w:rPr>
        <w:t>战略规划</w:t>
      </w:r>
      <w:r>
        <w:rPr>
          <w:rFonts w:hint="eastAsia"/>
          <w:szCs w:val="24"/>
          <w:lang w:val="en-GB"/>
        </w:rPr>
        <w:t>的</w:t>
      </w:r>
      <w:r w:rsidRPr="00FB0989">
        <w:rPr>
          <w:szCs w:val="24"/>
          <w:lang w:val="en-GB"/>
        </w:rPr>
        <w:t>ITU-D</w:t>
      </w:r>
      <w:r>
        <w:rPr>
          <w:szCs w:val="24"/>
          <w:lang w:val="en-GB"/>
        </w:rPr>
        <w:t>初步文稿草案汇编</w:t>
      </w:r>
      <w:r>
        <w:rPr>
          <w:rFonts w:hint="eastAsia"/>
          <w:szCs w:val="24"/>
          <w:lang w:val="en-GB"/>
        </w:rPr>
        <w:t>（</w:t>
      </w:r>
      <w:hyperlink r:id="rId18" w:history="1">
        <w:r w:rsidRPr="009D712D">
          <w:rPr>
            <w:rStyle w:val="Hyperlink"/>
            <w:szCs w:val="24"/>
            <w:lang w:val="en-GB"/>
          </w:rPr>
          <w:t>TDAG17-22/7</w:t>
        </w:r>
      </w:hyperlink>
      <w:r>
        <w:rPr>
          <w:rFonts w:hint="eastAsia"/>
          <w:szCs w:val="24"/>
          <w:lang w:val="en-GB"/>
        </w:rPr>
        <w:t>号文件）</w:t>
      </w:r>
    </w:p>
    <w:p w:rsidR="009D712D" w:rsidRPr="009D712D" w:rsidRDefault="009D712D" w:rsidP="009D712D">
      <w:pPr>
        <w:jc w:val="center"/>
        <w:rPr>
          <w:szCs w:val="24"/>
          <w:lang w:val="en-GB"/>
        </w:rPr>
      </w:pPr>
    </w:p>
    <w:p w:rsidR="009D712D" w:rsidRPr="009D712D" w:rsidRDefault="007548F8" w:rsidP="009D712D">
      <w:pPr>
        <w:jc w:val="center"/>
        <w:rPr>
          <w:szCs w:val="24"/>
          <w:lang w:val="en-GB"/>
        </w:rPr>
      </w:pPr>
      <w:r>
        <w:rPr>
          <w:rFonts w:hint="eastAsia"/>
          <w:szCs w:val="24"/>
          <w:lang w:val="en-GB"/>
        </w:rPr>
        <w:t>附件</w:t>
      </w:r>
      <w:r w:rsidR="009D712D" w:rsidRPr="009D712D">
        <w:rPr>
          <w:szCs w:val="24"/>
          <w:lang w:val="en-GB"/>
        </w:rPr>
        <w:t>2</w:t>
      </w:r>
    </w:p>
    <w:p w:rsidR="009D712D" w:rsidRPr="009D712D" w:rsidRDefault="00BA4275" w:rsidP="0075415A">
      <w:pPr>
        <w:ind w:firstLineChars="200" w:firstLine="480"/>
        <w:rPr>
          <w:szCs w:val="24"/>
          <w:lang w:val="en-GB"/>
        </w:rPr>
      </w:pPr>
      <w:r w:rsidRPr="00BA4275">
        <w:rPr>
          <w:szCs w:val="24"/>
          <w:lang w:val="en-GB"/>
        </w:rPr>
        <w:t>RPM</w:t>
      </w:r>
      <w:r>
        <w:rPr>
          <w:rFonts w:hint="eastAsia"/>
          <w:szCs w:val="24"/>
          <w:lang w:val="en-GB"/>
        </w:rPr>
        <w:t>成果和提交</w:t>
      </w:r>
      <w:r w:rsidR="0075415A">
        <w:rPr>
          <w:szCs w:val="24"/>
          <w:lang w:val="en-GB"/>
        </w:rPr>
        <w:t>TDAG</w:t>
      </w:r>
      <w:r>
        <w:rPr>
          <w:rFonts w:hint="eastAsia"/>
          <w:szCs w:val="24"/>
          <w:lang w:val="en-GB"/>
        </w:rPr>
        <w:t>的</w:t>
      </w:r>
      <w:r w:rsidRPr="009D712D">
        <w:rPr>
          <w:szCs w:val="24"/>
          <w:lang w:val="en-GB"/>
        </w:rPr>
        <w:t>ITU-D</w:t>
      </w:r>
      <w:r>
        <w:rPr>
          <w:szCs w:val="24"/>
          <w:lang w:val="en-GB"/>
        </w:rPr>
        <w:t xml:space="preserve"> </w:t>
      </w:r>
      <w:r w:rsidRPr="009D712D">
        <w:rPr>
          <w:szCs w:val="24"/>
          <w:lang w:val="en-GB"/>
        </w:rPr>
        <w:t>2018-2021</w:t>
      </w:r>
      <w:r>
        <w:rPr>
          <w:rFonts w:hint="eastAsia"/>
          <w:szCs w:val="24"/>
          <w:lang w:val="en-GB"/>
        </w:rPr>
        <w:t>年行动计划</w:t>
      </w:r>
      <w:r w:rsidR="00455FC6">
        <w:rPr>
          <w:szCs w:val="24"/>
          <w:lang w:val="en-GB"/>
        </w:rPr>
        <w:t>初步草案汇编</w:t>
      </w:r>
      <w:r w:rsidR="00455FC6">
        <w:rPr>
          <w:rFonts w:hint="eastAsia"/>
          <w:szCs w:val="24"/>
          <w:lang w:val="en-GB"/>
        </w:rPr>
        <w:t>（</w:t>
      </w:r>
      <w:hyperlink r:id="rId19" w:history="1">
        <w:r w:rsidR="00455FC6" w:rsidRPr="009D712D">
          <w:rPr>
            <w:rStyle w:val="Hyperlink"/>
            <w:szCs w:val="24"/>
            <w:lang w:val="en-GB"/>
          </w:rPr>
          <w:t>TDAG17-22/8</w:t>
        </w:r>
      </w:hyperlink>
      <w:r w:rsidR="00455FC6">
        <w:rPr>
          <w:rFonts w:hint="eastAsia"/>
          <w:szCs w:val="24"/>
          <w:lang w:val="en-GB"/>
        </w:rPr>
        <w:t>号文件）</w:t>
      </w:r>
    </w:p>
    <w:p w:rsidR="009D712D" w:rsidRPr="009D712D" w:rsidRDefault="009D712D" w:rsidP="009D712D">
      <w:pPr>
        <w:jc w:val="center"/>
        <w:rPr>
          <w:szCs w:val="24"/>
          <w:lang w:val="en-GB"/>
        </w:rPr>
      </w:pPr>
    </w:p>
    <w:p w:rsidR="009D712D" w:rsidRPr="009D712D" w:rsidRDefault="007548F8" w:rsidP="009D712D">
      <w:pPr>
        <w:jc w:val="center"/>
        <w:rPr>
          <w:szCs w:val="24"/>
          <w:lang w:val="en-GB"/>
        </w:rPr>
      </w:pPr>
      <w:r>
        <w:rPr>
          <w:rFonts w:hint="eastAsia"/>
          <w:szCs w:val="24"/>
          <w:lang w:val="en-GB"/>
        </w:rPr>
        <w:t>附件</w:t>
      </w:r>
      <w:r w:rsidR="00C45FA9">
        <w:rPr>
          <w:szCs w:val="24"/>
          <w:lang w:val="en-GB"/>
        </w:rPr>
        <w:t>3</w:t>
      </w:r>
    </w:p>
    <w:p w:rsidR="009D712D" w:rsidRPr="009D712D" w:rsidRDefault="00455FC6" w:rsidP="0075415A">
      <w:pPr>
        <w:ind w:firstLineChars="200" w:firstLine="480"/>
        <w:rPr>
          <w:szCs w:val="24"/>
          <w:lang w:val="en-GB"/>
        </w:rPr>
      </w:pPr>
      <w:r w:rsidRPr="00BA4275">
        <w:rPr>
          <w:szCs w:val="24"/>
          <w:lang w:val="en-GB"/>
        </w:rPr>
        <w:t>RPM</w:t>
      </w:r>
      <w:r>
        <w:rPr>
          <w:rFonts w:hint="eastAsia"/>
          <w:szCs w:val="24"/>
          <w:lang w:val="en-GB"/>
        </w:rPr>
        <w:t>成果和提交</w:t>
      </w:r>
      <w:r w:rsidR="0075415A">
        <w:rPr>
          <w:szCs w:val="24"/>
          <w:lang w:val="en-GB"/>
        </w:rPr>
        <w:t>TDAG</w:t>
      </w:r>
      <w:r>
        <w:rPr>
          <w:rFonts w:hint="eastAsia"/>
          <w:szCs w:val="24"/>
          <w:lang w:val="en-GB"/>
        </w:rPr>
        <w:t>的</w:t>
      </w:r>
      <w:r w:rsidRPr="009D712D">
        <w:rPr>
          <w:szCs w:val="24"/>
          <w:lang w:val="en-GB"/>
        </w:rPr>
        <w:t>WTDC-17</w:t>
      </w:r>
      <w:r>
        <w:rPr>
          <w:rFonts w:hint="eastAsia"/>
          <w:szCs w:val="24"/>
          <w:lang w:val="en-GB"/>
        </w:rPr>
        <w:t>宣言</w:t>
      </w:r>
      <w:r>
        <w:rPr>
          <w:szCs w:val="24"/>
          <w:lang w:val="en-GB"/>
        </w:rPr>
        <w:t>初步草案汇编</w:t>
      </w:r>
      <w:r>
        <w:rPr>
          <w:rFonts w:hint="eastAsia"/>
          <w:szCs w:val="24"/>
          <w:lang w:val="en-GB"/>
        </w:rPr>
        <w:t>（</w:t>
      </w:r>
      <w:hyperlink r:id="rId20" w:history="1">
        <w:r w:rsidRPr="009D712D">
          <w:rPr>
            <w:rStyle w:val="Hyperlink"/>
            <w:szCs w:val="24"/>
            <w:lang w:val="en-GB"/>
          </w:rPr>
          <w:t>TDAG17-22/</w:t>
        </w:r>
        <w:r>
          <w:rPr>
            <w:rStyle w:val="Hyperlink"/>
            <w:szCs w:val="24"/>
            <w:lang w:val="en-GB"/>
          </w:rPr>
          <w:t>9</w:t>
        </w:r>
      </w:hyperlink>
      <w:r>
        <w:rPr>
          <w:rFonts w:hint="eastAsia"/>
          <w:szCs w:val="24"/>
          <w:lang w:val="en-GB"/>
        </w:rPr>
        <w:t>号文件）</w:t>
      </w:r>
      <w:r w:rsidR="009D712D" w:rsidRPr="009D712D">
        <w:rPr>
          <w:szCs w:val="24"/>
          <w:lang w:val="en-GB"/>
        </w:rPr>
        <w:t xml:space="preserve">   </w:t>
      </w:r>
    </w:p>
    <w:p w:rsidR="001625F0" w:rsidRPr="001625F0" w:rsidRDefault="001625F0" w:rsidP="0032202E">
      <w:pPr>
        <w:pStyle w:val="Reasons"/>
        <w:rPr>
          <w:lang w:val="en-GB"/>
        </w:rPr>
      </w:pPr>
    </w:p>
    <w:p w:rsidR="00937076" w:rsidRDefault="00937076">
      <w:pPr>
        <w:jc w:val="center"/>
      </w:pPr>
      <w:r>
        <w:t>______________</w:t>
      </w:r>
    </w:p>
    <w:sectPr w:rsidR="00937076" w:rsidSect="00D45E8E">
      <w:headerReference w:type="default" r:id="rId21"/>
      <w:footerReference w:type="default" r:id="rId22"/>
      <w:footerReference w:type="first" r:id="rId2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81B" w:rsidRDefault="0083581B" w:rsidP="00E54FD2">
      <w:pPr>
        <w:spacing w:before="0"/>
      </w:pPr>
      <w:r>
        <w:separator/>
      </w:r>
    </w:p>
    <w:p w:rsidR="0083581B" w:rsidRDefault="0083581B"/>
  </w:endnote>
  <w:endnote w:type="continuationSeparator" w:id="0">
    <w:p w:rsidR="0083581B" w:rsidRDefault="0083581B" w:rsidP="00E54FD2">
      <w:pPr>
        <w:spacing w:before="0"/>
      </w:pPr>
      <w:r>
        <w:continuationSeparator/>
      </w:r>
    </w:p>
    <w:p w:rsidR="0083581B" w:rsidRDefault="00835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B8" w:rsidRDefault="00C45FA9" w:rsidP="00856BB8">
    <w:pPr>
      <w:pStyle w:val="Footer"/>
    </w:pPr>
    <w:fldSimple w:instr=" FILENAME \p  \* MERGEFORMAT ">
      <w:r w:rsidR="00576541">
        <w:t>P:\CHI\ITU-D\CONF-D\TDAG17\000\031C.docx</w:t>
      </w:r>
    </w:fldSimple>
    <w:r w:rsidR="00856BB8">
      <w:t xml:space="preserve"> (414002)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46" w:rsidRPr="008802F9" w:rsidRDefault="00576541" w:rsidP="00200946">
    <w:pPr>
      <w:pStyle w:val="Footer"/>
      <w:jc w:val="center"/>
    </w:pPr>
    <w:hyperlink r:id="rId1" w:history="1">
      <w:r w:rsidR="00200946" w:rsidRPr="00E5750F">
        <w:rPr>
          <w:rStyle w:val="Hyperlink"/>
          <w:caps w:val="0"/>
          <w:noProof w:val="0"/>
          <w:sz w:val="18"/>
          <w:szCs w:val="18"/>
          <w:lang w:val="en-US"/>
        </w:rPr>
        <w:t>http://www.itu.int/ITU-D/TDAG/</w:t>
      </w:r>
    </w:hyperlink>
    <w:hyperlink r:id="rId2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81B" w:rsidRDefault="0083581B" w:rsidP="00E54FD2">
      <w:pPr>
        <w:spacing w:before="0"/>
      </w:pPr>
      <w:r>
        <w:separator/>
      </w:r>
    </w:p>
    <w:p w:rsidR="0083581B" w:rsidRDefault="0083581B"/>
  </w:footnote>
  <w:footnote w:type="continuationSeparator" w:id="0">
    <w:p w:rsidR="0083581B" w:rsidRDefault="0083581B" w:rsidP="00E54FD2">
      <w:pPr>
        <w:spacing w:before="0"/>
      </w:pPr>
      <w:r>
        <w:continuationSeparator/>
      </w:r>
    </w:p>
    <w:p w:rsidR="0083581B" w:rsidRDefault="008358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4B" w:rsidRPr="00453EFC" w:rsidRDefault="003A294B" w:rsidP="00054016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fr-CH"/>
      </w:rPr>
    </w:pPr>
    <w:r w:rsidRPr="00937076">
      <w:rPr>
        <w:sz w:val="22"/>
        <w:szCs w:val="22"/>
      </w:rPr>
      <w:tab/>
    </w:r>
    <w:r w:rsidRPr="00453EFC">
      <w:rPr>
        <w:sz w:val="22"/>
        <w:szCs w:val="22"/>
        <w:lang w:val="fr-CH"/>
      </w:rPr>
      <w:t>ITU-D/TDAG1</w:t>
    </w:r>
    <w:r w:rsidR="00054016" w:rsidRPr="00453EFC">
      <w:rPr>
        <w:sz w:val="22"/>
        <w:szCs w:val="22"/>
        <w:lang w:val="fr-CH"/>
      </w:rPr>
      <w:t>7</w:t>
    </w:r>
    <w:r w:rsidRPr="00453EFC">
      <w:rPr>
        <w:sz w:val="22"/>
        <w:szCs w:val="22"/>
        <w:lang w:val="fr-CH"/>
      </w:rPr>
      <w:t>-</w:t>
    </w:r>
    <w:r w:rsidR="00916B10" w:rsidRPr="00453EFC">
      <w:rPr>
        <w:sz w:val="22"/>
        <w:szCs w:val="22"/>
        <w:lang w:val="fr-CH"/>
      </w:rPr>
      <w:t>2</w:t>
    </w:r>
    <w:r w:rsidR="00054016" w:rsidRPr="00453EFC">
      <w:rPr>
        <w:sz w:val="22"/>
        <w:szCs w:val="22"/>
        <w:lang w:val="fr-CH"/>
      </w:rPr>
      <w:t>2</w:t>
    </w:r>
    <w:r w:rsidRPr="00453EFC">
      <w:rPr>
        <w:sz w:val="22"/>
        <w:szCs w:val="22"/>
        <w:lang w:val="fr-CH"/>
      </w:rPr>
      <w:t>/</w:t>
    </w:r>
    <w:r w:rsidR="009D712D">
      <w:rPr>
        <w:sz w:val="22"/>
        <w:szCs w:val="22"/>
        <w:lang w:val="fr-CH"/>
      </w:rPr>
      <w:t>31</w:t>
    </w:r>
    <w:r w:rsidRPr="00453EFC">
      <w:rPr>
        <w:sz w:val="22"/>
        <w:szCs w:val="22"/>
        <w:lang w:val="fr-CH"/>
      </w:rPr>
      <w:t>-</w:t>
    </w:r>
    <w:r w:rsidR="003B4E96" w:rsidRPr="00453EFC">
      <w:rPr>
        <w:sz w:val="22"/>
        <w:szCs w:val="22"/>
        <w:lang w:val="fr-CH"/>
      </w:rPr>
      <w:t>C</w:t>
    </w:r>
    <w:r w:rsidRPr="00453EFC">
      <w:rPr>
        <w:sz w:val="22"/>
        <w:szCs w:val="22"/>
        <w:lang w:val="fr-CH"/>
      </w:rPr>
      <w:tab/>
    </w:r>
    <w:r w:rsidR="00D923CD" w:rsidRPr="00937076">
      <w:rPr>
        <w:rStyle w:val="PageNumber"/>
        <w:sz w:val="22"/>
        <w:szCs w:val="22"/>
      </w:rPr>
      <w:fldChar w:fldCharType="begin"/>
    </w:r>
    <w:r w:rsidR="00D923CD" w:rsidRPr="00453EFC">
      <w:rPr>
        <w:rStyle w:val="PageNumber"/>
        <w:sz w:val="22"/>
        <w:szCs w:val="22"/>
        <w:lang w:val="fr-CH"/>
      </w:rPr>
      <w:instrText xml:space="preserve"> PAGE </w:instrText>
    </w:r>
    <w:r w:rsidR="00D923CD" w:rsidRPr="00937076">
      <w:rPr>
        <w:rStyle w:val="PageNumber"/>
        <w:sz w:val="22"/>
        <w:szCs w:val="22"/>
      </w:rPr>
      <w:fldChar w:fldCharType="separate"/>
    </w:r>
    <w:r w:rsidR="00576541">
      <w:rPr>
        <w:rStyle w:val="PageNumber"/>
        <w:noProof/>
        <w:sz w:val="22"/>
        <w:szCs w:val="22"/>
        <w:lang w:val="fr-CH"/>
      </w:rPr>
      <w:t>3</w:t>
    </w:r>
    <w:r w:rsidR="00D923CD" w:rsidRPr="00937076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974E3"/>
    <w:multiLevelType w:val="hybridMultilevel"/>
    <w:tmpl w:val="E202E3BA"/>
    <w:lvl w:ilvl="0" w:tplc="0409000F">
      <w:start w:val="1"/>
      <w:numFmt w:val="decimal"/>
      <w:lvlText w:val="%1."/>
      <w:lvlJc w:val="left"/>
      <w:pPr>
        <w:ind w:left="-1422" w:hanging="360"/>
      </w:pPr>
    </w:lvl>
    <w:lvl w:ilvl="1" w:tplc="04090019" w:tentative="1">
      <w:start w:val="1"/>
      <w:numFmt w:val="lowerLetter"/>
      <w:lvlText w:val="%2."/>
      <w:lvlJc w:val="left"/>
      <w:pPr>
        <w:ind w:left="-702" w:hanging="360"/>
      </w:pPr>
    </w:lvl>
    <w:lvl w:ilvl="2" w:tplc="0409001B" w:tentative="1">
      <w:start w:val="1"/>
      <w:numFmt w:val="lowerRoman"/>
      <w:lvlText w:val="%3."/>
      <w:lvlJc w:val="right"/>
      <w:pPr>
        <w:ind w:left="18" w:hanging="180"/>
      </w:pPr>
    </w:lvl>
    <w:lvl w:ilvl="3" w:tplc="0409000F" w:tentative="1">
      <w:start w:val="1"/>
      <w:numFmt w:val="decimal"/>
      <w:lvlText w:val="%4."/>
      <w:lvlJc w:val="left"/>
      <w:pPr>
        <w:ind w:left="738" w:hanging="360"/>
      </w:pPr>
    </w:lvl>
    <w:lvl w:ilvl="4" w:tplc="04090019" w:tentative="1">
      <w:start w:val="1"/>
      <w:numFmt w:val="lowerLetter"/>
      <w:lvlText w:val="%5."/>
      <w:lvlJc w:val="left"/>
      <w:pPr>
        <w:ind w:left="1458" w:hanging="360"/>
      </w:pPr>
    </w:lvl>
    <w:lvl w:ilvl="5" w:tplc="0409001B" w:tentative="1">
      <w:start w:val="1"/>
      <w:numFmt w:val="lowerRoman"/>
      <w:lvlText w:val="%6."/>
      <w:lvlJc w:val="right"/>
      <w:pPr>
        <w:ind w:left="2178" w:hanging="180"/>
      </w:pPr>
    </w:lvl>
    <w:lvl w:ilvl="6" w:tplc="0409000F" w:tentative="1">
      <w:start w:val="1"/>
      <w:numFmt w:val="decimal"/>
      <w:lvlText w:val="%7."/>
      <w:lvlJc w:val="left"/>
      <w:pPr>
        <w:ind w:left="2898" w:hanging="360"/>
      </w:pPr>
    </w:lvl>
    <w:lvl w:ilvl="7" w:tplc="04090019" w:tentative="1">
      <w:start w:val="1"/>
      <w:numFmt w:val="lowerLetter"/>
      <w:lvlText w:val="%8."/>
      <w:lvlJc w:val="left"/>
      <w:pPr>
        <w:ind w:left="3618" w:hanging="360"/>
      </w:pPr>
    </w:lvl>
    <w:lvl w:ilvl="8" w:tplc="0409001B" w:tentative="1">
      <w:start w:val="1"/>
      <w:numFmt w:val="lowerRoman"/>
      <w:lvlText w:val="%9."/>
      <w:lvlJc w:val="right"/>
      <w:pPr>
        <w:ind w:left="4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CH" w:vendorID="64" w:dllVersion="131078" w:nlCheck="1" w:checkStyle="1"/>
  <w:activeWritingStyle w:appName="MSWord" w:lang="zh-CN" w:vendorID="64" w:dllVersion="131077" w:nlCheck="1" w:checkStyle="1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09"/>
    <w:rsid w:val="0004447D"/>
    <w:rsid w:val="00054016"/>
    <w:rsid w:val="000C5861"/>
    <w:rsid w:val="000F71CD"/>
    <w:rsid w:val="000F7D84"/>
    <w:rsid w:val="00107E03"/>
    <w:rsid w:val="00124CDB"/>
    <w:rsid w:val="00161F03"/>
    <w:rsid w:val="001625F0"/>
    <w:rsid w:val="00170869"/>
    <w:rsid w:val="00200946"/>
    <w:rsid w:val="002236F8"/>
    <w:rsid w:val="002717CC"/>
    <w:rsid w:val="00290D49"/>
    <w:rsid w:val="002E65BA"/>
    <w:rsid w:val="003141F7"/>
    <w:rsid w:val="00316454"/>
    <w:rsid w:val="00340B49"/>
    <w:rsid w:val="00366978"/>
    <w:rsid w:val="00383086"/>
    <w:rsid w:val="00386D28"/>
    <w:rsid w:val="003A235E"/>
    <w:rsid w:val="003A294B"/>
    <w:rsid w:val="003B4E96"/>
    <w:rsid w:val="003D7BD0"/>
    <w:rsid w:val="00422053"/>
    <w:rsid w:val="00453540"/>
    <w:rsid w:val="00453EFC"/>
    <w:rsid w:val="00455FC6"/>
    <w:rsid w:val="00480EE0"/>
    <w:rsid w:val="00492670"/>
    <w:rsid w:val="004A11EE"/>
    <w:rsid w:val="004A4365"/>
    <w:rsid w:val="004B7F4C"/>
    <w:rsid w:val="004D7DC7"/>
    <w:rsid w:val="00503C2B"/>
    <w:rsid w:val="0056594F"/>
    <w:rsid w:val="00576541"/>
    <w:rsid w:val="005834D5"/>
    <w:rsid w:val="005B29F3"/>
    <w:rsid w:val="005D4336"/>
    <w:rsid w:val="005D6CE4"/>
    <w:rsid w:val="00616C29"/>
    <w:rsid w:val="0061761B"/>
    <w:rsid w:val="00655923"/>
    <w:rsid w:val="006940CB"/>
    <w:rsid w:val="00701E31"/>
    <w:rsid w:val="00727884"/>
    <w:rsid w:val="0073581C"/>
    <w:rsid w:val="00737124"/>
    <w:rsid w:val="0075415A"/>
    <w:rsid w:val="007548F8"/>
    <w:rsid w:val="00766481"/>
    <w:rsid w:val="007969E0"/>
    <w:rsid w:val="007A760D"/>
    <w:rsid w:val="008129BB"/>
    <w:rsid w:val="00832155"/>
    <w:rsid w:val="0083581B"/>
    <w:rsid w:val="00856BB8"/>
    <w:rsid w:val="00892207"/>
    <w:rsid w:val="008962E2"/>
    <w:rsid w:val="008C576E"/>
    <w:rsid w:val="008E15F3"/>
    <w:rsid w:val="008F4E2C"/>
    <w:rsid w:val="00916B10"/>
    <w:rsid w:val="00937076"/>
    <w:rsid w:val="00946058"/>
    <w:rsid w:val="00973EA2"/>
    <w:rsid w:val="009C5B8E"/>
    <w:rsid w:val="009D712D"/>
    <w:rsid w:val="00A0544B"/>
    <w:rsid w:val="00AA42F8"/>
    <w:rsid w:val="00AC4DD8"/>
    <w:rsid w:val="00AC7B52"/>
    <w:rsid w:val="00AE0BB7"/>
    <w:rsid w:val="00AE1BA7"/>
    <w:rsid w:val="00B52E6E"/>
    <w:rsid w:val="00B54D21"/>
    <w:rsid w:val="00B61827"/>
    <w:rsid w:val="00B726C0"/>
    <w:rsid w:val="00B85138"/>
    <w:rsid w:val="00B85990"/>
    <w:rsid w:val="00BA030E"/>
    <w:rsid w:val="00BA4275"/>
    <w:rsid w:val="00BD7A1A"/>
    <w:rsid w:val="00BF0A38"/>
    <w:rsid w:val="00C45932"/>
    <w:rsid w:val="00C45FA9"/>
    <w:rsid w:val="00C574C5"/>
    <w:rsid w:val="00C62E82"/>
    <w:rsid w:val="00C84CCD"/>
    <w:rsid w:val="00CA78BB"/>
    <w:rsid w:val="00CE37A1"/>
    <w:rsid w:val="00D16175"/>
    <w:rsid w:val="00D23AAD"/>
    <w:rsid w:val="00D45E8E"/>
    <w:rsid w:val="00D65512"/>
    <w:rsid w:val="00D923CD"/>
    <w:rsid w:val="00DA4610"/>
    <w:rsid w:val="00DC232C"/>
    <w:rsid w:val="00DC7F06"/>
    <w:rsid w:val="00DF2909"/>
    <w:rsid w:val="00E064CD"/>
    <w:rsid w:val="00E1391D"/>
    <w:rsid w:val="00E30170"/>
    <w:rsid w:val="00E54FD2"/>
    <w:rsid w:val="00E5605C"/>
    <w:rsid w:val="00E82D31"/>
    <w:rsid w:val="00E93040"/>
    <w:rsid w:val="00EE153D"/>
    <w:rsid w:val="00EF0D0C"/>
    <w:rsid w:val="00F72A94"/>
    <w:rsid w:val="00FB0989"/>
    <w:rsid w:val="00FC0AAC"/>
    <w:rsid w:val="00FC1008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7D4C74E-D05C-4836-B92F-FD4FBBF4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SimSun" w:hAnsi="Calibri" w:cs="Times New Roman"/>
      <w:sz w:val="24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E5605C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E5605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5D433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FD2638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E1391D"/>
    <w:pPr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D4336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E1391D"/>
    <w:pPr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FD2638"/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973EA2"/>
    <w:pPr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73EA2"/>
    <w:pPr>
      <w:spacing w:before="240" w:after="12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D2638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rsid w:val="00E5605C"/>
    <w:pPr>
      <w:spacing w:before="80"/>
      <w:ind w:left="794" w:hanging="794"/>
    </w:pPr>
  </w:style>
  <w:style w:type="paragraph" w:customStyle="1" w:styleId="enumlev2">
    <w:name w:val="enumlev2"/>
    <w:basedOn w:val="enumlev1"/>
    <w:rsid w:val="003A235E"/>
    <w:pPr>
      <w:ind w:left="1191" w:hanging="397"/>
    </w:pPr>
  </w:style>
  <w:style w:type="paragraph" w:customStyle="1" w:styleId="enumlev3">
    <w:name w:val="enumlev3"/>
    <w:basedOn w:val="enumlev2"/>
    <w:rsid w:val="005D4336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5605C"/>
    <w:rPr>
      <w:rFonts w:ascii="Calibri" w:eastAsia="SimSun" w:hAnsi="Calibri" w:cs="Times New Roman"/>
      <w:b/>
      <w:sz w:val="28"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E5605C"/>
    <w:rPr>
      <w:rFonts w:ascii="Calibri" w:eastAsia="SimSun" w:hAnsi="Calibri" w:cs="Times New Roman"/>
      <w:b/>
      <w:sz w:val="24"/>
      <w:szCs w:val="20"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5D4336"/>
    <w:rPr>
      <w:rFonts w:ascii="Calibri" w:eastAsia="SimSun" w:hAnsi="Calibri" w:cs="Times New Roman"/>
      <w:b/>
      <w:sz w:val="24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FD2638"/>
    <w:rPr>
      <w:rFonts w:ascii="Calibri" w:eastAsia="SimSun" w:hAnsi="Calibri" w:cs="Times New Roman"/>
      <w:b/>
      <w:sz w:val="24"/>
      <w:szCs w:val="20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Normal"/>
    <w:next w:val="Normal"/>
    <w:link w:val="HeadingbChar"/>
    <w:rsid w:val="00480EE0"/>
    <w:pPr>
      <w:keepNext/>
      <w:spacing w:before="160"/>
      <w:outlineLvl w:val="0"/>
    </w:pPr>
    <w:rPr>
      <w:b/>
    </w:rPr>
  </w:style>
  <w:style w:type="paragraph" w:customStyle="1" w:styleId="Headingi">
    <w:name w:val="Heading_i"/>
    <w:basedOn w:val="Heading3"/>
    <w:next w:val="Normal"/>
    <w:rsid w:val="00E5605C"/>
    <w:pPr>
      <w:spacing w:before="160"/>
      <w:outlineLvl w:val="0"/>
    </w:pPr>
    <w:rPr>
      <w:rFonts w:eastAsia="STKaiti"/>
      <w:b w:val="0"/>
    </w:rPr>
  </w:style>
  <w:style w:type="character" w:styleId="Hyperlink">
    <w:name w:val="Hyperlink"/>
    <w:aliases w:val="CEO_Hyperlink"/>
    <w:basedOn w:val="DefaultParagraphFont"/>
    <w:uiPriority w:val="99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FD2638"/>
    <w:pPr>
      <w:spacing w:before="80"/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Rectitle"/>
    <w:rsid w:val="00FD2638"/>
    <w:pPr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FD2638"/>
    <w:pPr>
      <w:spacing w:before="240"/>
      <w:jc w:val="center"/>
    </w:pPr>
    <w:rPr>
      <w:b/>
      <w:sz w:val="28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B7F4C"/>
    <w:pPr>
      <w:framePr w:hSpace="180" w:wrap="around" w:vAnchor="page" w:hAnchor="margin" w:xAlign="center" w:y="1142"/>
      <w:spacing w:before="840"/>
      <w:jc w:val="center"/>
    </w:pPr>
    <w:rPr>
      <w:b/>
      <w:sz w:val="28"/>
      <w:szCs w:val="28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E5605C"/>
    <w:pPr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E5605C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text"/>
    <w:rsid w:val="00E1391D"/>
    <w:pPr>
      <w:keepNext/>
      <w:keepLines/>
      <w:spacing w:after="120"/>
      <w:jc w:val="center"/>
    </w:pPr>
    <w:rPr>
      <w:b/>
      <w:caps/>
    </w:rPr>
  </w:style>
  <w:style w:type="paragraph" w:customStyle="1" w:styleId="Title1">
    <w:name w:val="Title 1"/>
    <w:basedOn w:val="Source"/>
    <w:next w:val="Normal"/>
    <w:rsid w:val="004B7F4C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pPr>
      <w:framePr w:wrap="auto"/>
    </w:pPr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Volumetitle">
    <w:name w:val="Volume_title"/>
    <w:basedOn w:val="Normal"/>
    <w:qFormat/>
    <w:rsid w:val="00BA030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paragraph" w:customStyle="1" w:styleId="Proposal">
    <w:name w:val="Proposal"/>
    <w:basedOn w:val="Normal"/>
    <w:next w:val="Normal"/>
    <w:rsid w:val="00BF0A3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eastAsia="Times New Roman" w:hAnsi="Times New Roman Bold"/>
      <w:lang w:val="en-GB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1625F0"/>
    <w:rPr>
      <w:rFonts w:ascii="Calibri" w:eastAsia="SimSun" w:hAnsi="Calibri" w:cs="Times New Roman"/>
      <w:sz w:val="24"/>
      <w:szCs w:val="20"/>
      <w:lang w:val="ru-RU"/>
    </w:rPr>
  </w:style>
  <w:style w:type="character" w:styleId="Emphasis">
    <w:name w:val="Emphasis"/>
    <w:basedOn w:val="DefaultParagraphFont"/>
    <w:qFormat/>
    <w:rsid w:val="001625F0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1625F0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1625F0"/>
    <w:pPr>
      <w:keepNext/>
      <w:spacing w:before="200" w:after="80" w:line="278" w:lineRule="auto"/>
      <w:textAlignment w:val="auto"/>
    </w:pPr>
    <w:rPr>
      <w:rFonts w:ascii="Verdana" w:eastAsiaTheme="minorEastAsia" w:hAnsi="Verdana" w:cs="Simplified Arabic"/>
      <w:b/>
      <w:bCs/>
      <w:sz w:val="19"/>
      <w:szCs w:val="19"/>
      <w:lang w:val="fr-FR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712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eastAsia="Times New Roman" w:hAnsiTheme="minorHAnsi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712D"/>
    <w:rPr>
      <w:rFonts w:eastAsia="Times New Roman" w:cs="Times New Roman"/>
      <w:sz w:val="24"/>
      <w:szCs w:val="20"/>
      <w:lang w:val="en-GB" w:eastAsia="en-US"/>
    </w:rPr>
  </w:style>
  <w:style w:type="character" w:customStyle="1" w:styleId="shorttext">
    <w:name w:val="short_text"/>
    <w:basedOn w:val="DefaultParagraphFont"/>
    <w:rsid w:val="007548F8"/>
  </w:style>
  <w:style w:type="character" w:customStyle="1" w:styleId="HeadingbChar">
    <w:name w:val="Heading_b Char"/>
    <w:basedOn w:val="DefaultParagraphFont"/>
    <w:link w:val="Headingb"/>
    <w:locked/>
    <w:rsid w:val="007548F8"/>
    <w:rPr>
      <w:rFonts w:ascii="Calibri" w:eastAsia="SimSun" w:hAnsi="Calibri" w:cs="Times New Roman"/>
      <w:b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md/D14-RPMCIS-C-0026/en" TargetMode="External"/><Relationship Id="rId18" Type="http://schemas.openxmlformats.org/officeDocument/2006/relationships/hyperlink" Target="https://www.itu.int/md/D14-TDAG22-C-000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4-TDAG22-C-0009/en" TargetMode="External"/><Relationship Id="rId17" Type="http://schemas.openxmlformats.org/officeDocument/2006/relationships/hyperlink" Target="https://www.itu.int/md/D14-TDAG22-TD-0006/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4-TDAG22-TD-0005/en" TargetMode="External"/><Relationship Id="rId20" Type="http://schemas.openxmlformats.org/officeDocument/2006/relationships/hyperlink" Target="https://www.itu.int/md/D14-TDAG22-C-000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4-TDAG22-C-0008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4-RPMASP-170321-TD-0005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D14-TDAG22-C-0007/en" TargetMode="External"/><Relationship Id="rId19" Type="http://schemas.openxmlformats.org/officeDocument/2006/relationships/hyperlink" Target="https://www.itu.int/md/D14-TDAG22-C-000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tu.int/md/D14-RPMAMS-C-0041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92E5-5019-4D44-9840-D2B0095F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Liu, Sanping</dc:creator>
  <cp:keywords/>
  <dc:description/>
  <cp:lastModifiedBy>Liu, Sanping</cp:lastModifiedBy>
  <cp:revision>7</cp:revision>
  <cp:lastPrinted>2015-03-02T13:42:00Z</cp:lastPrinted>
  <dcterms:created xsi:type="dcterms:W3CDTF">2017-05-11T10:59:00Z</dcterms:created>
  <dcterms:modified xsi:type="dcterms:W3CDTF">2017-05-11T11:05:00Z</dcterms:modified>
</cp:coreProperties>
</file>