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3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1276"/>
        <w:gridCol w:w="5386"/>
        <w:gridCol w:w="3261"/>
      </w:tblGrid>
      <w:tr w:rsidR="00CD34AE" w:rsidRPr="00094945" w:rsidTr="00DA23FC">
        <w:trPr>
          <w:trHeight w:val="1134"/>
        </w:trPr>
        <w:tc>
          <w:tcPr>
            <w:tcW w:w="1276" w:type="dxa"/>
          </w:tcPr>
          <w:p w:rsidR="00CD34AE" w:rsidRPr="00094945" w:rsidRDefault="00CD34AE" w:rsidP="007518EF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jc w:val="both"/>
              <w:textAlignment w:val="auto"/>
              <w:rPr>
                <w:rFonts w:cstheme="minorHAnsi"/>
                <w:b/>
                <w:bCs/>
                <w:sz w:val="32"/>
                <w:szCs w:val="32"/>
              </w:rPr>
            </w:pPr>
            <w:r w:rsidRPr="00094945">
              <w:rPr>
                <w:noProof/>
                <w:color w:val="3399FF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 wp14:anchorId="64647FF8" wp14:editId="7E8E2AC0">
                  <wp:simplePos x="0" y="0"/>
                  <wp:positionH relativeFrom="column">
                    <wp:posOffset>-46028</wp:posOffset>
                  </wp:positionH>
                  <wp:positionV relativeFrom="paragraph">
                    <wp:posOffset>41255</wp:posOffset>
                  </wp:positionV>
                  <wp:extent cx="771525" cy="700486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525" cy="70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:rsidR="00CD34AE" w:rsidRPr="00094945" w:rsidRDefault="00E65A2C" w:rsidP="00C27DC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</w:rPr>
            </w:pPr>
            <w:r w:rsidRPr="00094945">
              <w:rPr>
                <w:rFonts w:cstheme="minorHAnsi"/>
                <w:b/>
                <w:sz w:val="32"/>
              </w:rPr>
              <w:t>Консультативная группа по развитию электросвязи (КГРЭ)</w:t>
            </w:r>
          </w:p>
          <w:p w:rsidR="00CD34AE" w:rsidRPr="00094945" w:rsidRDefault="00CD34AE" w:rsidP="007518EF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cstheme="minorHAnsi"/>
                <w:b/>
                <w:position w:val="6"/>
                <w:sz w:val="26"/>
                <w:szCs w:val="26"/>
              </w:rPr>
            </w:pPr>
            <w:r w:rsidRPr="00094945">
              <w:rPr>
                <w:rFonts w:cstheme="minorHAnsi"/>
                <w:b/>
                <w:sz w:val="24"/>
              </w:rPr>
              <w:t>22-е собрание, Женева, 9−12 мая 2017 года</w:t>
            </w:r>
          </w:p>
        </w:tc>
        <w:tc>
          <w:tcPr>
            <w:tcW w:w="3261" w:type="dxa"/>
            <w:vAlign w:val="center"/>
          </w:tcPr>
          <w:p w:rsidR="00CD34AE" w:rsidRPr="00094945" w:rsidRDefault="00CD34AE" w:rsidP="007518EF">
            <w:pPr>
              <w:widowControl w:val="0"/>
              <w:spacing w:before="40"/>
              <w:jc w:val="both"/>
              <w:rPr>
                <w:szCs w:val="22"/>
              </w:rPr>
            </w:pPr>
            <w:r w:rsidRPr="00094945">
              <w:rPr>
                <w:noProof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 wp14:anchorId="3F1D455C" wp14:editId="60FAAE44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-6985</wp:posOffset>
                  </wp:positionV>
                  <wp:extent cx="1709420" cy="863600"/>
                  <wp:effectExtent l="0" t="0" r="5080" b="0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34AE" w:rsidRPr="00094945" w:rsidTr="00DA23FC">
        <w:tc>
          <w:tcPr>
            <w:tcW w:w="6662" w:type="dxa"/>
            <w:gridSpan w:val="2"/>
            <w:tcBorders>
              <w:top w:val="single" w:sz="12" w:space="0" w:color="auto"/>
            </w:tcBorders>
          </w:tcPr>
          <w:p w:rsidR="00CD34AE" w:rsidRPr="00094945" w:rsidRDefault="00CD34AE" w:rsidP="007518EF">
            <w:pPr>
              <w:widowControl w:val="0"/>
              <w:spacing w:before="0"/>
              <w:jc w:val="both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CD34AE" w:rsidRPr="00094945" w:rsidRDefault="00CD34AE" w:rsidP="007518EF">
            <w:pPr>
              <w:widowControl w:val="0"/>
              <w:spacing w:before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094945" w:rsidTr="00DA23FC">
        <w:tc>
          <w:tcPr>
            <w:tcW w:w="6662" w:type="dxa"/>
            <w:gridSpan w:val="2"/>
          </w:tcPr>
          <w:p w:rsidR="00CD34AE" w:rsidRPr="00094945" w:rsidRDefault="00CD34AE" w:rsidP="007518EF">
            <w:pPr>
              <w:widowControl w:val="0"/>
              <w:spacing w:before="0"/>
              <w:jc w:val="both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:rsidR="00CD34AE" w:rsidRPr="00094945" w:rsidRDefault="003E6E87" w:rsidP="007518EF">
            <w:pPr>
              <w:widowControl w:val="0"/>
              <w:spacing w:before="0"/>
              <w:jc w:val="both"/>
              <w:rPr>
                <w:rFonts w:ascii="Verdana" w:hAnsi="Verdana"/>
                <w:b/>
                <w:bCs/>
                <w:szCs w:val="22"/>
              </w:rPr>
            </w:pPr>
            <w:r w:rsidRPr="00094945">
              <w:rPr>
                <w:rFonts w:cstheme="minorHAnsi"/>
                <w:b/>
              </w:rPr>
              <w:t xml:space="preserve">Документ </w:t>
            </w:r>
            <w:bookmarkStart w:id="0" w:name="DocRef1"/>
            <w:bookmarkEnd w:id="0"/>
            <w:r w:rsidRPr="00094945">
              <w:rPr>
                <w:rFonts w:cstheme="minorHAnsi"/>
                <w:b/>
              </w:rPr>
              <w:t>TDAG17-22/</w:t>
            </w:r>
            <w:bookmarkStart w:id="1" w:name="DocNo1"/>
            <w:bookmarkEnd w:id="1"/>
            <w:r w:rsidRPr="00094945">
              <w:rPr>
                <w:rFonts w:cstheme="minorHAnsi"/>
                <w:b/>
              </w:rPr>
              <w:t>27-R</w:t>
            </w:r>
          </w:p>
        </w:tc>
      </w:tr>
      <w:tr w:rsidR="00CD34AE" w:rsidRPr="00094945" w:rsidTr="00DA23FC">
        <w:tc>
          <w:tcPr>
            <w:tcW w:w="6662" w:type="dxa"/>
            <w:gridSpan w:val="2"/>
          </w:tcPr>
          <w:p w:rsidR="00CD34AE" w:rsidRPr="00094945" w:rsidRDefault="00CD34AE" w:rsidP="007518EF">
            <w:pPr>
              <w:spacing w:before="0"/>
              <w:jc w:val="both"/>
              <w:rPr>
                <w:b/>
                <w:bCs/>
                <w:smallCaps/>
                <w:szCs w:val="24"/>
              </w:rPr>
            </w:pPr>
          </w:p>
        </w:tc>
        <w:tc>
          <w:tcPr>
            <w:tcW w:w="3261" w:type="dxa"/>
          </w:tcPr>
          <w:p w:rsidR="00CD34AE" w:rsidRPr="00094945" w:rsidRDefault="009F4708" w:rsidP="007518EF">
            <w:pPr>
              <w:widowControl w:val="0"/>
              <w:spacing w:before="0"/>
              <w:jc w:val="both"/>
              <w:rPr>
                <w:rFonts w:ascii="Verdana" w:hAnsi="Verdana"/>
                <w:b/>
                <w:bCs/>
                <w:szCs w:val="22"/>
              </w:rPr>
            </w:pPr>
            <w:bookmarkStart w:id="2" w:name="CreationDate"/>
            <w:bookmarkEnd w:id="2"/>
            <w:r w:rsidRPr="00094945">
              <w:rPr>
                <w:b/>
              </w:rPr>
              <w:t>16 марта 2017 года</w:t>
            </w:r>
          </w:p>
        </w:tc>
      </w:tr>
      <w:tr w:rsidR="00CD34AE" w:rsidRPr="00094945" w:rsidTr="00DA23FC">
        <w:tc>
          <w:tcPr>
            <w:tcW w:w="6662" w:type="dxa"/>
            <w:gridSpan w:val="2"/>
          </w:tcPr>
          <w:p w:rsidR="00CD34AE" w:rsidRPr="00094945" w:rsidRDefault="00CD34AE" w:rsidP="007518EF">
            <w:pPr>
              <w:widowControl w:val="0"/>
              <w:spacing w:before="0"/>
              <w:jc w:val="both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:rsidR="00CD34AE" w:rsidRPr="00094945" w:rsidRDefault="003E6E87" w:rsidP="007518EF">
            <w:pPr>
              <w:widowControl w:val="0"/>
              <w:spacing w:before="0"/>
              <w:jc w:val="both"/>
              <w:rPr>
                <w:rFonts w:ascii="Verdana" w:hAnsi="Verdana"/>
                <w:b/>
                <w:bCs/>
                <w:szCs w:val="22"/>
              </w:rPr>
            </w:pPr>
            <w:r w:rsidRPr="00094945">
              <w:rPr>
                <w:rFonts w:cstheme="minorHAnsi"/>
                <w:b/>
              </w:rPr>
              <w:t>Оригинал:</w:t>
            </w:r>
            <w:bookmarkStart w:id="3" w:name="Original"/>
            <w:bookmarkEnd w:id="3"/>
            <w:r w:rsidRPr="00094945">
              <w:rPr>
                <w:rFonts w:cstheme="minorHAnsi"/>
                <w:b/>
              </w:rPr>
              <w:t xml:space="preserve"> английский</w:t>
            </w:r>
          </w:p>
        </w:tc>
      </w:tr>
      <w:tr w:rsidR="00CD34AE" w:rsidRPr="00094945" w:rsidTr="00DA23FC">
        <w:trPr>
          <w:trHeight w:val="850"/>
        </w:trPr>
        <w:tc>
          <w:tcPr>
            <w:tcW w:w="9923" w:type="dxa"/>
            <w:gridSpan w:val="3"/>
          </w:tcPr>
          <w:p w:rsidR="00CD34AE" w:rsidRPr="00094945" w:rsidRDefault="00DA23FC" w:rsidP="00C27DC2">
            <w:pPr>
              <w:pStyle w:val="Source"/>
              <w:framePr w:hSpace="0" w:wrap="auto" w:hAnchor="text" w:yAlign="inline"/>
            </w:pPr>
            <w:bookmarkStart w:id="4" w:name="Source"/>
            <w:bookmarkEnd w:id="4"/>
            <w:r w:rsidRPr="00094945">
              <w:t>Директор Бюро развития электросвязи</w:t>
            </w:r>
          </w:p>
        </w:tc>
      </w:tr>
      <w:tr w:rsidR="00CD34AE" w:rsidRPr="00094945" w:rsidTr="000D3FE5">
        <w:tc>
          <w:tcPr>
            <w:tcW w:w="9923" w:type="dxa"/>
            <w:gridSpan w:val="3"/>
          </w:tcPr>
          <w:p w:rsidR="00CD34AE" w:rsidRPr="00094945" w:rsidRDefault="009F4708" w:rsidP="00C27DC2">
            <w:pPr>
              <w:pStyle w:val="Title1"/>
            </w:pPr>
            <w:bookmarkStart w:id="5" w:name="Title"/>
            <w:bookmarkEnd w:id="5"/>
            <w:r w:rsidRPr="00094945">
              <w:t>Отчет о Симпозиуме по всемирным показателям в области электросвязи/ИКТ (WTIS) 2016 и 2017 годов</w:t>
            </w:r>
          </w:p>
        </w:tc>
      </w:tr>
      <w:tr w:rsidR="00CD34AE" w:rsidRPr="00094945" w:rsidTr="000D3FE5">
        <w:tc>
          <w:tcPr>
            <w:tcW w:w="9923" w:type="dxa"/>
            <w:gridSpan w:val="3"/>
          </w:tcPr>
          <w:p w:rsidR="00CD34AE" w:rsidRPr="00094945" w:rsidRDefault="00CD34AE" w:rsidP="007518EF">
            <w:pPr>
              <w:jc w:val="both"/>
            </w:pPr>
          </w:p>
        </w:tc>
      </w:tr>
    </w:tbl>
    <w:p w:rsidR="00DA23FC" w:rsidRPr="00094945" w:rsidRDefault="00DA23FC" w:rsidP="007518EF">
      <w:pPr>
        <w:jc w:val="both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9639"/>
      </w:tblGrid>
      <w:tr w:rsidR="00CD34AE" w:rsidRPr="00094945" w:rsidTr="000D3FE5">
        <w:trPr>
          <w:trHeight w:val="70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AE" w:rsidRPr="00094945" w:rsidRDefault="00CD34AE" w:rsidP="007518EF">
            <w:pPr>
              <w:pStyle w:val="Headingb"/>
              <w:jc w:val="both"/>
            </w:pPr>
            <w:r w:rsidRPr="00094945">
              <w:t>Резюме</w:t>
            </w:r>
          </w:p>
          <w:p w:rsidR="00B07E97" w:rsidRPr="00094945" w:rsidRDefault="009F4708" w:rsidP="007518EF">
            <w:pPr>
              <w:jc w:val="both"/>
            </w:pPr>
            <w:r w:rsidRPr="00094945">
              <w:rPr>
                <w:rFonts w:asciiTheme="minorHAnsi" w:hAnsiTheme="minorHAnsi"/>
              </w:rPr>
              <w:t xml:space="preserve">В настоящем документе приводится краткий обзор 14-го WTIS, который проходил в Габороне, Ботсвана, 21−23 ноября 2016 года. В ходе этого собрания состоялся ряд обсуждений </w:t>
            </w:r>
            <w:r w:rsidRPr="00094945">
              <w:rPr>
                <w:rFonts w:asciiTheme="minorHAnsi" w:hAnsiTheme="minorHAnsi"/>
                <w:color w:val="000000"/>
              </w:rPr>
              <w:t xml:space="preserve">высокого уровня по соответствующим вопросам, касающимся политики и мониторинга в области ИКТ в интересах устойчивого развития, с участием пользователей и производителей данных по ИКТ. </w:t>
            </w:r>
            <w:r w:rsidRPr="00094945">
              <w:rPr>
                <w:rFonts w:asciiTheme="minorHAnsi" w:hAnsiTheme="minorHAnsi"/>
              </w:rPr>
              <w:t>На Симпозиуме была представлена флагманская публикация МСЭ "</w:t>
            </w:r>
            <w:r w:rsidRPr="00094945">
              <w:rPr>
                <w:rFonts w:asciiTheme="minorHAnsi" w:hAnsiTheme="minorHAnsi"/>
                <w:i/>
              </w:rPr>
              <w:t>Измерение информационного общества, Отчет 2016 года</w:t>
            </w:r>
            <w:r w:rsidRPr="00094945">
              <w:rPr>
                <w:rFonts w:asciiTheme="minorHAnsi" w:hAnsiTheme="minorHAnsi"/>
              </w:rPr>
              <w:t xml:space="preserve">", который включает самый новый индекс развития ИКТ (IDI), являющийся инструментом сравнения, предназначенным для мониторинга достижений в информационном обществе во всем мире. Делегаты одобрили работу </w:t>
            </w:r>
            <w:r w:rsidRPr="00094945">
              <w:rPr>
                <w:rFonts w:asciiTheme="minorHAnsi" w:hAnsiTheme="minorHAnsi"/>
                <w:color w:val="000000"/>
              </w:rPr>
              <w:t>Группы экспертов по показателям в области электросвязи/ИКТ (EGTI) и Группы экспертов по показателям ИКТ в домашних хозяйствах (EGH), а также согласовали ряд выводов и рекомендаций в отношении будущей работы по вопросам измерения ИКТ национальными и международным сообществами.</w:t>
            </w:r>
          </w:p>
          <w:p w:rsidR="00CD34AE" w:rsidRPr="00094945" w:rsidRDefault="00CD34AE" w:rsidP="007518EF">
            <w:pPr>
              <w:pStyle w:val="Headingb"/>
              <w:jc w:val="both"/>
            </w:pPr>
            <w:r w:rsidRPr="00094945">
              <w:t>Необходимые действия</w:t>
            </w:r>
          </w:p>
          <w:p w:rsidR="00CD34AE" w:rsidRPr="00094945" w:rsidRDefault="009F4708" w:rsidP="007518EF">
            <w:pPr>
              <w:jc w:val="both"/>
            </w:pPr>
            <w:r w:rsidRPr="00094945">
              <w:rPr>
                <w:rFonts w:asciiTheme="minorHAnsi" w:hAnsiTheme="minorHAnsi"/>
              </w:rPr>
              <w:t xml:space="preserve">КГРЭ предлагается принять к сведению настоящий отчет и </w:t>
            </w:r>
            <w:r w:rsidRPr="00094945">
              <w:rPr>
                <w:rFonts w:asciiTheme="minorHAnsi" w:hAnsiTheme="minorHAnsi"/>
                <w:color w:val="000000"/>
              </w:rPr>
              <w:t>представить руководящие указания, которые она сочтет необходимыми</w:t>
            </w:r>
            <w:r w:rsidRPr="00094945">
              <w:rPr>
                <w:rFonts w:asciiTheme="minorHAnsi" w:hAnsiTheme="minorHAnsi"/>
              </w:rPr>
              <w:t>.</w:t>
            </w:r>
          </w:p>
          <w:p w:rsidR="00CD34AE" w:rsidRPr="00094945" w:rsidRDefault="00CD34AE" w:rsidP="007518EF">
            <w:pPr>
              <w:pStyle w:val="Headingb"/>
              <w:jc w:val="both"/>
            </w:pPr>
            <w:r w:rsidRPr="00094945">
              <w:t>Справочные материалы</w:t>
            </w:r>
          </w:p>
          <w:p w:rsidR="00CD34AE" w:rsidRPr="00094945" w:rsidRDefault="009F4708" w:rsidP="007518EF">
            <w:pPr>
              <w:spacing w:after="120"/>
              <w:jc w:val="both"/>
              <w:rPr>
                <w:b/>
                <w:bCs/>
              </w:rPr>
            </w:pPr>
            <w:r w:rsidRPr="00094945">
              <w:t xml:space="preserve">Резолюция 8 (Пересм. Дубай, 2014 г.) ВКРЭ; Резолюция 131 (Пересм. </w:t>
            </w:r>
            <w:proofErr w:type="spellStart"/>
            <w:r w:rsidRPr="00094945">
              <w:t>Пусан</w:t>
            </w:r>
            <w:proofErr w:type="spellEnd"/>
            <w:r w:rsidRPr="00094945">
              <w:t>, 2014 г.) ПК</w:t>
            </w:r>
          </w:p>
        </w:tc>
      </w:tr>
    </w:tbl>
    <w:p w:rsidR="009F4708" w:rsidRPr="00094945" w:rsidRDefault="009F4708" w:rsidP="007518EF">
      <w:pPr>
        <w:pStyle w:val="Normalaftertitle"/>
        <w:spacing w:before="480"/>
        <w:jc w:val="both"/>
      </w:pPr>
      <w:r w:rsidRPr="00094945">
        <w:t xml:space="preserve">Впервые состоявшийся в 1996 году и проводимый на ежегодной основе с 2005 года, Симпозиум МСЭ по всемирным показателям в области электросвязи/ИКТ (WTIS) превратился за это время в основной глобальный форум по вопросам измерений электросвязи и информационного общества. В его работе принимают участие делегаты со всего мира – от министров правительств и руководителей предприятий до представителей регуляторных органов, национальных статистических управлений, ведущих ученых, а также производителей и аналитиков данных по ИКТ. </w:t>
      </w:r>
    </w:p>
    <w:p w:rsidR="009F4708" w:rsidRPr="00094945" w:rsidRDefault="009F4708" w:rsidP="007518EF">
      <w:pPr>
        <w:jc w:val="both"/>
      </w:pPr>
      <w:r w:rsidRPr="00094945">
        <w:t xml:space="preserve">Цель симпозиума состоит в том, чтобы обсудить новые и возникающие вопросы в области данных и статистики, касающихся ИКТ, и их роль в формировании политики, представить национальным и международному сообществам стратегические руководящие принципы, касающиеся тенденций развития информационного общества и будущего мониторинга, показать воздействие ИКТ на развитие </w:t>
      </w:r>
      <w:r w:rsidRPr="00094945">
        <w:lastRenderedPageBreak/>
        <w:t xml:space="preserve">на основе количественного анализа, а также разработать стандарты и методики для производства высококачественных данных и статистических показателей. WTIS представляет собой уникальную платформу для пользователей и производителей данных в области ИКТ, на которой они встречаются, обмениваются знаниями, делятся передовой практикой, определяют возможности для ведения бизнеса и укрепления сотрудничества. </w:t>
      </w:r>
    </w:p>
    <w:p w:rsidR="009F4708" w:rsidRPr="00094945" w:rsidRDefault="005F1F92" w:rsidP="007518EF">
      <w:pPr>
        <w:pStyle w:val="Headingb"/>
        <w:jc w:val="both"/>
      </w:pPr>
      <w:r w:rsidRPr="00094945">
        <w:t>WTIS-16</w:t>
      </w:r>
    </w:p>
    <w:p w:rsidR="009F4708" w:rsidRPr="00094945" w:rsidRDefault="005F1F92" w:rsidP="007518EF">
      <w:pPr>
        <w:jc w:val="both"/>
      </w:pPr>
      <w:r w:rsidRPr="00094945">
        <w:t xml:space="preserve">14-й WTIS состоялся </w:t>
      </w:r>
      <w:r w:rsidRPr="00094945">
        <w:rPr>
          <w:rFonts w:asciiTheme="minorHAnsi" w:hAnsiTheme="minorHAnsi"/>
        </w:rPr>
        <w:t>в Габороне, Ботсвана, 21−23 ноября 2016 года</w:t>
      </w:r>
      <w:r w:rsidRPr="00094945">
        <w:t>. Симпозиум был организован МСЭ, его принимало правительств Ботсваны.</w:t>
      </w:r>
      <w:r w:rsidRPr="00094945">
        <w:rPr>
          <w:color w:val="000000"/>
        </w:rPr>
        <w:t xml:space="preserve"> </w:t>
      </w:r>
    </w:p>
    <w:p w:rsidR="00E70026" w:rsidRPr="00094945" w:rsidRDefault="00E70026" w:rsidP="00C27DC2">
      <w:pPr>
        <w:jc w:val="both"/>
      </w:pPr>
      <w:bookmarkStart w:id="6" w:name="lt_pId029"/>
      <w:r w:rsidRPr="00094945">
        <w:t xml:space="preserve">WTIS-16 собрал около 400 участников из 60 стран, представляющих </w:t>
      </w:r>
      <w:r w:rsidR="00C27DC2">
        <w:t>государственные</w:t>
      </w:r>
      <w:r w:rsidRPr="00094945">
        <w:t xml:space="preserve"> и частные организации, включая министерства, регуляторные органы, национальные управления статистики, университеты и исследовательские институты, а также региональные и международные организации.</w:t>
      </w:r>
      <w:bookmarkEnd w:id="6"/>
      <w:r w:rsidRPr="00094945">
        <w:t xml:space="preserve"> </w:t>
      </w:r>
    </w:p>
    <w:p w:rsidR="009F4708" w:rsidRPr="00094945" w:rsidRDefault="009F4708" w:rsidP="007518EF">
      <w:pPr>
        <w:jc w:val="both"/>
      </w:pPr>
      <w:r w:rsidRPr="00094945">
        <w:t xml:space="preserve">WTIS-16 подчеркнул важную работу, которую проводит МСЭ в сфере статистических данных по ИКТ, и роль WTIS в сближении производителей и пользователей данных по ИКТ, а также возможности, которые предоставляет WTIS для обсуждения вопросов, связанных с измерением ИКТ, для обмена опытом и взаимного обучения. </w:t>
      </w:r>
    </w:p>
    <w:p w:rsidR="009F4708" w:rsidRPr="00094945" w:rsidRDefault="009F4708" w:rsidP="007518EF">
      <w:pPr>
        <w:jc w:val="both"/>
      </w:pPr>
      <w:r w:rsidRPr="00094945">
        <w:t xml:space="preserve">На Симпозиуме освещалась постоянная потребность в высококачественных, актуальных и дезагрегированных данных по ИКТ, с тем чтобы директивные органы могли принимать правильные решения по политике, а также подчеркивалась необходимость устойчивого развития. В то же самое время, он предоставил руководящие указания о том, как обеспечивать более точные данные по ИКТ в интересах более эффективной политики. </w:t>
      </w:r>
    </w:p>
    <w:p w:rsidR="00E70026" w:rsidRPr="00094945" w:rsidRDefault="00E70026" w:rsidP="00C27DC2">
      <w:pPr>
        <w:jc w:val="both"/>
      </w:pPr>
      <w:bookmarkStart w:id="7" w:name="lt_pId033"/>
      <w:r w:rsidRPr="00094945">
        <w:t xml:space="preserve">Круглый стол на уровне министров подчеркнул, что открытое для всех информационное общество является важным условием </w:t>
      </w:r>
      <w:r w:rsidR="00C27DC2">
        <w:t xml:space="preserve">выполнения </w:t>
      </w:r>
      <w:r w:rsidRPr="00094945">
        <w:t xml:space="preserve">Повестки дня в области устойчивого развития на период до 2030 года, которая </w:t>
      </w:r>
      <w:r w:rsidR="00C27DC2">
        <w:t>является залогом того</w:t>
      </w:r>
      <w:r w:rsidRPr="00094945">
        <w:t>, что никто не будет забыт при формировании более мирной и процветающей планеты.</w:t>
      </w:r>
      <w:bookmarkEnd w:id="7"/>
      <w:r w:rsidRPr="00094945">
        <w:t xml:space="preserve"> </w:t>
      </w:r>
      <w:bookmarkStart w:id="8" w:name="lt_pId034"/>
      <w:r w:rsidRPr="00094945">
        <w:t>Министры признали, что только полностью соединенный мир позволит всем получать равные выгоды в связи с правами и возможностями, заявленными в рамках ЦУР.</w:t>
      </w:r>
      <w:bookmarkEnd w:id="8"/>
    </w:p>
    <w:p w:rsidR="00E70026" w:rsidRPr="00094945" w:rsidRDefault="00E70026" w:rsidP="007518EF">
      <w:pPr>
        <w:jc w:val="both"/>
      </w:pPr>
      <w:bookmarkStart w:id="9" w:name="lt_pId035"/>
      <w:r w:rsidRPr="00094945">
        <w:t>В ходе обмена мнениями лидеры признали, что ИКТ глубоко меняют общество, окружающую среду и экономику.</w:t>
      </w:r>
      <w:bookmarkEnd w:id="9"/>
      <w:r w:rsidRPr="00094945">
        <w:t xml:space="preserve"> </w:t>
      </w:r>
      <w:bookmarkStart w:id="10" w:name="lt_pId036"/>
      <w:r w:rsidRPr="00094945">
        <w:t>Это часто ведет к появлению абсолютно новых цифровых экосистем и сопряжено как с возможностями, так и с проблемами для людей и общества.</w:t>
      </w:r>
      <w:bookmarkEnd w:id="10"/>
      <w:r w:rsidRPr="00094945">
        <w:t xml:space="preserve"> </w:t>
      </w:r>
      <w:bookmarkStart w:id="11" w:name="lt_pId037"/>
      <w:r w:rsidRPr="00094945">
        <w:t>Для создания экономики знаний и получения преимуществ от широкой доступности и использования ИКТ необходима надежная магистральная инфраструктура.</w:t>
      </w:r>
      <w:bookmarkEnd w:id="11"/>
      <w:r w:rsidRPr="00094945">
        <w:t xml:space="preserve"> </w:t>
      </w:r>
      <w:bookmarkStart w:id="12" w:name="lt_pId038"/>
      <w:r w:rsidRPr="00094945">
        <w:t>Это приведет к увеличению объема инноваций и техническому прогрессу, повышению эффективности и другим положительным результатам, лучшему и более стабильному оказанию услуг.</w:t>
      </w:r>
      <w:bookmarkEnd w:id="12"/>
      <w:r w:rsidRPr="00094945">
        <w:t xml:space="preserve"> </w:t>
      </w:r>
    </w:p>
    <w:p w:rsidR="00E70026" w:rsidRPr="00094945" w:rsidRDefault="009F4708" w:rsidP="007518EF">
      <w:pPr>
        <w:jc w:val="both"/>
      </w:pPr>
      <w:r w:rsidRPr="00094945">
        <w:rPr>
          <w:color w:val="000000"/>
        </w:rPr>
        <w:t>"</w:t>
      </w:r>
      <w:r w:rsidRPr="00094945">
        <w:rPr>
          <w:i/>
          <w:color w:val="000000"/>
        </w:rPr>
        <w:t>Измерение информационного общества: Отчет 2016 года</w:t>
      </w:r>
      <w:r w:rsidRPr="00094945">
        <w:rPr>
          <w:color w:val="000000"/>
        </w:rPr>
        <w:t>"</w:t>
      </w:r>
      <w:r w:rsidRPr="00094945">
        <w:rPr>
          <w:i/>
          <w:color w:val="000000"/>
        </w:rPr>
        <w:t xml:space="preserve"> </w:t>
      </w:r>
      <w:r w:rsidRPr="00094945">
        <w:t xml:space="preserve">был представлен во второй день Симпозиума. Этот отчет содержит новейший индекс развития ИКТ (IDI), являющийся инструментом сравнения, с помощью которого осуществляется мониторинг достижений в информационном обществе во всем мире. Последний по времени IDI отражает уровень развития ИКТ в 175 странах мира, представляет классификацию стран и обеспечивает сравнение прогресса, достигнутого за последние два года. Были вручены награды стране, добившейся лучших результатов по IDI в 2016 году – Республике Корея, а также стране, показавшей лучшую динамику в отношении изменения IDI за период с 2015 по 2016 годы – Сент-Китс и Невис. Симпозиум согласился, что данные, представленные в Отчете дают полезную информацию о прогрессе в отношении доступа к ИКТ, их использования и связанных с ними навыков, развитии ситуации с преодолением глобального цифрового разрыва и барьеров для освоения интернета, включая стоимость услуг ИКТ. </w:t>
      </w:r>
      <w:bookmarkStart w:id="13" w:name="lt_pId044"/>
      <w:r w:rsidRPr="00094945">
        <w:t>Регуляторным органам необходимо обратить внимание на более широкие социально-экономические неравенства и помочь людям в приобретении навыков, необходимых для использования всех преимуществ интернета.</w:t>
      </w:r>
      <w:bookmarkEnd w:id="13"/>
    </w:p>
    <w:p w:rsidR="00E70026" w:rsidRPr="00094945" w:rsidRDefault="009F4708" w:rsidP="007518EF">
      <w:pPr>
        <w:jc w:val="both"/>
        <w:rPr>
          <w:color w:val="000000"/>
        </w:rPr>
      </w:pPr>
      <w:r w:rsidRPr="00094945">
        <w:t xml:space="preserve">Отчеты Группы экспертов </w:t>
      </w:r>
      <w:r w:rsidRPr="00094945">
        <w:rPr>
          <w:color w:val="000000"/>
        </w:rPr>
        <w:t xml:space="preserve">МСЭ по показателям в области электросвязи/ИКТ (EGTI) и Группы экспертов по показателям ИКТ в </w:t>
      </w:r>
      <w:r w:rsidRPr="00094945">
        <w:t>домашних</w:t>
      </w:r>
      <w:r w:rsidRPr="00094945">
        <w:rPr>
          <w:color w:val="000000"/>
        </w:rPr>
        <w:t xml:space="preserve"> хозяйствах (EGH) были представлены участникам Симпозиума и </w:t>
      </w:r>
      <w:r w:rsidRPr="00094945">
        <w:rPr>
          <w:color w:val="000000"/>
        </w:rPr>
        <w:lastRenderedPageBreak/>
        <w:t xml:space="preserve">одобрены ими, включая предложения по будущей работе, в частности создание новых подгрупп для рассмотрения показателей, включенных в IDI. </w:t>
      </w:r>
    </w:p>
    <w:p w:rsidR="00E70026" w:rsidRPr="00094945" w:rsidRDefault="00E70026" w:rsidP="00C27DC2">
      <w:pPr>
        <w:jc w:val="both"/>
      </w:pPr>
      <w:bookmarkStart w:id="14" w:name="lt_pId046"/>
      <w:r w:rsidRPr="00094945">
        <w:t xml:space="preserve">WTIS-16 подчеркнул важность улучшения сбора и разукрупнения статистических данных ИКТ, в том числе по </w:t>
      </w:r>
      <w:r w:rsidR="00C27DC2">
        <w:t>видам ограниченных возможностей</w:t>
      </w:r>
      <w:r w:rsidRPr="00094945">
        <w:t>, и убедительно попросил страны принять меры для улучшения ситуации с доступностью данных для мониторинга ЦУР и гарантии того, что "никто не будет забыт" в отношении доступа к ИКТ и их использования.</w:t>
      </w:r>
      <w:bookmarkEnd w:id="14"/>
    </w:p>
    <w:p w:rsidR="00E70026" w:rsidRPr="00094945" w:rsidRDefault="00E70026" w:rsidP="007518EF">
      <w:pPr>
        <w:jc w:val="both"/>
      </w:pPr>
      <w:bookmarkStart w:id="15" w:name="lt_pId047"/>
      <w:r w:rsidRPr="00094945">
        <w:t>Симпозиум признал важность изучения использования больших данных для официальной статистики и приветствовал пилотный проект МСЭ "Большие данные для измерения информационного общества", целью которого является изучения способов использования данных из отрасли ИКТ при расчете новых или дополнении существующих показателей ИКТ.</w:t>
      </w:r>
      <w:bookmarkEnd w:id="15"/>
    </w:p>
    <w:p w:rsidR="00E70026" w:rsidRPr="00094945" w:rsidRDefault="00E70026" w:rsidP="007518EF">
      <w:pPr>
        <w:jc w:val="both"/>
      </w:pPr>
      <w:bookmarkStart w:id="16" w:name="lt_pId048"/>
      <w:r w:rsidRPr="00094945">
        <w:t>Симпозиум признал разрушительное воздействие стихийных бедствий на людей и экономическое развитие и, в частности, на наиболее уязвимые группы населения во всем мире.</w:t>
      </w:r>
      <w:bookmarkEnd w:id="16"/>
      <w:r w:rsidRPr="00094945">
        <w:t xml:space="preserve"> </w:t>
      </w:r>
      <w:bookmarkStart w:id="17" w:name="lt_pId049"/>
      <w:r w:rsidRPr="00094945">
        <w:t>ИКТ предоставляют беспрецедентные возможности по обеспечению критически важными инструментами для мониторинга стихийных бедствий, раннего предупреждения о них и реагирования в чрезвычайных ситуациях, а также для эффективного рассмотрения вопроса об изменении климата.</w:t>
      </w:r>
      <w:bookmarkEnd w:id="17"/>
    </w:p>
    <w:p w:rsidR="009F4708" w:rsidRPr="00094945" w:rsidRDefault="009F4708" w:rsidP="007518EF">
      <w:pPr>
        <w:jc w:val="both"/>
        <w:rPr>
          <w:szCs w:val="22"/>
        </w:rPr>
      </w:pPr>
      <w:r w:rsidRPr="00094945">
        <w:t xml:space="preserve">Основные выводы и рекомендации, согласованные WTIS-16, размещены на веб-сайте WTIS по адресу </w:t>
      </w:r>
      <w:hyperlink r:id="rId9">
        <w:r w:rsidRPr="00094945">
          <w:rPr>
            <w:rStyle w:val="Hyperlink"/>
          </w:rPr>
          <w:t>http://www.itu.int/en/ITU-D/Statistics/Pages/events/wtis2016</w:t>
        </w:r>
      </w:hyperlink>
      <w:r w:rsidRPr="00094945">
        <w:t>.</w:t>
      </w:r>
    </w:p>
    <w:p w:rsidR="00E70026" w:rsidRPr="00094945" w:rsidRDefault="00E70026" w:rsidP="007518EF">
      <w:pPr>
        <w:pStyle w:val="Headingb"/>
        <w:ind w:left="0" w:firstLine="0"/>
        <w:jc w:val="both"/>
      </w:pPr>
      <w:bookmarkStart w:id="18" w:name="lt_pId051"/>
      <w:r w:rsidRPr="00094945">
        <w:t>Внеочередное собрание Группы экспертов МСЭ по показателям в области электросвязи/ИКТ (EGTI) и Группы экспертов по показателям ИКТ в домашних хозяйствах (EGH)</w:t>
      </w:r>
      <w:bookmarkEnd w:id="18"/>
    </w:p>
    <w:p w:rsidR="00E70026" w:rsidRPr="00094945" w:rsidRDefault="00E70026" w:rsidP="007518EF">
      <w:pPr>
        <w:jc w:val="both"/>
      </w:pPr>
      <w:bookmarkStart w:id="19" w:name="lt_pId052"/>
      <w:r w:rsidRPr="00094945">
        <w:t>В качестве последующих действий по итогам совместного собрания EGTI/EGH, проведенного в октябре 2016 года, и принятого решения о пересмотре показателей, включенных в состав IDI, 1−3 марта 2017 года в Женеве, Швейцария, состоялось внеочередное собрание EGTI и EGH.</w:t>
      </w:r>
      <w:bookmarkEnd w:id="19"/>
      <w:r w:rsidRPr="00094945">
        <w:t xml:space="preserve"> </w:t>
      </w:r>
      <w:bookmarkStart w:id="20" w:name="lt_pId053"/>
      <w:r w:rsidRPr="00094945">
        <w:t>Основной задачей собрания было обсуждение, проведение прений и согласование пересмотренного набора показателей, включенных в состав IDI, на основании входных документов, подготовленных подгруппой EGTI и независимой группой экспертов.</w:t>
      </w:r>
      <w:bookmarkEnd w:id="20"/>
    </w:p>
    <w:p w:rsidR="00E70026" w:rsidRPr="00094945" w:rsidRDefault="00E70026" w:rsidP="00C27DC2">
      <w:pPr>
        <w:jc w:val="both"/>
      </w:pPr>
      <w:bookmarkStart w:id="21" w:name="lt_pId054"/>
      <w:r w:rsidRPr="00094945">
        <w:t xml:space="preserve">Внеочередное собрание постановило принять </w:t>
      </w:r>
      <w:r w:rsidR="00C27DC2">
        <w:t>в общей сложности</w:t>
      </w:r>
      <w:r w:rsidRPr="00094945">
        <w:t xml:space="preserve"> 14 показателей для включения в состав IDI по сравнению с текущим списком из 11 показателей.</w:t>
      </w:r>
      <w:bookmarkEnd w:id="21"/>
      <w:r w:rsidRPr="00094945">
        <w:t xml:space="preserve"> </w:t>
      </w:r>
      <w:bookmarkStart w:id="22" w:name="lt_pId055"/>
      <w:r w:rsidRPr="00094945">
        <w:t xml:space="preserve">Собрание согласилось с тем, что результаты </w:t>
      </w:r>
      <w:proofErr w:type="gramStart"/>
      <w:r w:rsidRPr="00094945">
        <w:t>по новому</w:t>
      </w:r>
      <w:proofErr w:type="gramEnd"/>
      <w:r w:rsidRPr="00094945">
        <w:t xml:space="preserve"> IDI будут опубликованы в 2018 го</w:t>
      </w:r>
      <w:bookmarkStart w:id="23" w:name="_GoBack"/>
      <w:bookmarkEnd w:id="23"/>
      <w:r w:rsidRPr="00094945">
        <w:t>ду, чтобы предоставить достаточное количество времени на проведение статистических проверок и дать странам возможность собрать и сообщить необходимые данные по новым показателям, включенным в состав IDI.</w:t>
      </w:r>
      <w:bookmarkEnd w:id="22"/>
    </w:p>
    <w:p w:rsidR="009F4708" w:rsidRPr="00094945" w:rsidRDefault="00E70026" w:rsidP="007518EF">
      <w:pPr>
        <w:pStyle w:val="Headingb"/>
        <w:jc w:val="both"/>
      </w:pPr>
      <w:r w:rsidRPr="00094945">
        <w:t>WTIS-17</w:t>
      </w:r>
    </w:p>
    <w:p w:rsidR="009F4708" w:rsidRPr="00094945" w:rsidRDefault="009F4708" w:rsidP="007518EF">
      <w:pPr>
        <w:jc w:val="both"/>
      </w:pPr>
      <w:r w:rsidRPr="00094945">
        <w:t>15-й WTIS будет проходить в Тунисе в ноябре 2017 года</w:t>
      </w:r>
      <w:r w:rsidRPr="00094945">
        <w:rPr>
          <w:rStyle w:val="FootnoteReference"/>
        </w:rPr>
        <w:footnoteReference w:id="1"/>
      </w:r>
      <w:r w:rsidRPr="00094945">
        <w:t xml:space="preserve"> по приглашению правительства Туниса. В его рамках состоится ряд международных дискуссий в группах высокого уровня по ключевым вопросам, касающимся политики и мониторинга в области ИКТ, с участием пользователей и производителей данных по ИКТ. Участниками обсуждений будут министры, генеральные директора национальных статистических управлений, руководители регуляторных органов, главные исполнительные директора из делового сектора, а также другие эксперты высокого уровня.</w:t>
      </w:r>
    </w:p>
    <w:p w:rsidR="00EE153D" w:rsidRPr="00094945" w:rsidRDefault="00AA42F8" w:rsidP="007518EF">
      <w:pPr>
        <w:spacing w:before="720"/>
        <w:jc w:val="both"/>
      </w:pPr>
      <w:r w:rsidRPr="00094945">
        <w:t>______________</w:t>
      </w:r>
    </w:p>
    <w:sectPr w:rsidR="00EE153D" w:rsidRPr="00094945" w:rsidSect="00DA23FC">
      <w:headerReference w:type="default" r:id="rId10"/>
      <w:footerReference w:type="default" r:id="rId11"/>
      <w:footerReference w:type="first" r:id="rId12"/>
      <w:pgSz w:w="11906" w:h="16838" w:code="9"/>
      <w:pgMar w:top="1418" w:right="1134" w:bottom="1418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262" w:rsidRDefault="008C6262" w:rsidP="00E54FD2">
      <w:pPr>
        <w:spacing w:before="0"/>
      </w:pPr>
      <w:r>
        <w:separator/>
      </w:r>
    </w:p>
  </w:endnote>
  <w:endnote w:type="continuationSeparator" w:id="0">
    <w:p w:rsidR="008C6262" w:rsidRDefault="008C6262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CD" w:rsidRPr="00AA42F8" w:rsidRDefault="00C27DC2" w:rsidP="00BB5478">
    <w:pPr>
      <w:pStyle w:val="Footer"/>
      <w:tabs>
        <w:tab w:val="clear" w:pos="794"/>
        <w:tab w:val="clear" w:pos="1191"/>
        <w:tab w:val="clear" w:pos="1588"/>
        <w:tab w:val="clear" w:pos="1985"/>
      </w:tabs>
    </w:pPr>
    <w:r>
      <w:fldChar w:fldCharType="begin"/>
    </w:r>
    <w:r>
      <w:instrText xml:space="preserve"> FILENAME \p  \* MERGEFORMAT </w:instrText>
    </w:r>
    <w:r>
      <w:fldChar w:fldCharType="separate"/>
    </w:r>
    <w:r w:rsidR="00BB5478">
      <w:t>P:\RUS\ITU-D\CONF-D\TDAG17\000\027R.docx</w:t>
    </w:r>
    <w:r>
      <w:fldChar w:fldCharType="end"/>
    </w:r>
    <w:r w:rsidR="000D3FE5">
      <w:t xml:space="preserve"> (413990)</w:t>
    </w:r>
    <w:r w:rsidR="000D3FE5">
      <w:tab/>
    </w:r>
    <w:r w:rsidR="00AA42F8">
      <w:fldChar w:fldCharType="begin"/>
    </w:r>
    <w:r w:rsidR="00AA42F8">
      <w:instrText xml:space="preserve"> SAVEDATE \@ DD.MM.YY </w:instrText>
    </w:r>
    <w:r w:rsidR="00AA42F8">
      <w:fldChar w:fldCharType="separate"/>
    </w:r>
    <w:r>
      <w:t>26.04.17</w:t>
    </w:r>
    <w:r w:rsidR="00AA42F8">
      <w:fldChar w:fldCharType="end"/>
    </w:r>
    <w:r w:rsidR="000D3FE5">
      <w:tab/>
    </w:r>
    <w:r w:rsidR="00AA42F8">
      <w:fldChar w:fldCharType="begin"/>
    </w:r>
    <w:r w:rsidR="00AA42F8">
      <w:instrText xml:space="preserve"> PRINTDATE \@ DD.MM.YY </w:instrText>
    </w:r>
    <w:r w:rsidR="00AA42F8">
      <w:fldChar w:fldCharType="separate"/>
    </w:r>
    <w:r w:rsidR="00BB5478">
      <w:t>02.03.15</w:t>
    </w:r>
    <w:r w:rsidR="00AA42F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FE5" w:rsidRDefault="00C27DC2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olor w:val="0000FF"/>
        <w:sz w:val="18"/>
        <w:szCs w:val="18"/>
        <w:u w:val="single"/>
      </w:rPr>
    </w:pPr>
    <w:hyperlink r:id="rId1">
      <w:r w:rsidR="00DB2CF2">
        <w:rPr>
          <w:color w:val="0000FF"/>
          <w:sz w:val="18"/>
          <w:u w:val="single"/>
        </w:rPr>
        <w:t>http://www.itu.int/ITU-D/TDAG/</w:t>
      </w:r>
    </w:hyperlink>
  </w:p>
  <w:p w:rsidR="00BB5478" w:rsidRPr="00BB5478" w:rsidRDefault="007518EF" w:rsidP="00BB5478">
    <w:pPr>
      <w:pStyle w:val="Footer"/>
      <w:tabs>
        <w:tab w:val="clear" w:pos="794"/>
        <w:tab w:val="clear" w:pos="1191"/>
        <w:tab w:val="clear" w:pos="1588"/>
        <w:tab w:val="clear" w:pos="1985"/>
      </w:tabs>
      <w:spacing w:before="120"/>
    </w:pPr>
    <w:fldSimple w:instr=" FILENAME \p  \* MERGEFORMAT ">
      <w:r w:rsidR="00BB5478">
        <w:t>P:\RUS\ITU-D\CONF-D\TDAG17\000\027R.docx</w:t>
      </w:r>
    </w:fldSimple>
    <w:r w:rsidR="00BB5478">
      <w:t xml:space="preserve"> (413990)</w:t>
    </w:r>
    <w:r w:rsidR="00BB5478">
      <w:tab/>
    </w:r>
    <w:r w:rsidR="00BB5478">
      <w:fldChar w:fldCharType="begin"/>
    </w:r>
    <w:r w:rsidR="00BB5478">
      <w:instrText xml:space="preserve"> SAVEDATE \@ DD.MM.YY </w:instrText>
    </w:r>
    <w:r w:rsidR="00BB5478">
      <w:fldChar w:fldCharType="separate"/>
    </w:r>
    <w:r w:rsidR="00C27DC2">
      <w:t>26.04.17</w:t>
    </w:r>
    <w:r w:rsidR="00BB5478">
      <w:fldChar w:fldCharType="end"/>
    </w:r>
    <w:r w:rsidR="00BB5478">
      <w:tab/>
    </w:r>
    <w:r w:rsidR="00BB5478">
      <w:fldChar w:fldCharType="begin"/>
    </w:r>
    <w:r w:rsidR="00BB5478">
      <w:instrText xml:space="preserve"> PRINTDATE \@ DD.MM.YY </w:instrText>
    </w:r>
    <w:r w:rsidR="00BB5478">
      <w:fldChar w:fldCharType="separate"/>
    </w:r>
    <w:r w:rsidR="00BB5478">
      <w:t>02.03.15</w:t>
    </w:r>
    <w:r w:rsidR="00BB547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262" w:rsidRDefault="008C6262" w:rsidP="00E54FD2">
      <w:pPr>
        <w:spacing w:before="0"/>
      </w:pPr>
      <w:r>
        <w:separator/>
      </w:r>
    </w:p>
  </w:footnote>
  <w:footnote w:type="continuationSeparator" w:id="0">
    <w:p w:rsidR="008C6262" w:rsidRDefault="008C6262" w:rsidP="00E54FD2">
      <w:pPr>
        <w:spacing w:before="0"/>
      </w:pPr>
      <w:r>
        <w:continuationSeparator/>
      </w:r>
    </w:p>
  </w:footnote>
  <w:footnote w:id="1">
    <w:p w:rsidR="009F4708" w:rsidRPr="00247F58" w:rsidRDefault="009F4708" w:rsidP="009F4708">
      <w:pPr>
        <w:pStyle w:val="FootnoteText"/>
        <w:tabs>
          <w:tab w:val="clear" w:pos="256"/>
          <w:tab w:val="clear" w:pos="794"/>
          <w:tab w:val="clear" w:pos="1191"/>
          <w:tab w:val="clear" w:pos="1588"/>
          <w:tab w:val="clear" w:pos="1985"/>
          <w:tab w:val="left" w:pos="284"/>
        </w:tabs>
        <w:rPr>
          <w:lang w:val="en-US"/>
        </w:rPr>
      </w:pPr>
      <w:r>
        <w:rPr>
          <w:rStyle w:val="FootnoteReference"/>
        </w:rPr>
        <w:footnoteRef/>
      </w:r>
      <w:r>
        <w:tab/>
        <w:t>Даты подлежат утверждению.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4B" w:rsidRPr="00701E31" w:rsidRDefault="003A294B" w:rsidP="00DA23FC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spacing w:before="0"/>
      <w:rPr>
        <w:smallCaps/>
        <w:spacing w:val="24"/>
        <w:szCs w:val="22"/>
      </w:rPr>
    </w:pPr>
    <w:r>
      <w:tab/>
      <w:t>ITU-D/TDAG17-22/27-R</w:t>
    </w:r>
    <w:r>
      <w:tab/>
      <w:t>Страница</w:t>
    </w:r>
    <w:r>
      <w:rPr>
        <w:rStyle w:val="PageNumber"/>
      </w:rPr>
      <w:t xml:space="preserve"> </w:t>
    </w:r>
    <w:r w:rsidR="00D923CD" w:rsidRPr="00DE3BA6">
      <w:rPr>
        <w:rStyle w:val="PageNumber"/>
        <w:szCs w:val="22"/>
      </w:rPr>
      <w:fldChar w:fldCharType="begin"/>
    </w:r>
    <w:r w:rsidR="00D923CD" w:rsidRPr="00701E31">
      <w:rPr>
        <w:rStyle w:val="PageNumber"/>
        <w:szCs w:val="22"/>
      </w:rPr>
      <w:instrText xml:space="preserve"> </w:instrText>
    </w:r>
    <w:r w:rsidR="00D923CD" w:rsidRPr="00DE3BA6">
      <w:rPr>
        <w:rStyle w:val="PageNumber"/>
        <w:szCs w:val="22"/>
      </w:rPr>
      <w:instrText>PAGE</w:instrText>
    </w:r>
    <w:r w:rsidR="00D923CD" w:rsidRPr="00701E31">
      <w:rPr>
        <w:rStyle w:val="PageNumber"/>
        <w:szCs w:val="22"/>
      </w:rPr>
      <w:instrText xml:space="preserve"> </w:instrText>
    </w:r>
    <w:r w:rsidR="00D923CD" w:rsidRPr="00DE3BA6">
      <w:rPr>
        <w:rStyle w:val="PageNumber"/>
        <w:szCs w:val="22"/>
      </w:rPr>
      <w:fldChar w:fldCharType="separate"/>
    </w:r>
    <w:r w:rsidR="00C27DC2">
      <w:rPr>
        <w:rStyle w:val="PageNumber"/>
        <w:noProof/>
        <w:szCs w:val="22"/>
      </w:rPr>
      <w:t>3</w:t>
    </w:r>
    <w:r w:rsidR="00D923CD" w:rsidRPr="00DE3BA6">
      <w:rPr>
        <w:rStyle w:val="PageNumber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AE"/>
    <w:rsid w:val="00094945"/>
    <w:rsid w:val="000D3FE5"/>
    <w:rsid w:val="00107E03"/>
    <w:rsid w:val="00111662"/>
    <w:rsid w:val="00134D3C"/>
    <w:rsid w:val="001379B1"/>
    <w:rsid w:val="00160C01"/>
    <w:rsid w:val="00191479"/>
    <w:rsid w:val="001E3E78"/>
    <w:rsid w:val="00202D0A"/>
    <w:rsid w:val="002236F8"/>
    <w:rsid w:val="00257C2C"/>
    <w:rsid w:val="00270876"/>
    <w:rsid w:val="002717CC"/>
    <w:rsid w:val="00316454"/>
    <w:rsid w:val="00366978"/>
    <w:rsid w:val="003A294B"/>
    <w:rsid w:val="003C6E83"/>
    <w:rsid w:val="003E6E87"/>
    <w:rsid w:val="00422053"/>
    <w:rsid w:val="00492670"/>
    <w:rsid w:val="004E4490"/>
    <w:rsid w:val="005F1F92"/>
    <w:rsid w:val="00655923"/>
    <w:rsid w:val="00701E31"/>
    <w:rsid w:val="007518EF"/>
    <w:rsid w:val="0076219A"/>
    <w:rsid w:val="00767C28"/>
    <w:rsid w:val="007E10E5"/>
    <w:rsid w:val="008112E9"/>
    <w:rsid w:val="00875722"/>
    <w:rsid w:val="008C576E"/>
    <w:rsid w:val="008C6262"/>
    <w:rsid w:val="008D6A59"/>
    <w:rsid w:val="00916B10"/>
    <w:rsid w:val="009C5B8E"/>
    <w:rsid w:val="009F4708"/>
    <w:rsid w:val="00A30897"/>
    <w:rsid w:val="00A64F9D"/>
    <w:rsid w:val="00A73D91"/>
    <w:rsid w:val="00AA42F8"/>
    <w:rsid w:val="00AC2E0E"/>
    <w:rsid w:val="00AC6023"/>
    <w:rsid w:val="00AE0BB7"/>
    <w:rsid w:val="00AE1BA7"/>
    <w:rsid w:val="00B07E97"/>
    <w:rsid w:val="00B222FE"/>
    <w:rsid w:val="00B52E6E"/>
    <w:rsid w:val="00B726C0"/>
    <w:rsid w:val="00B75868"/>
    <w:rsid w:val="00BB5478"/>
    <w:rsid w:val="00BD7A1A"/>
    <w:rsid w:val="00C27DC2"/>
    <w:rsid w:val="00C62E82"/>
    <w:rsid w:val="00C71A6F"/>
    <w:rsid w:val="00C84CCD"/>
    <w:rsid w:val="00CD34AE"/>
    <w:rsid w:val="00CE37A1"/>
    <w:rsid w:val="00CE5E7B"/>
    <w:rsid w:val="00D16175"/>
    <w:rsid w:val="00D712FE"/>
    <w:rsid w:val="00D923CD"/>
    <w:rsid w:val="00D93FCC"/>
    <w:rsid w:val="00DA23FC"/>
    <w:rsid w:val="00DA4610"/>
    <w:rsid w:val="00DB2CF2"/>
    <w:rsid w:val="00DD19E1"/>
    <w:rsid w:val="00DD5D8C"/>
    <w:rsid w:val="00E06A7D"/>
    <w:rsid w:val="00E30170"/>
    <w:rsid w:val="00E54FD2"/>
    <w:rsid w:val="00E65A2C"/>
    <w:rsid w:val="00E70026"/>
    <w:rsid w:val="00E82D31"/>
    <w:rsid w:val="00EE153D"/>
    <w:rsid w:val="00F72A94"/>
    <w:rsid w:val="00F746B3"/>
    <w:rsid w:val="00F961B7"/>
    <w:rsid w:val="00FA2BC3"/>
    <w:rsid w:val="00FC100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7C1350B-35EB-4097-B065-1C64925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A1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06A7D"/>
    <w:pPr>
      <w:keepNext/>
      <w:keepLines/>
      <w:spacing w:before="480"/>
      <w:ind w:left="567" w:hanging="567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  <w:szCs w:val="22"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ru-RU" w:eastAsia="ru-RU"/>
    </w:rPr>
  </w:style>
  <w:style w:type="paragraph" w:customStyle="1" w:styleId="enumlev1">
    <w:name w:val="enumlev1"/>
    <w:basedOn w:val="Normal"/>
    <w:rsid w:val="00CE37A1"/>
    <w:pPr>
      <w:spacing w:before="86"/>
      <w:ind w:left="567" w:hanging="567"/>
    </w:pPr>
  </w:style>
  <w:style w:type="paragraph" w:customStyle="1" w:styleId="enumlev2">
    <w:name w:val="enumlev2"/>
    <w:basedOn w:val="enumlev1"/>
    <w:rsid w:val="00CE37A1"/>
    <w:pPr>
      <w:ind w:left="1134"/>
    </w:pPr>
  </w:style>
  <w:style w:type="paragraph" w:customStyle="1" w:styleId="enumlev3">
    <w:name w:val="enumlev3"/>
    <w:basedOn w:val="enumlev2"/>
    <w:rsid w:val="00CE37A1"/>
    <w:pPr>
      <w:ind w:left="1701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ru-RU" w:eastAsia="ru-RU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E06A7D"/>
    <w:rPr>
      <w:rFonts w:ascii="Calibri" w:eastAsia="Times New Roman" w:hAnsi="Calibri" w:cs="Times New Roman"/>
      <w:b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ru-RU" w:eastAsia="ru-RU"/>
    </w:rPr>
  </w:style>
  <w:style w:type="paragraph" w:customStyle="1" w:styleId="Headingb">
    <w:name w:val="Heading_b"/>
    <w:basedOn w:val="Heading3"/>
    <w:next w:val="Normal"/>
    <w:rsid w:val="00257C2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aliases w:val="CEO_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C27DC2"/>
    <w:pPr>
      <w:framePr w:hSpace="180" w:wrap="around" w:hAnchor="margin" w:y="-330"/>
      <w:spacing w:before="840"/>
      <w:jc w:val="center"/>
    </w:pPr>
    <w:rPr>
      <w:b/>
      <w:sz w:val="26"/>
      <w:szCs w:val="28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F961B7"/>
    <w:pPr>
      <w:framePr w:hSpace="0" w:wrap="auto" w:hAnchor="text" w:yAlign="inline"/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hAnchor="text" w:yAlign="inline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en/ITU-D/Statistics/Pages/events/wtis2016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ITU-D/TD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C383-3FA0-4C24-844B-DC6CED74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Company>International Telecommunication Union (ITU)</Company>
  <LinksUpToDate>false</LinksUpToDate>
  <CharactersWithSpaces>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Komissarova, Olga</dc:creator>
  <cp:keywords/>
  <dc:description/>
  <cp:lastModifiedBy>Svechnikov, Andrey</cp:lastModifiedBy>
  <cp:revision>9</cp:revision>
  <cp:lastPrinted>2015-03-02T13:42:00Z</cp:lastPrinted>
  <dcterms:created xsi:type="dcterms:W3CDTF">2017-03-24T10:53:00Z</dcterms:created>
  <dcterms:modified xsi:type="dcterms:W3CDTF">2017-04-27T10:17:00Z</dcterms:modified>
</cp:coreProperties>
</file>