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5387"/>
        <w:gridCol w:w="3225"/>
      </w:tblGrid>
      <w:tr w:rsidR="00B46DF3" w:rsidTr="00107E85">
        <w:trPr>
          <w:cantSplit/>
          <w:trHeight w:val="1134"/>
        </w:trPr>
        <w:tc>
          <w:tcPr>
            <w:tcW w:w="1276" w:type="dxa"/>
          </w:tcPr>
          <w:p w:rsidR="00B46DF3" w:rsidRPr="00844A56" w:rsidRDefault="00107E85" w:rsidP="00107E85">
            <w:pPr>
              <w:tabs>
                <w:tab w:val="clear" w:pos="1191"/>
                <w:tab w:val="clear" w:pos="1588"/>
                <w:tab w:val="clear" w:pos="1985"/>
              </w:tabs>
              <w:spacing w:before="0"/>
              <w:ind w:left="1311"/>
              <w:rPr>
                <w:rFonts w:ascii="Verdana" w:hAnsi="Verdana"/>
                <w:sz w:val="28"/>
                <w:szCs w:val="28"/>
              </w:rPr>
            </w:pPr>
            <w:r w:rsidRPr="00CC1F10">
              <w:rPr>
                <w:noProof/>
                <w:color w:val="3399FF"/>
                <w:lang w:eastAsia="zh-CN"/>
              </w:rPr>
              <w:drawing>
                <wp:anchor distT="0" distB="0" distL="114300" distR="114300" simplePos="0" relativeHeight="251668480" behindDoc="0" locked="0" layoutInCell="1" allowOverlap="1" wp14:anchorId="0979F580" wp14:editId="26CBE8BF">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rsidR="00B46DF3" w:rsidRDefault="00B46DF3" w:rsidP="00107E85">
            <w:pPr>
              <w:tabs>
                <w:tab w:val="clear" w:pos="1191"/>
                <w:tab w:val="clear" w:pos="1588"/>
                <w:tab w:val="clear" w:pos="1985"/>
              </w:tabs>
              <w:spacing w:before="0"/>
              <w:ind w:left="35"/>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rsidR="00E55807" w:rsidRPr="00844A56" w:rsidRDefault="00E55807" w:rsidP="00C64AF3">
            <w:pPr>
              <w:tabs>
                <w:tab w:val="clear" w:pos="1191"/>
                <w:tab w:val="clear" w:pos="1588"/>
                <w:tab w:val="clear" w:pos="1985"/>
              </w:tabs>
              <w:spacing w:before="100"/>
              <w:ind w:left="34"/>
              <w:rPr>
                <w:rFonts w:ascii="Verdana" w:hAnsi="Verdana"/>
                <w:sz w:val="28"/>
                <w:szCs w:val="28"/>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225" w:type="dxa"/>
          </w:tcPr>
          <w:p w:rsidR="00B46DF3" w:rsidRPr="00683C32" w:rsidRDefault="00B46DF3" w:rsidP="00107E85">
            <w:pPr>
              <w:spacing w:before="0"/>
              <w:ind w:right="142"/>
              <w:jc w:val="right"/>
            </w:pPr>
            <w:r w:rsidRPr="004949B5">
              <w:rPr>
                <w:noProof/>
                <w:color w:val="189CD7"/>
                <w:lang w:eastAsia="zh-CN"/>
              </w:rPr>
              <w:drawing>
                <wp:anchor distT="0" distB="0" distL="114300" distR="114300" simplePos="0" relativeHeight="251669504" behindDoc="0" locked="0" layoutInCell="1" allowOverlap="1" wp14:anchorId="77ACB888" wp14:editId="38302EBF">
                  <wp:simplePos x="0" y="0"/>
                  <wp:positionH relativeFrom="column">
                    <wp:posOffset>353060</wp:posOffset>
                  </wp:positionH>
                  <wp:positionV relativeFrom="paragraph">
                    <wp:posOffset>98425</wp:posOffset>
                  </wp:positionV>
                  <wp:extent cx="1570990" cy="587785"/>
                  <wp:effectExtent l="0" t="0" r="0" b="3175"/>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990" cy="587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3C32" w:rsidRPr="00997358" w:rsidTr="00107E85">
        <w:trPr>
          <w:cantSplit/>
        </w:trPr>
        <w:tc>
          <w:tcPr>
            <w:tcW w:w="6663" w:type="dxa"/>
            <w:gridSpan w:val="2"/>
            <w:tcBorders>
              <w:top w:val="single" w:sz="12" w:space="0" w:color="auto"/>
            </w:tcBorders>
          </w:tcPr>
          <w:p w:rsidR="00683C32" w:rsidRPr="00997358" w:rsidRDefault="00683C32" w:rsidP="00107E85">
            <w:pPr>
              <w:spacing w:before="0"/>
              <w:rPr>
                <w:rFonts w:cs="Arial"/>
                <w:b/>
                <w:bCs/>
                <w:sz w:val="20"/>
              </w:rPr>
            </w:pPr>
          </w:p>
        </w:tc>
        <w:tc>
          <w:tcPr>
            <w:tcW w:w="3225" w:type="dxa"/>
            <w:tcBorders>
              <w:top w:val="single" w:sz="12" w:space="0" w:color="auto"/>
            </w:tcBorders>
          </w:tcPr>
          <w:p w:rsidR="00683C32" w:rsidRPr="00997358" w:rsidRDefault="00683C32" w:rsidP="00107E85">
            <w:pPr>
              <w:spacing w:before="0"/>
              <w:rPr>
                <w:b/>
                <w:bCs/>
                <w:sz w:val="20"/>
              </w:rPr>
            </w:pPr>
          </w:p>
        </w:tc>
      </w:tr>
      <w:tr w:rsidR="00683C32" w:rsidRPr="00002716" w:rsidTr="00107E85">
        <w:trPr>
          <w:cantSplit/>
        </w:trPr>
        <w:tc>
          <w:tcPr>
            <w:tcW w:w="6663" w:type="dxa"/>
            <w:gridSpan w:val="2"/>
            <w:vMerge w:val="restart"/>
          </w:tcPr>
          <w:p w:rsidR="00683C32" w:rsidRPr="002E6963" w:rsidRDefault="00683C32" w:rsidP="00107E85">
            <w:pPr>
              <w:pStyle w:val="Committee"/>
              <w:rPr>
                <w:b w:val="0"/>
              </w:rPr>
            </w:pPr>
          </w:p>
        </w:tc>
        <w:tc>
          <w:tcPr>
            <w:tcW w:w="3225" w:type="dxa"/>
          </w:tcPr>
          <w:p w:rsidR="00683C32" w:rsidRPr="00002716" w:rsidRDefault="00380B71" w:rsidP="00752128">
            <w:pPr>
              <w:spacing w:before="0"/>
              <w:jc w:val="both"/>
              <w:rPr>
                <w:bCs/>
                <w:lang w:val="en-US"/>
              </w:rPr>
            </w:pPr>
            <w:r w:rsidRPr="00002716">
              <w:rPr>
                <w:b/>
                <w:bCs/>
                <w:lang w:val="en-US"/>
              </w:rPr>
              <w:t>Document</w:t>
            </w:r>
            <w:r w:rsidRPr="00A54E72">
              <w:rPr>
                <w:b/>
                <w:bCs/>
                <w:lang w:val="en-US"/>
              </w:rPr>
              <w:t xml:space="preserve"> </w:t>
            </w:r>
            <w:bookmarkStart w:id="0" w:name="DocRef1"/>
            <w:bookmarkEnd w:id="0"/>
            <w:r w:rsidR="00107E85">
              <w:rPr>
                <w:b/>
                <w:bCs/>
                <w:lang w:val="en-US"/>
              </w:rPr>
              <w:t>TDAG17</w:t>
            </w:r>
            <w:r w:rsidR="00752128">
              <w:rPr>
                <w:b/>
                <w:bCs/>
                <w:lang w:val="en-US"/>
              </w:rPr>
              <w:t>-22</w:t>
            </w:r>
            <w:r w:rsidRPr="00A54E72">
              <w:rPr>
                <w:b/>
                <w:bCs/>
                <w:lang w:val="en-US"/>
              </w:rPr>
              <w:t>/</w:t>
            </w:r>
            <w:bookmarkStart w:id="1" w:name="DocNo1"/>
            <w:bookmarkEnd w:id="1"/>
            <w:r w:rsidR="00752128">
              <w:rPr>
                <w:b/>
                <w:bCs/>
                <w:lang w:val="en-US"/>
              </w:rPr>
              <w:t>22</w:t>
            </w:r>
            <w:r w:rsidR="00107E85">
              <w:rPr>
                <w:b/>
                <w:bCs/>
                <w:lang w:val="en-US"/>
              </w:rPr>
              <w:t>-E</w:t>
            </w:r>
          </w:p>
        </w:tc>
      </w:tr>
      <w:tr w:rsidR="00683C32" w:rsidTr="00107E85">
        <w:trPr>
          <w:cantSplit/>
        </w:trPr>
        <w:tc>
          <w:tcPr>
            <w:tcW w:w="6663" w:type="dxa"/>
            <w:gridSpan w:val="2"/>
            <w:vMerge/>
          </w:tcPr>
          <w:p w:rsidR="00683C32" w:rsidRPr="00002716" w:rsidRDefault="00683C32" w:rsidP="00107E85">
            <w:pPr>
              <w:spacing w:after="120"/>
              <w:rPr>
                <w:b/>
                <w:bCs/>
                <w:smallCaps/>
                <w:lang w:val="en-US"/>
              </w:rPr>
            </w:pPr>
          </w:p>
        </w:tc>
        <w:tc>
          <w:tcPr>
            <w:tcW w:w="3225" w:type="dxa"/>
          </w:tcPr>
          <w:p w:rsidR="00683C32" w:rsidRPr="002E6F8F" w:rsidRDefault="00752128" w:rsidP="00107E85">
            <w:pPr>
              <w:spacing w:before="0"/>
              <w:rPr>
                <w:b/>
              </w:rPr>
            </w:pPr>
            <w:bookmarkStart w:id="2" w:name="CreationDate"/>
            <w:bookmarkEnd w:id="2"/>
            <w:r>
              <w:rPr>
                <w:b/>
              </w:rPr>
              <w:t>14 March</w:t>
            </w:r>
            <w:r w:rsidR="00077855">
              <w:rPr>
                <w:b/>
              </w:rPr>
              <w:t xml:space="preserve"> 2017</w:t>
            </w:r>
          </w:p>
        </w:tc>
      </w:tr>
      <w:tr w:rsidR="00683C32" w:rsidTr="00107E85">
        <w:trPr>
          <w:cantSplit/>
        </w:trPr>
        <w:tc>
          <w:tcPr>
            <w:tcW w:w="6663" w:type="dxa"/>
            <w:gridSpan w:val="2"/>
            <w:vMerge/>
          </w:tcPr>
          <w:p w:rsidR="00683C32" w:rsidRDefault="00683C32" w:rsidP="00107E85">
            <w:pPr>
              <w:spacing w:after="120"/>
              <w:rPr>
                <w:b/>
                <w:bCs/>
                <w:smallCaps/>
              </w:rPr>
            </w:pPr>
          </w:p>
        </w:tc>
        <w:tc>
          <w:tcPr>
            <w:tcW w:w="3225" w:type="dxa"/>
          </w:tcPr>
          <w:p w:rsidR="00514D2F" w:rsidRPr="00D34008" w:rsidRDefault="00683C32" w:rsidP="00107E85">
            <w:pPr>
              <w:spacing w:before="0" w:after="240"/>
            </w:pPr>
            <w:r>
              <w:rPr>
                <w:b/>
              </w:rPr>
              <w:t>Original</w:t>
            </w:r>
            <w:r w:rsidR="00A525CC">
              <w:rPr>
                <w:b/>
              </w:rPr>
              <w:t xml:space="preserve">: </w:t>
            </w:r>
            <w:bookmarkStart w:id="3" w:name="Original"/>
            <w:bookmarkEnd w:id="3"/>
            <w:r w:rsidR="00752128">
              <w:rPr>
                <w:b/>
              </w:rPr>
              <w:t>English</w:t>
            </w:r>
          </w:p>
        </w:tc>
      </w:tr>
      <w:tr w:rsidR="00EB6ADC" w:rsidTr="00107E85">
        <w:trPr>
          <w:cantSplit/>
          <w:trHeight w:val="852"/>
        </w:trPr>
        <w:tc>
          <w:tcPr>
            <w:tcW w:w="9888" w:type="dxa"/>
            <w:gridSpan w:val="3"/>
          </w:tcPr>
          <w:p w:rsidR="00EB6ADC" w:rsidRPr="003604FB" w:rsidRDefault="00752128" w:rsidP="00752128">
            <w:pPr>
              <w:pStyle w:val="Source"/>
              <w:spacing w:after="120"/>
              <w:jc w:val="center"/>
              <w:rPr>
                <w:sz w:val="28"/>
                <w:szCs w:val="28"/>
              </w:rPr>
            </w:pPr>
            <w:bookmarkStart w:id="4" w:name="Source"/>
            <w:bookmarkEnd w:id="4"/>
            <w:r>
              <w:rPr>
                <w:bCs/>
                <w:sz w:val="28"/>
                <w:szCs w:val="28"/>
                <w:lang w:val="en-US"/>
              </w:rPr>
              <w:t>Director, Telecommunication Development Bureau</w:t>
            </w:r>
          </w:p>
        </w:tc>
      </w:tr>
      <w:tr w:rsidR="00EB6ADC" w:rsidRPr="002E6963" w:rsidTr="00107E85">
        <w:trPr>
          <w:cantSplit/>
        </w:trPr>
        <w:tc>
          <w:tcPr>
            <w:tcW w:w="9888" w:type="dxa"/>
            <w:gridSpan w:val="3"/>
          </w:tcPr>
          <w:p w:rsidR="00EB6ADC" w:rsidRPr="00D9046C" w:rsidRDefault="00EB6ADC" w:rsidP="00752128">
            <w:pPr>
              <w:pStyle w:val="Title1"/>
              <w:spacing w:before="120" w:after="120"/>
              <w:jc w:val="center"/>
              <w:rPr>
                <w:b w:val="0"/>
                <w:bCs/>
                <w:sz w:val="28"/>
                <w:szCs w:val="28"/>
              </w:rPr>
            </w:pPr>
            <w:bookmarkStart w:id="5" w:name="Title"/>
            <w:bookmarkEnd w:id="5"/>
            <w:r w:rsidRPr="00D9046C">
              <w:rPr>
                <w:b w:val="0"/>
                <w:bCs/>
                <w:sz w:val="28"/>
                <w:szCs w:val="28"/>
              </w:rPr>
              <w:t>REPORT OF THE CHAIRMAN OF THE GROUP ON</w:t>
            </w:r>
            <w:r w:rsidRPr="00D9046C">
              <w:rPr>
                <w:b w:val="0"/>
                <w:bCs/>
                <w:sz w:val="28"/>
                <w:szCs w:val="28"/>
              </w:rPr>
              <w:br/>
              <w:t>CAPACITY BUILDING INITIATIVES</w:t>
            </w:r>
            <w:r>
              <w:rPr>
                <w:b w:val="0"/>
                <w:bCs/>
                <w:sz w:val="28"/>
                <w:szCs w:val="28"/>
              </w:rPr>
              <w:t xml:space="preserve"> (GCBI)</w:t>
            </w:r>
            <w:r w:rsidRPr="00D9046C">
              <w:rPr>
                <w:b w:val="0"/>
                <w:bCs/>
                <w:sz w:val="28"/>
                <w:szCs w:val="28"/>
              </w:rPr>
              <w:t xml:space="preserve"> TO TDAG</w:t>
            </w:r>
          </w:p>
        </w:tc>
      </w:tr>
    </w:tbl>
    <w:p w:rsidR="00AC6F14" w:rsidRDefault="00AC6F14" w:rsidP="00935FF0"/>
    <w:p w:rsidR="00E109BB" w:rsidRPr="00D9621A" w:rsidRDefault="00E109BB" w:rsidP="00E109BB">
      <w:pPr>
        <w:pBdr>
          <w:top w:val="single" w:sz="4" w:space="1" w:color="000000"/>
          <w:left w:val="single" w:sz="4" w:space="4" w:color="000000"/>
          <w:bottom w:val="single" w:sz="4" w:space="1" w:color="000000"/>
          <w:right w:val="single" w:sz="4" w:space="4" w:color="000000"/>
        </w:pBdr>
        <w:spacing w:before="240"/>
        <w:rPr>
          <w:b/>
          <w:bCs/>
          <w:szCs w:val="24"/>
        </w:rPr>
      </w:pPr>
      <w:r w:rsidRPr="00D9621A">
        <w:rPr>
          <w:b/>
          <w:bCs/>
          <w:szCs w:val="24"/>
        </w:rPr>
        <w:t>Summary:</w:t>
      </w:r>
    </w:p>
    <w:p w:rsidR="00E109BB" w:rsidRPr="00D9621A" w:rsidRDefault="00E109BB" w:rsidP="00E109BB">
      <w:pPr>
        <w:pBdr>
          <w:top w:val="single" w:sz="4" w:space="1" w:color="000000"/>
          <w:left w:val="single" w:sz="4" w:space="4" w:color="000000"/>
          <w:bottom w:val="single" w:sz="4" w:space="1" w:color="000000"/>
          <w:right w:val="single" w:sz="4" w:space="4" w:color="000000"/>
        </w:pBdr>
        <w:rPr>
          <w:szCs w:val="24"/>
        </w:rPr>
      </w:pPr>
      <w:r w:rsidRPr="00EB6ADC">
        <w:rPr>
          <w:szCs w:val="24"/>
        </w:rPr>
        <w:t>This document covers the work undertaken by the Group on Capacity Building Initiatives (GCBI) in providing guidance and support to ITU capacity building activities. The group was established pursuant to Resolution 40 which was adopted by the World Telecommunication Development Conference 2010 (WTDC-10), and revised at WTDC-2014, to advise the Director of the Telecommunication Development Bureau (BDT) on matters related to capacity building</w:t>
      </w:r>
      <w:r>
        <w:rPr>
          <w:szCs w:val="24"/>
        </w:rPr>
        <w:t>.</w:t>
      </w:r>
    </w:p>
    <w:p w:rsidR="00E109BB" w:rsidRPr="00D9621A" w:rsidRDefault="00E109BB" w:rsidP="00E109BB">
      <w:pPr>
        <w:pBdr>
          <w:top w:val="single" w:sz="4" w:space="1" w:color="000000"/>
          <w:left w:val="single" w:sz="4" w:space="4" w:color="000000"/>
          <w:bottom w:val="single" w:sz="4" w:space="1" w:color="000000"/>
          <w:right w:val="single" w:sz="4" w:space="4" w:color="000000"/>
        </w:pBdr>
        <w:rPr>
          <w:b/>
          <w:bCs/>
          <w:szCs w:val="24"/>
        </w:rPr>
      </w:pPr>
      <w:r w:rsidRPr="005E090D">
        <w:rPr>
          <w:b/>
          <w:bCs/>
        </w:rPr>
        <w:t>Action required:</w:t>
      </w:r>
    </w:p>
    <w:p w:rsidR="00E109BB" w:rsidRPr="00D9621A" w:rsidRDefault="00E109BB" w:rsidP="00E109BB">
      <w:pPr>
        <w:pBdr>
          <w:top w:val="single" w:sz="4" w:space="1" w:color="000000"/>
          <w:left w:val="single" w:sz="4" w:space="4" w:color="000000"/>
          <w:bottom w:val="single" w:sz="4" w:space="1" w:color="000000"/>
          <w:right w:val="single" w:sz="4" w:space="4" w:color="000000"/>
        </w:pBdr>
        <w:rPr>
          <w:szCs w:val="24"/>
        </w:rPr>
      </w:pPr>
      <w:r w:rsidRPr="00437F42">
        <w:rPr>
          <w:szCs w:val="24"/>
        </w:rPr>
        <w:t xml:space="preserve">TDAG is invited to note </w:t>
      </w:r>
      <w:r>
        <w:rPr>
          <w:szCs w:val="24"/>
        </w:rPr>
        <w:t>this report</w:t>
      </w:r>
      <w:r w:rsidRPr="00437F42">
        <w:rPr>
          <w:szCs w:val="24"/>
        </w:rPr>
        <w:t xml:space="preserve"> and provide guidance as deemed appropriate</w:t>
      </w:r>
      <w:r>
        <w:rPr>
          <w:szCs w:val="24"/>
        </w:rPr>
        <w:t>.</w:t>
      </w:r>
    </w:p>
    <w:p w:rsidR="00E109BB" w:rsidRPr="00D9621A" w:rsidRDefault="00E109BB" w:rsidP="00E109BB">
      <w:pPr>
        <w:pBdr>
          <w:top w:val="single" w:sz="4" w:space="1" w:color="000000"/>
          <w:left w:val="single" w:sz="4" w:space="4" w:color="000000"/>
          <w:bottom w:val="single" w:sz="4" w:space="1" w:color="000000"/>
          <w:right w:val="single" w:sz="4" w:space="4" w:color="000000"/>
        </w:pBdr>
        <w:rPr>
          <w:b/>
          <w:bCs/>
          <w:szCs w:val="24"/>
        </w:rPr>
      </w:pPr>
      <w:r w:rsidRPr="00D9621A">
        <w:rPr>
          <w:b/>
          <w:bCs/>
          <w:szCs w:val="24"/>
        </w:rPr>
        <w:t>References:</w:t>
      </w:r>
    </w:p>
    <w:p w:rsidR="00E109BB" w:rsidRDefault="00E109BB" w:rsidP="00E109BB">
      <w:pPr>
        <w:pBdr>
          <w:top w:val="single" w:sz="4" w:space="1" w:color="000000"/>
          <w:left w:val="single" w:sz="4" w:space="4" w:color="000000"/>
          <w:bottom w:val="single" w:sz="4" w:space="1" w:color="000000"/>
          <w:right w:val="single" w:sz="4" w:space="4" w:color="000000"/>
        </w:pBdr>
      </w:pPr>
      <w:r>
        <w:t>WTDC Resolution 40 (Rev. Dubai, 2014), on the Group on Capacity Building Initiatives</w:t>
      </w:r>
    </w:p>
    <w:p w:rsidR="00E109BB" w:rsidRDefault="00E109BB" w:rsidP="00E109BB">
      <w:pPr>
        <w:pBdr>
          <w:top w:val="single" w:sz="4" w:space="1" w:color="000000"/>
          <w:left w:val="single" w:sz="4" w:space="4" w:color="000000"/>
          <w:bottom w:val="single" w:sz="4" w:space="1" w:color="000000"/>
          <w:right w:val="single" w:sz="4" w:space="4" w:color="000000"/>
        </w:pBdr>
      </w:pPr>
      <w:r>
        <w:t>WTDC-14 Resolution 73 (Rev. Dubai, 2014), on ITU Centres of Excellence</w:t>
      </w:r>
    </w:p>
    <w:p w:rsidR="00E109BB" w:rsidRDefault="00E109BB" w:rsidP="00E109BB">
      <w:pPr>
        <w:pBdr>
          <w:top w:val="single" w:sz="4" w:space="1" w:color="000000"/>
          <w:left w:val="single" w:sz="4" w:space="4" w:color="000000"/>
          <w:bottom w:val="single" w:sz="4" w:space="1" w:color="000000"/>
          <w:right w:val="single" w:sz="4" w:space="4" w:color="000000"/>
        </w:pBdr>
      </w:pPr>
      <w:r>
        <w:t>PP Resolution 169 (Rev. Busan, 2014) on admission of Academia to participate in the work of the ITU</w:t>
      </w:r>
    </w:p>
    <w:p w:rsidR="00E109BB" w:rsidRDefault="00E109BB" w:rsidP="00935FF0"/>
    <w:p w:rsidR="0054383A" w:rsidRDefault="0054383A">
      <w:pPr>
        <w:tabs>
          <w:tab w:val="clear" w:pos="794"/>
          <w:tab w:val="clear" w:pos="1191"/>
          <w:tab w:val="clear" w:pos="1588"/>
          <w:tab w:val="clear" w:pos="1985"/>
        </w:tabs>
        <w:overflowPunct/>
        <w:autoSpaceDE/>
        <w:autoSpaceDN/>
        <w:adjustRightInd/>
        <w:spacing w:before="0"/>
        <w:textAlignment w:val="auto"/>
      </w:pPr>
      <w:r>
        <w:br w:type="page"/>
      </w:r>
    </w:p>
    <w:p w:rsidR="00EB6ADC" w:rsidRPr="006D5618" w:rsidRDefault="00EB6ADC" w:rsidP="0054383A">
      <w:pPr>
        <w:pStyle w:val="BDTNormal"/>
        <w:tabs>
          <w:tab w:val="left" w:pos="567"/>
        </w:tabs>
        <w:spacing w:before="240" w:after="0"/>
        <w:jc w:val="both"/>
        <w:rPr>
          <w:rFonts w:asciiTheme="minorHAnsi" w:hAnsiTheme="minorHAnsi"/>
          <w:b/>
          <w:sz w:val="24"/>
          <w:szCs w:val="24"/>
        </w:rPr>
      </w:pPr>
      <w:r>
        <w:rPr>
          <w:rFonts w:asciiTheme="minorHAnsi" w:hAnsiTheme="minorHAnsi"/>
          <w:b/>
          <w:sz w:val="24"/>
          <w:szCs w:val="24"/>
        </w:rPr>
        <w:lastRenderedPageBreak/>
        <w:t>I</w:t>
      </w:r>
      <w:r w:rsidRPr="006D5618">
        <w:rPr>
          <w:rFonts w:asciiTheme="minorHAnsi" w:hAnsiTheme="minorHAnsi"/>
          <w:b/>
          <w:sz w:val="24"/>
          <w:szCs w:val="24"/>
        </w:rPr>
        <w:t>ntroduction</w:t>
      </w:r>
    </w:p>
    <w:p w:rsidR="00EB6ADC" w:rsidRDefault="00EB6ADC" w:rsidP="0054383A">
      <w:pPr>
        <w:pStyle w:val="BDTNormal"/>
        <w:spacing w:after="0"/>
        <w:rPr>
          <w:rFonts w:asciiTheme="minorHAnsi" w:hAnsiTheme="minorHAnsi"/>
          <w:sz w:val="24"/>
          <w:szCs w:val="24"/>
        </w:rPr>
      </w:pPr>
      <w:r w:rsidRPr="00946C70">
        <w:rPr>
          <w:rFonts w:asciiTheme="minorHAnsi" w:hAnsiTheme="minorHAnsi"/>
          <w:sz w:val="24"/>
          <w:szCs w:val="24"/>
        </w:rPr>
        <w:t xml:space="preserve">The Group on Capacity Building </w:t>
      </w:r>
      <w:r>
        <w:rPr>
          <w:rFonts w:asciiTheme="minorHAnsi" w:hAnsiTheme="minorHAnsi"/>
          <w:sz w:val="24"/>
          <w:szCs w:val="24"/>
        </w:rPr>
        <w:t xml:space="preserve">(GCBI) </w:t>
      </w:r>
      <w:r w:rsidRPr="00946C70">
        <w:rPr>
          <w:rFonts w:asciiTheme="minorHAnsi" w:hAnsiTheme="minorHAnsi"/>
          <w:sz w:val="24"/>
          <w:szCs w:val="24"/>
        </w:rPr>
        <w:t xml:space="preserve">Initiatives held its </w:t>
      </w:r>
      <w:r>
        <w:rPr>
          <w:rFonts w:asciiTheme="minorHAnsi" w:hAnsiTheme="minorHAnsi"/>
          <w:sz w:val="24"/>
          <w:szCs w:val="24"/>
        </w:rPr>
        <w:t>5</w:t>
      </w:r>
      <w:r w:rsidRPr="00946C70">
        <w:rPr>
          <w:rFonts w:asciiTheme="minorHAnsi" w:hAnsiTheme="minorHAnsi"/>
          <w:sz w:val="24"/>
          <w:szCs w:val="24"/>
          <w:vertAlign w:val="superscript"/>
        </w:rPr>
        <w:t>th</w:t>
      </w:r>
      <w:r w:rsidRPr="00946C70">
        <w:rPr>
          <w:rFonts w:asciiTheme="minorHAnsi" w:hAnsiTheme="minorHAnsi"/>
          <w:sz w:val="24"/>
          <w:szCs w:val="24"/>
        </w:rPr>
        <w:t xml:space="preserve"> meeting on </w:t>
      </w:r>
      <w:r>
        <w:rPr>
          <w:rFonts w:asciiTheme="minorHAnsi" w:hAnsiTheme="minorHAnsi"/>
          <w:sz w:val="24"/>
          <w:szCs w:val="24"/>
        </w:rPr>
        <w:t xml:space="preserve">8-9 February </w:t>
      </w:r>
      <w:r w:rsidRPr="00946C70">
        <w:rPr>
          <w:rFonts w:asciiTheme="minorHAnsi" w:hAnsiTheme="minorHAnsi"/>
          <w:sz w:val="24"/>
          <w:szCs w:val="24"/>
        </w:rPr>
        <w:t>201</w:t>
      </w:r>
      <w:r>
        <w:rPr>
          <w:rFonts w:asciiTheme="minorHAnsi" w:hAnsiTheme="minorHAnsi"/>
          <w:sz w:val="24"/>
          <w:szCs w:val="24"/>
        </w:rPr>
        <w:t xml:space="preserve">7, at ITU headquarters in Geneva, Switzerland. </w:t>
      </w:r>
      <w:r w:rsidRPr="00946C70">
        <w:rPr>
          <w:rFonts w:asciiTheme="minorHAnsi" w:hAnsiTheme="minorHAnsi"/>
          <w:bCs/>
          <w:sz w:val="24"/>
          <w:szCs w:val="24"/>
        </w:rPr>
        <w:t>Members of GCBI representing all regions were present except two members, one representative from the Asia Pacific region</w:t>
      </w:r>
      <w:r>
        <w:rPr>
          <w:rFonts w:asciiTheme="minorHAnsi" w:hAnsiTheme="minorHAnsi"/>
          <w:bCs/>
          <w:sz w:val="24"/>
          <w:szCs w:val="24"/>
        </w:rPr>
        <w:t xml:space="preserve"> and one from Europe</w:t>
      </w:r>
      <w:r w:rsidRPr="00946C70">
        <w:rPr>
          <w:rFonts w:asciiTheme="minorHAnsi" w:hAnsiTheme="minorHAnsi"/>
          <w:bCs/>
          <w:sz w:val="24"/>
          <w:szCs w:val="24"/>
        </w:rPr>
        <w:t>, who were unable to attend.</w:t>
      </w:r>
    </w:p>
    <w:p w:rsidR="000D77DB" w:rsidRDefault="00D65301" w:rsidP="0054383A">
      <w:pPr>
        <w:pStyle w:val="BDTNormal"/>
        <w:spacing w:after="0"/>
        <w:rPr>
          <w:rFonts w:asciiTheme="minorHAnsi" w:hAnsiTheme="minorHAnsi"/>
          <w:sz w:val="24"/>
          <w:szCs w:val="24"/>
        </w:rPr>
      </w:pPr>
      <w:r>
        <w:rPr>
          <w:rFonts w:asciiTheme="minorHAnsi" w:hAnsiTheme="minorHAnsi"/>
          <w:sz w:val="24"/>
          <w:szCs w:val="24"/>
        </w:rPr>
        <w:t>During the 5</w:t>
      </w:r>
      <w:r w:rsidRPr="00EF3F1E">
        <w:rPr>
          <w:rFonts w:asciiTheme="minorHAnsi" w:hAnsiTheme="minorHAnsi"/>
          <w:sz w:val="24"/>
          <w:szCs w:val="24"/>
          <w:vertAlign w:val="superscript"/>
        </w:rPr>
        <w:t>th</w:t>
      </w:r>
      <w:r>
        <w:rPr>
          <w:rFonts w:asciiTheme="minorHAnsi" w:hAnsiTheme="minorHAnsi"/>
          <w:sz w:val="24"/>
          <w:szCs w:val="24"/>
        </w:rPr>
        <w:t xml:space="preserve"> GCBI meeting, the group discussed recent activities carried out by ITU/BDT in the area of capacity building and provided advice on the way forward.</w:t>
      </w:r>
    </w:p>
    <w:p w:rsidR="000D77DB" w:rsidRPr="00EF3F1E" w:rsidRDefault="000D77DB" w:rsidP="0054383A">
      <w:pPr>
        <w:pStyle w:val="BDTNormal"/>
        <w:spacing w:after="0"/>
        <w:rPr>
          <w:rFonts w:asciiTheme="minorHAnsi" w:hAnsiTheme="minorHAnsi"/>
          <w:b/>
          <w:bCs/>
          <w:sz w:val="24"/>
          <w:szCs w:val="24"/>
        </w:rPr>
      </w:pPr>
      <w:r w:rsidRPr="00EF3F1E">
        <w:rPr>
          <w:rFonts w:asciiTheme="minorHAnsi" w:hAnsiTheme="minorHAnsi"/>
          <w:b/>
          <w:bCs/>
          <w:sz w:val="24"/>
          <w:szCs w:val="24"/>
        </w:rPr>
        <w:t>CBS - 2016</w:t>
      </w:r>
    </w:p>
    <w:p w:rsidR="00EB6ADC" w:rsidRDefault="00EB6ADC" w:rsidP="0054383A">
      <w:pPr>
        <w:pStyle w:val="BDTNormal"/>
        <w:spacing w:after="0"/>
        <w:rPr>
          <w:rFonts w:asciiTheme="minorHAnsi" w:hAnsiTheme="minorHAnsi"/>
          <w:sz w:val="24"/>
          <w:szCs w:val="24"/>
        </w:rPr>
      </w:pPr>
      <w:r w:rsidRPr="00074601">
        <w:rPr>
          <w:rFonts w:asciiTheme="minorHAnsi" w:hAnsiTheme="minorHAnsi"/>
          <w:sz w:val="24"/>
          <w:szCs w:val="24"/>
        </w:rPr>
        <w:t xml:space="preserve">The </w:t>
      </w:r>
      <w:r>
        <w:rPr>
          <w:rFonts w:asciiTheme="minorHAnsi" w:hAnsiTheme="minorHAnsi"/>
          <w:sz w:val="24"/>
          <w:szCs w:val="24"/>
        </w:rPr>
        <w:t xml:space="preserve">Group considered the </w:t>
      </w:r>
      <w:r w:rsidRPr="00074601">
        <w:rPr>
          <w:rFonts w:asciiTheme="minorHAnsi" w:hAnsiTheme="minorHAnsi"/>
          <w:sz w:val="24"/>
          <w:szCs w:val="24"/>
        </w:rPr>
        <w:t xml:space="preserve">Global ICT Capacity Building Symposium </w:t>
      </w:r>
      <w:r>
        <w:rPr>
          <w:rFonts w:asciiTheme="minorHAnsi" w:hAnsiTheme="minorHAnsi"/>
          <w:sz w:val="24"/>
          <w:szCs w:val="24"/>
        </w:rPr>
        <w:t xml:space="preserve">(CBS) </w:t>
      </w:r>
      <w:r w:rsidRPr="00074601">
        <w:rPr>
          <w:rFonts w:asciiTheme="minorHAnsi" w:hAnsiTheme="minorHAnsi"/>
          <w:sz w:val="24"/>
          <w:szCs w:val="24"/>
        </w:rPr>
        <w:t>held in Nairobi in September 2016, at which both the Chairman and Vice Chair were in attendance, a resounding success. The Symposium attracted a number of young participants, and featured an interactive session with young innovators, reflecting the appeal of the digital economy to the younger generation. ITU was commended for convening such a successful event.</w:t>
      </w:r>
    </w:p>
    <w:p w:rsidR="00D65301" w:rsidRPr="00EF3F1E" w:rsidRDefault="00D65301" w:rsidP="00EB6ADC">
      <w:pPr>
        <w:pStyle w:val="BDTNormal"/>
        <w:spacing w:after="0"/>
        <w:rPr>
          <w:rFonts w:asciiTheme="minorHAnsi" w:hAnsiTheme="minorHAnsi"/>
          <w:b/>
          <w:bCs/>
          <w:sz w:val="24"/>
          <w:szCs w:val="24"/>
        </w:rPr>
      </w:pPr>
      <w:r>
        <w:rPr>
          <w:rFonts w:asciiTheme="minorHAnsi" w:hAnsiTheme="minorHAnsi"/>
          <w:b/>
          <w:bCs/>
          <w:sz w:val="24"/>
          <w:szCs w:val="24"/>
        </w:rPr>
        <w:t>New areas in</w:t>
      </w:r>
      <w:r w:rsidRPr="00EF3F1E">
        <w:rPr>
          <w:rFonts w:asciiTheme="minorHAnsi" w:hAnsiTheme="minorHAnsi"/>
          <w:b/>
          <w:bCs/>
          <w:sz w:val="24"/>
          <w:szCs w:val="24"/>
        </w:rPr>
        <w:t xml:space="preserve"> capacity building </w:t>
      </w:r>
    </w:p>
    <w:p w:rsidR="00EB6ADC" w:rsidRDefault="00EB6ADC" w:rsidP="00EB6ADC">
      <w:pPr>
        <w:pStyle w:val="BDTNormal"/>
        <w:spacing w:after="0"/>
        <w:rPr>
          <w:rFonts w:asciiTheme="minorHAnsi" w:hAnsiTheme="minorHAnsi"/>
          <w:sz w:val="24"/>
          <w:szCs w:val="24"/>
        </w:rPr>
      </w:pPr>
      <w:r w:rsidRPr="00074601">
        <w:rPr>
          <w:rFonts w:asciiTheme="minorHAnsi" w:hAnsiTheme="minorHAnsi"/>
          <w:sz w:val="24"/>
          <w:szCs w:val="24"/>
        </w:rPr>
        <w:t>Participants highlighted that over the years the industry dynamics in the ICT sector have changed, and new stakeholders other than the traditional telecom players have come in. Capacity building efforts need to be aligned to the new requirements.  For example, in rural areas, community networks have emerged as new players in the provision of ICT solutions within their communities, and they need to be recognized as such.</w:t>
      </w:r>
    </w:p>
    <w:p w:rsidR="00EB6ADC" w:rsidRPr="00074601" w:rsidRDefault="00EB6ADC" w:rsidP="00EB6ADC">
      <w:pPr>
        <w:pStyle w:val="BDTNormal"/>
        <w:rPr>
          <w:rFonts w:asciiTheme="minorHAnsi" w:hAnsiTheme="minorHAnsi"/>
          <w:sz w:val="24"/>
          <w:szCs w:val="24"/>
        </w:rPr>
      </w:pPr>
      <w:r w:rsidRPr="00074601">
        <w:rPr>
          <w:rFonts w:asciiTheme="minorHAnsi" w:hAnsiTheme="minorHAnsi"/>
          <w:sz w:val="24"/>
          <w:szCs w:val="24"/>
        </w:rPr>
        <w:t>Capacity building efforts should also be directed into areas such as development of young entrepreneurs, building the capacity of women and youth in the adoption and use of digital tools, and promoting ICTs for SMEs. It was highlighted that the priority was no longer on establishing networks, but rather on promoting widespread use of the many ICT services that are provided on these networks.</w:t>
      </w:r>
    </w:p>
    <w:p w:rsidR="00EB6ADC" w:rsidRDefault="00EB6ADC" w:rsidP="00EB6ADC">
      <w:pPr>
        <w:pStyle w:val="BDTNormal"/>
        <w:spacing w:after="0"/>
        <w:rPr>
          <w:rFonts w:asciiTheme="minorHAnsi" w:hAnsiTheme="minorHAnsi"/>
          <w:sz w:val="24"/>
          <w:szCs w:val="24"/>
        </w:rPr>
      </w:pPr>
      <w:r w:rsidRPr="00074601">
        <w:rPr>
          <w:rFonts w:asciiTheme="minorHAnsi" w:hAnsiTheme="minorHAnsi"/>
          <w:sz w:val="24"/>
          <w:szCs w:val="24"/>
        </w:rPr>
        <w:t>In this regard, GCBI needs to be engaged in other capacity building areas outside the Centres of Excellence</w:t>
      </w:r>
      <w:r>
        <w:rPr>
          <w:rFonts w:asciiTheme="minorHAnsi" w:hAnsiTheme="minorHAnsi"/>
          <w:sz w:val="24"/>
          <w:szCs w:val="24"/>
        </w:rPr>
        <w:t xml:space="preserve"> (CoE)</w:t>
      </w:r>
      <w:r w:rsidRPr="00074601">
        <w:rPr>
          <w:rFonts w:asciiTheme="minorHAnsi" w:hAnsiTheme="minorHAnsi"/>
          <w:sz w:val="24"/>
          <w:szCs w:val="24"/>
        </w:rPr>
        <w:t xml:space="preserve">, taking into account the broader capacity building stakeholder community, and the broader mandate of Resolution 40.  </w:t>
      </w:r>
    </w:p>
    <w:p w:rsidR="00EB6ADC" w:rsidRDefault="00EB6ADC" w:rsidP="00EB6ADC">
      <w:pPr>
        <w:pStyle w:val="BDTNormal"/>
        <w:spacing w:after="0"/>
        <w:rPr>
          <w:rFonts w:asciiTheme="minorHAnsi" w:hAnsiTheme="minorHAnsi"/>
          <w:sz w:val="24"/>
          <w:szCs w:val="24"/>
        </w:rPr>
      </w:pPr>
      <w:r w:rsidRPr="00074601">
        <w:rPr>
          <w:rFonts w:asciiTheme="minorHAnsi" w:hAnsiTheme="minorHAnsi"/>
          <w:sz w:val="24"/>
          <w:szCs w:val="24"/>
        </w:rPr>
        <w:t>There was an overall agreement that training should be demand-driven. This requires that training needs analyses be undertaken to ensure that the training provided is relevant. ITU is called upon to provide support in u</w:t>
      </w:r>
      <w:r>
        <w:rPr>
          <w:rFonts w:asciiTheme="minorHAnsi" w:hAnsiTheme="minorHAnsi"/>
          <w:sz w:val="24"/>
          <w:szCs w:val="24"/>
        </w:rPr>
        <w:t>ndertaking these needs analyses.</w:t>
      </w:r>
    </w:p>
    <w:p w:rsidR="00D65301" w:rsidRPr="00EF3F1E" w:rsidRDefault="00D65301" w:rsidP="00E109BB">
      <w:pPr>
        <w:pStyle w:val="BDTNormal"/>
        <w:rPr>
          <w:rFonts w:asciiTheme="minorHAnsi" w:hAnsiTheme="minorHAnsi"/>
          <w:b/>
          <w:bCs/>
          <w:sz w:val="24"/>
          <w:szCs w:val="24"/>
        </w:rPr>
      </w:pPr>
      <w:r w:rsidRPr="00EF3F1E">
        <w:rPr>
          <w:rFonts w:asciiTheme="minorHAnsi" w:hAnsiTheme="minorHAnsi"/>
          <w:b/>
          <w:bCs/>
          <w:sz w:val="24"/>
          <w:szCs w:val="24"/>
        </w:rPr>
        <w:t>Cent</w:t>
      </w:r>
      <w:r w:rsidR="00E109BB">
        <w:rPr>
          <w:rFonts w:asciiTheme="minorHAnsi" w:hAnsiTheme="minorHAnsi"/>
          <w:b/>
          <w:bCs/>
          <w:sz w:val="24"/>
          <w:szCs w:val="24"/>
        </w:rPr>
        <w:t>res</w:t>
      </w:r>
      <w:r w:rsidRPr="00EF3F1E">
        <w:rPr>
          <w:rFonts w:asciiTheme="minorHAnsi" w:hAnsiTheme="minorHAnsi"/>
          <w:b/>
          <w:bCs/>
          <w:sz w:val="24"/>
          <w:szCs w:val="24"/>
        </w:rPr>
        <w:t xml:space="preserve"> of Excellence</w:t>
      </w:r>
    </w:p>
    <w:p w:rsidR="00EB6ADC" w:rsidRDefault="00EB6ADC" w:rsidP="00EB6ADC">
      <w:pPr>
        <w:pStyle w:val="BDTNormal"/>
        <w:rPr>
          <w:rFonts w:asciiTheme="minorHAnsi" w:hAnsiTheme="minorHAnsi"/>
          <w:sz w:val="24"/>
          <w:szCs w:val="24"/>
        </w:rPr>
      </w:pPr>
      <w:r w:rsidRPr="00074601">
        <w:rPr>
          <w:rFonts w:asciiTheme="minorHAnsi" w:hAnsiTheme="minorHAnsi"/>
          <w:sz w:val="24"/>
          <w:szCs w:val="24"/>
        </w:rPr>
        <w:t>The group took note of the need to prepare the groundwork for the selection of the new CoE</w:t>
      </w:r>
      <w:r>
        <w:rPr>
          <w:rFonts w:asciiTheme="minorHAnsi" w:hAnsiTheme="minorHAnsi"/>
          <w:sz w:val="24"/>
          <w:szCs w:val="24"/>
        </w:rPr>
        <w:t>s</w:t>
      </w:r>
      <w:r w:rsidRPr="00074601">
        <w:rPr>
          <w:rFonts w:asciiTheme="minorHAnsi" w:hAnsiTheme="minorHAnsi"/>
          <w:sz w:val="24"/>
          <w:szCs w:val="24"/>
        </w:rPr>
        <w:t xml:space="preserve"> for the next cycle, and agreed to provide advice and support to BDT in the evaluation and selection process.</w:t>
      </w:r>
    </w:p>
    <w:p w:rsidR="00EB6ADC" w:rsidRDefault="00EB6ADC" w:rsidP="00EB6ADC">
      <w:pPr>
        <w:pStyle w:val="BDTNormal"/>
        <w:rPr>
          <w:rFonts w:asciiTheme="minorHAnsi" w:hAnsiTheme="minorHAnsi"/>
          <w:sz w:val="24"/>
          <w:szCs w:val="24"/>
        </w:rPr>
      </w:pPr>
      <w:r w:rsidRPr="00726E95">
        <w:rPr>
          <w:rFonts w:asciiTheme="minorHAnsi" w:hAnsiTheme="minorHAnsi"/>
          <w:sz w:val="24"/>
          <w:szCs w:val="24"/>
        </w:rPr>
        <w:t xml:space="preserve">The meeting agreed that CoEs alone are not sufficient for delivering capacity building in the field of ICT and that it was important </w:t>
      </w:r>
      <w:r w:rsidRPr="00726E95">
        <w:rPr>
          <w:rFonts w:asciiTheme="minorHAnsi" w:hAnsiTheme="minorHAnsi"/>
          <w:sz w:val="24"/>
          <w:szCs w:val="24"/>
        </w:rPr>
        <w:lastRenderedPageBreak/>
        <w:t>to consider other partners as well. While CoEs are specifically targeted at professional and executive training, other areas and target groups not covered by CoEs need to be considered.</w:t>
      </w:r>
    </w:p>
    <w:p w:rsidR="00D65301" w:rsidRPr="00EF3F1E" w:rsidRDefault="00D65301" w:rsidP="00EB6ADC">
      <w:pPr>
        <w:pStyle w:val="BDTNormal"/>
        <w:rPr>
          <w:rFonts w:asciiTheme="minorHAnsi" w:hAnsiTheme="minorHAnsi"/>
          <w:b/>
          <w:bCs/>
          <w:sz w:val="24"/>
          <w:szCs w:val="24"/>
        </w:rPr>
      </w:pPr>
      <w:r w:rsidRPr="00EF3F1E">
        <w:rPr>
          <w:rFonts w:asciiTheme="minorHAnsi" w:hAnsiTheme="minorHAnsi"/>
          <w:b/>
          <w:bCs/>
          <w:sz w:val="24"/>
          <w:szCs w:val="24"/>
        </w:rPr>
        <w:t>Partnerships in capacity building</w:t>
      </w:r>
    </w:p>
    <w:p w:rsidR="00EB6ADC" w:rsidRDefault="00EB6ADC" w:rsidP="00EB6ADC">
      <w:pPr>
        <w:pStyle w:val="BDTNormal"/>
        <w:rPr>
          <w:rFonts w:asciiTheme="minorHAnsi" w:hAnsiTheme="minorHAnsi"/>
          <w:sz w:val="24"/>
          <w:szCs w:val="24"/>
        </w:rPr>
      </w:pPr>
      <w:r w:rsidRPr="00726E95">
        <w:rPr>
          <w:rFonts w:asciiTheme="minorHAnsi" w:hAnsiTheme="minorHAnsi"/>
          <w:sz w:val="24"/>
          <w:szCs w:val="24"/>
        </w:rPr>
        <w:t xml:space="preserve">Participants recognized that the scope for partnerships in capacity building was wide.  There was a need to approach, engage and work with different partners in the planning and delivery of capacity building activities, as well as in resource mobilization. Partners could be from the public and private sector, development community, academic institutions and others. </w:t>
      </w:r>
      <w:r w:rsidRPr="00074601">
        <w:rPr>
          <w:rFonts w:asciiTheme="minorHAnsi" w:hAnsiTheme="minorHAnsi"/>
          <w:sz w:val="24"/>
          <w:szCs w:val="24"/>
        </w:rPr>
        <w:t>The engagement of academia was especially highlighted.</w:t>
      </w:r>
    </w:p>
    <w:p w:rsidR="00D65301" w:rsidRDefault="00D65301" w:rsidP="00D65301">
      <w:pPr>
        <w:pStyle w:val="BDTNormal"/>
        <w:rPr>
          <w:rFonts w:asciiTheme="minorHAnsi" w:hAnsiTheme="minorHAnsi"/>
          <w:sz w:val="24"/>
          <w:szCs w:val="24"/>
        </w:rPr>
      </w:pPr>
      <w:r>
        <w:rPr>
          <w:rFonts w:asciiTheme="minorHAnsi" w:hAnsiTheme="minorHAnsi"/>
          <w:sz w:val="24"/>
          <w:szCs w:val="24"/>
        </w:rPr>
        <w:t xml:space="preserve">In this context, the meeting welcomes the planned ITU capacity building event for academic institutions, to be held in Budapest, Hungary, in September 2017. </w:t>
      </w:r>
    </w:p>
    <w:p w:rsidR="00D65301" w:rsidRPr="008D1856" w:rsidRDefault="00D65301" w:rsidP="00D65301">
      <w:pPr>
        <w:tabs>
          <w:tab w:val="left" w:pos="884"/>
        </w:tabs>
        <w:spacing w:before="60" w:after="120"/>
        <w:jc w:val="both"/>
        <w:rPr>
          <w:rFonts w:ascii="Calibri" w:eastAsia="SimSun" w:hAnsi="Calibri" w:cs="Traditional Arabic"/>
          <w:b/>
          <w:bCs/>
        </w:rPr>
      </w:pPr>
      <w:r w:rsidRPr="008D1856">
        <w:rPr>
          <w:rFonts w:ascii="Calibri" w:eastAsia="SimSun" w:hAnsi="Calibri" w:cs="Traditional Arabic"/>
          <w:b/>
          <w:bCs/>
        </w:rPr>
        <w:t>Capacity building publication</w:t>
      </w:r>
    </w:p>
    <w:p w:rsidR="00D65301" w:rsidRPr="00EF3F1E" w:rsidRDefault="00D65301" w:rsidP="00EF3F1E">
      <w:pPr>
        <w:tabs>
          <w:tab w:val="left" w:pos="884"/>
        </w:tabs>
        <w:spacing w:before="60" w:after="120"/>
        <w:jc w:val="both"/>
        <w:rPr>
          <w:rFonts w:ascii="Calibri" w:eastAsia="SimSun" w:hAnsi="Calibri" w:cs="Traditional Arabic"/>
        </w:rPr>
      </w:pPr>
      <w:r w:rsidRPr="00EF3F1E">
        <w:rPr>
          <w:rFonts w:ascii="Calibri" w:eastAsia="SimSun" w:hAnsi="Calibri" w:cs="Traditional Arabic"/>
        </w:rPr>
        <w:t>The publication that had been discussed in Lisbon during the last GCBI meeting, will be the first of a new series of publications on “</w:t>
      </w:r>
      <w:r w:rsidRPr="00EF3F1E">
        <w:rPr>
          <w:rFonts w:ascii="Calibri" w:eastAsia="SimSun" w:hAnsi="Calibri" w:cs="Arial"/>
        </w:rPr>
        <w:t>Capacity Building in a Changing ICT Environment.”</w:t>
      </w:r>
      <w:r w:rsidRPr="00EF3F1E">
        <w:rPr>
          <w:rFonts w:ascii="Calibri" w:eastAsia="SimSun" w:hAnsi="Calibri" w:cs="Arial"/>
          <w:b/>
          <w:bCs/>
        </w:rPr>
        <w:t xml:space="preserve">  </w:t>
      </w:r>
      <w:r w:rsidRPr="00EF3F1E">
        <w:rPr>
          <w:rFonts w:ascii="Calibri" w:eastAsia="SimSun" w:hAnsi="Calibri" w:cs="Traditional Arabic"/>
        </w:rPr>
        <w:t xml:space="preserve">The first edition of the publication has been finalized and will be released </w:t>
      </w:r>
      <w:r>
        <w:rPr>
          <w:rFonts w:ascii="Calibri" w:eastAsia="SimSun" w:hAnsi="Calibri" w:cs="Traditional Arabic"/>
        </w:rPr>
        <w:t>in March 2017</w:t>
      </w:r>
      <w:r w:rsidRPr="00EF3F1E">
        <w:rPr>
          <w:rFonts w:ascii="Calibri" w:eastAsia="SimSun" w:hAnsi="Calibri" w:cs="Traditional Arabic"/>
        </w:rPr>
        <w:t>. Subsequent editions of the publication will feature contributions made by researchers and academics.</w:t>
      </w:r>
    </w:p>
    <w:p w:rsidR="000D77DB" w:rsidRPr="00EF3F1E" w:rsidRDefault="000D77DB" w:rsidP="00EB6ADC">
      <w:pPr>
        <w:pStyle w:val="BDTNormal"/>
        <w:rPr>
          <w:rFonts w:asciiTheme="minorHAnsi" w:hAnsiTheme="minorHAnsi"/>
          <w:b/>
          <w:bCs/>
          <w:sz w:val="24"/>
          <w:szCs w:val="24"/>
        </w:rPr>
      </w:pPr>
      <w:r w:rsidRPr="00EF3F1E">
        <w:rPr>
          <w:rFonts w:asciiTheme="minorHAnsi" w:hAnsiTheme="minorHAnsi"/>
          <w:b/>
          <w:bCs/>
          <w:sz w:val="24"/>
          <w:szCs w:val="24"/>
        </w:rPr>
        <w:t>Terms of Reference of GCBI</w:t>
      </w:r>
    </w:p>
    <w:p w:rsidR="00EB6ADC" w:rsidRPr="00074601" w:rsidRDefault="00EB6ADC" w:rsidP="00EB6ADC">
      <w:pPr>
        <w:pStyle w:val="BDTNormal"/>
        <w:rPr>
          <w:rFonts w:asciiTheme="minorHAnsi" w:hAnsiTheme="minorHAnsi"/>
          <w:sz w:val="24"/>
          <w:szCs w:val="24"/>
        </w:rPr>
      </w:pPr>
      <w:r w:rsidRPr="00726E95">
        <w:rPr>
          <w:rFonts w:asciiTheme="minorHAnsi" w:hAnsiTheme="minorHAnsi"/>
          <w:sz w:val="24"/>
          <w:szCs w:val="24"/>
        </w:rPr>
        <w:t xml:space="preserve">The group discussed </w:t>
      </w:r>
      <w:r>
        <w:rPr>
          <w:rFonts w:asciiTheme="minorHAnsi" w:hAnsiTheme="minorHAnsi"/>
          <w:sz w:val="24"/>
          <w:szCs w:val="24"/>
        </w:rPr>
        <w:t xml:space="preserve">the terms of reference for GCBI, which </w:t>
      </w:r>
      <w:r w:rsidRPr="00726E95">
        <w:rPr>
          <w:rFonts w:asciiTheme="minorHAnsi" w:hAnsiTheme="minorHAnsi"/>
          <w:sz w:val="24"/>
          <w:szCs w:val="24"/>
        </w:rPr>
        <w:t>specify how members of GCBI are selected, their tenure of office, and how they conduct their business, among others. There was overall agreement to the draft terms of reference and they were adopted.</w:t>
      </w:r>
    </w:p>
    <w:p w:rsidR="00EB6ADC" w:rsidRDefault="00EB6ADC" w:rsidP="00E109BB">
      <w:pPr>
        <w:pStyle w:val="BDTNormal"/>
        <w:spacing w:before="240" w:after="0"/>
        <w:rPr>
          <w:rFonts w:asciiTheme="minorHAnsi" w:hAnsiTheme="minorHAnsi"/>
          <w:sz w:val="24"/>
          <w:szCs w:val="24"/>
        </w:rPr>
      </w:pPr>
      <w:r w:rsidRPr="00FE785C">
        <w:rPr>
          <w:rFonts w:asciiTheme="minorHAnsi" w:hAnsiTheme="minorHAnsi"/>
          <w:sz w:val="24"/>
          <w:szCs w:val="24"/>
        </w:rPr>
        <w:t>The final report of this meeting</w:t>
      </w:r>
      <w:r>
        <w:rPr>
          <w:rFonts w:asciiTheme="minorHAnsi" w:hAnsiTheme="minorHAnsi"/>
          <w:sz w:val="24"/>
          <w:szCs w:val="24"/>
        </w:rPr>
        <w:t xml:space="preserve"> is available on the ITU Academy website at: </w:t>
      </w:r>
      <w:hyperlink r:id="rId10" w:history="1">
        <w:r w:rsidRPr="00077BAD">
          <w:rPr>
            <w:rStyle w:val="Hyperlink"/>
            <w:rFonts w:asciiTheme="minorHAnsi" w:hAnsiTheme="minorHAnsi"/>
            <w:sz w:val="24"/>
            <w:szCs w:val="24"/>
          </w:rPr>
          <w:t>https://academy.itu.int/index.php?option=com_content&amp;view=article&amp;id=176&amp;lang=en</w:t>
        </w:r>
      </w:hyperlink>
    </w:p>
    <w:p w:rsidR="003C58BF" w:rsidRPr="00C86600" w:rsidRDefault="003C58BF" w:rsidP="00E109BB">
      <w:pPr>
        <w:tabs>
          <w:tab w:val="clear" w:pos="794"/>
          <w:tab w:val="clear" w:pos="1191"/>
          <w:tab w:val="clear" w:pos="1588"/>
          <w:tab w:val="clear" w:pos="1985"/>
        </w:tabs>
        <w:spacing w:before="360" w:after="120"/>
        <w:jc w:val="center"/>
      </w:pPr>
      <w:r>
        <w:t>_____________</w:t>
      </w:r>
      <w:r w:rsidR="004122C5">
        <w:t>_</w:t>
      </w:r>
      <w:r w:rsidR="00922EC1">
        <w:t>_</w:t>
      </w:r>
    </w:p>
    <w:p w:rsidR="00E109BB" w:rsidRPr="00C86600" w:rsidRDefault="00E109BB">
      <w:pPr>
        <w:tabs>
          <w:tab w:val="clear" w:pos="794"/>
          <w:tab w:val="clear" w:pos="1191"/>
          <w:tab w:val="clear" w:pos="1588"/>
          <w:tab w:val="clear" w:pos="1985"/>
        </w:tabs>
        <w:spacing w:before="360" w:after="120"/>
        <w:jc w:val="center"/>
      </w:pPr>
      <w:bookmarkStart w:id="6" w:name="_GoBack"/>
      <w:bookmarkEnd w:id="6"/>
    </w:p>
    <w:sectPr w:rsidR="00E109BB" w:rsidRPr="00C86600" w:rsidSect="00DA0B53">
      <w:headerReference w:type="default" r:id="rId11"/>
      <w:footerReference w:type="first" r:id="rId12"/>
      <w:pgSz w:w="11907" w:h="16834" w:code="9"/>
      <w:pgMar w:top="1418" w:right="1275" w:bottom="851" w:left="1134" w:header="510"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79" w:rsidRDefault="00126279">
      <w:r>
        <w:separator/>
      </w:r>
    </w:p>
  </w:endnote>
  <w:endnote w:type="continuationSeparator" w:id="0">
    <w:p w:rsidR="00126279" w:rsidRDefault="0012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8802F9" w:rsidRDefault="00326E40" w:rsidP="00B80157">
    <w:pPr>
      <w:pStyle w:val="Footer"/>
      <w:jc w:val="center"/>
    </w:pPr>
    <w:hyperlink r:id="rId1" w:history="1">
      <w:r w:rsidR="00C63812" w:rsidRPr="00E5750F">
        <w:rPr>
          <w:rStyle w:val="Hyperlink"/>
          <w:caps w:val="0"/>
          <w:noProof w:val="0"/>
          <w:sz w:val="18"/>
          <w:szCs w:val="18"/>
          <w:lang w:val="en-US"/>
        </w:rPr>
        <w:t>http://www.itu.int/ITU-D/TDAG/</w:t>
      </w:r>
    </w:hyperlink>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79" w:rsidRDefault="00126279">
      <w:r>
        <w:t>____________________</w:t>
      </w:r>
    </w:p>
  </w:footnote>
  <w:footnote w:type="continuationSeparator" w:id="0">
    <w:p w:rsidR="00126279" w:rsidRDefault="0012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CC" w:rsidRPr="006D271A" w:rsidRDefault="00A525CC" w:rsidP="00E109BB">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6D271A">
      <w:rPr>
        <w:sz w:val="22"/>
        <w:szCs w:val="22"/>
        <w:lang w:val="de-CH"/>
      </w:rPr>
      <w:t>ITU-D/</w:t>
    </w:r>
    <w:r w:rsidRPr="00A54E72">
      <w:rPr>
        <w:sz w:val="22"/>
        <w:szCs w:val="22"/>
        <w:lang w:val="de-CH"/>
      </w:rPr>
      <w:t>TDAG1</w:t>
    </w:r>
    <w:r w:rsidR="00E109BB">
      <w:rPr>
        <w:sz w:val="22"/>
        <w:szCs w:val="22"/>
        <w:lang w:val="de-CH"/>
      </w:rPr>
      <w:t>7</w:t>
    </w:r>
    <w:r w:rsidRPr="00A54E72">
      <w:rPr>
        <w:sz w:val="22"/>
        <w:szCs w:val="22"/>
        <w:lang w:val="de-CH"/>
      </w:rPr>
      <w:t>-</w:t>
    </w:r>
    <w:r>
      <w:rPr>
        <w:sz w:val="22"/>
        <w:szCs w:val="22"/>
        <w:lang w:val="de-CH"/>
      </w:rPr>
      <w:t>2</w:t>
    </w:r>
    <w:r w:rsidR="00E109BB">
      <w:rPr>
        <w:sz w:val="22"/>
        <w:szCs w:val="22"/>
        <w:lang w:val="de-CH"/>
      </w:rPr>
      <w:t>2</w:t>
    </w:r>
    <w:r w:rsidRPr="00A54E72">
      <w:rPr>
        <w:sz w:val="22"/>
        <w:szCs w:val="22"/>
        <w:lang w:val="de-CH"/>
      </w:rPr>
      <w:t>/</w:t>
    </w:r>
    <w:r w:rsidR="00E109BB">
      <w:rPr>
        <w:sz w:val="22"/>
        <w:szCs w:val="22"/>
        <w:lang w:val="de-CH"/>
      </w:rPr>
      <w:t>22</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326E40">
      <w:rPr>
        <w:noProof/>
        <w:sz w:val="22"/>
        <w:szCs w:val="22"/>
        <w:lang w:val="de-CH"/>
      </w:rPr>
      <w:t>2</w:t>
    </w:r>
    <w:r w:rsidRPr="00972BCD">
      <w:rPr>
        <w:sz w:val="22"/>
        <w:szCs w:val="22"/>
      </w:rPr>
      <w:fldChar w:fldCharType="end"/>
    </w:r>
  </w:p>
  <w:p w:rsidR="00721657" w:rsidRPr="00A525CC" w:rsidRDefault="00721657" w:rsidP="00A525CC">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D58B9"/>
    <w:multiLevelType w:val="hybridMultilevel"/>
    <w:tmpl w:val="A4B0770A"/>
    <w:lvl w:ilvl="0" w:tplc="4D226DC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EE"/>
    <w:rsid w:val="00002716"/>
    <w:rsid w:val="00005791"/>
    <w:rsid w:val="00010827"/>
    <w:rsid w:val="00015089"/>
    <w:rsid w:val="0002520B"/>
    <w:rsid w:val="00037A9E"/>
    <w:rsid w:val="00037F91"/>
    <w:rsid w:val="000539F1"/>
    <w:rsid w:val="00054747"/>
    <w:rsid w:val="00055A2A"/>
    <w:rsid w:val="000615C1"/>
    <w:rsid w:val="00061675"/>
    <w:rsid w:val="000743AA"/>
    <w:rsid w:val="00077855"/>
    <w:rsid w:val="0009225C"/>
    <w:rsid w:val="000A17C4"/>
    <w:rsid w:val="000A36A4"/>
    <w:rsid w:val="000B2352"/>
    <w:rsid w:val="000C7B84"/>
    <w:rsid w:val="000D261B"/>
    <w:rsid w:val="000D58A3"/>
    <w:rsid w:val="000D77DB"/>
    <w:rsid w:val="000E3ED4"/>
    <w:rsid w:val="000E3F9C"/>
    <w:rsid w:val="000F1550"/>
    <w:rsid w:val="000F251B"/>
    <w:rsid w:val="000F5FE8"/>
    <w:rsid w:val="000F6644"/>
    <w:rsid w:val="00100833"/>
    <w:rsid w:val="00102F72"/>
    <w:rsid w:val="00107E85"/>
    <w:rsid w:val="00113EE8"/>
    <w:rsid w:val="0011455A"/>
    <w:rsid w:val="00114A65"/>
    <w:rsid w:val="00126279"/>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85B33"/>
    <w:rsid w:val="00287A3C"/>
    <w:rsid w:val="002A2FC6"/>
    <w:rsid w:val="002C1EC7"/>
    <w:rsid w:val="002C4342"/>
    <w:rsid w:val="002C7EA3"/>
    <w:rsid w:val="002D20AE"/>
    <w:rsid w:val="002D6C61"/>
    <w:rsid w:val="002E2104"/>
    <w:rsid w:val="002E2DAC"/>
    <w:rsid w:val="002E6963"/>
    <w:rsid w:val="002E6F8F"/>
    <w:rsid w:val="002F05D8"/>
    <w:rsid w:val="002F2DE0"/>
    <w:rsid w:val="002F5E25"/>
    <w:rsid w:val="003125C3"/>
    <w:rsid w:val="00312AE6"/>
    <w:rsid w:val="00317D1A"/>
    <w:rsid w:val="003211FF"/>
    <w:rsid w:val="00326E40"/>
    <w:rsid w:val="00327247"/>
    <w:rsid w:val="00327A9D"/>
    <w:rsid w:val="0033130E"/>
    <w:rsid w:val="0033269C"/>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1BFF"/>
    <w:rsid w:val="00404424"/>
    <w:rsid w:val="0041156B"/>
    <w:rsid w:val="004122C5"/>
    <w:rsid w:val="00413B78"/>
    <w:rsid w:val="00416DDE"/>
    <w:rsid w:val="0044411E"/>
    <w:rsid w:val="00453435"/>
    <w:rsid w:val="00466398"/>
    <w:rsid w:val="0047306D"/>
    <w:rsid w:val="00476E48"/>
    <w:rsid w:val="00481DE9"/>
    <w:rsid w:val="0049128B"/>
    <w:rsid w:val="00493B49"/>
    <w:rsid w:val="00495501"/>
    <w:rsid w:val="004A070A"/>
    <w:rsid w:val="004A320E"/>
    <w:rsid w:val="004A4E9C"/>
    <w:rsid w:val="004B1A3C"/>
    <w:rsid w:val="004D2CC3"/>
    <w:rsid w:val="004D35CB"/>
    <w:rsid w:val="004D6DAE"/>
    <w:rsid w:val="004E20E5"/>
    <w:rsid w:val="004E64EA"/>
    <w:rsid w:val="004E7828"/>
    <w:rsid w:val="004F46AA"/>
    <w:rsid w:val="004F6A70"/>
    <w:rsid w:val="00502ABF"/>
    <w:rsid w:val="00504DB0"/>
    <w:rsid w:val="00507C35"/>
    <w:rsid w:val="00510735"/>
    <w:rsid w:val="00514D2F"/>
    <w:rsid w:val="0054383A"/>
    <w:rsid w:val="0054420E"/>
    <w:rsid w:val="00544D1B"/>
    <w:rsid w:val="00545DC0"/>
    <w:rsid w:val="00545F6C"/>
    <w:rsid w:val="0055720C"/>
    <w:rsid w:val="005632DD"/>
    <w:rsid w:val="0056423B"/>
    <w:rsid w:val="00573424"/>
    <w:rsid w:val="0057402F"/>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30B4"/>
    <w:rsid w:val="006D40D5"/>
    <w:rsid w:val="006F009A"/>
    <w:rsid w:val="006F3D93"/>
    <w:rsid w:val="007019B1"/>
    <w:rsid w:val="00721657"/>
    <w:rsid w:val="007279A8"/>
    <w:rsid w:val="00727B1A"/>
    <w:rsid w:val="00741337"/>
    <w:rsid w:val="00752128"/>
    <w:rsid w:val="00752258"/>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C6B5D"/>
    <w:rsid w:val="007D50E4"/>
    <w:rsid w:val="008027AC"/>
    <w:rsid w:val="008028CE"/>
    <w:rsid w:val="0080332E"/>
    <w:rsid w:val="008141E0"/>
    <w:rsid w:val="00816EE1"/>
    <w:rsid w:val="00816F88"/>
    <w:rsid w:val="00822323"/>
    <w:rsid w:val="008300AD"/>
    <w:rsid w:val="00833024"/>
    <w:rsid w:val="008419B1"/>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54CB"/>
    <w:rsid w:val="008B5A3D"/>
    <w:rsid w:val="008C4010"/>
    <w:rsid w:val="008C4FDF"/>
    <w:rsid w:val="008C6B1F"/>
    <w:rsid w:val="008D5E4F"/>
    <w:rsid w:val="008F14F5"/>
    <w:rsid w:val="008F71C1"/>
    <w:rsid w:val="00902D41"/>
    <w:rsid w:val="00902F49"/>
    <w:rsid w:val="00914004"/>
    <w:rsid w:val="00922EC1"/>
    <w:rsid w:val="009301F1"/>
    <w:rsid w:val="009307DF"/>
    <w:rsid w:val="009359B8"/>
    <w:rsid w:val="00935FF0"/>
    <w:rsid w:val="009431F8"/>
    <w:rsid w:val="00947A35"/>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402B"/>
    <w:rsid w:val="00AC6F14"/>
    <w:rsid w:val="00AC7221"/>
    <w:rsid w:val="00AE5961"/>
    <w:rsid w:val="00AF0745"/>
    <w:rsid w:val="00AF4971"/>
    <w:rsid w:val="00AF5276"/>
    <w:rsid w:val="00B01046"/>
    <w:rsid w:val="00B16830"/>
    <w:rsid w:val="00B310F9"/>
    <w:rsid w:val="00B37866"/>
    <w:rsid w:val="00B412FB"/>
    <w:rsid w:val="00B4576B"/>
    <w:rsid w:val="00B46350"/>
    <w:rsid w:val="00B46DF3"/>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7207"/>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65301"/>
    <w:rsid w:val="00D72301"/>
    <w:rsid w:val="00D911DE"/>
    <w:rsid w:val="00D91B97"/>
    <w:rsid w:val="00D93ACC"/>
    <w:rsid w:val="00D93C08"/>
    <w:rsid w:val="00D95DAC"/>
    <w:rsid w:val="00DA07C7"/>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09BB"/>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DE7"/>
    <w:rsid w:val="00EB6ADC"/>
    <w:rsid w:val="00EB7A8A"/>
    <w:rsid w:val="00EE3A64"/>
    <w:rsid w:val="00EE50E5"/>
    <w:rsid w:val="00EF01CF"/>
    <w:rsid w:val="00EF3F1E"/>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833"/>
    <w:rsid w:val="00F9211C"/>
    <w:rsid w:val="00FA095D"/>
    <w:rsid w:val="00FA6C8B"/>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AF86CE-B7C7-4486-9371-13BE532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Table">
    <w:name w:val="Table_#"/>
    <w:basedOn w:val="Normal"/>
    <w:next w:val="Normal"/>
    <w:rsid w:val="00AC6F14"/>
    <w:pPr>
      <w:keepNext/>
      <w:overflowPunct/>
      <w:autoSpaceDE/>
      <w:autoSpaceDN/>
      <w:adjustRightInd/>
      <w:spacing w:before="560" w:after="120"/>
      <w:jc w:val="center"/>
      <w:textAlignment w:val="auto"/>
    </w:pPr>
    <w:rPr>
      <w:rFonts w:ascii="Times New Roman" w:eastAsia="MS Mincho" w:hAnsi="Times New Roman"/>
      <w:caps/>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BDTNormal">
    <w:name w:val="BDT_Normal"/>
    <w:link w:val="BDTNormalChar"/>
    <w:rsid w:val="00EB6ADC"/>
    <w:pPr>
      <w:spacing w:before="120" w:after="120"/>
    </w:pPr>
    <w:rPr>
      <w:rFonts w:ascii="Verdana" w:eastAsia="SimSun" w:hAnsi="Verdana"/>
      <w:sz w:val="19"/>
      <w:szCs w:val="19"/>
      <w:lang w:val="en-GB" w:eastAsia="en-US"/>
    </w:rPr>
  </w:style>
  <w:style w:type="character" w:customStyle="1" w:styleId="BDTNormalChar">
    <w:name w:val="BDT_Normal Char"/>
    <w:link w:val="BDTNormal"/>
    <w:rsid w:val="00EB6ADC"/>
    <w:rPr>
      <w:rFonts w:ascii="Verdana" w:eastAsia="SimSun" w:hAnsi="Verdana"/>
      <w:sz w:val="19"/>
      <w:szCs w:val="19"/>
      <w:lang w:val="en-GB" w:eastAsia="en-US"/>
    </w:rPr>
  </w:style>
  <w:style w:type="paragraph" w:styleId="BalloonText">
    <w:name w:val="Balloon Text"/>
    <w:basedOn w:val="Normal"/>
    <w:link w:val="BalloonTextChar"/>
    <w:semiHidden/>
    <w:unhideWhenUsed/>
    <w:rsid w:val="00D6530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6530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ademy.itu.int/index.php?option=com_content&amp;view=article&amp;id=176&amp;lang=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igoe\Documents\01%20TDAG-17\TDAG_en_v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2C457-1E71-4BCD-AEFB-E4834A88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TDAG_en_v3.dotm</Template>
  <TotalTime>1</TotalTime>
  <Pages>3</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BDT</dc:creator>
  <cp:lastModifiedBy>BDT DocsControl</cp:lastModifiedBy>
  <cp:revision>2</cp:revision>
  <cp:lastPrinted>2017-03-22T10:27:00Z</cp:lastPrinted>
  <dcterms:created xsi:type="dcterms:W3CDTF">2017-03-22T15:31:00Z</dcterms:created>
  <dcterms:modified xsi:type="dcterms:W3CDTF">2017-03-22T15:31:00Z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