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Pr>
      <w:tblGrid>
        <w:gridCol w:w="1276"/>
        <w:gridCol w:w="5387"/>
        <w:gridCol w:w="3225"/>
      </w:tblGrid>
      <w:tr w:rsidR="00340116" w:rsidRPr="00683C32" w14:paraId="31C629AC" w14:textId="77777777" w:rsidTr="004D2C5C">
        <w:trPr>
          <w:cantSplit/>
          <w:trHeight w:val="1134"/>
        </w:trPr>
        <w:tc>
          <w:tcPr>
            <w:tcW w:w="1276" w:type="dxa"/>
          </w:tcPr>
          <w:p w14:paraId="5DCD101E" w14:textId="77777777" w:rsidR="00340116" w:rsidRPr="00844A56" w:rsidRDefault="00340116" w:rsidP="004D2C5C">
            <w:pPr>
              <w:spacing w:before="0"/>
              <w:ind w:left="1311"/>
              <w:rPr>
                <w:rFonts w:ascii="Verdana" w:hAnsi="Verdana"/>
                <w:sz w:val="28"/>
                <w:szCs w:val="28"/>
              </w:rPr>
            </w:pPr>
            <w:r w:rsidRPr="00CC1F10">
              <w:rPr>
                <w:noProof/>
                <w:color w:val="3399FF"/>
                <w:lang w:eastAsia="zh-CN"/>
              </w:rPr>
              <w:drawing>
                <wp:anchor distT="0" distB="0" distL="114300" distR="114300" simplePos="0" relativeHeight="251659264" behindDoc="0" locked="0" layoutInCell="1" allowOverlap="1" wp14:anchorId="7370C8B6" wp14:editId="48D0F61D">
                  <wp:simplePos x="0" y="0"/>
                  <wp:positionH relativeFrom="column">
                    <wp:posOffset>-44450</wp:posOffset>
                  </wp:positionH>
                  <wp:positionV relativeFrom="paragraph">
                    <wp:posOffset>17780</wp:posOffset>
                  </wp:positionV>
                  <wp:extent cx="771525" cy="700486"/>
                  <wp:effectExtent l="0" t="0" r="0" b="4445"/>
                  <wp:wrapNone/>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5157" r="38069"/>
                          <a:stretch/>
                        </pic:blipFill>
                        <pic:spPr bwMode="auto">
                          <a:xfrm>
                            <a:off x="0" y="0"/>
                            <a:ext cx="771525" cy="70048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387" w:type="dxa"/>
          </w:tcPr>
          <w:p w14:paraId="1EF03866" w14:textId="77777777" w:rsidR="00340116" w:rsidRDefault="00340116" w:rsidP="004D2C5C">
            <w:pPr>
              <w:spacing w:before="0"/>
              <w:ind w:left="35"/>
              <w:rPr>
                <w:b/>
                <w:bCs/>
                <w:sz w:val="32"/>
                <w:szCs w:val="32"/>
              </w:rPr>
            </w:pPr>
            <w:r w:rsidRPr="006F3D93">
              <w:rPr>
                <w:b/>
                <w:bCs/>
                <w:sz w:val="32"/>
                <w:szCs w:val="32"/>
              </w:rPr>
              <w:t>Telecommunication</w:t>
            </w:r>
            <w:r>
              <w:rPr>
                <w:b/>
                <w:bCs/>
                <w:sz w:val="32"/>
                <w:szCs w:val="32"/>
              </w:rPr>
              <w:t xml:space="preserve"> Development</w:t>
            </w:r>
            <w:r>
              <w:rPr>
                <w:b/>
                <w:bCs/>
                <w:sz w:val="32"/>
                <w:szCs w:val="32"/>
              </w:rPr>
              <w:br/>
              <w:t>Advisory Group (TDAG)</w:t>
            </w:r>
          </w:p>
          <w:p w14:paraId="00B0714F" w14:textId="77777777" w:rsidR="00340116" w:rsidRPr="00844A56" w:rsidRDefault="00340116" w:rsidP="004D2C5C">
            <w:pPr>
              <w:spacing w:before="100"/>
              <w:ind w:left="34"/>
              <w:rPr>
                <w:rFonts w:ascii="Verdana" w:hAnsi="Verdana"/>
                <w:sz w:val="28"/>
                <w:szCs w:val="28"/>
              </w:rPr>
            </w:pPr>
            <w:r w:rsidRPr="00010827">
              <w:rPr>
                <w:b/>
                <w:bCs/>
                <w:sz w:val="26"/>
                <w:szCs w:val="26"/>
              </w:rPr>
              <w:t>2</w:t>
            </w:r>
            <w:r>
              <w:rPr>
                <w:b/>
                <w:bCs/>
                <w:sz w:val="26"/>
                <w:szCs w:val="26"/>
              </w:rPr>
              <w:t xml:space="preserve">2nd </w:t>
            </w:r>
            <w:r w:rsidRPr="00010827">
              <w:rPr>
                <w:b/>
                <w:bCs/>
                <w:sz w:val="26"/>
                <w:szCs w:val="26"/>
              </w:rPr>
              <w:t xml:space="preserve">Meeting, Geneva, </w:t>
            </w:r>
            <w:r>
              <w:rPr>
                <w:b/>
                <w:bCs/>
                <w:sz w:val="26"/>
                <w:szCs w:val="26"/>
              </w:rPr>
              <w:t>9-12</w:t>
            </w:r>
            <w:r w:rsidRPr="00010827">
              <w:rPr>
                <w:b/>
                <w:bCs/>
                <w:sz w:val="26"/>
                <w:szCs w:val="26"/>
              </w:rPr>
              <w:t xml:space="preserve"> M</w:t>
            </w:r>
            <w:r>
              <w:rPr>
                <w:b/>
                <w:bCs/>
                <w:sz w:val="26"/>
                <w:szCs w:val="26"/>
              </w:rPr>
              <w:t>ay</w:t>
            </w:r>
            <w:r w:rsidRPr="00010827">
              <w:rPr>
                <w:b/>
                <w:bCs/>
                <w:sz w:val="26"/>
                <w:szCs w:val="26"/>
              </w:rPr>
              <w:t xml:space="preserve"> 201</w:t>
            </w:r>
            <w:r>
              <w:rPr>
                <w:b/>
                <w:bCs/>
                <w:sz w:val="26"/>
                <w:szCs w:val="26"/>
              </w:rPr>
              <w:t>7</w:t>
            </w:r>
          </w:p>
        </w:tc>
        <w:tc>
          <w:tcPr>
            <w:tcW w:w="3225" w:type="dxa"/>
          </w:tcPr>
          <w:p w14:paraId="0BF7856C" w14:textId="77777777" w:rsidR="00340116" w:rsidRPr="00683C32" w:rsidRDefault="00340116" w:rsidP="004D2C5C">
            <w:pPr>
              <w:spacing w:before="0"/>
              <w:ind w:right="142"/>
              <w:jc w:val="right"/>
            </w:pPr>
            <w:r w:rsidRPr="004949B5">
              <w:rPr>
                <w:noProof/>
                <w:color w:val="189CD7"/>
                <w:lang w:eastAsia="zh-CN"/>
              </w:rPr>
              <w:drawing>
                <wp:anchor distT="0" distB="0" distL="114300" distR="114300" simplePos="0" relativeHeight="251660288" behindDoc="0" locked="0" layoutInCell="1" allowOverlap="1" wp14:anchorId="137E8417" wp14:editId="779E19C1">
                  <wp:simplePos x="0" y="0"/>
                  <wp:positionH relativeFrom="column">
                    <wp:posOffset>353060</wp:posOffset>
                  </wp:positionH>
                  <wp:positionV relativeFrom="paragraph">
                    <wp:posOffset>98425</wp:posOffset>
                  </wp:positionV>
                  <wp:extent cx="1570990" cy="587785"/>
                  <wp:effectExtent l="0" t="0" r="0" b="3175"/>
                  <wp:wrapNone/>
                  <wp:docPr id="1" name="Picture 1" descr="C:\Users\ponder\AppData\Local\Microsoft\Windows\Temporary Internet Files\Content.Word\BDT-25th_anniversary_2017-Logo_411959-1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onder\AppData\Local\Microsoft\Windows\Temporary Internet Files\Content.Word\BDT-25th_anniversary_2017-Logo_411959-1_transparen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0990" cy="5877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340116" w:rsidRPr="00997358" w14:paraId="33BAF134" w14:textId="77777777" w:rsidTr="004D2C5C">
        <w:trPr>
          <w:cantSplit/>
        </w:trPr>
        <w:tc>
          <w:tcPr>
            <w:tcW w:w="6663" w:type="dxa"/>
            <w:gridSpan w:val="2"/>
            <w:tcBorders>
              <w:top w:val="single" w:sz="12" w:space="0" w:color="auto"/>
            </w:tcBorders>
          </w:tcPr>
          <w:p w14:paraId="1A397B9F" w14:textId="77777777" w:rsidR="00340116" w:rsidRPr="00997358" w:rsidRDefault="00340116" w:rsidP="004D2C5C">
            <w:pPr>
              <w:spacing w:before="0"/>
              <w:rPr>
                <w:rFonts w:cs="Arial"/>
                <w:b/>
                <w:bCs/>
                <w:sz w:val="20"/>
              </w:rPr>
            </w:pPr>
          </w:p>
        </w:tc>
        <w:tc>
          <w:tcPr>
            <w:tcW w:w="3225" w:type="dxa"/>
            <w:tcBorders>
              <w:top w:val="single" w:sz="12" w:space="0" w:color="auto"/>
            </w:tcBorders>
          </w:tcPr>
          <w:p w14:paraId="2A485393" w14:textId="43E44AD9" w:rsidR="00340116" w:rsidRPr="00363DA9" w:rsidRDefault="00340116" w:rsidP="000D6D4F">
            <w:pPr>
              <w:spacing w:before="0"/>
              <w:rPr>
                <w:b/>
                <w:bCs/>
                <w:szCs w:val="24"/>
              </w:rPr>
            </w:pPr>
          </w:p>
        </w:tc>
      </w:tr>
      <w:tr w:rsidR="00340116" w:rsidRPr="00002716" w14:paraId="74347E75" w14:textId="77777777" w:rsidTr="004D2C5C">
        <w:trPr>
          <w:cantSplit/>
        </w:trPr>
        <w:tc>
          <w:tcPr>
            <w:tcW w:w="6663" w:type="dxa"/>
            <w:gridSpan w:val="2"/>
            <w:vMerge w:val="restart"/>
          </w:tcPr>
          <w:p w14:paraId="25C41BF7" w14:textId="77777777" w:rsidR="00340116" w:rsidRPr="002E6963" w:rsidRDefault="00340116" w:rsidP="004D2C5C">
            <w:pPr>
              <w:pStyle w:val="Committee"/>
              <w:framePr w:hSpace="0" w:wrap="auto" w:hAnchor="text" w:yAlign="inline"/>
              <w:rPr>
                <w:b w:val="0"/>
              </w:rPr>
            </w:pPr>
          </w:p>
        </w:tc>
        <w:tc>
          <w:tcPr>
            <w:tcW w:w="3225" w:type="dxa"/>
          </w:tcPr>
          <w:p w14:paraId="6F719A2C" w14:textId="428A79C8" w:rsidR="00340116" w:rsidRPr="00002716" w:rsidRDefault="00340116" w:rsidP="001E6206">
            <w:pPr>
              <w:spacing w:before="0"/>
              <w:jc w:val="both"/>
              <w:rPr>
                <w:bCs/>
                <w:lang w:val="en-US"/>
              </w:rPr>
            </w:pPr>
            <w:r w:rsidRPr="00002716">
              <w:rPr>
                <w:b/>
                <w:bCs/>
                <w:lang w:val="en-US"/>
              </w:rPr>
              <w:t>Document</w:t>
            </w:r>
            <w:r w:rsidRPr="00A54E72">
              <w:rPr>
                <w:b/>
                <w:bCs/>
                <w:lang w:val="en-US"/>
              </w:rPr>
              <w:t xml:space="preserve"> </w:t>
            </w:r>
            <w:bookmarkStart w:id="0" w:name="DocRef1"/>
            <w:bookmarkEnd w:id="0"/>
            <w:r>
              <w:rPr>
                <w:b/>
                <w:bCs/>
                <w:lang w:val="en-US"/>
              </w:rPr>
              <w:t>TDAG17</w:t>
            </w:r>
            <w:r w:rsidR="00E01C64">
              <w:rPr>
                <w:b/>
                <w:bCs/>
                <w:lang w:val="en-US"/>
              </w:rPr>
              <w:t>-22</w:t>
            </w:r>
            <w:r w:rsidRPr="00A54E72">
              <w:rPr>
                <w:b/>
                <w:bCs/>
                <w:lang w:val="en-US"/>
              </w:rPr>
              <w:t>/</w:t>
            </w:r>
            <w:bookmarkStart w:id="1" w:name="DocNo1"/>
            <w:bookmarkEnd w:id="1"/>
            <w:r w:rsidR="00E01C64">
              <w:rPr>
                <w:b/>
                <w:bCs/>
                <w:lang w:val="en-US"/>
              </w:rPr>
              <w:t>15</w:t>
            </w:r>
            <w:r>
              <w:rPr>
                <w:b/>
                <w:bCs/>
                <w:lang w:val="en-US"/>
              </w:rPr>
              <w:t>-E</w:t>
            </w:r>
          </w:p>
        </w:tc>
      </w:tr>
      <w:tr w:rsidR="00340116" w:rsidRPr="002E6F8F" w14:paraId="2DFEE583" w14:textId="77777777" w:rsidTr="004D2C5C">
        <w:trPr>
          <w:cantSplit/>
        </w:trPr>
        <w:tc>
          <w:tcPr>
            <w:tcW w:w="6663" w:type="dxa"/>
            <w:gridSpan w:val="2"/>
            <w:vMerge/>
          </w:tcPr>
          <w:p w14:paraId="1CE44977" w14:textId="77777777" w:rsidR="00340116" w:rsidRPr="00002716" w:rsidRDefault="00340116" w:rsidP="004D2C5C">
            <w:pPr>
              <w:spacing w:after="120"/>
              <w:rPr>
                <w:b/>
                <w:bCs/>
                <w:smallCaps/>
                <w:lang w:val="en-US"/>
              </w:rPr>
            </w:pPr>
          </w:p>
        </w:tc>
        <w:tc>
          <w:tcPr>
            <w:tcW w:w="3225" w:type="dxa"/>
          </w:tcPr>
          <w:p w14:paraId="7CE3108D" w14:textId="156F6A3E" w:rsidR="00340116" w:rsidRPr="002E6F8F" w:rsidRDefault="00E01C64" w:rsidP="001E6206">
            <w:pPr>
              <w:spacing w:before="0"/>
              <w:rPr>
                <w:b/>
              </w:rPr>
            </w:pPr>
            <w:bookmarkStart w:id="2" w:name="CreationDate"/>
            <w:bookmarkEnd w:id="2"/>
            <w:r>
              <w:rPr>
                <w:b/>
              </w:rPr>
              <w:t>5</w:t>
            </w:r>
            <w:r w:rsidR="002A731B">
              <w:rPr>
                <w:b/>
              </w:rPr>
              <w:t xml:space="preserve"> </w:t>
            </w:r>
            <w:r>
              <w:rPr>
                <w:b/>
              </w:rPr>
              <w:t>June</w:t>
            </w:r>
            <w:r w:rsidR="00340116">
              <w:rPr>
                <w:b/>
              </w:rPr>
              <w:t xml:space="preserve"> 2017 </w:t>
            </w:r>
          </w:p>
        </w:tc>
      </w:tr>
      <w:tr w:rsidR="00340116" w:rsidRPr="00D34008" w14:paraId="75364A7C" w14:textId="77777777" w:rsidTr="004D2C5C">
        <w:trPr>
          <w:cantSplit/>
        </w:trPr>
        <w:tc>
          <w:tcPr>
            <w:tcW w:w="6663" w:type="dxa"/>
            <w:gridSpan w:val="2"/>
            <w:vMerge/>
          </w:tcPr>
          <w:p w14:paraId="26B7A8D6" w14:textId="77777777" w:rsidR="00340116" w:rsidRDefault="00340116" w:rsidP="004D2C5C">
            <w:pPr>
              <w:spacing w:after="120"/>
              <w:rPr>
                <w:b/>
                <w:bCs/>
                <w:smallCaps/>
              </w:rPr>
            </w:pPr>
          </w:p>
        </w:tc>
        <w:tc>
          <w:tcPr>
            <w:tcW w:w="3225" w:type="dxa"/>
          </w:tcPr>
          <w:p w14:paraId="6ED4CFD6" w14:textId="0BDCF160" w:rsidR="00340116" w:rsidRPr="00D34008" w:rsidRDefault="00340116" w:rsidP="004D2C5C">
            <w:pPr>
              <w:spacing w:before="0" w:after="240"/>
            </w:pPr>
            <w:r>
              <w:rPr>
                <w:b/>
              </w:rPr>
              <w:t xml:space="preserve">Original: </w:t>
            </w:r>
            <w:bookmarkStart w:id="3" w:name="Original"/>
            <w:bookmarkEnd w:id="3"/>
            <w:r>
              <w:rPr>
                <w:b/>
              </w:rPr>
              <w:t>English</w:t>
            </w:r>
          </w:p>
        </w:tc>
      </w:tr>
      <w:tr w:rsidR="00340116" w:rsidRPr="00A721F4" w14:paraId="7942D4BC" w14:textId="77777777" w:rsidTr="004D2C5C">
        <w:trPr>
          <w:cantSplit/>
          <w:trHeight w:val="852"/>
        </w:trPr>
        <w:tc>
          <w:tcPr>
            <w:tcW w:w="9888" w:type="dxa"/>
            <w:gridSpan w:val="3"/>
          </w:tcPr>
          <w:p w14:paraId="3ED48017" w14:textId="3509E507" w:rsidR="00340116" w:rsidRPr="00A721F4" w:rsidRDefault="00340116" w:rsidP="003E489B">
            <w:pPr>
              <w:pStyle w:val="Source"/>
              <w:spacing w:after="120"/>
              <w:rPr>
                <w:szCs w:val="28"/>
              </w:rPr>
            </w:pPr>
            <w:r>
              <w:rPr>
                <w:szCs w:val="28"/>
              </w:rPr>
              <w:t xml:space="preserve">Chairman, </w:t>
            </w:r>
            <w:r w:rsidR="007C632F">
              <w:rPr>
                <w:szCs w:val="28"/>
              </w:rPr>
              <w:t>Telecommunication Development Advisory Group (TDAG)</w:t>
            </w:r>
          </w:p>
        </w:tc>
      </w:tr>
      <w:tr w:rsidR="00340116" w:rsidRPr="00A721F4" w14:paraId="4AB0F1AB" w14:textId="77777777" w:rsidTr="004D2C5C">
        <w:trPr>
          <w:cantSplit/>
        </w:trPr>
        <w:tc>
          <w:tcPr>
            <w:tcW w:w="9888" w:type="dxa"/>
            <w:gridSpan w:val="3"/>
          </w:tcPr>
          <w:p w14:paraId="13E81D19" w14:textId="4AECB199" w:rsidR="000712B9" w:rsidRPr="000712B9" w:rsidRDefault="00741AED" w:rsidP="00F959FB">
            <w:pPr>
              <w:pStyle w:val="Title1"/>
              <w:spacing w:before="120" w:after="120"/>
              <w:rPr>
                <w:sz w:val="16"/>
                <w:szCs w:val="16"/>
              </w:rPr>
            </w:pPr>
            <w:r w:rsidRPr="00741AED">
              <w:rPr>
                <w:bCs/>
                <w:szCs w:val="28"/>
              </w:rPr>
              <w:t>Report on the Telecommunication Development Advisory Group (TDAG) Activities</w:t>
            </w:r>
            <w:r w:rsidR="007C632F">
              <w:rPr>
                <w:bCs/>
                <w:szCs w:val="28"/>
              </w:rPr>
              <w:t xml:space="preserve"> to WTDC-17</w:t>
            </w:r>
            <w:r w:rsidR="000712B9" w:rsidRPr="000712B9">
              <w:rPr>
                <w:sz w:val="16"/>
                <w:szCs w:val="16"/>
              </w:rPr>
              <w:t xml:space="preserve"> </w:t>
            </w:r>
          </w:p>
        </w:tc>
      </w:tr>
      <w:tr w:rsidR="00340116" w:rsidRPr="001C55C7" w14:paraId="31A07337" w14:textId="77777777" w:rsidTr="004D2C5C">
        <w:trPr>
          <w:cantSplit/>
        </w:trPr>
        <w:tc>
          <w:tcPr>
            <w:tcW w:w="9888" w:type="dxa"/>
            <w:gridSpan w:val="3"/>
            <w:tcBorders>
              <w:top w:val="single" w:sz="4" w:space="0" w:color="auto"/>
              <w:left w:val="single" w:sz="4" w:space="0" w:color="auto"/>
              <w:bottom w:val="single" w:sz="4" w:space="0" w:color="auto"/>
              <w:right w:val="single" w:sz="4" w:space="0" w:color="auto"/>
            </w:tcBorders>
          </w:tcPr>
          <w:p w14:paraId="67AD82A1" w14:textId="77777777" w:rsidR="00340116" w:rsidRPr="00D9621A" w:rsidRDefault="00340116" w:rsidP="00376851">
            <w:pPr>
              <w:keepNext/>
              <w:rPr>
                <w:b/>
                <w:bCs/>
                <w:szCs w:val="24"/>
              </w:rPr>
            </w:pPr>
            <w:r w:rsidRPr="00D9621A">
              <w:rPr>
                <w:b/>
                <w:bCs/>
                <w:szCs w:val="24"/>
              </w:rPr>
              <w:t>Summary:</w:t>
            </w:r>
          </w:p>
          <w:p w14:paraId="2055C747" w14:textId="2EB9E206" w:rsidR="00741AED" w:rsidRDefault="00741AED" w:rsidP="00741AED">
            <w:pPr>
              <w:keepNext/>
            </w:pPr>
            <w:r w:rsidRPr="00741AED">
              <w:t>This report contains a summary of the work carried out by the Telecommunication Development Advisory Group (TDAG) during the period 201</w:t>
            </w:r>
            <w:r>
              <w:t>4</w:t>
            </w:r>
            <w:r w:rsidRPr="00741AED">
              <w:t>-201</w:t>
            </w:r>
            <w:r>
              <w:t>7</w:t>
            </w:r>
            <w:r w:rsidRPr="00741AED">
              <w:t>.</w:t>
            </w:r>
          </w:p>
          <w:p w14:paraId="732128F4" w14:textId="15CAAEDC" w:rsidR="00340116" w:rsidRPr="00D9621A" w:rsidRDefault="00340116" w:rsidP="00376851">
            <w:pPr>
              <w:keepNext/>
              <w:rPr>
                <w:b/>
                <w:bCs/>
                <w:szCs w:val="24"/>
              </w:rPr>
            </w:pPr>
            <w:r w:rsidRPr="005E090D">
              <w:rPr>
                <w:b/>
                <w:bCs/>
              </w:rPr>
              <w:t>Action required:</w:t>
            </w:r>
          </w:p>
          <w:p w14:paraId="5A2CFE18" w14:textId="7C6D02C2" w:rsidR="00340116" w:rsidRPr="00D9621A" w:rsidRDefault="00340116" w:rsidP="00376851">
            <w:pPr>
              <w:rPr>
                <w:szCs w:val="24"/>
              </w:rPr>
            </w:pPr>
            <w:r w:rsidRPr="0059181D">
              <w:t>TDAG is invited to consider this report and to provide guidance as deemed appropriate.</w:t>
            </w:r>
          </w:p>
          <w:p w14:paraId="0B1CB677" w14:textId="77777777" w:rsidR="00340116" w:rsidRPr="001C55C7" w:rsidRDefault="00340116" w:rsidP="00376851">
            <w:pPr>
              <w:keepNext/>
              <w:rPr>
                <w:b/>
                <w:bCs/>
                <w:szCs w:val="24"/>
                <w:lang w:val="de-CH"/>
              </w:rPr>
            </w:pPr>
            <w:r w:rsidRPr="001C55C7">
              <w:rPr>
                <w:b/>
                <w:bCs/>
                <w:szCs w:val="24"/>
                <w:lang w:val="de-CH"/>
              </w:rPr>
              <w:t>References:</w:t>
            </w:r>
          </w:p>
          <w:p w14:paraId="67909B3D" w14:textId="70E52405" w:rsidR="00340116" w:rsidRPr="001C55C7" w:rsidRDefault="00C10A8E" w:rsidP="00950EE4">
            <w:pPr>
              <w:rPr>
                <w:lang w:val="de-CH"/>
              </w:rPr>
            </w:pPr>
            <w:hyperlink r:id="rId14" w:history="1">
              <w:r w:rsidR="00950EE4" w:rsidRPr="001C55C7">
                <w:rPr>
                  <w:rStyle w:val="Hyperlink"/>
                  <w:lang w:val="de-CH"/>
                </w:rPr>
                <w:t>TDAG14-19/26</w:t>
              </w:r>
            </w:hyperlink>
            <w:r w:rsidR="00950EE4" w:rsidRPr="001C55C7">
              <w:rPr>
                <w:lang w:val="de-CH"/>
              </w:rPr>
              <w:t xml:space="preserve">, </w:t>
            </w:r>
            <w:hyperlink r:id="rId15" w:history="1">
              <w:r w:rsidR="00950EE4" w:rsidRPr="001C55C7">
                <w:rPr>
                  <w:rStyle w:val="Hyperlink"/>
                  <w:lang w:val="de-CH"/>
                </w:rPr>
                <w:t>TDAG15-20/32</w:t>
              </w:r>
            </w:hyperlink>
            <w:r w:rsidR="00950EE4" w:rsidRPr="001C55C7">
              <w:rPr>
                <w:lang w:val="de-CH"/>
              </w:rPr>
              <w:t xml:space="preserve">, </w:t>
            </w:r>
            <w:hyperlink r:id="rId16" w:history="1">
              <w:r w:rsidR="00950EE4" w:rsidRPr="001C55C7">
                <w:rPr>
                  <w:rStyle w:val="Hyperlink"/>
                  <w:lang w:val="de-CH"/>
                </w:rPr>
                <w:t>TDAG16-21/43</w:t>
              </w:r>
            </w:hyperlink>
            <w:r w:rsidR="00950EE4" w:rsidRPr="001C55C7">
              <w:rPr>
                <w:lang w:val="de-CH"/>
              </w:rPr>
              <w:t xml:space="preserve">, </w:t>
            </w:r>
            <w:hyperlink r:id="rId17" w:history="1">
              <w:r w:rsidR="00950EE4" w:rsidRPr="001C55C7">
                <w:rPr>
                  <w:rStyle w:val="Hyperlink"/>
                  <w:lang w:val="de-CH"/>
                </w:rPr>
                <w:t>TDAG17-22/76</w:t>
              </w:r>
            </w:hyperlink>
          </w:p>
        </w:tc>
      </w:tr>
    </w:tbl>
    <w:bookmarkStart w:id="4" w:name="_Toc482299457"/>
    <w:p w14:paraId="0A4D7B13" w14:textId="61DEEAFC" w:rsidR="007C63EE" w:rsidRDefault="007F599D">
      <w:pPr>
        <w:pStyle w:val="TOC1"/>
        <w:tabs>
          <w:tab w:val="left" w:pos="480"/>
          <w:tab w:val="right" w:leader="dot" w:pos="9204"/>
        </w:tabs>
        <w:rPr>
          <w:rFonts w:eastAsiaTheme="minorEastAsia" w:cstheme="minorBidi"/>
          <w:b w:val="0"/>
          <w:bCs w:val="0"/>
          <w:i w:val="0"/>
          <w:iCs w:val="0"/>
          <w:noProof/>
          <w:sz w:val="22"/>
          <w:szCs w:val="22"/>
          <w:lang w:val="en-US"/>
        </w:rPr>
      </w:pPr>
      <w:r>
        <w:rPr>
          <w:caps/>
        </w:rPr>
        <w:fldChar w:fldCharType="begin"/>
      </w:r>
      <w:r>
        <w:rPr>
          <w:caps/>
        </w:rPr>
        <w:instrText xml:space="preserve"> TOC \o "1-2" \h \z \u </w:instrText>
      </w:r>
      <w:r>
        <w:rPr>
          <w:caps/>
        </w:rPr>
        <w:fldChar w:fldCharType="separate"/>
      </w:r>
      <w:hyperlink w:anchor="_Toc482300234" w:history="1">
        <w:r w:rsidR="007C63EE" w:rsidRPr="0045662C">
          <w:rPr>
            <w:rStyle w:val="Hyperlink"/>
            <w:noProof/>
          </w:rPr>
          <w:t>1.</w:t>
        </w:r>
        <w:r w:rsidR="007C63EE">
          <w:rPr>
            <w:rFonts w:eastAsiaTheme="minorEastAsia" w:cstheme="minorBidi"/>
            <w:b w:val="0"/>
            <w:bCs w:val="0"/>
            <w:i w:val="0"/>
            <w:iCs w:val="0"/>
            <w:noProof/>
            <w:sz w:val="22"/>
            <w:szCs w:val="22"/>
            <w:lang w:val="en-US"/>
          </w:rPr>
          <w:tab/>
        </w:r>
        <w:r w:rsidR="007C63EE" w:rsidRPr="0045662C">
          <w:rPr>
            <w:rStyle w:val="Hyperlink"/>
            <w:noProof/>
          </w:rPr>
          <w:t>Introduction</w:t>
        </w:r>
        <w:r w:rsidR="007C63EE">
          <w:rPr>
            <w:noProof/>
            <w:webHidden/>
          </w:rPr>
          <w:tab/>
        </w:r>
        <w:r w:rsidR="007C63EE">
          <w:rPr>
            <w:noProof/>
            <w:webHidden/>
          </w:rPr>
          <w:fldChar w:fldCharType="begin"/>
        </w:r>
        <w:r w:rsidR="007C63EE">
          <w:rPr>
            <w:noProof/>
            <w:webHidden/>
          </w:rPr>
          <w:instrText xml:space="preserve"> PAGEREF _Toc482300234 \h </w:instrText>
        </w:r>
        <w:r w:rsidR="007C63EE">
          <w:rPr>
            <w:noProof/>
            <w:webHidden/>
          </w:rPr>
        </w:r>
        <w:r w:rsidR="007C63EE">
          <w:rPr>
            <w:noProof/>
            <w:webHidden/>
          </w:rPr>
          <w:fldChar w:fldCharType="separate"/>
        </w:r>
        <w:r w:rsidR="00900686">
          <w:rPr>
            <w:noProof/>
            <w:webHidden/>
          </w:rPr>
          <w:t>2</w:t>
        </w:r>
        <w:r w:rsidR="007C63EE">
          <w:rPr>
            <w:noProof/>
            <w:webHidden/>
          </w:rPr>
          <w:fldChar w:fldCharType="end"/>
        </w:r>
      </w:hyperlink>
    </w:p>
    <w:p w14:paraId="59774857" w14:textId="3FE99FFC" w:rsidR="007C63EE" w:rsidRDefault="00C10A8E">
      <w:pPr>
        <w:pStyle w:val="TOC2"/>
        <w:tabs>
          <w:tab w:val="left" w:pos="720"/>
          <w:tab w:val="right" w:leader="dot" w:pos="9204"/>
        </w:tabs>
        <w:rPr>
          <w:rFonts w:eastAsiaTheme="minorEastAsia" w:cstheme="minorBidi"/>
          <w:b w:val="0"/>
          <w:bCs w:val="0"/>
          <w:noProof/>
          <w:lang w:val="en-US"/>
        </w:rPr>
      </w:pPr>
      <w:hyperlink w:anchor="_Toc482300235" w:history="1">
        <w:r w:rsidR="007C63EE" w:rsidRPr="0045662C">
          <w:rPr>
            <w:rStyle w:val="Hyperlink"/>
            <w:noProof/>
          </w:rPr>
          <w:t>1.1</w:t>
        </w:r>
        <w:r w:rsidR="007C63EE">
          <w:rPr>
            <w:rFonts w:eastAsiaTheme="minorEastAsia" w:cstheme="minorBidi"/>
            <w:b w:val="0"/>
            <w:bCs w:val="0"/>
            <w:noProof/>
            <w:lang w:val="en-US"/>
          </w:rPr>
          <w:tab/>
        </w:r>
        <w:r w:rsidR="007C63EE" w:rsidRPr="0045662C">
          <w:rPr>
            <w:rStyle w:val="Hyperlink"/>
            <w:noProof/>
          </w:rPr>
          <w:t>Terms of Reference of TDAG</w:t>
        </w:r>
        <w:r w:rsidR="007C63EE">
          <w:rPr>
            <w:noProof/>
            <w:webHidden/>
          </w:rPr>
          <w:tab/>
        </w:r>
        <w:r w:rsidR="007C63EE">
          <w:rPr>
            <w:noProof/>
            <w:webHidden/>
          </w:rPr>
          <w:fldChar w:fldCharType="begin"/>
        </w:r>
        <w:r w:rsidR="007C63EE">
          <w:rPr>
            <w:noProof/>
            <w:webHidden/>
          </w:rPr>
          <w:instrText xml:space="preserve"> PAGEREF _Toc482300235 \h </w:instrText>
        </w:r>
        <w:r w:rsidR="007C63EE">
          <w:rPr>
            <w:noProof/>
            <w:webHidden/>
          </w:rPr>
        </w:r>
        <w:r w:rsidR="007C63EE">
          <w:rPr>
            <w:noProof/>
            <w:webHidden/>
          </w:rPr>
          <w:fldChar w:fldCharType="separate"/>
        </w:r>
        <w:r w:rsidR="00900686">
          <w:rPr>
            <w:noProof/>
            <w:webHidden/>
          </w:rPr>
          <w:t>2</w:t>
        </w:r>
        <w:r w:rsidR="007C63EE">
          <w:rPr>
            <w:noProof/>
            <w:webHidden/>
          </w:rPr>
          <w:fldChar w:fldCharType="end"/>
        </w:r>
      </w:hyperlink>
    </w:p>
    <w:p w14:paraId="501F1389" w14:textId="00AB699B" w:rsidR="007C63EE" w:rsidRDefault="00C10A8E">
      <w:pPr>
        <w:pStyle w:val="TOC2"/>
        <w:tabs>
          <w:tab w:val="left" w:pos="720"/>
          <w:tab w:val="right" w:leader="dot" w:pos="9204"/>
        </w:tabs>
        <w:rPr>
          <w:rFonts w:eastAsiaTheme="minorEastAsia" w:cstheme="minorBidi"/>
          <w:b w:val="0"/>
          <w:bCs w:val="0"/>
          <w:noProof/>
          <w:lang w:val="en-US"/>
        </w:rPr>
      </w:pPr>
      <w:hyperlink w:anchor="_Toc482300236" w:history="1">
        <w:r w:rsidR="007C63EE" w:rsidRPr="0045662C">
          <w:rPr>
            <w:rStyle w:val="Hyperlink"/>
            <w:noProof/>
          </w:rPr>
          <w:t>1.2</w:t>
        </w:r>
        <w:r w:rsidR="007C63EE">
          <w:rPr>
            <w:rFonts w:eastAsiaTheme="minorEastAsia" w:cstheme="minorBidi"/>
            <w:b w:val="0"/>
            <w:bCs w:val="0"/>
            <w:noProof/>
            <w:lang w:val="en-US"/>
          </w:rPr>
          <w:tab/>
        </w:r>
        <w:r w:rsidR="007C63EE" w:rsidRPr="0045662C">
          <w:rPr>
            <w:rStyle w:val="Hyperlink"/>
            <w:noProof/>
          </w:rPr>
          <w:t>Telecommunication Development Advisory Group Bureau</w:t>
        </w:r>
        <w:r w:rsidR="007C63EE">
          <w:rPr>
            <w:noProof/>
            <w:webHidden/>
          </w:rPr>
          <w:tab/>
        </w:r>
        <w:r w:rsidR="007C63EE">
          <w:rPr>
            <w:noProof/>
            <w:webHidden/>
          </w:rPr>
          <w:fldChar w:fldCharType="begin"/>
        </w:r>
        <w:r w:rsidR="007C63EE">
          <w:rPr>
            <w:noProof/>
            <w:webHidden/>
          </w:rPr>
          <w:instrText xml:space="preserve"> PAGEREF _Toc482300236 \h </w:instrText>
        </w:r>
        <w:r w:rsidR="007C63EE">
          <w:rPr>
            <w:noProof/>
            <w:webHidden/>
          </w:rPr>
        </w:r>
        <w:r w:rsidR="007C63EE">
          <w:rPr>
            <w:noProof/>
            <w:webHidden/>
          </w:rPr>
          <w:fldChar w:fldCharType="separate"/>
        </w:r>
        <w:r w:rsidR="00900686">
          <w:rPr>
            <w:noProof/>
            <w:webHidden/>
          </w:rPr>
          <w:t>2</w:t>
        </w:r>
        <w:r w:rsidR="007C63EE">
          <w:rPr>
            <w:noProof/>
            <w:webHidden/>
          </w:rPr>
          <w:fldChar w:fldCharType="end"/>
        </w:r>
      </w:hyperlink>
    </w:p>
    <w:p w14:paraId="533D581E" w14:textId="4AFF17BB" w:rsidR="007C63EE" w:rsidRDefault="00C10A8E">
      <w:pPr>
        <w:pStyle w:val="TOC1"/>
        <w:tabs>
          <w:tab w:val="left" w:pos="480"/>
          <w:tab w:val="right" w:leader="dot" w:pos="9204"/>
        </w:tabs>
        <w:rPr>
          <w:rFonts w:eastAsiaTheme="minorEastAsia" w:cstheme="minorBidi"/>
          <w:b w:val="0"/>
          <w:bCs w:val="0"/>
          <w:i w:val="0"/>
          <w:iCs w:val="0"/>
          <w:noProof/>
          <w:sz w:val="22"/>
          <w:szCs w:val="22"/>
          <w:lang w:val="en-US"/>
        </w:rPr>
      </w:pPr>
      <w:hyperlink w:anchor="_Toc482300237" w:history="1">
        <w:r w:rsidR="007C63EE" w:rsidRPr="0045662C">
          <w:rPr>
            <w:rStyle w:val="Hyperlink"/>
            <w:noProof/>
          </w:rPr>
          <w:t>2.</w:t>
        </w:r>
        <w:r w:rsidR="007C63EE">
          <w:rPr>
            <w:rFonts w:eastAsiaTheme="minorEastAsia" w:cstheme="minorBidi"/>
            <w:b w:val="0"/>
            <w:bCs w:val="0"/>
            <w:i w:val="0"/>
            <w:iCs w:val="0"/>
            <w:noProof/>
            <w:sz w:val="22"/>
            <w:szCs w:val="22"/>
            <w:lang w:val="en-US"/>
          </w:rPr>
          <w:tab/>
        </w:r>
        <w:r w:rsidR="007C63EE" w:rsidRPr="0045662C">
          <w:rPr>
            <w:rStyle w:val="Hyperlink"/>
            <w:noProof/>
          </w:rPr>
          <w:t>TDAG Meetings</w:t>
        </w:r>
        <w:r w:rsidR="007C63EE">
          <w:rPr>
            <w:noProof/>
            <w:webHidden/>
          </w:rPr>
          <w:tab/>
        </w:r>
        <w:r w:rsidR="007C63EE">
          <w:rPr>
            <w:noProof/>
            <w:webHidden/>
          </w:rPr>
          <w:fldChar w:fldCharType="begin"/>
        </w:r>
        <w:r w:rsidR="007C63EE">
          <w:rPr>
            <w:noProof/>
            <w:webHidden/>
          </w:rPr>
          <w:instrText xml:space="preserve"> PAGEREF _Toc482300237 \h </w:instrText>
        </w:r>
        <w:r w:rsidR="007C63EE">
          <w:rPr>
            <w:noProof/>
            <w:webHidden/>
          </w:rPr>
        </w:r>
        <w:r w:rsidR="007C63EE">
          <w:rPr>
            <w:noProof/>
            <w:webHidden/>
          </w:rPr>
          <w:fldChar w:fldCharType="separate"/>
        </w:r>
        <w:r w:rsidR="00900686">
          <w:rPr>
            <w:noProof/>
            <w:webHidden/>
          </w:rPr>
          <w:t>2</w:t>
        </w:r>
        <w:r w:rsidR="007C63EE">
          <w:rPr>
            <w:noProof/>
            <w:webHidden/>
          </w:rPr>
          <w:fldChar w:fldCharType="end"/>
        </w:r>
      </w:hyperlink>
    </w:p>
    <w:p w14:paraId="736A5F92" w14:textId="373E3228" w:rsidR="007C63EE" w:rsidRDefault="00C10A8E">
      <w:pPr>
        <w:pStyle w:val="TOC2"/>
        <w:tabs>
          <w:tab w:val="left" w:pos="720"/>
          <w:tab w:val="right" w:leader="dot" w:pos="9204"/>
        </w:tabs>
        <w:rPr>
          <w:rFonts w:eastAsiaTheme="minorEastAsia" w:cstheme="minorBidi"/>
          <w:b w:val="0"/>
          <w:bCs w:val="0"/>
          <w:noProof/>
          <w:lang w:val="en-US"/>
        </w:rPr>
      </w:pPr>
      <w:hyperlink w:anchor="_Toc482300238" w:history="1">
        <w:r w:rsidR="007C63EE" w:rsidRPr="0045662C">
          <w:rPr>
            <w:rStyle w:val="Hyperlink"/>
            <w:noProof/>
          </w:rPr>
          <w:t>2.1</w:t>
        </w:r>
        <w:r w:rsidR="007C63EE">
          <w:rPr>
            <w:rFonts w:eastAsiaTheme="minorEastAsia" w:cstheme="minorBidi"/>
            <w:b w:val="0"/>
            <w:bCs w:val="0"/>
            <w:noProof/>
            <w:lang w:val="en-US"/>
          </w:rPr>
          <w:tab/>
        </w:r>
        <w:r w:rsidR="007C63EE" w:rsidRPr="0045662C">
          <w:rPr>
            <w:rStyle w:val="Hyperlink"/>
            <w:noProof/>
          </w:rPr>
          <w:t>19th TDAG Meeting</w:t>
        </w:r>
        <w:r w:rsidR="007C63EE">
          <w:rPr>
            <w:noProof/>
            <w:webHidden/>
          </w:rPr>
          <w:tab/>
        </w:r>
        <w:r w:rsidR="007C63EE">
          <w:rPr>
            <w:noProof/>
            <w:webHidden/>
          </w:rPr>
          <w:fldChar w:fldCharType="begin"/>
        </w:r>
        <w:r w:rsidR="007C63EE">
          <w:rPr>
            <w:noProof/>
            <w:webHidden/>
          </w:rPr>
          <w:instrText xml:space="preserve"> PAGEREF _Toc482300238 \h </w:instrText>
        </w:r>
        <w:r w:rsidR="007C63EE">
          <w:rPr>
            <w:noProof/>
            <w:webHidden/>
          </w:rPr>
        </w:r>
        <w:r w:rsidR="007C63EE">
          <w:rPr>
            <w:noProof/>
            <w:webHidden/>
          </w:rPr>
          <w:fldChar w:fldCharType="separate"/>
        </w:r>
        <w:r w:rsidR="00900686">
          <w:rPr>
            <w:noProof/>
            <w:webHidden/>
          </w:rPr>
          <w:t>2</w:t>
        </w:r>
        <w:r w:rsidR="007C63EE">
          <w:rPr>
            <w:noProof/>
            <w:webHidden/>
          </w:rPr>
          <w:fldChar w:fldCharType="end"/>
        </w:r>
      </w:hyperlink>
    </w:p>
    <w:p w14:paraId="52E15ABA" w14:textId="681709F0" w:rsidR="007C63EE" w:rsidRDefault="00C10A8E">
      <w:pPr>
        <w:pStyle w:val="TOC2"/>
        <w:tabs>
          <w:tab w:val="left" w:pos="720"/>
          <w:tab w:val="right" w:leader="dot" w:pos="9204"/>
        </w:tabs>
        <w:rPr>
          <w:rFonts w:eastAsiaTheme="minorEastAsia" w:cstheme="minorBidi"/>
          <w:b w:val="0"/>
          <w:bCs w:val="0"/>
          <w:noProof/>
          <w:lang w:val="en-US"/>
        </w:rPr>
      </w:pPr>
      <w:hyperlink w:anchor="_Toc482300239" w:history="1">
        <w:r w:rsidR="007C63EE" w:rsidRPr="0045662C">
          <w:rPr>
            <w:rStyle w:val="Hyperlink"/>
            <w:noProof/>
          </w:rPr>
          <w:t>2.2</w:t>
        </w:r>
        <w:r w:rsidR="007C63EE">
          <w:rPr>
            <w:rFonts w:eastAsiaTheme="minorEastAsia" w:cstheme="minorBidi"/>
            <w:b w:val="0"/>
            <w:bCs w:val="0"/>
            <w:noProof/>
            <w:lang w:val="en-US"/>
          </w:rPr>
          <w:tab/>
        </w:r>
        <w:r w:rsidR="007C63EE" w:rsidRPr="0045662C">
          <w:rPr>
            <w:rStyle w:val="Hyperlink"/>
            <w:noProof/>
          </w:rPr>
          <w:t>20th TDAG Meeting</w:t>
        </w:r>
        <w:r w:rsidR="007C63EE">
          <w:rPr>
            <w:noProof/>
            <w:webHidden/>
          </w:rPr>
          <w:tab/>
        </w:r>
        <w:r w:rsidR="007C63EE">
          <w:rPr>
            <w:noProof/>
            <w:webHidden/>
          </w:rPr>
          <w:fldChar w:fldCharType="begin"/>
        </w:r>
        <w:r w:rsidR="007C63EE">
          <w:rPr>
            <w:noProof/>
            <w:webHidden/>
          </w:rPr>
          <w:instrText xml:space="preserve"> PAGEREF _Toc482300239 \h </w:instrText>
        </w:r>
        <w:r w:rsidR="007C63EE">
          <w:rPr>
            <w:noProof/>
            <w:webHidden/>
          </w:rPr>
        </w:r>
        <w:r w:rsidR="007C63EE">
          <w:rPr>
            <w:noProof/>
            <w:webHidden/>
          </w:rPr>
          <w:fldChar w:fldCharType="separate"/>
        </w:r>
        <w:r w:rsidR="00900686">
          <w:rPr>
            <w:noProof/>
            <w:webHidden/>
          </w:rPr>
          <w:t>7</w:t>
        </w:r>
        <w:r w:rsidR="007C63EE">
          <w:rPr>
            <w:noProof/>
            <w:webHidden/>
          </w:rPr>
          <w:fldChar w:fldCharType="end"/>
        </w:r>
      </w:hyperlink>
    </w:p>
    <w:p w14:paraId="2A62609F" w14:textId="56E51B1F" w:rsidR="007C63EE" w:rsidRDefault="00C10A8E">
      <w:pPr>
        <w:pStyle w:val="TOC2"/>
        <w:tabs>
          <w:tab w:val="left" w:pos="720"/>
          <w:tab w:val="right" w:leader="dot" w:pos="9204"/>
        </w:tabs>
        <w:rPr>
          <w:rFonts w:eastAsiaTheme="minorEastAsia" w:cstheme="minorBidi"/>
          <w:b w:val="0"/>
          <w:bCs w:val="0"/>
          <w:noProof/>
          <w:lang w:val="en-US"/>
        </w:rPr>
      </w:pPr>
      <w:hyperlink w:anchor="_Toc482300240" w:history="1">
        <w:r w:rsidR="007C63EE" w:rsidRPr="0045662C">
          <w:rPr>
            <w:rStyle w:val="Hyperlink"/>
            <w:noProof/>
          </w:rPr>
          <w:t>2.3</w:t>
        </w:r>
        <w:r w:rsidR="007C63EE">
          <w:rPr>
            <w:rFonts w:eastAsiaTheme="minorEastAsia" w:cstheme="minorBidi"/>
            <w:b w:val="0"/>
            <w:bCs w:val="0"/>
            <w:noProof/>
            <w:lang w:val="en-US"/>
          </w:rPr>
          <w:tab/>
        </w:r>
        <w:r w:rsidR="007C63EE" w:rsidRPr="0045662C">
          <w:rPr>
            <w:rStyle w:val="Hyperlink"/>
            <w:noProof/>
          </w:rPr>
          <w:t>21st TDAG Meeting</w:t>
        </w:r>
        <w:r w:rsidR="007C63EE">
          <w:rPr>
            <w:noProof/>
            <w:webHidden/>
          </w:rPr>
          <w:tab/>
        </w:r>
        <w:r w:rsidR="007C63EE">
          <w:rPr>
            <w:noProof/>
            <w:webHidden/>
          </w:rPr>
          <w:fldChar w:fldCharType="begin"/>
        </w:r>
        <w:r w:rsidR="007C63EE">
          <w:rPr>
            <w:noProof/>
            <w:webHidden/>
          </w:rPr>
          <w:instrText xml:space="preserve"> PAGEREF _Toc482300240 \h </w:instrText>
        </w:r>
        <w:r w:rsidR="007C63EE">
          <w:rPr>
            <w:noProof/>
            <w:webHidden/>
          </w:rPr>
        </w:r>
        <w:r w:rsidR="007C63EE">
          <w:rPr>
            <w:noProof/>
            <w:webHidden/>
          </w:rPr>
          <w:fldChar w:fldCharType="separate"/>
        </w:r>
        <w:r w:rsidR="00900686">
          <w:rPr>
            <w:noProof/>
            <w:webHidden/>
          </w:rPr>
          <w:t>11</w:t>
        </w:r>
        <w:r w:rsidR="007C63EE">
          <w:rPr>
            <w:noProof/>
            <w:webHidden/>
          </w:rPr>
          <w:fldChar w:fldCharType="end"/>
        </w:r>
      </w:hyperlink>
    </w:p>
    <w:p w14:paraId="676373F2" w14:textId="47E5FBEF" w:rsidR="00E52982" w:rsidRDefault="00C10A8E" w:rsidP="00E52982">
      <w:pPr>
        <w:pStyle w:val="TOC2"/>
        <w:tabs>
          <w:tab w:val="left" w:pos="720"/>
          <w:tab w:val="right" w:leader="dot" w:pos="9204"/>
        </w:tabs>
        <w:rPr>
          <w:rFonts w:eastAsiaTheme="minorEastAsia" w:cstheme="minorBidi"/>
          <w:b w:val="0"/>
          <w:bCs w:val="0"/>
          <w:noProof/>
          <w:lang w:val="en-US"/>
        </w:rPr>
      </w:pPr>
      <w:hyperlink w:anchor="_Toc482300240" w:history="1">
        <w:r w:rsidR="00E52982" w:rsidRPr="0045662C">
          <w:rPr>
            <w:rStyle w:val="Hyperlink"/>
            <w:noProof/>
          </w:rPr>
          <w:t>2.</w:t>
        </w:r>
        <w:r w:rsidR="00E52982">
          <w:rPr>
            <w:rStyle w:val="Hyperlink"/>
            <w:noProof/>
          </w:rPr>
          <w:t>4</w:t>
        </w:r>
        <w:r w:rsidR="00E52982">
          <w:rPr>
            <w:rFonts w:eastAsiaTheme="minorEastAsia" w:cstheme="minorBidi"/>
            <w:b w:val="0"/>
            <w:bCs w:val="0"/>
            <w:noProof/>
            <w:lang w:val="en-US"/>
          </w:rPr>
          <w:tab/>
        </w:r>
        <w:r w:rsidR="00E52982" w:rsidRPr="0045662C">
          <w:rPr>
            <w:rStyle w:val="Hyperlink"/>
            <w:noProof/>
          </w:rPr>
          <w:t>2</w:t>
        </w:r>
        <w:r w:rsidR="00E52982">
          <w:rPr>
            <w:rStyle w:val="Hyperlink"/>
            <w:noProof/>
          </w:rPr>
          <w:t>2nd</w:t>
        </w:r>
        <w:r w:rsidR="00E52982" w:rsidRPr="0045662C">
          <w:rPr>
            <w:rStyle w:val="Hyperlink"/>
            <w:noProof/>
          </w:rPr>
          <w:t xml:space="preserve"> TDAG Meeting</w:t>
        </w:r>
        <w:r w:rsidR="00E52982">
          <w:rPr>
            <w:noProof/>
            <w:webHidden/>
          </w:rPr>
          <w:tab/>
        </w:r>
        <w:r w:rsidR="00E52982">
          <w:rPr>
            <w:noProof/>
            <w:webHidden/>
          </w:rPr>
          <w:fldChar w:fldCharType="begin"/>
        </w:r>
        <w:r w:rsidR="00E52982">
          <w:rPr>
            <w:noProof/>
            <w:webHidden/>
          </w:rPr>
          <w:instrText xml:space="preserve"> PAGEREF _Toc482300240 \h </w:instrText>
        </w:r>
        <w:r w:rsidR="00E52982">
          <w:rPr>
            <w:noProof/>
            <w:webHidden/>
          </w:rPr>
        </w:r>
        <w:r w:rsidR="00E52982">
          <w:rPr>
            <w:noProof/>
            <w:webHidden/>
          </w:rPr>
          <w:fldChar w:fldCharType="separate"/>
        </w:r>
        <w:r w:rsidR="00E52982">
          <w:rPr>
            <w:noProof/>
            <w:webHidden/>
          </w:rPr>
          <w:t>11</w:t>
        </w:r>
        <w:r w:rsidR="00E52982">
          <w:rPr>
            <w:noProof/>
            <w:webHidden/>
          </w:rPr>
          <w:fldChar w:fldCharType="end"/>
        </w:r>
      </w:hyperlink>
    </w:p>
    <w:p w14:paraId="1B217F71" w14:textId="2E4E536C" w:rsidR="007C63EE" w:rsidRDefault="00C10A8E">
      <w:pPr>
        <w:pStyle w:val="TOC1"/>
        <w:tabs>
          <w:tab w:val="left" w:pos="480"/>
          <w:tab w:val="right" w:leader="dot" w:pos="9204"/>
        </w:tabs>
        <w:rPr>
          <w:rFonts w:eastAsiaTheme="minorEastAsia" w:cstheme="minorBidi"/>
          <w:b w:val="0"/>
          <w:bCs w:val="0"/>
          <w:i w:val="0"/>
          <w:iCs w:val="0"/>
          <w:noProof/>
          <w:sz w:val="22"/>
          <w:szCs w:val="22"/>
          <w:lang w:val="en-US"/>
        </w:rPr>
      </w:pPr>
      <w:hyperlink w:anchor="_Toc482300241" w:history="1">
        <w:r w:rsidR="007C63EE" w:rsidRPr="0045662C">
          <w:rPr>
            <w:rStyle w:val="Hyperlink"/>
            <w:noProof/>
          </w:rPr>
          <w:t>3.</w:t>
        </w:r>
        <w:r w:rsidR="007C63EE">
          <w:rPr>
            <w:rFonts w:eastAsiaTheme="minorEastAsia" w:cstheme="minorBidi"/>
            <w:b w:val="0"/>
            <w:bCs w:val="0"/>
            <w:i w:val="0"/>
            <w:iCs w:val="0"/>
            <w:noProof/>
            <w:sz w:val="22"/>
            <w:szCs w:val="22"/>
            <w:lang w:val="en-US"/>
          </w:rPr>
          <w:tab/>
        </w:r>
        <w:r w:rsidR="007C63EE" w:rsidRPr="0045662C">
          <w:rPr>
            <w:rStyle w:val="Hyperlink"/>
            <w:noProof/>
          </w:rPr>
          <w:t>TDAG Correspondence Group Meetings</w:t>
        </w:r>
        <w:r w:rsidR="007C63EE">
          <w:rPr>
            <w:noProof/>
            <w:webHidden/>
          </w:rPr>
          <w:tab/>
        </w:r>
        <w:r w:rsidR="007C63EE">
          <w:rPr>
            <w:noProof/>
            <w:webHidden/>
          </w:rPr>
          <w:fldChar w:fldCharType="begin"/>
        </w:r>
        <w:r w:rsidR="007C63EE">
          <w:rPr>
            <w:noProof/>
            <w:webHidden/>
          </w:rPr>
          <w:instrText xml:space="preserve"> PAGEREF _Toc482300241 \h </w:instrText>
        </w:r>
        <w:r w:rsidR="007C63EE">
          <w:rPr>
            <w:noProof/>
            <w:webHidden/>
          </w:rPr>
        </w:r>
        <w:r w:rsidR="007C63EE">
          <w:rPr>
            <w:noProof/>
            <w:webHidden/>
          </w:rPr>
          <w:fldChar w:fldCharType="separate"/>
        </w:r>
        <w:r w:rsidR="00900686">
          <w:rPr>
            <w:noProof/>
            <w:webHidden/>
          </w:rPr>
          <w:t>16</w:t>
        </w:r>
        <w:r w:rsidR="007C63EE">
          <w:rPr>
            <w:noProof/>
            <w:webHidden/>
          </w:rPr>
          <w:fldChar w:fldCharType="end"/>
        </w:r>
      </w:hyperlink>
    </w:p>
    <w:p w14:paraId="6F22D70F" w14:textId="0DE323F0" w:rsidR="007C63EE" w:rsidRDefault="00C10A8E">
      <w:pPr>
        <w:pStyle w:val="TOC2"/>
        <w:tabs>
          <w:tab w:val="left" w:pos="720"/>
          <w:tab w:val="right" w:leader="dot" w:pos="9204"/>
        </w:tabs>
        <w:rPr>
          <w:rFonts w:eastAsiaTheme="minorEastAsia" w:cstheme="minorBidi"/>
          <w:b w:val="0"/>
          <w:bCs w:val="0"/>
          <w:noProof/>
          <w:lang w:val="en-US"/>
        </w:rPr>
      </w:pPr>
      <w:hyperlink w:anchor="_Toc482300242" w:history="1">
        <w:r w:rsidR="007C63EE" w:rsidRPr="0045662C">
          <w:rPr>
            <w:rStyle w:val="Hyperlink"/>
            <w:noProof/>
          </w:rPr>
          <w:t>3.1</w:t>
        </w:r>
        <w:r w:rsidR="007C63EE">
          <w:rPr>
            <w:rFonts w:eastAsiaTheme="minorEastAsia" w:cstheme="minorBidi"/>
            <w:b w:val="0"/>
            <w:bCs w:val="0"/>
            <w:noProof/>
            <w:lang w:val="en-US"/>
          </w:rPr>
          <w:tab/>
        </w:r>
        <w:r w:rsidR="007C63EE" w:rsidRPr="0045662C">
          <w:rPr>
            <w:rStyle w:val="Hyperlink"/>
            <w:noProof/>
          </w:rPr>
          <w:t>TDAG Correspondence Group on rules of procedure of ITU-D (WTDC Resolution 1)</w:t>
        </w:r>
        <w:r w:rsidR="007C63EE">
          <w:rPr>
            <w:noProof/>
            <w:webHidden/>
          </w:rPr>
          <w:tab/>
        </w:r>
        <w:r w:rsidR="007C63EE">
          <w:rPr>
            <w:noProof/>
            <w:webHidden/>
          </w:rPr>
          <w:fldChar w:fldCharType="begin"/>
        </w:r>
        <w:r w:rsidR="007C63EE">
          <w:rPr>
            <w:noProof/>
            <w:webHidden/>
          </w:rPr>
          <w:instrText xml:space="preserve"> PAGEREF _Toc482300242 \h </w:instrText>
        </w:r>
        <w:r w:rsidR="007C63EE">
          <w:rPr>
            <w:noProof/>
            <w:webHidden/>
          </w:rPr>
        </w:r>
        <w:r w:rsidR="007C63EE">
          <w:rPr>
            <w:noProof/>
            <w:webHidden/>
          </w:rPr>
          <w:fldChar w:fldCharType="separate"/>
        </w:r>
        <w:r w:rsidR="00900686">
          <w:rPr>
            <w:noProof/>
            <w:webHidden/>
          </w:rPr>
          <w:t>16</w:t>
        </w:r>
        <w:r w:rsidR="007C63EE">
          <w:rPr>
            <w:noProof/>
            <w:webHidden/>
          </w:rPr>
          <w:fldChar w:fldCharType="end"/>
        </w:r>
      </w:hyperlink>
    </w:p>
    <w:p w14:paraId="26A13F74" w14:textId="5DE66F86" w:rsidR="007C63EE" w:rsidRDefault="00C10A8E">
      <w:pPr>
        <w:pStyle w:val="TOC2"/>
        <w:tabs>
          <w:tab w:val="left" w:pos="720"/>
          <w:tab w:val="right" w:leader="dot" w:pos="9204"/>
        </w:tabs>
        <w:rPr>
          <w:rFonts w:eastAsiaTheme="minorEastAsia" w:cstheme="minorBidi"/>
          <w:b w:val="0"/>
          <w:bCs w:val="0"/>
          <w:noProof/>
          <w:lang w:val="en-US"/>
        </w:rPr>
      </w:pPr>
      <w:hyperlink w:anchor="_Toc482300243" w:history="1">
        <w:r w:rsidR="007C63EE" w:rsidRPr="0045662C">
          <w:rPr>
            <w:rStyle w:val="Hyperlink"/>
            <w:noProof/>
          </w:rPr>
          <w:t>3.2</w:t>
        </w:r>
        <w:r w:rsidR="007C63EE">
          <w:rPr>
            <w:rFonts w:eastAsiaTheme="minorEastAsia" w:cstheme="minorBidi"/>
            <w:b w:val="0"/>
            <w:bCs w:val="0"/>
            <w:noProof/>
            <w:lang w:val="en-US"/>
          </w:rPr>
          <w:tab/>
        </w:r>
        <w:r w:rsidR="007C63EE" w:rsidRPr="0045662C">
          <w:rPr>
            <w:rStyle w:val="Hyperlink"/>
            <w:noProof/>
          </w:rPr>
          <w:t>TDAG Correspondence Group on Strategic Plan, Operational Plan and Declaration</w:t>
        </w:r>
        <w:r w:rsidR="007C63EE">
          <w:rPr>
            <w:noProof/>
            <w:webHidden/>
          </w:rPr>
          <w:tab/>
        </w:r>
        <w:r w:rsidR="007C63EE">
          <w:rPr>
            <w:noProof/>
            <w:webHidden/>
          </w:rPr>
          <w:fldChar w:fldCharType="begin"/>
        </w:r>
        <w:r w:rsidR="007C63EE">
          <w:rPr>
            <w:noProof/>
            <w:webHidden/>
          </w:rPr>
          <w:instrText xml:space="preserve"> PAGEREF _Toc482300243 \h </w:instrText>
        </w:r>
        <w:r w:rsidR="007C63EE">
          <w:rPr>
            <w:noProof/>
            <w:webHidden/>
          </w:rPr>
        </w:r>
        <w:r w:rsidR="007C63EE">
          <w:rPr>
            <w:noProof/>
            <w:webHidden/>
          </w:rPr>
          <w:fldChar w:fldCharType="separate"/>
        </w:r>
        <w:r w:rsidR="00900686">
          <w:rPr>
            <w:noProof/>
            <w:webHidden/>
          </w:rPr>
          <w:t>16</w:t>
        </w:r>
        <w:r w:rsidR="007C63EE">
          <w:rPr>
            <w:noProof/>
            <w:webHidden/>
          </w:rPr>
          <w:fldChar w:fldCharType="end"/>
        </w:r>
      </w:hyperlink>
    </w:p>
    <w:p w14:paraId="130C194A" w14:textId="6C515081" w:rsidR="007C63EE" w:rsidRDefault="00C10A8E">
      <w:pPr>
        <w:pStyle w:val="TOC2"/>
        <w:tabs>
          <w:tab w:val="left" w:pos="720"/>
          <w:tab w:val="right" w:leader="dot" w:pos="9204"/>
        </w:tabs>
        <w:rPr>
          <w:rFonts w:eastAsiaTheme="minorEastAsia" w:cstheme="minorBidi"/>
          <w:b w:val="0"/>
          <w:bCs w:val="0"/>
          <w:noProof/>
          <w:lang w:val="en-US"/>
        </w:rPr>
      </w:pPr>
      <w:hyperlink w:anchor="_Toc482300244" w:history="1">
        <w:r w:rsidR="007C63EE" w:rsidRPr="0045662C">
          <w:rPr>
            <w:rStyle w:val="Hyperlink"/>
            <w:noProof/>
          </w:rPr>
          <w:t>3.3</w:t>
        </w:r>
        <w:r w:rsidR="007C63EE">
          <w:rPr>
            <w:rFonts w:eastAsiaTheme="minorEastAsia" w:cstheme="minorBidi"/>
            <w:b w:val="0"/>
            <w:bCs w:val="0"/>
            <w:noProof/>
            <w:lang w:val="en-US"/>
          </w:rPr>
          <w:tab/>
        </w:r>
        <w:r w:rsidR="007C63EE" w:rsidRPr="0045662C">
          <w:rPr>
            <w:rStyle w:val="Hyperlink"/>
            <w:noProof/>
          </w:rPr>
          <w:t>TDAG Correspondence Group on Streamlining WTDC Resolutions</w:t>
        </w:r>
        <w:r w:rsidR="007C63EE">
          <w:rPr>
            <w:noProof/>
            <w:webHidden/>
          </w:rPr>
          <w:tab/>
        </w:r>
        <w:r w:rsidR="007C63EE">
          <w:rPr>
            <w:noProof/>
            <w:webHidden/>
          </w:rPr>
          <w:fldChar w:fldCharType="begin"/>
        </w:r>
        <w:r w:rsidR="007C63EE">
          <w:rPr>
            <w:noProof/>
            <w:webHidden/>
          </w:rPr>
          <w:instrText xml:space="preserve"> PAGEREF _Toc482300244 \h </w:instrText>
        </w:r>
        <w:r w:rsidR="007C63EE">
          <w:rPr>
            <w:noProof/>
            <w:webHidden/>
          </w:rPr>
        </w:r>
        <w:r w:rsidR="007C63EE">
          <w:rPr>
            <w:noProof/>
            <w:webHidden/>
          </w:rPr>
          <w:fldChar w:fldCharType="separate"/>
        </w:r>
        <w:r w:rsidR="00900686">
          <w:rPr>
            <w:noProof/>
            <w:webHidden/>
          </w:rPr>
          <w:t>17</w:t>
        </w:r>
        <w:r w:rsidR="007C63EE">
          <w:rPr>
            <w:noProof/>
            <w:webHidden/>
          </w:rPr>
          <w:fldChar w:fldCharType="end"/>
        </w:r>
      </w:hyperlink>
    </w:p>
    <w:p w14:paraId="5232DEAF" w14:textId="068A4320" w:rsidR="007C63EE" w:rsidRDefault="00C10A8E">
      <w:pPr>
        <w:pStyle w:val="TOC1"/>
        <w:tabs>
          <w:tab w:val="left" w:pos="480"/>
          <w:tab w:val="right" w:leader="dot" w:pos="9204"/>
        </w:tabs>
        <w:rPr>
          <w:rFonts w:eastAsiaTheme="minorEastAsia" w:cstheme="minorBidi"/>
          <w:b w:val="0"/>
          <w:bCs w:val="0"/>
          <w:i w:val="0"/>
          <w:iCs w:val="0"/>
          <w:noProof/>
          <w:sz w:val="22"/>
          <w:szCs w:val="22"/>
          <w:lang w:val="en-US"/>
        </w:rPr>
      </w:pPr>
      <w:hyperlink w:anchor="_Toc482300245" w:history="1">
        <w:r w:rsidR="007C63EE" w:rsidRPr="0045662C">
          <w:rPr>
            <w:rStyle w:val="Hyperlink"/>
            <w:noProof/>
          </w:rPr>
          <w:t>4.</w:t>
        </w:r>
        <w:r w:rsidR="007C63EE">
          <w:rPr>
            <w:rFonts w:eastAsiaTheme="minorEastAsia" w:cstheme="minorBidi"/>
            <w:b w:val="0"/>
            <w:bCs w:val="0"/>
            <w:i w:val="0"/>
            <w:iCs w:val="0"/>
            <w:noProof/>
            <w:sz w:val="22"/>
            <w:szCs w:val="22"/>
            <w:lang w:val="en-US"/>
          </w:rPr>
          <w:tab/>
        </w:r>
        <w:r w:rsidR="007C63EE" w:rsidRPr="0045662C">
          <w:rPr>
            <w:rStyle w:val="Hyperlink"/>
            <w:noProof/>
          </w:rPr>
          <w:t>Matters assigned to TDAG by WTDC Resolution 24 (Rev. Dubai, 2014)</w:t>
        </w:r>
        <w:r w:rsidR="007C63EE">
          <w:rPr>
            <w:noProof/>
            <w:webHidden/>
          </w:rPr>
          <w:tab/>
        </w:r>
        <w:r w:rsidR="007C63EE">
          <w:rPr>
            <w:noProof/>
            <w:webHidden/>
          </w:rPr>
          <w:fldChar w:fldCharType="begin"/>
        </w:r>
        <w:r w:rsidR="007C63EE">
          <w:rPr>
            <w:noProof/>
            <w:webHidden/>
          </w:rPr>
          <w:instrText xml:space="preserve"> PAGEREF _Toc482300245 \h </w:instrText>
        </w:r>
        <w:r w:rsidR="007C63EE">
          <w:rPr>
            <w:noProof/>
            <w:webHidden/>
          </w:rPr>
        </w:r>
        <w:r w:rsidR="007C63EE">
          <w:rPr>
            <w:noProof/>
            <w:webHidden/>
          </w:rPr>
          <w:fldChar w:fldCharType="separate"/>
        </w:r>
        <w:r w:rsidR="00900686">
          <w:rPr>
            <w:noProof/>
            <w:webHidden/>
          </w:rPr>
          <w:t>17</w:t>
        </w:r>
        <w:r w:rsidR="007C63EE">
          <w:rPr>
            <w:noProof/>
            <w:webHidden/>
          </w:rPr>
          <w:fldChar w:fldCharType="end"/>
        </w:r>
      </w:hyperlink>
    </w:p>
    <w:p w14:paraId="0495BF43" w14:textId="013DE996" w:rsidR="007C63EE" w:rsidRDefault="00C10A8E">
      <w:pPr>
        <w:pStyle w:val="TOC2"/>
        <w:tabs>
          <w:tab w:val="left" w:pos="720"/>
          <w:tab w:val="right" w:leader="dot" w:pos="9204"/>
        </w:tabs>
        <w:rPr>
          <w:rFonts w:eastAsiaTheme="minorEastAsia" w:cstheme="minorBidi"/>
          <w:b w:val="0"/>
          <w:bCs w:val="0"/>
          <w:noProof/>
          <w:lang w:val="en-US"/>
        </w:rPr>
      </w:pPr>
      <w:hyperlink w:anchor="_Toc482300246" w:history="1">
        <w:r w:rsidR="007C63EE" w:rsidRPr="0045662C">
          <w:rPr>
            <w:rStyle w:val="Hyperlink"/>
            <w:noProof/>
          </w:rPr>
          <w:t>4.1</w:t>
        </w:r>
        <w:r w:rsidR="007C63EE">
          <w:rPr>
            <w:rFonts w:eastAsiaTheme="minorEastAsia" w:cstheme="minorBidi"/>
            <w:b w:val="0"/>
            <w:bCs w:val="0"/>
            <w:noProof/>
            <w:lang w:val="en-US"/>
          </w:rPr>
          <w:tab/>
        </w:r>
        <w:r w:rsidR="007C63EE" w:rsidRPr="0045662C">
          <w:rPr>
            <w:rStyle w:val="Hyperlink"/>
            <w:noProof/>
          </w:rPr>
          <w:t>Background</w:t>
        </w:r>
        <w:r w:rsidR="007C63EE">
          <w:rPr>
            <w:noProof/>
            <w:webHidden/>
          </w:rPr>
          <w:tab/>
        </w:r>
        <w:r w:rsidR="007C63EE">
          <w:rPr>
            <w:noProof/>
            <w:webHidden/>
          </w:rPr>
          <w:fldChar w:fldCharType="begin"/>
        </w:r>
        <w:r w:rsidR="007C63EE">
          <w:rPr>
            <w:noProof/>
            <w:webHidden/>
          </w:rPr>
          <w:instrText xml:space="preserve"> PAGEREF _Toc482300246 \h </w:instrText>
        </w:r>
        <w:r w:rsidR="007C63EE">
          <w:rPr>
            <w:noProof/>
            <w:webHidden/>
          </w:rPr>
        </w:r>
        <w:r w:rsidR="007C63EE">
          <w:rPr>
            <w:noProof/>
            <w:webHidden/>
          </w:rPr>
          <w:fldChar w:fldCharType="separate"/>
        </w:r>
        <w:r w:rsidR="00900686">
          <w:rPr>
            <w:noProof/>
            <w:webHidden/>
          </w:rPr>
          <w:t>17</w:t>
        </w:r>
        <w:r w:rsidR="007C63EE">
          <w:rPr>
            <w:noProof/>
            <w:webHidden/>
          </w:rPr>
          <w:fldChar w:fldCharType="end"/>
        </w:r>
      </w:hyperlink>
    </w:p>
    <w:p w14:paraId="7FD71F17" w14:textId="3F36D37E" w:rsidR="007C63EE" w:rsidRDefault="00C10A8E">
      <w:pPr>
        <w:pStyle w:val="TOC2"/>
        <w:tabs>
          <w:tab w:val="left" w:pos="720"/>
          <w:tab w:val="right" w:leader="dot" w:pos="9204"/>
        </w:tabs>
        <w:rPr>
          <w:rFonts w:eastAsiaTheme="minorEastAsia" w:cstheme="minorBidi"/>
          <w:b w:val="0"/>
          <w:bCs w:val="0"/>
          <w:noProof/>
          <w:lang w:val="en-US"/>
        </w:rPr>
      </w:pPr>
      <w:hyperlink w:anchor="_Toc482300247" w:history="1">
        <w:r w:rsidR="007C63EE" w:rsidRPr="0045662C">
          <w:rPr>
            <w:rStyle w:val="Hyperlink"/>
            <w:noProof/>
          </w:rPr>
          <w:t>4.2</w:t>
        </w:r>
        <w:r w:rsidR="007C63EE">
          <w:rPr>
            <w:rFonts w:eastAsiaTheme="minorEastAsia" w:cstheme="minorBidi"/>
            <w:b w:val="0"/>
            <w:bCs w:val="0"/>
            <w:noProof/>
            <w:lang w:val="en-US"/>
          </w:rPr>
          <w:tab/>
        </w:r>
        <w:r w:rsidR="007C63EE" w:rsidRPr="0045662C">
          <w:rPr>
            <w:rStyle w:val="Hyperlink"/>
            <w:noProof/>
          </w:rPr>
          <w:t>Upkeep of up-to-date, efficient and flexible working guidelines</w:t>
        </w:r>
        <w:r w:rsidR="007C63EE">
          <w:rPr>
            <w:noProof/>
            <w:webHidden/>
          </w:rPr>
          <w:tab/>
        </w:r>
        <w:r w:rsidR="007C63EE">
          <w:rPr>
            <w:noProof/>
            <w:webHidden/>
          </w:rPr>
          <w:fldChar w:fldCharType="begin"/>
        </w:r>
        <w:r w:rsidR="007C63EE">
          <w:rPr>
            <w:noProof/>
            <w:webHidden/>
          </w:rPr>
          <w:instrText xml:space="preserve"> PAGEREF _Toc482300247 \h </w:instrText>
        </w:r>
        <w:r w:rsidR="007C63EE">
          <w:rPr>
            <w:noProof/>
            <w:webHidden/>
          </w:rPr>
        </w:r>
        <w:r w:rsidR="007C63EE">
          <w:rPr>
            <w:noProof/>
            <w:webHidden/>
          </w:rPr>
          <w:fldChar w:fldCharType="separate"/>
        </w:r>
        <w:r w:rsidR="00900686">
          <w:rPr>
            <w:noProof/>
            <w:webHidden/>
          </w:rPr>
          <w:t>19</w:t>
        </w:r>
        <w:r w:rsidR="007C63EE">
          <w:rPr>
            <w:noProof/>
            <w:webHidden/>
          </w:rPr>
          <w:fldChar w:fldCharType="end"/>
        </w:r>
      </w:hyperlink>
    </w:p>
    <w:p w14:paraId="7AD0A692" w14:textId="355C64DD" w:rsidR="007C63EE" w:rsidRDefault="00C10A8E">
      <w:pPr>
        <w:pStyle w:val="TOC2"/>
        <w:tabs>
          <w:tab w:val="left" w:pos="720"/>
          <w:tab w:val="right" w:leader="dot" w:pos="9204"/>
        </w:tabs>
        <w:rPr>
          <w:rFonts w:eastAsiaTheme="minorEastAsia" w:cstheme="minorBidi"/>
          <w:b w:val="0"/>
          <w:bCs w:val="0"/>
          <w:noProof/>
          <w:lang w:val="en-US"/>
        </w:rPr>
      </w:pPr>
      <w:hyperlink w:anchor="_Toc482300248" w:history="1">
        <w:r w:rsidR="007C63EE" w:rsidRPr="0045662C">
          <w:rPr>
            <w:rStyle w:val="Hyperlink"/>
            <w:rFonts w:eastAsia="SimSun"/>
            <w:noProof/>
          </w:rPr>
          <w:t>4.3</w:t>
        </w:r>
        <w:r w:rsidR="007C63EE">
          <w:rPr>
            <w:rFonts w:eastAsiaTheme="minorEastAsia" w:cstheme="minorBidi"/>
            <w:b w:val="0"/>
            <w:bCs w:val="0"/>
            <w:noProof/>
            <w:lang w:val="en-US"/>
          </w:rPr>
          <w:tab/>
        </w:r>
        <w:r w:rsidR="007C63EE" w:rsidRPr="0045662C">
          <w:rPr>
            <w:rStyle w:val="Hyperlink"/>
            <w:rFonts w:eastAsia="SimSun"/>
            <w:noProof/>
          </w:rPr>
          <w:t>Evaluation of the working methods and functioning of the ITU-D study groups, and approval of changes to improve efficiency and maximize programme delivery</w:t>
        </w:r>
        <w:r w:rsidR="007C63EE">
          <w:rPr>
            <w:noProof/>
            <w:webHidden/>
          </w:rPr>
          <w:tab/>
        </w:r>
        <w:r w:rsidR="007C63EE">
          <w:rPr>
            <w:noProof/>
            <w:webHidden/>
          </w:rPr>
          <w:fldChar w:fldCharType="begin"/>
        </w:r>
        <w:r w:rsidR="007C63EE">
          <w:rPr>
            <w:noProof/>
            <w:webHidden/>
          </w:rPr>
          <w:instrText xml:space="preserve"> PAGEREF _Toc482300248 \h </w:instrText>
        </w:r>
        <w:r w:rsidR="007C63EE">
          <w:rPr>
            <w:noProof/>
            <w:webHidden/>
          </w:rPr>
        </w:r>
        <w:r w:rsidR="007C63EE">
          <w:rPr>
            <w:noProof/>
            <w:webHidden/>
          </w:rPr>
          <w:fldChar w:fldCharType="separate"/>
        </w:r>
        <w:r w:rsidR="00900686">
          <w:rPr>
            <w:noProof/>
            <w:webHidden/>
          </w:rPr>
          <w:t>20</w:t>
        </w:r>
        <w:r w:rsidR="007C63EE">
          <w:rPr>
            <w:noProof/>
            <w:webHidden/>
          </w:rPr>
          <w:fldChar w:fldCharType="end"/>
        </w:r>
      </w:hyperlink>
    </w:p>
    <w:p w14:paraId="31931A90" w14:textId="34963A4B" w:rsidR="007C63EE" w:rsidRDefault="00C10A8E">
      <w:pPr>
        <w:pStyle w:val="TOC2"/>
        <w:tabs>
          <w:tab w:val="left" w:pos="720"/>
          <w:tab w:val="right" w:leader="dot" w:pos="9204"/>
        </w:tabs>
        <w:rPr>
          <w:rFonts w:eastAsiaTheme="minorEastAsia" w:cstheme="minorBidi"/>
          <w:b w:val="0"/>
          <w:bCs w:val="0"/>
          <w:noProof/>
          <w:lang w:val="en-US"/>
        </w:rPr>
      </w:pPr>
      <w:hyperlink w:anchor="_Toc482300249" w:history="1">
        <w:r w:rsidR="007C63EE" w:rsidRPr="0045662C">
          <w:rPr>
            <w:rStyle w:val="Hyperlink"/>
            <w:rFonts w:eastAsia="SimSun"/>
            <w:noProof/>
          </w:rPr>
          <w:t>4.4</w:t>
        </w:r>
        <w:r w:rsidR="007C63EE">
          <w:rPr>
            <w:rFonts w:eastAsiaTheme="minorEastAsia" w:cstheme="minorBidi"/>
            <w:b w:val="0"/>
            <w:bCs w:val="0"/>
            <w:noProof/>
            <w:lang w:val="en-US"/>
          </w:rPr>
          <w:tab/>
        </w:r>
        <w:r w:rsidR="007C63EE" w:rsidRPr="0045662C">
          <w:rPr>
            <w:rStyle w:val="Hyperlink"/>
            <w:rFonts w:eastAsia="SimSun"/>
            <w:noProof/>
          </w:rPr>
          <w:t>Provision of advice to the Director of BDT on relevant financial and other matters</w:t>
        </w:r>
        <w:r w:rsidR="007C63EE">
          <w:rPr>
            <w:noProof/>
            <w:webHidden/>
          </w:rPr>
          <w:tab/>
        </w:r>
        <w:r w:rsidR="007C63EE">
          <w:rPr>
            <w:noProof/>
            <w:webHidden/>
          </w:rPr>
          <w:fldChar w:fldCharType="begin"/>
        </w:r>
        <w:r w:rsidR="007C63EE">
          <w:rPr>
            <w:noProof/>
            <w:webHidden/>
          </w:rPr>
          <w:instrText xml:space="preserve"> PAGEREF _Toc482300249 \h </w:instrText>
        </w:r>
        <w:r w:rsidR="007C63EE">
          <w:rPr>
            <w:noProof/>
            <w:webHidden/>
          </w:rPr>
        </w:r>
        <w:r w:rsidR="007C63EE">
          <w:rPr>
            <w:noProof/>
            <w:webHidden/>
          </w:rPr>
          <w:fldChar w:fldCharType="separate"/>
        </w:r>
        <w:r w:rsidR="00900686">
          <w:rPr>
            <w:noProof/>
            <w:webHidden/>
          </w:rPr>
          <w:t>20</w:t>
        </w:r>
        <w:r w:rsidR="007C63EE">
          <w:rPr>
            <w:noProof/>
            <w:webHidden/>
          </w:rPr>
          <w:fldChar w:fldCharType="end"/>
        </w:r>
      </w:hyperlink>
    </w:p>
    <w:p w14:paraId="71129C90" w14:textId="77777777" w:rsidR="007A5D37" w:rsidRDefault="007F599D" w:rsidP="00950EE4">
      <w:pPr>
        <w:pStyle w:val="TOC2"/>
        <w:rPr>
          <w:caps/>
          <w:sz w:val="24"/>
          <w:szCs w:val="24"/>
        </w:rPr>
        <w:sectPr w:rsidR="007A5D37" w:rsidSect="00950EE4">
          <w:headerReference w:type="default" r:id="rId18"/>
          <w:footerReference w:type="even" r:id="rId19"/>
          <w:footerReference w:type="first" r:id="rId20"/>
          <w:type w:val="continuous"/>
          <w:pgSz w:w="11907" w:h="16840" w:code="9"/>
          <w:pgMar w:top="1418" w:right="1559" w:bottom="851" w:left="1134" w:header="720" w:footer="720" w:gutter="0"/>
          <w:paperSrc w:first="15" w:other="15"/>
          <w:pgNumType w:start="1"/>
          <w:cols w:space="720"/>
          <w:titlePg/>
          <w:docGrid w:linePitch="326"/>
        </w:sectPr>
      </w:pPr>
      <w:r>
        <w:rPr>
          <w:caps/>
          <w:sz w:val="24"/>
          <w:szCs w:val="24"/>
        </w:rPr>
        <w:lastRenderedPageBreak/>
        <w:fldChar w:fldCharType="end"/>
      </w:r>
    </w:p>
    <w:p w14:paraId="3E418207" w14:textId="7FC5167A" w:rsidR="00BC78ED" w:rsidRPr="00BC78ED" w:rsidRDefault="00BC78ED" w:rsidP="00BC78ED">
      <w:pPr>
        <w:pStyle w:val="Heading1"/>
        <w:ind w:left="567" w:hanging="567"/>
      </w:pPr>
      <w:bookmarkStart w:id="6" w:name="_Toc482300234"/>
      <w:bookmarkEnd w:id="4"/>
      <w:r>
        <w:t>Introduction</w:t>
      </w:r>
      <w:bookmarkEnd w:id="6"/>
    </w:p>
    <w:p w14:paraId="02ADAEF4" w14:textId="0382E2CE" w:rsidR="00741AED" w:rsidRDefault="00741AED">
      <w:pPr>
        <w:spacing w:after="120"/>
      </w:pPr>
      <w:r w:rsidRPr="00741AED">
        <w:rPr>
          <w:szCs w:val="24"/>
        </w:rPr>
        <w:t>This report contains a summary of the work carried out by the Telecommunication Development Advisory Group (TDAG) during the period 2014-2017.</w:t>
      </w:r>
      <w:r w:rsidR="003C6404" w:rsidRPr="003C6404">
        <w:t xml:space="preserve"> </w:t>
      </w:r>
    </w:p>
    <w:p w14:paraId="54C16642" w14:textId="53F8CD5D" w:rsidR="0055628F" w:rsidRPr="0055628F" w:rsidRDefault="0055628F" w:rsidP="0055628F">
      <w:pPr>
        <w:pStyle w:val="Heading2"/>
      </w:pPr>
      <w:bookmarkStart w:id="7" w:name="_Toc482300235"/>
      <w:r w:rsidRPr="0055628F">
        <w:t>T</w:t>
      </w:r>
      <w:r w:rsidR="00741AED" w:rsidRPr="0055628F">
        <w:t>erms of Reference of TDAG</w:t>
      </w:r>
      <w:bookmarkEnd w:id="7"/>
    </w:p>
    <w:p w14:paraId="23F94A0A" w14:textId="386A18E1" w:rsidR="00741AED" w:rsidRDefault="00741AED" w:rsidP="00741AED">
      <w:r w:rsidRPr="0019124B">
        <w:t xml:space="preserve">The terms of reference of TDAG can be found at: </w:t>
      </w:r>
      <w:hyperlink r:id="rId21" w:history="1">
        <w:r w:rsidRPr="00AB2F2E">
          <w:rPr>
            <w:rStyle w:val="Hyperlink"/>
          </w:rPr>
          <w:t>www.itu.int/ITU-D/tdag/</w:t>
        </w:r>
      </w:hyperlink>
      <w:r w:rsidRPr="00AB2F2E">
        <w:t>.</w:t>
      </w:r>
    </w:p>
    <w:p w14:paraId="1876B90D" w14:textId="4F43A917" w:rsidR="00594304" w:rsidRDefault="00594304" w:rsidP="00363DA9">
      <w:pPr>
        <w:pStyle w:val="Heading2"/>
      </w:pPr>
      <w:bookmarkStart w:id="8" w:name="_Toc482300236"/>
      <w:r w:rsidRPr="0055628F">
        <w:t>Telecommunication Development Advisory Group Bureau</w:t>
      </w:r>
      <w:bookmarkEnd w:id="8"/>
    </w:p>
    <w:p w14:paraId="4CB00FA2" w14:textId="1DFF5FF1" w:rsidR="003C6404" w:rsidRPr="0055628F" w:rsidRDefault="003C6404" w:rsidP="00363DA9">
      <w:pPr>
        <w:tabs>
          <w:tab w:val="clear" w:pos="1134"/>
        </w:tabs>
        <w:spacing w:after="240"/>
      </w:pPr>
      <w:r w:rsidRPr="003C6404">
        <w:rPr>
          <w:szCs w:val="24"/>
        </w:rPr>
        <w:t>In application of Resolution 61 (Rev. Dubai, 2014), WTDC-14 adopted the</w:t>
      </w:r>
      <w:r>
        <w:rPr>
          <w:szCs w:val="24"/>
        </w:rPr>
        <w:t xml:space="preserve"> </w:t>
      </w:r>
      <w:r w:rsidRPr="003C6404">
        <w:rPr>
          <w:szCs w:val="24"/>
        </w:rPr>
        <w:t xml:space="preserve">composition of the TDAG Bureau and appointed the TDAG chairman and </w:t>
      </w:r>
      <w:proofErr w:type="spellStart"/>
      <w:r w:rsidRPr="003C6404">
        <w:rPr>
          <w:szCs w:val="24"/>
        </w:rPr>
        <w:t>vicechairmen</w:t>
      </w:r>
      <w:proofErr w:type="spellEnd"/>
      <w:r w:rsidRPr="003C6404">
        <w:rPr>
          <w:szCs w:val="24"/>
        </w:rPr>
        <w:t>,</w:t>
      </w:r>
      <w:r>
        <w:rPr>
          <w:szCs w:val="24"/>
        </w:rPr>
        <w:t xml:space="preserve"> </w:t>
      </w:r>
      <w:r w:rsidRPr="003C6404">
        <w:rPr>
          <w:szCs w:val="24"/>
        </w:rPr>
        <w:t>as follows:</w:t>
      </w:r>
    </w:p>
    <w:tbl>
      <w:tblPr>
        <w:tblStyle w:val="TableGrid"/>
        <w:tblW w:w="9209" w:type="dxa"/>
        <w:tblLook w:val="04A0" w:firstRow="1" w:lastRow="0" w:firstColumn="1" w:lastColumn="0" w:noHBand="0" w:noVBand="1"/>
      </w:tblPr>
      <w:tblGrid>
        <w:gridCol w:w="1838"/>
        <w:gridCol w:w="3402"/>
        <w:gridCol w:w="2268"/>
        <w:gridCol w:w="1701"/>
      </w:tblGrid>
      <w:tr w:rsidR="00594304" w:rsidRPr="00A31ACB" w14:paraId="6BD45A89" w14:textId="77777777" w:rsidTr="00363DA9">
        <w:trPr>
          <w:trHeight w:val="567"/>
        </w:trPr>
        <w:tc>
          <w:tcPr>
            <w:tcW w:w="1838" w:type="dxa"/>
            <w:shd w:val="clear" w:color="auto" w:fill="F2F2F2" w:themeFill="background1" w:themeFillShade="F2"/>
            <w:vAlign w:val="center"/>
          </w:tcPr>
          <w:p w14:paraId="247AB451" w14:textId="77777777" w:rsidR="00176EF6" w:rsidRDefault="00594304" w:rsidP="00027B40">
            <w:pPr>
              <w:pStyle w:val="BDTNormal"/>
              <w:tabs>
                <w:tab w:val="left" w:pos="3375"/>
                <w:tab w:val="center" w:pos="4706"/>
              </w:tabs>
              <w:spacing w:before="0" w:after="0"/>
              <w:jc w:val="center"/>
              <w:rPr>
                <w:rFonts w:asciiTheme="minorHAnsi" w:hAnsiTheme="minorHAnsi"/>
                <w:b/>
                <w:bCs/>
                <w:noProof/>
                <w:sz w:val="24"/>
                <w:szCs w:val="24"/>
                <w:lang w:val="en-US"/>
              </w:rPr>
            </w:pPr>
            <w:r w:rsidRPr="00C449B6">
              <w:rPr>
                <w:rFonts w:asciiTheme="minorHAnsi" w:hAnsiTheme="minorHAnsi"/>
                <w:b/>
                <w:bCs/>
                <w:noProof/>
                <w:sz w:val="24"/>
                <w:szCs w:val="24"/>
                <w:lang w:val="en-US"/>
              </w:rPr>
              <w:t xml:space="preserve">Chairman/ </w:t>
            </w:r>
          </w:p>
          <w:p w14:paraId="1DA5F294" w14:textId="1264592D" w:rsidR="00594304" w:rsidRPr="00C449B6" w:rsidRDefault="00594304" w:rsidP="00027B40">
            <w:pPr>
              <w:pStyle w:val="BDTNormal"/>
              <w:tabs>
                <w:tab w:val="left" w:pos="3375"/>
                <w:tab w:val="center" w:pos="4706"/>
              </w:tabs>
              <w:spacing w:before="0" w:after="0"/>
              <w:jc w:val="center"/>
              <w:rPr>
                <w:rFonts w:asciiTheme="minorHAnsi" w:hAnsiTheme="minorHAnsi"/>
                <w:b/>
                <w:bCs/>
                <w:noProof/>
                <w:sz w:val="24"/>
                <w:szCs w:val="24"/>
                <w:lang w:val="en-US"/>
              </w:rPr>
            </w:pPr>
            <w:r w:rsidRPr="00C449B6">
              <w:rPr>
                <w:rFonts w:asciiTheme="minorHAnsi" w:hAnsiTheme="minorHAnsi"/>
                <w:b/>
                <w:bCs/>
                <w:noProof/>
                <w:sz w:val="24"/>
                <w:szCs w:val="24"/>
                <w:lang w:val="en-US"/>
              </w:rPr>
              <w:t>Vice-Chairmen</w:t>
            </w:r>
          </w:p>
        </w:tc>
        <w:tc>
          <w:tcPr>
            <w:tcW w:w="3402" w:type="dxa"/>
            <w:shd w:val="clear" w:color="auto" w:fill="F2F2F2" w:themeFill="background1" w:themeFillShade="F2"/>
            <w:vAlign w:val="center"/>
          </w:tcPr>
          <w:p w14:paraId="0257DCDB" w14:textId="77777777" w:rsidR="00594304" w:rsidRPr="00C449B6" w:rsidRDefault="00594304" w:rsidP="00027B40">
            <w:pPr>
              <w:pStyle w:val="BDTNormal"/>
              <w:tabs>
                <w:tab w:val="left" w:pos="3375"/>
                <w:tab w:val="center" w:pos="4706"/>
              </w:tabs>
              <w:spacing w:before="0" w:after="0"/>
              <w:jc w:val="center"/>
              <w:rPr>
                <w:rFonts w:asciiTheme="minorHAnsi" w:hAnsiTheme="minorHAnsi"/>
                <w:b/>
                <w:bCs/>
                <w:noProof/>
                <w:sz w:val="24"/>
                <w:szCs w:val="24"/>
                <w:lang w:val="en-US"/>
              </w:rPr>
            </w:pPr>
            <w:r w:rsidRPr="00C449B6">
              <w:rPr>
                <w:rFonts w:asciiTheme="minorHAnsi" w:hAnsiTheme="minorHAnsi"/>
                <w:b/>
                <w:bCs/>
                <w:noProof/>
                <w:sz w:val="24"/>
                <w:szCs w:val="24"/>
                <w:lang w:val="en-US"/>
              </w:rPr>
              <w:t>Name</w:t>
            </w:r>
          </w:p>
        </w:tc>
        <w:tc>
          <w:tcPr>
            <w:tcW w:w="2268" w:type="dxa"/>
            <w:shd w:val="clear" w:color="auto" w:fill="F2F2F2" w:themeFill="background1" w:themeFillShade="F2"/>
            <w:vAlign w:val="center"/>
          </w:tcPr>
          <w:p w14:paraId="7FC05CCD" w14:textId="77777777" w:rsidR="00594304" w:rsidRPr="00C449B6" w:rsidRDefault="00594304" w:rsidP="00027B40">
            <w:pPr>
              <w:pStyle w:val="BDTNormal"/>
              <w:tabs>
                <w:tab w:val="left" w:pos="3375"/>
                <w:tab w:val="center" w:pos="4706"/>
              </w:tabs>
              <w:spacing w:before="0" w:after="0"/>
              <w:jc w:val="center"/>
              <w:rPr>
                <w:rFonts w:asciiTheme="minorHAnsi" w:hAnsiTheme="minorHAnsi"/>
                <w:b/>
                <w:bCs/>
                <w:noProof/>
                <w:sz w:val="24"/>
                <w:szCs w:val="24"/>
                <w:lang w:val="en-US"/>
              </w:rPr>
            </w:pPr>
            <w:r w:rsidRPr="00C449B6">
              <w:rPr>
                <w:rFonts w:asciiTheme="minorHAnsi" w:hAnsiTheme="minorHAnsi"/>
                <w:b/>
                <w:bCs/>
                <w:noProof/>
                <w:sz w:val="24"/>
                <w:szCs w:val="24"/>
                <w:lang w:val="en-US"/>
              </w:rPr>
              <w:t>Country</w:t>
            </w:r>
          </w:p>
        </w:tc>
        <w:tc>
          <w:tcPr>
            <w:tcW w:w="1701" w:type="dxa"/>
            <w:shd w:val="clear" w:color="auto" w:fill="F2F2F2" w:themeFill="background1" w:themeFillShade="F2"/>
            <w:vAlign w:val="center"/>
          </w:tcPr>
          <w:p w14:paraId="11B51ADD" w14:textId="77777777" w:rsidR="00594304" w:rsidRPr="00C449B6" w:rsidRDefault="00594304" w:rsidP="00027B40">
            <w:pPr>
              <w:pStyle w:val="BDTNormal"/>
              <w:tabs>
                <w:tab w:val="left" w:pos="3375"/>
                <w:tab w:val="center" w:pos="4706"/>
              </w:tabs>
              <w:spacing w:before="0" w:after="0"/>
              <w:jc w:val="center"/>
              <w:rPr>
                <w:rFonts w:asciiTheme="minorHAnsi" w:hAnsiTheme="minorHAnsi"/>
                <w:b/>
                <w:bCs/>
                <w:noProof/>
                <w:sz w:val="24"/>
                <w:szCs w:val="24"/>
                <w:lang w:val="en-US"/>
              </w:rPr>
            </w:pPr>
            <w:r w:rsidRPr="00C449B6">
              <w:rPr>
                <w:rFonts w:asciiTheme="minorHAnsi" w:hAnsiTheme="minorHAnsi"/>
                <w:b/>
                <w:bCs/>
                <w:noProof/>
                <w:sz w:val="24"/>
                <w:szCs w:val="24"/>
                <w:lang w:val="en-US"/>
              </w:rPr>
              <w:t>BDT Region</w:t>
            </w:r>
          </w:p>
        </w:tc>
      </w:tr>
      <w:tr w:rsidR="00594304" w:rsidRPr="00A31ACB" w14:paraId="2433F87F" w14:textId="77777777" w:rsidTr="00363DA9">
        <w:trPr>
          <w:trHeight w:val="397"/>
        </w:trPr>
        <w:tc>
          <w:tcPr>
            <w:tcW w:w="1838" w:type="dxa"/>
            <w:vAlign w:val="center"/>
          </w:tcPr>
          <w:p w14:paraId="4CA23A32" w14:textId="77777777" w:rsidR="00594304" w:rsidRPr="00C449B6" w:rsidRDefault="00594304" w:rsidP="009521AC">
            <w:pPr>
              <w:spacing w:before="0"/>
              <w:rPr>
                <w:noProof/>
                <w:szCs w:val="24"/>
              </w:rPr>
            </w:pPr>
            <w:r w:rsidRPr="00C449B6">
              <w:rPr>
                <w:noProof/>
                <w:szCs w:val="24"/>
              </w:rPr>
              <w:t>Chairman</w:t>
            </w:r>
          </w:p>
        </w:tc>
        <w:tc>
          <w:tcPr>
            <w:tcW w:w="3402" w:type="dxa"/>
            <w:vAlign w:val="center"/>
          </w:tcPr>
          <w:p w14:paraId="069F76E5" w14:textId="4D55E115" w:rsidR="00594304" w:rsidRPr="00C449B6" w:rsidRDefault="00165778" w:rsidP="00363DA9">
            <w:pPr>
              <w:spacing w:before="0"/>
              <w:rPr>
                <w:noProof/>
                <w:szCs w:val="24"/>
              </w:rPr>
            </w:pPr>
            <w:r>
              <w:rPr>
                <w:noProof/>
                <w:szCs w:val="24"/>
              </w:rPr>
              <w:t>Prof. D</w:t>
            </w:r>
            <w:r w:rsidR="00594304" w:rsidRPr="00C449B6">
              <w:rPr>
                <w:noProof/>
                <w:szCs w:val="24"/>
              </w:rPr>
              <w:t>r Vladimir Minkin</w:t>
            </w:r>
          </w:p>
        </w:tc>
        <w:tc>
          <w:tcPr>
            <w:tcW w:w="2268" w:type="dxa"/>
            <w:vAlign w:val="center"/>
          </w:tcPr>
          <w:p w14:paraId="2EA0E3CB" w14:textId="77777777" w:rsidR="00594304" w:rsidRPr="00C449B6" w:rsidRDefault="00594304" w:rsidP="009521AC">
            <w:pPr>
              <w:spacing w:before="0"/>
              <w:ind w:right="-113"/>
              <w:rPr>
                <w:noProof/>
                <w:szCs w:val="24"/>
              </w:rPr>
            </w:pPr>
            <w:r w:rsidRPr="00C449B6">
              <w:rPr>
                <w:noProof/>
                <w:szCs w:val="24"/>
              </w:rPr>
              <w:t>Russian</w:t>
            </w:r>
            <w:r w:rsidRPr="00C449B6">
              <w:rPr>
                <w:noProof/>
                <w:spacing w:val="-20"/>
                <w:szCs w:val="24"/>
              </w:rPr>
              <w:t xml:space="preserve"> </w:t>
            </w:r>
            <w:r w:rsidRPr="00C449B6">
              <w:rPr>
                <w:noProof/>
                <w:szCs w:val="24"/>
              </w:rPr>
              <w:t>Federation</w:t>
            </w:r>
          </w:p>
        </w:tc>
        <w:tc>
          <w:tcPr>
            <w:tcW w:w="1701" w:type="dxa"/>
            <w:vAlign w:val="center"/>
          </w:tcPr>
          <w:p w14:paraId="6D4FA9DA" w14:textId="77777777" w:rsidR="00594304" w:rsidRPr="00C449B6" w:rsidRDefault="00594304" w:rsidP="009521AC">
            <w:pPr>
              <w:spacing w:before="0"/>
              <w:rPr>
                <w:noProof/>
                <w:szCs w:val="24"/>
              </w:rPr>
            </w:pPr>
            <w:r w:rsidRPr="00C449B6">
              <w:rPr>
                <w:noProof/>
                <w:szCs w:val="24"/>
              </w:rPr>
              <w:t>CIS</w:t>
            </w:r>
          </w:p>
        </w:tc>
      </w:tr>
      <w:tr w:rsidR="00594304" w:rsidRPr="00A31ACB" w14:paraId="4E0D9710" w14:textId="77777777" w:rsidTr="00363DA9">
        <w:trPr>
          <w:trHeight w:val="397"/>
        </w:trPr>
        <w:tc>
          <w:tcPr>
            <w:tcW w:w="1838" w:type="dxa"/>
            <w:vAlign w:val="center"/>
          </w:tcPr>
          <w:p w14:paraId="78D0F3FA" w14:textId="77777777" w:rsidR="00594304" w:rsidRPr="00C449B6" w:rsidRDefault="00594304" w:rsidP="009521AC">
            <w:pPr>
              <w:spacing w:before="0"/>
              <w:rPr>
                <w:noProof/>
                <w:szCs w:val="24"/>
              </w:rPr>
            </w:pPr>
            <w:r w:rsidRPr="00C449B6">
              <w:rPr>
                <w:noProof/>
                <w:szCs w:val="24"/>
              </w:rPr>
              <w:t>Vice-Chairman</w:t>
            </w:r>
          </w:p>
        </w:tc>
        <w:tc>
          <w:tcPr>
            <w:tcW w:w="3402" w:type="dxa"/>
            <w:vAlign w:val="center"/>
          </w:tcPr>
          <w:p w14:paraId="032CC7D8" w14:textId="77777777" w:rsidR="00594304" w:rsidRPr="00C449B6" w:rsidRDefault="00594304" w:rsidP="009521AC">
            <w:pPr>
              <w:spacing w:before="0"/>
              <w:rPr>
                <w:noProof/>
                <w:szCs w:val="24"/>
              </w:rPr>
            </w:pPr>
            <w:r w:rsidRPr="00C449B6">
              <w:rPr>
                <w:noProof/>
                <w:szCs w:val="24"/>
              </w:rPr>
              <w:t>Ms Roxanne McElvane Webber</w:t>
            </w:r>
          </w:p>
        </w:tc>
        <w:tc>
          <w:tcPr>
            <w:tcW w:w="2268" w:type="dxa"/>
            <w:vAlign w:val="center"/>
          </w:tcPr>
          <w:p w14:paraId="67FB4D0F" w14:textId="421D8BA2" w:rsidR="00594304" w:rsidRPr="00C449B6" w:rsidRDefault="00594304" w:rsidP="00363DA9">
            <w:pPr>
              <w:spacing w:before="0"/>
              <w:rPr>
                <w:noProof/>
                <w:szCs w:val="24"/>
              </w:rPr>
            </w:pPr>
            <w:r w:rsidRPr="00C449B6">
              <w:rPr>
                <w:noProof/>
                <w:szCs w:val="24"/>
              </w:rPr>
              <w:t>USA</w:t>
            </w:r>
          </w:p>
        </w:tc>
        <w:tc>
          <w:tcPr>
            <w:tcW w:w="1701" w:type="dxa"/>
            <w:vAlign w:val="center"/>
          </w:tcPr>
          <w:p w14:paraId="2EC81D02" w14:textId="77777777" w:rsidR="00594304" w:rsidRPr="00C449B6" w:rsidRDefault="00594304" w:rsidP="009521AC">
            <w:pPr>
              <w:spacing w:before="0"/>
              <w:rPr>
                <w:noProof/>
                <w:szCs w:val="24"/>
              </w:rPr>
            </w:pPr>
            <w:r w:rsidRPr="00C449B6">
              <w:rPr>
                <w:noProof/>
                <w:szCs w:val="24"/>
              </w:rPr>
              <w:t>Chairman SG1</w:t>
            </w:r>
          </w:p>
        </w:tc>
      </w:tr>
      <w:tr w:rsidR="00594304" w:rsidRPr="00A31ACB" w14:paraId="3471579F" w14:textId="77777777" w:rsidTr="00363DA9">
        <w:trPr>
          <w:trHeight w:val="397"/>
        </w:trPr>
        <w:tc>
          <w:tcPr>
            <w:tcW w:w="1838" w:type="dxa"/>
            <w:vAlign w:val="center"/>
          </w:tcPr>
          <w:p w14:paraId="7A6929A2" w14:textId="77777777" w:rsidR="00594304" w:rsidRPr="00C449B6" w:rsidRDefault="00594304" w:rsidP="009521AC">
            <w:pPr>
              <w:spacing w:before="0"/>
              <w:rPr>
                <w:noProof/>
                <w:szCs w:val="24"/>
              </w:rPr>
            </w:pPr>
            <w:r w:rsidRPr="00C449B6">
              <w:rPr>
                <w:noProof/>
                <w:szCs w:val="24"/>
              </w:rPr>
              <w:t>Vice-Chairman</w:t>
            </w:r>
          </w:p>
        </w:tc>
        <w:tc>
          <w:tcPr>
            <w:tcW w:w="3402" w:type="dxa"/>
            <w:vAlign w:val="center"/>
          </w:tcPr>
          <w:p w14:paraId="2F6F307A" w14:textId="77777777" w:rsidR="00594304" w:rsidRPr="00C449B6" w:rsidRDefault="00594304" w:rsidP="009521AC">
            <w:pPr>
              <w:spacing w:before="0"/>
              <w:rPr>
                <w:noProof/>
                <w:szCs w:val="24"/>
              </w:rPr>
            </w:pPr>
            <w:r w:rsidRPr="00C449B6">
              <w:rPr>
                <w:noProof/>
                <w:szCs w:val="24"/>
              </w:rPr>
              <w:t>Mr Ahmad Reza Sharafat</w:t>
            </w:r>
          </w:p>
        </w:tc>
        <w:tc>
          <w:tcPr>
            <w:tcW w:w="2268" w:type="dxa"/>
            <w:vAlign w:val="center"/>
          </w:tcPr>
          <w:p w14:paraId="57A37F47" w14:textId="77777777" w:rsidR="00594304" w:rsidRPr="00C449B6" w:rsidRDefault="00594304" w:rsidP="009521AC">
            <w:pPr>
              <w:spacing w:before="0"/>
              <w:rPr>
                <w:noProof/>
                <w:szCs w:val="24"/>
              </w:rPr>
            </w:pPr>
            <w:r w:rsidRPr="00C449B6">
              <w:rPr>
                <w:noProof/>
                <w:szCs w:val="24"/>
              </w:rPr>
              <w:t>Iran (Islamic Rep. of)</w:t>
            </w:r>
          </w:p>
        </w:tc>
        <w:tc>
          <w:tcPr>
            <w:tcW w:w="1701" w:type="dxa"/>
            <w:vAlign w:val="center"/>
          </w:tcPr>
          <w:p w14:paraId="3656A128" w14:textId="77777777" w:rsidR="00594304" w:rsidRPr="00C449B6" w:rsidRDefault="00594304" w:rsidP="009521AC">
            <w:pPr>
              <w:spacing w:before="0"/>
              <w:rPr>
                <w:noProof/>
                <w:szCs w:val="24"/>
              </w:rPr>
            </w:pPr>
            <w:r w:rsidRPr="00C449B6">
              <w:rPr>
                <w:noProof/>
                <w:szCs w:val="24"/>
              </w:rPr>
              <w:t>Chairman SG2</w:t>
            </w:r>
          </w:p>
        </w:tc>
      </w:tr>
      <w:tr w:rsidR="00594304" w:rsidRPr="00A31ACB" w14:paraId="34CE030A" w14:textId="77777777" w:rsidTr="00363DA9">
        <w:trPr>
          <w:trHeight w:val="397"/>
        </w:trPr>
        <w:tc>
          <w:tcPr>
            <w:tcW w:w="1838" w:type="dxa"/>
            <w:vAlign w:val="center"/>
          </w:tcPr>
          <w:p w14:paraId="7B3B2B4D" w14:textId="77777777" w:rsidR="00594304" w:rsidRPr="00C449B6" w:rsidRDefault="00594304" w:rsidP="009521AC">
            <w:pPr>
              <w:spacing w:before="0"/>
              <w:rPr>
                <w:noProof/>
                <w:szCs w:val="24"/>
              </w:rPr>
            </w:pPr>
            <w:r w:rsidRPr="00C449B6">
              <w:rPr>
                <w:noProof/>
                <w:szCs w:val="24"/>
              </w:rPr>
              <w:t>Vice-Chairman</w:t>
            </w:r>
          </w:p>
        </w:tc>
        <w:tc>
          <w:tcPr>
            <w:tcW w:w="3402" w:type="dxa"/>
            <w:vAlign w:val="center"/>
          </w:tcPr>
          <w:p w14:paraId="27F9202F" w14:textId="77777777" w:rsidR="00594304" w:rsidRPr="00C449B6" w:rsidRDefault="00594304" w:rsidP="009521AC">
            <w:pPr>
              <w:spacing w:before="0"/>
              <w:rPr>
                <w:noProof/>
                <w:szCs w:val="24"/>
              </w:rPr>
            </w:pPr>
            <w:r w:rsidRPr="00C449B6">
              <w:rPr>
                <w:noProof/>
                <w:szCs w:val="24"/>
              </w:rPr>
              <w:t>Mr Elie Djerambete</w:t>
            </w:r>
          </w:p>
        </w:tc>
        <w:tc>
          <w:tcPr>
            <w:tcW w:w="2268" w:type="dxa"/>
            <w:vAlign w:val="center"/>
          </w:tcPr>
          <w:p w14:paraId="1B54849E" w14:textId="77777777" w:rsidR="00594304" w:rsidRPr="00C449B6" w:rsidRDefault="00594304" w:rsidP="009521AC">
            <w:pPr>
              <w:spacing w:before="0"/>
              <w:rPr>
                <w:noProof/>
                <w:szCs w:val="24"/>
              </w:rPr>
            </w:pPr>
            <w:r w:rsidRPr="00C449B6">
              <w:rPr>
                <w:noProof/>
                <w:szCs w:val="24"/>
              </w:rPr>
              <w:t>Chad</w:t>
            </w:r>
          </w:p>
        </w:tc>
        <w:tc>
          <w:tcPr>
            <w:tcW w:w="1701" w:type="dxa"/>
            <w:vAlign w:val="center"/>
          </w:tcPr>
          <w:p w14:paraId="14705733" w14:textId="77777777" w:rsidR="00594304" w:rsidRPr="00C449B6" w:rsidRDefault="00594304" w:rsidP="009521AC">
            <w:pPr>
              <w:spacing w:before="0"/>
              <w:rPr>
                <w:noProof/>
                <w:szCs w:val="24"/>
              </w:rPr>
            </w:pPr>
            <w:r w:rsidRPr="00C449B6">
              <w:rPr>
                <w:noProof/>
                <w:szCs w:val="24"/>
              </w:rPr>
              <w:t>AFR</w:t>
            </w:r>
          </w:p>
        </w:tc>
      </w:tr>
      <w:tr w:rsidR="00594304" w:rsidRPr="00A31ACB" w14:paraId="6FA496E8" w14:textId="77777777" w:rsidTr="00363DA9">
        <w:trPr>
          <w:trHeight w:val="397"/>
        </w:trPr>
        <w:tc>
          <w:tcPr>
            <w:tcW w:w="1838" w:type="dxa"/>
            <w:vAlign w:val="center"/>
          </w:tcPr>
          <w:p w14:paraId="5E57635C" w14:textId="77777777" w:rsidR="00594304" w:rsidRPr="00C449B6" w:rsidRDefault="00594304" w:rsidP="009521AC">
            <w:pPr>
              <w:spacing w:before="0"/>
              <w:rPr>
                <w:noProof/>
                <w:szCs w:val="24"/>
              </w:rPr>
            </w:pPr>
            <w:r w:rsidRPr="00C449B6">
              <w:rPr>
                <w:noProof/>
                <w:szCs w:val="24"/>
              </w:rPr>
              <w:t>Vice-Chairman</w:t>
            </w:r>
          </w:p>
        </w:tc>
        <w:tc>
          <w:tcPr>
            <w:tcW w:w="3402" w:type="dxa"/>
            <w:vAlign w:val="center"/>
          </w:tcPr>
          <w:p w14:paraId="598B9A42" w14:textId="77777777" w:rsidR="00594304" w:rsidRPr="00C449B6" w:rsidRDefault="00594304" w:rsidP="009521AC">
            <w:pPr>
              <w:spacing w:before="0"/>
              <w:rPr>
                <w:noProof/>
                <w:szCs w:val="24"/>
              </w:rPr>
            </w:pPr>
            <w:r w:rsidRPr="00C449B6">
              <w:rPr>
                <w:noProof/>
                <w:szCs w:val="24"/>
              </w:rPr>
              <w:t>Mr Ahmadou Traoré</w:t>
            </w:r>
          </w:p>
        </w:tc>
        <w:tc>
          <w:tcPr>
            <w:tcW w:w="2268" w:type="dxa"/>
            <w:vAlign w:val="center"/>
          </w:tcPr>
          <w:p w14:paraId="5BA9CE03" w14:textId="77777777" w:rsidR="00594304" w:rsidRPr="00C449B6" w:rsidRDefault="00594304" w:rsidP="009521AC">
            <w:pPr>
              <w:spacing w:before="0"/>
              <w:rPr>
                <w:noProof/>
                <w:szCs w:val="24"/>
              </w:rPr>
            </w:pPr>
            <w:r w:rsidRPr="00C449B6">
              <w:rPr>
                <w:noProof/>
                <w:szCs w:val="24"/>
              </w:rPr>
              <w:t>Mali</w:t>
            </w:r>
          </w:p>
        </w:tc>
        <w:tc>
          <w:tcPr>
            <w:tcW w:w="1701" w:type="dxa"/>
            <w:vAlign w:val="center"/>
          </w:tcPr>
          <w:p w14:paraId="1C51227B" w14:textId="77777777" w:rsidR="00594304" w:rsidRPr="00C449B6" w:rsidRDefault="00594304" w:rsidP="009521AC">
            <w:pPr>
              <w:spacing w:before="0"/>
              <w:rPr>
                <w:noProof/>
                <w:szCs w:val="24"/>
              </w:rPr>
            </w:pPr>
            <w:r w:rsidRPr="00C449B6">
              <w:rPr>
                <w:noProof/>
                <w:szCs w:val="24"/>
              </w:rPr>
              <w:t>AFR</w:t>
            </w:r>
          </w:p>
        </w:tc>
      </w:tr>
      <w:tr w:rsidR="00594304" w:rsidRPr="00A31ACB" w14:paraId="4A96A0C3" w14:textId="77777777" w:rsidTr="00363DA9">
        <w:trPr>
          <w:trHeight w:val="397"/>
        </w:trPr>
        <w:tc>
          <w:tcPr>
            <w:tcW w:w="1838" w:type="dxa"/>
            <w:vAlign w:val="center"/>
          </w:tcPr>
          <w:p w14:paraId="183E3466" w14:textId="77777777" w:rsidR="00594304" w:rsidRPr="00C449B6" w:rsidRDefault="00594304" w:rsidP="009521AC">
            <w:pPr>
              <w:spacing w:before="0"/>
              <w:rPr>
                <w:noProof/>
                <w:szCs w:val="24"/>
              </w:rPr>
            </w:pPr>
            <w:r w:rsidRPr="00C449B6">
              <w:rPr>
                <w:noProof/>
                <w:szCs w:val="24"/>
              </w:rPr>
              <w:t>Vice-Chairman</w:t>
            </w:r>
          </w:p>
        </w:tc>
        <w:tc>
          <w:tcPr>
            <w:tcW w:w="3402" w:type="dxa"/>
            <w:vAlign w:val="center"/>
          </w:tcPr>
          <w:p w14:paraId="256CF91C" w14:textId="77777777" w:rsidR="00594304" w:rsidRPr="00C449B6" w:rsidRDefault="00594304" w:rsidP="009521AC">
            <w:pPr>
              <w:spacing w:before="0"/>
              <w:rPr>
                <w:noProof/>
                <w:szCs w:val="24"/>
              </w:rPr>
            </w:pPr>
            <w:r w:rsidRPr="00C449B6">
              <w:rPr>
                <w:noProof/>
                <w:szCs w:val="24"/>
              </w:rPr>
              <w:t>Ms Clarisa Estol</w:t>
            </w:r>
          </w:p>
        </w:tc>
        <w:tc>
          <w:tcPr>
            <w:tcW w:w="2268" w:type="dxa"/>
            <w:vAlign w:val="center"/>
          </w:tcPr>
          <w:p w14:paraId="609D68A8" w14:textId="77777777" w:rsidR="00594304" w:rsidRPr="00C449B6" w:rsidRDefault="00594304" w:rsidP="009521AC">
            <w:pPr>
              <w:spacing w:before="0"/>
              <w:rPr>
                <w:noProof/>
                <w:szCs w:val="24"/>
              </w:rPr>
            </w:pPr>
            <w:r w:rsidRPr="00C449B6">
              <w:rPr>
                <w:noProof/>
                <w:szCs w:val="24"/>
              </w:rPr>
              <w:t>Argentina</w:t>
            </w:r>
          </w:p>
        </w:tc>
        <w:tc>
          <w:tcPr>
            <w:tcW w:w="1701" w:type="dxa"/>
            <w:vAlign w:val="center"/>
          </w:tcPr>
          <w:p w14:paraId="11C4EBCC" w14:textId="77777777" w:rsidR="00594304" w:rsidRPr="00C449B6" w:rsidRDefault="00594304" w:rsidP="009521AC">
            <w:pPr>
              <w:spacing w:before="0"/>
              <w:rPr>
                <w:noProof/>
                <w:szCs w:val="24"/>
              </w:rPr>
            </w:pPr>
            <w:r w:rsidRPr="00C449B6">
              <w:rPr>
                <w:noProof/>
                <w:szCs w:val="24"/>
              </w:rPr>
              <w:t>AMS</w:t>
            </w:r>
          </w:p>
        </w:tc>
      </w:tr>
      <w:tr w:rsidR="00594304" w:rsidRPr="00A31ACB" w14:paraId="134527A6" w14:textId="77777777" w:rsidTr="00363DA9">
        <w:trPr>
          <w:trHeight w:val="397"/>
        </w:trPr>
        <w:tc>
          <w:tcPr>
            <w:tcW w:w="1838" w:type="dxa"/>
            <w:vAlign w:val="center"/>
          </w:tcPr>
          <w:p w14:paraId="0FA246C3" w14:textId="77777777" w:rsidR="00594304" w:rsidRPr="00C449B6" w:rsidRDefault="00594304" w:rsidP="009521AC">
            <w:pPr>
              <w:spacing w:before="0"/>
              <w:rPr>
                <w:noProof/>
                <w:szCs w:val="24"/>
              </w:rPr>
            </w:pPr>
            <w:r w:rsidRPr="00C449B6">
              <w:rPr>
                <w:noProof/>
                <w:szCs w:val="24"/>
              </w:rPr>
              <w:t>Vice-Chairman</w:t>
            </w:r>
          </w:p>
        </w:tc>
        <w:tc>
          <w:tcPr>
            <w:tcW w:w="3402" w:type="dxa"/>
            <w:vAlign w:val="center"/>
          </w:tcPr>
          <w:p w14:paraId="5F816C39" w14:textId="77777777" w:rsidR="00594304" w:rsidRPr="00C449B6" w:rsidRDefault="00594304" w:rsidP="009521AC">
            <w:pPr>
              <w:spacing w:before="0"/>
              <w:rPr>
                <w:noProof/>
                <w:szCs w:val="24"/>
                <w:lang w:val="es-ES_tradnl"/>
              </w:rPr>
            </w:pPr>
            <w:r w:rsidRPr="00C449B6">
              <w:rPr>
                <w:noProof/>
                <w:szCs w:val="24"/>
                <w:lang w:val="es-ES_tradnl"/>
              </w:rPr>
              <w:t>Mr Héctor Edmundo Valdés Moreno</w:t>
            </w:r>
          </w:p>
        </w:tc>
        <w:tc>
          <w:tcPr>
            <w:tcW w:w="2268" w:type="dxa"/>
            <w:vAlign w:val="center"/>
          </w:tcPr>
          <w:p w14:paraId="0321A831" w14:textId="77777777" w:rsidR="00594304" w:rsidRPr="00C449B6" w:rsidRDefault="00594304" w:rsidP="009521AC">
            <w:pPr>
              <w:spacing w:before="0"/>
              <w:rPr>
                <w:noProof/>
                <w:szCs w:val="24"/>
              </w:rPr>
            </w:pPr>
            <w:r w:rsidRPr="00C449B6">
              <w:rPr>
                <w:noProof/>
                <w:szCs w:val="24"/>
              </w:rPr>
              <w:t>Mexico</w:t>
            </w:r>
          </w:p>
        </w:tc>
        <w:tc>
          <w:tcPr>
            <w:tcW w:w="1701" w:type="dxa"/>
            <w:vAlign w:val="center"/>
          </w:tcPr>
          <w:p w14:paraId="3D3E1F57" w14:textId="77777777" w:rsidR="00594304" w:rsidRPr="00C449B6" w:rsidRDefault="00594304" w:rsidP="009521AC">
            <w:pPr>
              <w:spacing w:before="0"/>
              <w:rPr>
                <w:noProof/>
                <w:szCs w:val="24"/>
              </w:rPr>
            </w:pPr>
            <w:r w:rsidRPr="00C449B6">
              <w:rPr>
                <w:noProof/>
                <w:szCs w:val="24"/>
              </w:rPr>
              <w:t>AMS</w:t>
            </w:r>
          </w:p>
        </w:tc>
      </w:tr>
      <w:tr w:rsidR="00594304" w:rsidRPr="00A31ACB" w14:paraId="095EB955" w14:textId="77777777" w:rsidTr="00363DA9">
        <w:trPr>
          <w:trHeight w:val="397"/>
        </w:trPr>
        <w:tc>
          <w:tcPr>
            <w:tcW w:w="1838" w:type="dxa"/>
            <w:vAlign w:val="center"/>
          </w:tcPr>
          <w:p w14:paraId="5F0ECA05" w14:textId="77777777" w:rsidR="00594304" w:rsidRPr="00C449B6" w:rsidRDefault="00594304" w:rsidP="009521AC">
            <w:pPr>
              <w:spacing w:before="0"/>
              <w:rPr>
                <w:noProof/>
                <w:szCs w:val="24"/>
              </w:rPr>
            </w:pPr>
            <w:r w:rsidRPr="00C449B6">
              <w:rPr>
                <w:noProof/>
                <w:szCs w:val="24"/>
              </w:rPr>
              <w:t>Vice-Chairman</w:t>
            </w:r>
          </w:p>
        </w:tc>
        <w:tc>
          <w:tcPr>
            <w:tcW w:w="3402" w:type="dxa"/>
            <w:vAlign w:val="center"/>
          </w:tcPr>
          <w:p w14:paraId="5568FCEE" w14:textId="77777777" w:rsidR="00594304" w:rsidRPr="00C449B6" w:rsidRDefault="00594304" w:rsidP="009521AC">
            <w:pPr>
              <w:spacing w:before="0"/>
              <w:rPr>
                <w:noProof/>
                <w:szCs w:val="24"/>
                <w:lang w:val="es-ES_tradnl"/>
              </w:rPr>
            </w:pPr>
            <w:r w:rsidRPr="00C449B6">
              <w:rPr>
                <w:noProof/>
                <w:szCs w:val="24"/>
                <w:lang w:val="es-ES_tradnl"/>
              </w:rPr>
              <w:t xml:space="preserve">Mr Al-Ansari Al-Mashagbah </w:t>
            </w:r>
          </w:p>
        </w:tc>
        <w:tc>
          <w:tcPr>
            <w:tcW w:w="2268" w:type="dxa"/>
            <w:vAlign w:val="center"/>
          </w:tcPr>
          <w:p w14:paraId="37BC0B81" w14:textId="77777777" w:rsidR="00594304" w:rsidRPr="00C449B6" w:rsidRDefault="00594304" w:rsidP="009521AC">
            <w:pPr>
              <w:spacing w:before="0"/>
              <w:rPr>
                <w:noProof/>
                <w:szCs w:val="24"/>
              </w:rPr>
            </w:pPr>
            <w:r w:rsidRPr="00C449B6">
              <w:rPr>
                <w:noProof/>
                <w:szCs w:val="24"/>
              </w:rPr>
              <w:t>Jordan</w:t>
            </w:r>
          </w:p>
        </w:tc>
        <w:tc>
          <w:tcPr>
            <w:tcW w:w="1701" w:type="dxa"/>
            <w:vAlign w:val="center"/>
          </w:tcPr>
          <w:p w14:paraId="441233EC" w14:textId="77777777" w:rsidR="00594304" w:rsidRPr="00C449B6" w:rsidRDefault="00594304" w:rsidP="009521AC">
            <w:pPr>
              <w:spacing w:before="0"/>
              <w:rPr>
                <w:noProof/>
                <w:szCs w:val="24"/>
              </w:rPr>
            </w:pPr>
            <w:r w:rsidRPr="00C449B6">
              <w:rPr>
                <w:noProof/>
                <w:szCs w:val="24"/>
              </w:rPr>
              <w:t>ARB</w:t>
            </w:r>
          </w:p>
        </w:tc>
      </w:tr>
      <w:tr w:rsidR="00594304" w:rsidRPr="00A31ACB" w14:paraId="2CFA0BA5" w14:textId="77777777" w:rsidTr="00363DA9">
        <w:trPr>
          <w:trHeight w:val="397"/>
        </w:trPr>
        <w:tc>
          <w:tcPr>
            <w:tcW w:w="1838" w:type="dxa"/>
            <w:vAlign w:val="center"/>
          </w:tcPr>
          <w:p w14:paraId="11F8A821" w14:textId="77777777" w:rsidR="00594304" w:rsidRPr="00C449B6" w:rsidRDefault="00594304" w:rsidP="009521AC">
            <w:pPr>
              <w:spacing w:before="0"/>
              <w:rPr>
                <w:noProof/>
                <w:szCs w:val="24"/>
              </w:rPr>
            </w:pPr>
            <w:r w:rsidRPr="00C449B6">
              <w:rPr>
                <w:noProof/>
                <w:szCs w:val="24"/>
              </w:rPr>
              <w:t>Vice-Chairman</w:t>
            </w:r>
          </w:p>
        </w:tc>
        <w:tc>
          <w:tcPr>
            <w:tcW w:w="3402" w:type="dxa"/>
            <w:vAlign w:val="center"/>
          </w:tcPr>
          <w:p w14:paraId="0B56C0F3" w14:textId="77777777" w:rsidR="00594304" w:rsidRPr="00C449B6" w:rsidRDefault="00594304" w:rsidP="009521AC">
            <w:pPr>
              <w:spacing w:before="0"/>
              <w:rPr>
                <w:noProof/>
                <w:szCs w:val="24"/>
              </w:rPr>
            </w:pPr>
            <w:r w:rsidRPr="00C449B6">
              <w:rPr>
                <w:noProof/>
                <w:szCs w:val="24"/>
              </w:rPr>
              <w:t>Mr Mohamed Saeed Ali Al Muathen Al Mazrooei</w:t>
            </w:r>
          </w:p>
        </w:tc>
        <w:tc>
          <w:tcPr>
            <w:tcW w:w="2268" w:type="dxa"/>
            <w:vAlign w:val="center"/>
          </w:tcPr>
          <w:p w14:paraId="1A34DE48" w14:textId="77777777" w:rsidR="00594304" w:rsidRPr="00C449B6" w:rsidRDefault="00594304" w:rsidP="009521AC">
            <w:pPr>
              <w:spacing w:before="0" w:after="60"/>
              <w:ind w:right="-113"/>
              <w:rPr>
                <w:noProof/>
                <w:szCs w:val="24"/>
              </w:rPr>
            </w:pPr>
            <w:r w:rsidRPr="00C449B6">
              <w:rPr>
                <w:noProof/>
                <w:szCs w:val="24"/>
              </w:rPr>
              <w:t>United</w:t>
            </w:r>
            <w:r w:rsidRPr="00C449B6">
              <w:rPr>
                <w:noProof/>
                <w:spacing w:val="-20"/>
                <w:szCs w:val="24"/>
              </w:rPr>
              <w:t xml:space="preserve"> </w:t>
            </w:r>
            <w:r w:rsidRPr="00C449B6">
              <w:rPr>
                <w:noProof/>
                <w:szCs w:val="24"/>
              </w:rPr>
              <w:t>Arab Emirates</w:t>
            </w:r>
          </w:p>
        </w:tc>
        <w:tc>
          <w:tcPr>
            <w:tcW w:w="1701" w:type="dxa"/>
            <w:vAlign w:val="center"/>
          </w:tcPr>
          <w:p w14:paraId="794025E0" w14:textId="77777777" w:rsidR="00594304" w:rsidRPr="00C449B6" w:rsidRDefault="00594304" w:rsidP="009521AC">
            <w:pPr>
              <w:spacing w:before="0"/>
              <w:rPr>
                <w:noProof/>
                <w:szCs w:val="24"/>
              </w:rPr>
            </w:pPr>
            <w:r w:rsidRPr="00C449B6">
              <w:rPr>
                <w:noProof/>
                <w:szCs w:val="24"/>
              </w:rPr>
              <w:t>ARB</w:t>
            </w:r>
          </w:p>
        </w:tc>
      </w:tr>
      <w:tr w:rsidR="00594304" w:rsidRPr="00A31ACB" w14:paraId="27A2A7B4" w14:textId="77777777" w:rsidTr="00363DA9">
        <w:trPr>
          <w:trHeight w:val="397"/>
        </w:trPr>
        <w:tc>
          <w:tcPr>
            <w:tcW w:w="1838" w:type="dxa"/>
            <w:vAlign w:val="center"/>
          </w:tcPr>
          <w:p w14:paraId="0F9D89CB" w14:textId="77777777" w:rsidR="00594304" w:rsidRPr="00C449B6" w:rsidRDefault="00594304" w:rsidP="009521AC">
            <w:pPr>
              <w:spacing w:before="0"/>
              <w:rPr>
                <w:noProof/>
                <w:szCs w:val="24"/>
              </w:rPr>
            </w:pPr>
            <w:r w:rsidRPr="00C449B6">
              <w:rPr>
                <w:noProof/>
                <w:szCs w:val="24"/>
              </w:rPr>
              <w:t>Vice-Chairman</w:t>
            </w:r>
          </w:p>
        </w:tc>
        <w:tc>
          <w:tcPr>
            <w:tcW w:w="3402" w:type="dxa"/>
            <w:vAlign w:val="center"/>
          </w:tcPr>
          <w:p w14:paraId="29BBE3D9" w14:textId="77777777" w:rsidR="00594304" w:rsidRPr="00C449B6" w:rsidRDefault="00594304" w:rsidP="009521AC">
            <w:pPr>
              <w:spacing w:before="0"/>
              <w:rPr>
                <w:noProof/>
                <w:szCs w:val="24"/>
              </w:rPr>
            </w:pPr>
            <w:r w:rsidRPr="00C449B6">
              <w:rPr>
                <w:noProof/>
                <w:szCs w:val="24"/>
              </w:rPr>
              <w:t>Mr Kishore Babu</w:t>
            </w:r>
          </w:p>
        </w:tc>
        <w:tc>
          <w:tcPr>
            <w:tcW w:w="2268" w:type="dxa"/>
            <w:vAlign w:val="center"/>
          </w:tcPr>
          <w:p w14:paraId="2820D107" w14:textId="77777777" w:rsidR="00594304" w:rsidRPr="00C449B6" w:rsidRDefault="00594304" w:rsidP="009521AC">
            <w:pPr>
              <w:spacing w:before="0"/>
              <w:rPr>
                <w:noProof/>
                <w:szCs w:val="24"/>
              </w:rPr>
            </w:pPr>
            <w:r w:rsidRPr="00C449B6">
              <w:rPr>
                <w:noProof/>
                <w:szCs w:val="24"/>
              </w:rPr>
              <w:t>India</w:t>
            </w:r>
          </w:p>
        </w:tc>
        <w:tc>
          <w:tcPr>
            <w:tcW w:w="1701" w:type="dxa"/>
            <w:vAlign w:val="center"/>
          </w:tcPr>
          <w:p w14:paraId="0DFFC12E" w14:textId="77777777" w:rsidR="00594304" w:rsidRPr="00C449B6" w:rsidRDefault="00594304" w:rsidP="009521AC">
            <w:pPr>
              <w:spacing w:before="0"/>
              <w:rPr>
                <w:noProof/>
                <w:szCs w:val="24"/>
              </w:rPr>
            </w:pPr>
            <w:r w:rsidRPr="00C449B6">
              <w:rPr>
                <w:noProof/>
                <w:szCs w:val="24"/>
              </w:rPr>
              <w:t>ASP</w:t>
            </w:r>
          </w:p>
        </w:tc>
      </w:tr>
      <w:tr w:rsidR="00594304" w:rsidRPr="00A31ACB" w14:paraId="7AC5E75B" w14:textId="77777777" w:rsidTr="00363DA9">
        <w:trPr>
          <w:trHeight w:val="397"/>
        </w:trPr>
        <w:tc>
          <w:tcPr>
            <w:tcW w:w="1838" w:type="dxa"/>
            <w:vAlign w:val="center"/>
          </w:tcPr>
          <w:p w14:paraId="26085B64" w14:textId="77777777" w:rsidR="00594304" w:rsidRPr="00C449B6" w:rsidRDefault="00594304" w:rsidP="009521AC">
            <w:pPr>
              <w:spacing w:before="0"/>
              <w:rPr>
                <w:noProof/>
                <w:szCs w:val="24"/>
              </w:rPr>
            </w:pPr>
            <w:r w:rsidRPr="00C449B6">
              <w:rPr>
                <w:noProof/>
                <w:szCs w:val="24"/>
              </w:rPr>
              <w:t>Vice-Chairman</w:t>
            </w:r>
          </w:p>
        </w:tc>
        <w:tc>
          <w:tcPr>
            <w:tcW w:w="3402" w:type="dxa"/>
            <w:vAlign w:val="center"/>
          </w:tcPr>
          <w:p w14:paraId="29A6CB3E" w14:textId="77777777" w:rsidR="00594304" w:rsidRPr="00C449B6" w:rsidRDefault="00594304" w:rsidP="009521AC">
            <w:pPr>
              <w:spacing w:before="0"/>
              <w:rPr>
                <w:noProof/>
                <w:szCs w:val="24"/>
              </w:rPr>
            </w:pPr>
            <w:r w:rsidRPr="00C449B6">
              <w:rPr>
                <w:noProof/>
                <w:szCs w:val="24"/>
              </w:rPr>
              <w:t>Mr Bohyun Seo</w:t>
            </w:r>
          </w:p>
        </w:tc>
        <w:tc>
          <w:tcPr>
            <w:tcW w:w="2268" w:type="dxa"/>
            <w:vAlign w:val="center"/>
          </w:tcPr>
          <w:p w14:paraId="7ECFE109" w14:textId="77777777" w:rsidR="00594304" w:rsidRPr="00C449B6" w:rsidRDefault="00594304" w:rsidP="009521AC">
            <w:pPr>
              <w:spacing w:before="0"/>
              <w:rPr>
                <w:noProof/>
                <w:szCs w:val="24"/>
              </w:rPr>
            </w:pPr>
            <w:r w:rsidRPr="00C449B6">
              <w:rPr>
                <w:noProof/>
                <w:szCs w:val="24"/>
              </w:rPr>
              <w:t>Korea (Rep. of)</w:t>
            </w:r>
          </w:p>
        </w:tc>
        <w:tc>
          <w:tcPr>
            <w:tcW w:w="1701" w:type="dxa"/>
            <w:vAlign w:val="center"/>
          </w:tcPr>
          <w:p w14:paraId="07F91C78" w14:textId="77777777" w:rsidR="00594304" w:rsidRPr="00C449B6" w:rsidRDefault="00594304" w:rsidP="009521AC">
            <w:pPr>
              <w:spacing w:before="0"/>
              <w:rPr>
                <w:noProof/>
                <w:szCs w:val="24"/>
              </w:rPr>
            </w:pPr>
            <w:r w:rsidRPr="00C449B6">
              <w:rPr>
                <w:noProof/>
                <w:szCs w:val="24"/>
              </w:rPr>
              <w:t>ASP</w:t>
            </w:r>
          </w:p>
        </w:tc>
      </w:tr>
      <w:tr w:rsidR="00594304" w:rsidRPr="00A31ACB" w14:paraId="33C079BB" w14:textId="77777777" w:rsidTr="00363DA9">
        <w:trPr>
          <w:trHeight w:val="397"/>
        </w:trPr>
        <w:tc>
          <w:tcPr>
            <w:tcW w:w="1838" w:type="dxa"/>
            <w:vAlign w:val="center"/>
          </w:tcPr>
          <w:p w14:paraId="15497E01" w14:textId="77777777" w:rsidR="00594304" w:rsidRPr="00C449B6" w:rsidRDefault="00594304" w:rsidP="009521AC">
            <w:pPr>
              <w:spacing w:before="0"/>
              <w:rPr>
                <w:noProof/>
                <w:szCs w:val="24"/>
              </w:rPr>
            </w:pPr>
            <w:r w:rsidRPr="00C449B6">
              <w:rPr>
                <w:noProof/>
                <w:szCs w:val="24"/>
              </w:rPr>
              <w:t>Vice-Chairman</w:t>
            </w:r>
          </w:p>
        </w:tc>
        <w:tc>
          <w:tcPr>
            <w:tcW w:w="3402" w:type="dxa"/>
            <w:vAlign w:val="center"/>
          </w:tcPr>
          <w:p w14:paraId="3F73AE3A" w14:textId="77777777" w:rsidR="00594304" w:rsidRPr="00C449B6" w:rsidRDefault="00594304" w:rsidP="009521AC">
            <w:pPr>
              <w:spacing w:before="0"/>
              <w:rPr>
                <w:noProof/>
                <w:szCs w:val="24"/>
              </w:rPr>
            </w:pPr>
            <w:r w:rsidRPr="00C449B6">
              <w:rPr>
                <w:noProof/>
                <w:szCs w:val="24"/>
              </w:rPr>
              <w:t>Mr Rufat Taghizadeh</w:t>
            </w:r>
          </w:p>
        </w:tc>
        <w:tc>
          <w:tcPr>
            <w:tcW w:w="2268" w:type="dxa"/>
            <w:vAlign w:val="center"/>
          </w:tcPr>
          <w:p w14:paraId="53EFB3F2" w14:textId="77777777" w:rsidR="00594304" w:rsidRPr="00C449B6" w:rsidRDefault="00594304" w:rsidP="009521AC">
            <w:pPr>
              <w:spacing w:before="0"/>
              <w:rPr>
                <w:noProof/>
                <w:szCs w:val="24"/>
              </w:rPr>
            </w:pPr>
            <w:r w:rsidRPr="00C449B6">
              <w:rPr>
                <w:noProof/>
                <w:szCs w:val="24"/>
              </w:rPr>
              <w:t>Azerbaijan</w:t>
            </w:r>
          </w:p>
        </w:tc>
        <w:tc>
          <w:tcPr>
            <w:tcW w:w="1701" w:type="dxa"/>
            <w:vAlign w:val="center"/>
          </w:tcPr>
          <w:p w14:paraId="2DD732B1" w14:textId="77777777" w:rsidR="00594304" w:rsidRPr="00C449B6" w:rsidRDefault="00594304" w:rsidP="009521AC">
            <w:pPr>
              <w:spacing w:before="0"/>
              <w:rPr>
                <w:noProof/>
                <w:szCs w:val="24"/>
              </w:rPr>
            </w:pPr>
            <w:r w:rsidRPr="00C449B6">
              <w:rPr>
                <w:noProof/>
                <w:szCs w:val="24"/>
              </w:rPr>
              <w:t>CIS</w:t>
            </w:r>
          </w:p>
        </w:tc>
      </w:tr>
      <w:tr w:rsidR="00594304" w:rsidRPr="00A31ACB" w14:paraId="2197DFC1" w14:textId="77777777" w:rsidTr="00363DA9">
        <w:trPr>
          <w:trHeight w:val="397"/>
        </w:trPr>
        <w:tc>
          <w:tcPr>
            <w:tcW w:w="1838" w:type="dxa"/>
            <w:vAlign w:val="center"/>
          </w:tcPr>
          <w:p w14:paraId="7A0AD512" w14:textId="77777777" w:rsidR="00594304" w:rsidRPr="00C449B6" w:rsidRDefault="00594304" w:rsidP="009521AC">
            <w:pPr>
              <w:spacing w:before="0"/>
              <w:rPr>
                <w:noProof/>
                <w:szCs w:val="24"/>
              </w:rPr>
            </w:pPr>
            <w:r w:rsidRPr="00C449B6">
              <w:rPr>
                <w:noProof/>
                <w:szCs w:val="24"/>
              </w:rPr>
              <w:t>Vice-Chairman</w:t>
            </w:r>
          </w:p>
        </w:tc>
        <w:tc>
          <w:tcPr>
            <w:tcW w:w="3402" w:type="dxa"/>
            <w:vAlign w:val="center"/>
          </w:tcPr>
          <w:p w14:paraId="0C9D0116" w14:textId="77777777" w:rsidR="00594304" w:rsidRPr="00C449B6" w:rsidRDefault="00594304" w:rsidP="009521AC">
            <w:pPr>
              <w:spacing w:before="0"/>
              <w:rPr>
                <w:noProof/>
                <w:szCs w:val="24"/>
              </w:rPr>
            </w:pPr>
            <w:r w:rsidRPr="00C449B6">
              <w:rPr>
                <w:noProof/>
                <w:szCs w:val="24"/>
              </w:rPr>
              <w:t>Ms Nurzat Boljobekova</w:t>
            </w:r>
          </w:p>
        </w:tc>
        <w:tc>
          <w:tcPr>
            <w:tcW w:w="2268" w:type="dxa"/>
            <w:vAlign w:val="center"/>
          </w:tcPr>
          <w:p w14:paraId="7E3F720B" w14:textId="77777777" w:rsidR="00594304" w:rsidRPr="00C449B6" w:rsidRDefault="00594304" w:rsidP="009521AC">
            <w:pPr>
              <w:spacing w:before="0"/>
              <w:rPr>
                <w:noProof/>
                <w:szCs w:val="24"/>
              </w:rPr>
            </w:pPr>
            <w:r w:rsidRPr="00C449B6">
              <w:rPr>
                <w:noProof/>
                <w:szCs w:val="24"/>
              </w:rPr>
              <w:t>Kyrgyzstan</w:t>
            </w:r>
          </w:p>
        </w:tc>
        <w:tc>
          <w:tcPr>
            <w:tcW w:w="1701" w:type="dxa"/>
            <w:vAlign w:val="center"/>
          </w:tcPr>
          <w:p w14:paraId="63071405" w14:textId="77777777" w:rsidR="00594304" w:rsidRPr="00C449B6" w:rsidRDefault="00594304" w:rsidP="009521AC">
            <w:pPr>
              <w:spacing w:before="0"/>
              <w:rPr>
                <w:noProof/>
                <w:szCs w:val="24"/>
              </w:rPr>
            </w:pPr>
            <w:r w:rsidRPr="00C449B6">
              <w:rPr>
                <w:noProof/>
                <w:szCs w:val="24"/>
              </w:rPr>
              <w:t>CIS</w:t>
            </w:r>
          </w:p>
        </w:tc>
      </w:tr>
      <w:tr w:rsidR="00594304" w:rsidRPr="00A31ACB" w14:paraId="391ADAEB" w14:textId="77777777" w:rsidTr="00363DA9">
        <w:trPr>
          <w:trHeight w:val="397"/>
        </w:trPr>
        <w:tc>
          <w:tcPr>
            <w:tcW w:w="1838" w:type="dxa"/>
            <w:vAlign w:val="center"/>
          </w:tcPr>
          <w:p w14:paraId="5A6FC415" w14:textId="77777777" w:rsidR="00594304" w:rsidRPr="00C449B6" w:rsidRDefault="00594304" w:rsidP="009521AC">
            <w:pPr>
              <w:spacing w:before="0"/>
              <w:rPr>
                <w:noProof/>
                <w:szCs w:val="24"/>
              </w:rPr>
            </w:pPr>
            <w:r w:rsidRPr="00C449B6">
              <w:rPr>
                <w:noProof/>
                <w:szCs w:val="24"/>
              </w:rPr>
              <w:t>Vice-Chairman</w:t>
            </w:r>
          </w:p>
        </w:tc>
        <w:tc>
          <w:tcPr>
            <w:tcW w:w="3402" w:type="dxa"/>
            <w:vAlign w:val="center"/>
          </w:tcPr>
          <w:p w14:paraId="0CC232B9" w14:textId="77777777" w:rsidR="00594304" w:rsidRPr="00C449B6" w:rsidRDefault="00594304" w:rsidP="009521AC">
            <w:pPr>
              <w:spacing w:before="0"/>
              <w:rPr>
                <w:noProof/>
                <w:szCs w:val="24"/>
              </w:rPr>
            </w:pPr>
            <w:r w:rsidRPr="00C449B6">
              <w:rPr>
                <w:noProof/>
                <w:szCs w:val="24"/>
              </w:rPr>
              <w:t>Mr Dominique Würges</w:t>
            </w:r>
          </w:p>
        </w:tc>
        <w:tc>
          <w:tcPr>
            <w:tcW w:w="2268" w:type="dxa"/>
            <w:vAlign w:val="center"/>
          </w:tcPr>
          <w:p w14:paraId="11209590" w14:textId="77777777" w:rsidR="00594304" w:rsidRPr="00C449B6" w:rsidRDefault="00594304" w:rsidP="009521AC">
            <w:pPr>
              <w:spacing w:before="0"/>
              <w:rPr>
                <w:noProof/>
                <w:szCs w:val="24"/>
              </w:rPr>
            </w:pPr>
            <w:r w:rsidRPr="00C449B6">
              <w:rPr>
                <w:noProof/>
                <w:szCs w:val="24"/>
              </w:rPr>
              <w:t>France</w:t>
            </w:r>
          </w:p>
        </w:tc>
        <w:tc>
          <w:tcPr>
            <w:tcW w:w="1701" w:type="dxa"/>
            <w:vAlign w:val="center"/>
          </w:tcPr>
          <w:p w14:paraId="2A166B30" w14:textId="77777777" w:rsidR="00594304" w:rsidRPr="00C449B6" w:rsidRDefault="00594304" w:rsidP="009521AC">
            <w:pPr>
              <w:spacing w:before="0"/>
              <w:rPr>
                <w:noProof/>
                <w:szCs w:val="24"/>
              </w:rPr>
            </w:pPr>
            <w:r w:rsidRPr="00C449B6">
              <w:rPr>
                <w:noProof/>
                <w:szCs w:val="24"/>
              </w:rPr>
              <w:t>EUR</w:t>
            </w:r>
          </w:p>
        </w:tc>
      </w:tr>
      <w:tr w:rsidR="00594304" w:rsidRPr="00A31ACB" w14:paraId="48B168EA" w14:textId="77777777" w:rsidTr="00363DA9">
        <w:trPr>
          <w:trHeight w:val="397"/>
        </w:trPr>
        <w:tc>
          <w:tcPr>
            <w:tcW w:w="1838" w:type="dxa"/>
            <w:vAlign w:val="center"/>
          </w:tcPr>
          <w:p w14:paraId="564D31FA" w14:textId="77777777" w:rsidR="00594304" w:rsidRPr="00C449B6" w:rsidRDefault="00594304" w:rsidP="009521AC">
            <w:pPr>
              <w:spacing w:before="0"/>
              <w:rPr>
                <w:noProof/>
                <w:szCs w:val="24"/>
              </w:rPr>
            </w:pPr>
            <w:r w:rsidRPr="00C449B6">
              <w:rPr>
                <w:noProof/>
                <w:szCs w:val="24"/>
              </w:rPr>
              <w:t>Vice-Chairman</w:t>
            </w:r>
          </w:p>
        </w:tc>
        <w:tc>
          <w:tcPr>
            <w:tcW w:w="3402" w:type="dxa"/>
            <w:vAlign w:val="center"/>
          </w:tcPr>
          <w:p w14:paraId="6A831E08" w14:textId="77777777" w:rsidR="00594304" w:rsidRPr="00C449B6" w:rsidRDefault="00594304" w:rsidP="009521AC">
            <w:pPr>
              <w:spacing w:before="0"/>
              <w:rPr>
                <w:noProof/>
                <w:szCs w:val="24"/>
              </w:rPr>
            </w:pPr>
            <w:r w:rsidRPr="00C449B6">
              <w:rPr>
                <w:noProof/>
                <w:szCs w:val="24"/>
              </w:rPr>
              <w:t>Mr Fabio Bigi</w:t>
            </w:r>
          </w:p>
        </w:tc>
        <w:tc>
          <w:tcPr>
            <w:tcW w:w="2268" w:type="dxa"/>
            <w:vAlign w:val="center"/>
          </w:tcPr>
          <w:p w14:paraId="43240D6B" w14:textId="77777777" w:rsidR="00594304" w:rsidRPr="00C449B6" w:rsidRDefault="00594304" w:rsidP="009521AC">
            <w:pPr>
              <w:spacing w:before="0"/>
              <w:rPr>
                <w:noProof/>
                <w:szCs w:val="24"/>
              </w:rPr>
            </w:pPr>
            <w:r w:rsidRPr="00C449B6">
              <w:rPr>
                <w:noProof/>
                <w:szCs w:val="24"/>
              </w:rPr>
              <w:t>Italy</w:t>
            </w:r>
          </w:p>
        </w:tc>
        <w:tc>
          <w:tcPr>
            <w:tcW w:w="1701" w:type="dxa"/>
            <w:vAlign w:val="center"/>
          </w:tcPr>
          <w:p w14:paraId="5923AD04" w14:textId="77777777" w:rsidR="00594304" w:rsidRPr="00C449B6" w:rsidRDefault="00594304" w:rsidP="009521AC">
            <w:pPr>
              <w:spacing w:before="0"/>
              <w:rPr>
                <w:noProof/>
                <w:szCs w:val="24"/>
              </w:rPr>
            </w:pPr>
            <w:r w:rsidRPr="00C449B6">
              <w:rPr>
                <w:noProof/>
                <w:szCs w:val="24"/>
              </w:rPr>
              <w:t>EUR</w:t>
            </w:r>
          </w:p>
        </w:tc>
      </w:tr>
    </w:tbl>
    <w:p w14:paraId="2D9A225F" w14:textId="08F020E3" w:rsidR="00741AED" w:rsidRPr="00BC78ED" w:rsidRDefault="00741AED" w:rsidP="00363DA9">
      <w:pPr>
        <w:pStyle w:val="Heading1"/>
        <w:spacing w:before="240"/>
        <w:ind w:left="567" w:hanging="567"/>
      </w:pPr>
      <w:bookmarkStart w:id="9" w:name="_Toc482300237"/>
      <w:r w:rsidRPr="00BC78ED">
        <w:t>TDAG Meetings</w:t>
      </w:r>
      <w:bookmarkEnd w:id="9"/>
    </w:p>
    <w:p w14:paraId="0D256DF5" w14:textId="4F84EC25" w:rsidR="007A5D37" w:rsidRDefault="00741AED" w:rsidP="00741AED">
      <w:pPr>
        <w:rPr>
          <w:lang w:val="en-US"/>
        </w:rPr>
      </w:pPr>
      <w:r w:rsidRPr="0019124B">
        <w:rPr>
          <w:lang w:val="en-US"/>
        </w:rPr>
        <w:t xml:space="preserve">TDAG held </w:t>
      </w:r>
      <w:r>
        <w:rPr>
          <w:lang w:val="en-US"/>
        </w:rPr>
        <w:t>three</w:t>
      </w:r>
      <w:r w:rsidRPr="0019124B">
        <w:rPr>
          <w:lang w:val="en-US"/>
        </w:rPr>
        <w:t xml:space="preserve"> meetings during the period covered by this report</w:t>
      </w:r>
      <w:r>
        <w:rPr>
          <w:lang w:val="en-US"/>
        </w:rPr>
        <w:t xml:space="preserve"> </w:t>
      </w:r>
      <w:r>
        <w:t>u</w:t>
      </w:r>
      <w:r w:rsidRPr="00695037">
        <w:t xml:space="preserve">nder the chairmanship of Professor Vladimir </w:t>
      </w:r>
      <w:proofErr w:type="spellStart"/>
      <w:r w:rsidRPr="00695037">
        <w:t>Minkin</w:t>
      </w:r>
      <w:proofErr w:type="spellEnd"/>
      <w:r>
        <w:t xml:space="preserve"> (Russian Federation)</w:t>
      </w:r>
      <w:r w:rsidRPr="0019124B">
        <w:rPr>
          <w:lang w:val="en-US"/>
        </w:rPr>
        <w:t xml:space="preserve">. The </w:t>
      </w:r>
      <w:r>
        <w:rPr>
          <w:lang w:val="en-US"/>
        </w:rPr>
        <w:t xml:space="preserve">complete </w:t>
      </w:r>
      <w:r w:rsidRPr="0019124B">
        <w:rPr>
          <w:lang w:val="en-US"/>
        </w:rPr>
        <w:t xml:space="preserve">summary of conclusions of these meetings can be found at: </w:t>
      </w:r>
      <w:hyperlink r:id="rId22" w:history="1">
        <w:r w:rsidRPr="00F123FB">
          <w:rPr>
            <w:rStyle w:val="Hyperlink"/>
            <w:lang w:val="en-US"/>
          </w:rPr>
          <w:t>www.itu.int/ITU-D/tdag/</w:t>
        </w:r>
      </w:hyperlink>
      <w:r>
        <w:rPr>
          <w:lang w:val="en-US"/>
        </w:rPr>
        <w:t xml:space="preserve">. </w:t>
      </w:r>
    </w:p>
    <w:p w14:paraId="396434D6" w14:textId="77777777" w:rsidR="007A5D37" w:rsidRDefault="007A5D37">
      <w:pPr>
        <w:tabs>
          <w:tab w:val="clear" w:pos="1134"/>
          <w:tab w:val="clear" w:pos="1871"/>
          <w:tab w:val="clear" w:pos="2268"/>
        </w:tabs>
        <w:overflowPunct/>
        <w:autoSpaceDE/>
        <w:autoSpaceDN/>
        <w:adjustRightInd/>
        <w:spacing w:before="0"/>
        <w:textAlignment w:val="auto"/>
        <w:rPr>
          <w:lang w:val="en-US"/>
        </w:rPr>
      </w:pPr>
      <w:r>
        <w:rPr>
          <w:lang w:val="en-US"/>
        </w:rPr>
        <w:br w:type="page"/>
      </w:r>
    </w:p>
    <w:p w14:paraId="6FF80281" w14:textId="1CEA0ED1" w:rsidR="00741AED" w:rsidRPr="0055628F" w:rsidRDefault="00741AED" w:rsidP="00363DA9">
      <w:pPr>
        <w:pStyle w:val="Heading2"/>
      </w:pPr>
      <w:bookmarkStart w:id="10" w:name="_Toc482300238"/>
      <w:r w:rsidRPr="0055628F">
        <w:lastRenderedPageBreak/>
        <w:t>19th TDAG Meeting</w:t>
      </w:r>
      <w:bookmarkEnd w:id="10"/>
    </w:p>
    <w:p w14:paraId="49F7F7BF" w14:textId="389C0DAA" w:rsidR="00903FFC" w:rsidRDefault="00903FFC" w:rsidP="001E6206">
      <w:pPr>
        <w:pStyle w:val="ListParagraph"/>
        <w:numPr>
          <w:ilvl w:val="0"/>
          <w:numId w:val="14"/>
        </w:numPr>
        <w:tabs>
          <w:tab w:val="clear" w:pos="1134"/>
          <w:tab w:val="clear" w:pos="1871"/>
          <w:tab w:val="left" w:pos="426"/>
        </w:tabs>
        <w:ind w:left="0" w:firstLine="0"/>
      </w:pPr>
      <w:r>
        <w:t>The 19th meeting of the Telecommunication Development Advisory Group (TDAG) was held at ITU headquarters in Geneva</w:t>
      </w:r>
      <w:r w:rsidR="004B3144">
        <w:t>,</w:t>
      </w:r>
      <w:r>
        <w:t xml:space="preserve"> from 2</w:t>
      </w:r>
      <w:r w:rsidR="001F6110">
        <w:t>9</w:t>
      </w:r>
      <w:r>
        <w:t xml:space="preserve"> </w:t>
      </w:r>
      <w:r w:rsidR="001F6110">
        <w:t xml:space="preserve">September </w:t>
      </w:r>
      <w:r>
        <w:t xml:space="preserve">to </w:t>
      </w:r>
      <w:r w:rsidR="001F6110">
        <w:t>1</w:t>
      </w:r>
      <w:r>
        <w:t xml:space="preserve"> </w:t>
      </w:r>
      <w:r w:rsidR="001F6110">
        <w:t>October</w:t>
      </w:r>
      <w:r>
        <w:t xml:space="preserve"> 201</w:t>
      </w:r>
      <w:r w:rsidR="001F6110">
        <w:t>4</w:t>
      </w:r>
      <w:r>
        <w:t xml:space="preserve">, under the chairmanship of Professor Dr Vladimir </w:t>
      </w:r>
      <w:proofErr w:type="spellStart"/>
      <w:r>
        <w:t>Minkin</w:t>
      </w:r>
      <w:proofErr w:type="spellEnd"/>
      <w:r>
        <w:t>.</w:t>
      </w:r>
    </w:p>
    <w:p w14:paraId="59580F61" w14:textId="48E83739" w:rsidR="00741AED" w:rsidRPr="00903FFC" w:rsidRDefault="00741AED" w:rsidP="00903FFC">
      <w:pPr>
        <w:pStyle w:val="ListParagraph"/>
        <w:tabs>
          <w:tab w:val="clear" w:pos="1134"/>
          <w:tab w:val="clear" w:pos="1871"/>
          <w:tab w:val="left" w:pos="426"/>
        </w:tabs>
        <w:ind w:left="0"/>
        <w:contextualSpacing w:val="0"/>
        <w:rPr>
          <w:rStyle w:val="Hyperlink"/>
          <w:color w:val="auto"/>
          <w:u w:val="none"/>
        </w:rPr>
      </w:pPr>
      <w:r w:rsidRPr="00780CB0">
        <w:t>The full meeting report</w:t>
      </w:r>
      <w:r>
        <w:t xml:space="preserve">, </w:t>
      </w:r>
      <w:r w:rsidRPr="000D31EF">
        <w:t xml:space="preserve">in </w:t>
      </w:r>
      <w:r>
        <w:t>the</w:t>
      </w:r>
      <w:r w:rsidRPr="000D31EF">
        <w:t xml:space="preserve"> six</w:t>
      </w:r>
      <w:r>
        <w:t xml:space="preserve"> official</w:t>
      </w:r>
      <w:r w:rsidRPr="000D31EF">
        <w:t xml:space="preserve"> languages</w:t>
      </w:r>
      <w:r>
        <w:t xml:space="preserve"> of ITU</w:t>
      </w:r>
      <w:r w:rsidRPr="000D31EF">
        <w:t xml:space="preserve">, </w:t>
      </w:r>
      <w:r w:rsidRPr="00780CB0">
        <w:t xml:space="preserve">is available at: </w:t>
      </w:r>
      <w:hyperlink r:id="rId23" w:history="1">
        <w:r w:rsidRPr="005E5793">
          <w:rPr>
            <w:rStyle w:val="Hyperlink"/>
          </w:rPr>
          <w:t>https://www.itu.int/md/D14-TDAG19-C-0026/en</w:t>
        </w:r>
      </w:hyperlink>
    </w:p>
    <w:p w14:paraId="0429DAE6" w14:textId="54BF6905" w:rsidR="0015250D" w:rsidRDefault="0015250D" w:rsidP="003E489B">
      <w:pPr>
        <w:pStyle w:val="ListParagraph"/>
        <w:numPr>
          <w:ilvl w:val="0"/>
          <w:numId w:val="14"/>
        </w:numPr>
        <w:tabs>
          <w:tab w:val="clear" w:pos="1134"/>
          <w:tab w:val="clear" w:pos="1871"/>
          <w:tab w:val="clear" w:pos="2268"/>
          <w:tab w:val="left" w:pos="567"/>
        </w:tabs>
        <w:ind w:left="0" w:firstLine="0"/>
        <w:contextualSpacing w:val="0"/>
      </w:pPr>
      <w:r w:rsidRPr="0015250D">
        <w:t>Participants</w:t>
      </w:r>
    </w:p>
    <w:p w14:paraId="4E2CB8E3" w14:textId="2A6A87C9" w:rsidR="0015250D" w:rsidRDefault="0015250D" w:rsidP="007C632F">
      <w:r>
        <w:t xml:space="preserve">The following </w:t>
      </w:r>
      <w:r w:rsidR="00A513BE">
        <w:t>chart provide</w:t>
      </w:r>
      <w:r w:rsidR="008E396A">
        <w:t>s</w:t>
      </w:r>
      <w:r>
        <w:t xml:space="preserve"> the </w:t>
      </w:r>
      <w:r w:rsidR="007C632F">
        <w:t>breakdown</w:t>
      </w:r>
      <w:r>
        <w:t xml:space="preserve"> of participants by category:</w:t>
      </w:r>
    </w:p>
    <w:p w14:paraId="682D0D2A" w14:textId="38C78D25" w:rsidR="00A513BE" w:rsidRDefault="00D91E0B" w:rsidP="003E489B">
      <w:pPr>
        <w:jc w:val="center"/>
      </w:pPr>
      <w:bookmarkStart w:id="11" w:name="_MON_1555436832"/>
      <w:bookmarkEnd w:id="11"/>
      <w:r w:rsidRPr="00D91E0B">
        <w:rPr>
          <w:noProof/>
          <w:lang w:eastAsia="zh-CN"/>
        </w:rPr>
        <w:drawing>
          <wp:inline distT="0" distB="0" distL="0" distR="0" wp14:anchorId="5A7E937D" wp14:editId="65E95A57">
            <wp:extent cx="5850890" cy="24066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850890" cy="2406650"/>
                    </a:xfrm>
                    <a:prstGeom prst="rect">
                      <a:avLst/>
                    </a:prstGeom>
                  </pic:spPr>
                </pic:pic>
              </a:graphicData>
            </a:graphic>
          </wp:inline>
        </w:drawing>
      </w:r>
    </w:p>
    <w:p w14:paraId="5E7BCB66" w14:textId="1907368A" w:rsidR="006005A3" w:rsidRDefault="006005A3" w:rsidP="0015250D">
      <w:pPr>
        <w:rPr>
          <w:noProof/>
          <w:lang w:val="en-US"/>
        </w:rPr>
      </w:pPr>
      <w:r>
        <w:t>The following chart provides the breakdown of participants by region:</w:t>
      </w:r>
    </w:p>
    <w:p w14:paraId="44C41809" w14:textId="5A47E6ED" w:rsidR="007A5D37" w:rsidRDefault="00D91E0B" w:rsidP="0015250D">
      <w:r w:rsidRPr="00D91E0B">
        <w:rPr>
          <w:noProof/>
          <w:lang w:eastAsia="zh-CN"/>
        </w:rPr>
        <w:drawing>
          <wp:inline distT="0" distB="0" distL="0" distR="0" wp14:anchorId="47BC178A" wp14:editId="2961205D">
            <wp:extent cx="5924550" cy="2426018"/>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25881" cy="2426563"/>
                    </a:xfrm>
                    <a:prstGeom prst="rect">
                      <a:avLst/>
                    </a:prstGeom>
                  </pic:spPr>
                </pic:pic>
              </a:graphicData>
            </a:graphic>
          </wp:inline>
        </w:drawing>
      </w:r>
    </w:p>
    <w:p w14:paraId="137305DD" w14:textId="77777777" w:rsidR="007A5D37" w:rsidRDefault="007A5D37">
      <w:pPr>
        <w:tabs>
          <w:tab w:val="clear" w:pos="1134"/>
          <w:tab w:val="clear" w:pos="1871"/>
          <w:tab w:val="clear" w:pos="2268"/>
        </w:tabs>
        <w:overflowPunct/>
        <w:autoSpaceDE/>
        <w:autoSpaceDN/>
        <w:adjustRightInd/>
        <w:spacing w:before="0"/>
        <w:textAlignment w:val="auto"/>
      </w:pPr>
      <w:r>
        <w:br w:type="page"/>
      </w:r>
    </w:p>
    <w:p w14:paraId="40A3B10E" w14:textId="37B5CE44" w:rsidR="0015250D" w:rsidRDefault="0015250D" w:rsidP="003E489B">
      <w:pPr>
        <w:pStyle w:val="ListParagraph"/>
        <w:numPr>
          <w:ilvl w:val="0"/>
          <w:numId w:val="14"/>
        </w:numPr>
        <w:tabs>
          <w:tab w:val="clear" w:pos="1134"/>
          <w:tab w:val="clear" w:pos="1871"/>
          <w:tab w:val="clear" w:pos="2268"/>
          <w:tab w:val="left" w:pos="567"/>
        </w:tabs>
        <w:ind w:left="0" w:firstLine="0"/>
        <w:contextualSpacing w:val="0"/>
      </w:pPr>
      <w:r>
        <w:lastRenderedPageBreak/>
        <w:t>Documents</w:t>
      </w:r>
    </w:p>
    <w:p w14:paraId="62CC356F" w14:textId="67DB278F" w:rsidR="0015250D" w:rsidRDefault="0015250D" w:rsidP="0015250D">
      <w:r>
        <w:t xml:space="preserve">The following </w:t>
      </w:r>
      <w:r w:rsidR="003D2194">
        <w:t>chart provide</w:t>
      </w:r>
      <w:r w:rsidR="00E64520">
        <w:t>s</w:t>
      </w:r>
      <w:r>
        <w:t xml:space="preserve"> the number of documents broken down by category of documents:</w:t>
      </w:r>
    </w:p>
    <w:p w14:paraId="5EAF48E2" w14:textId="1094A91C" w:rsidR="0015250D" w:rsidRDefault="00E64520">
      <w:pPr>
        <w:tabs>
          <w:tab w:val="clear" w:pos="1134"/>
          <w:tab w:val="clear" w:pos="1871"/>
          <w:tab w:val="clear" w:pos="2268"/>
        </w:tabs>
        <w:overflowPunct/>
        <w:autoSpaceDE/>
        <w:autoSpaceDN/>
        <w:adjustRightInd/>
        <w:spacing w:before="0"/>
        <w:textAlignment w:val="auto"/>
      </w:pPr>
      <w:r>
        <w:rPr>
          <w:noProof/>
          <w:lang w:eastAsia="zh-CN"/>
        </w:rPr>
        <w:drawing>
          <wp:inline distT="0" distB="0" distL="0" distR="0" wp14:anchorId="32285FA1" wp14:editId="1D5F8CFC">
            <wp:extent cx="5546725" cy="2941320"/>
            <wp:effectExtent l="0" t="0" r="15875" b="1143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5563A01" w14:textId="01611438" w:rsidR="0015250D" w:rsidRDefault="0015250D" w:rsidP="003E489B">
      <w:pPr>
        <w:pStyle w:val="ListParagraph"/>
        <w:numPr>
          <w:ilvl w:val="0"/>
          <w:numId w:val="14"/>
        </w:numPr>
        <w:tabs>
          <w:tab w:val="clear" w:pos="1134"/>
          <w:tab w:val="clear" w:pos="1871"/>
          <w:tab w:val="clear" w:pos="2268"/>
          <w:tab w:val="left" w:pos="567"/>
        </w:tabs>
        <w:ind w:left="0" w:firstLine="0"/>
        <w:contextualSpacing w:val="0"/>
      </w:pPr>
      <w:r w:rsidRPr="0015250D">
        <w:t>19</w:t>
      </w:r>
      <w:r w:rsidRPr="0015250D">
        <w:rPr>
          <w:vertAlign w:val="superscript"/>
        </w:rPr>
        <w:t>th</w:t>
      </w:r>
      <w:r>
        <w:t xml:space="preserve"> </w:t>
      </w:r>
      <w:r w:rsidRPr="0015250D">
        <w:t>TDAG Meeting</w:t>
      </w:r>
      <w:r>
        <w:t xml:space="preserve"> Outcomes</w:t>
      </w:r>
    </w:p>
    <w:p w14:paraId="57FBDCB4" w14:textId="70F5AB6E" w:rsidR="0015250D" w:rsidRDefault="0015250D" w:rsidP="003E489B">
      <w:pPr>
        <w:spacing w:after="120"/>
      </w:pPr>
      <w:r>
        <w:t>The following table provides the summary of the outcomes of the 19</w:t>
      </w:r>
      <w:r w:rsidRPr="0015250D">
        <w:rPr>
          <w:vertAlign w:val="superscript"/>
        </w:rPr>
        <w:t>th</w:t>
      </w:r>
      <w:r>
        <w:t xml:space="preserve"> TDAG meeting by subject:</w:t>
      </w:r>
    </w:p>
    <w:tbl>
      <w:tblPr>
        <w:tblW w:w="9214" w:type="dxa"/>
        <w:tblInd w:w="-5" w:type="dxa"/>
        <w:tblLook w:val="04A0" w:firstRow="1" w:lastRow="0" w:firstColumn="1" w:lastColumn="0" w:noHBand="0" w:noVBand="1"/>
      </w:tblPr>
      <w:tblGrid>
        <w:gridCol w:w="3220"/>
        <w:gridCol w:w="5994"/>
      </w:tblGrid>
      <w:tr w:rsidR="0015250D" w:rsidRPr="0015250D" w14:paraId="57569498" w14:textId="77777777" w:rsidTr="003E489B">
        <w:trPr>
          <w:trHeight w:val="300"/>
          <w:tblHeader/>
        </w:trPr>
        <w:tc>
          <w:tcPr>
            <w:tcW w:w="322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14:paraId="7D1827EE" w14:textId="77777777" w:rsidR="0015250D" w:rsidRPr="0015250D" w:rsidRDefault="0015250D" w:rsidP="003E489B">
            <w:pPr>
              <w:tabs>
                <w:tab w:val="clear" w:pos="1134"/>
                <w:tab w:val="clear" w:pos="1871"/>
                <w:tab w:val="clear" w:pos="2268"/>
              </w:tabs>
              <w:overflowPunct/>
              <w:autoSpaceDE/>
              <w:autoSpaceDN/>
              <w:adjustRightInd/>
              <w:spacing w:after="120"/>
              <w:jc w:val="center"/>
              <w:textAlignment w:val="auto"/>
              <w:rPr>
                <w:rFonts w:ascii="Calibri" w:hAnsi="Calibri"/>
                <w:b/>
                <w:bCs/>
                <w:i/>
                <w:iCs/>
                <w:color w:val="000000"/>
                <w:sz w:val="22"/>
                <w:szCs w:val="22"/>
                <w:lang w:eastAsia="zh-CN"/>
              </w:rPr>
            </w:pPr>
            <w:r w:rsidRPr="0015250D">
              <w:rPr>
                <w:rFonts w:ascii="Calibri" w:hAnsi="Calibri"/>
                <w:b/>
                <w:bCs/>
                <w:i/>
                <w:iCs/>
                <w:color w:val="000000"/>
                <w:sz w:val="22"/>
                <w:szCs w:val="22"/>
                <w:lang w:eastAsia="zh-CN"/>
              </w:rPr>
              <w:t xml:space="preserve">Subject </w:t>
            </w:r>
          </w:p>
        </w:tc>
        <w:tc>
          <w:tcPr>
            <w:tcW w:w="5994" w:type="dxa"/>
            <w:tcBorders>
              <w:top w:val="single" w:sz="4" w:space="0" w:color="auto"/>
              <w:left w:val="nil"/>
              <w:bottom w:val="single" w:sz="4" w:space="0" w:color="auto"/>
              <w:right w:val="single" w:sz="4" w:space="0" w:color="auto"/>
            </w:tcBorders>
            <w:shd w:val="clear" w:color="auto" w:fill="FDE9D9" w:themeFill="accent6" w:themeFillTint="33"/>
            <w:noWrap/>
            <w:vAlign w:val="bottom"/>
            <w:hideMark/>
          </w:tcPr>
          <w:p w14:paraId="22C0BE70" w14:textId="77777777" w:rsidR="0015250D" w:rsidRPr="0015250D" w:rsidRDefault="0015250D" w:rsidP="003E489B">
            <w:pPr>
              <w:tabs>
                <w:tab w:val="clear" w:pos="1134"/>
                <w:tab w:val="clear" w:pos="1871"/>
                <w:tab w:val="clear" w:pos="2268"/>
              </w:tabs>
              <w:overflowPunct/>
              <w:autoSpaceDE/>
              <w:autoSpaceDN/>
              <w:adjustRightInd/>
              <w:spacing w:after="120"/>
              <w:jc w:val="center"/>
              <w:textAlignment w:val="auto"/>
              <w:rPr>
                <w:rFonts w:ascii="Calibri" w:hAnsi="Calibri"/>
                <w:b/>
                <w:bCs/>
                <w:i/>
                <w:iCs/>
                <w:color w:val="000000"/>
                <w:sz w:val="22"/>
                <w:szCs w:val="22"/>
                <w:lang w:eastAsia="zh-CN"/>
              </w:rPr>
            </w:pPr>
            <w:r w:rsidRPr="0015250D">
              <w:rPr>
                <w:rFonts w:ascii="Calibri" w:hAnsi="Calibri"/>
                <w:b/>
                <w:bCs/>
                <w:i/>
                <w:iCs/>
                <w:color w:val="000000"/>
                <w:sz w:val="22"/>
                <w:szCs w:val="22"/>
                <w:lang w:eastAsia="zh-CN"/>
              </w:rPr>
              <w:t>TDAG Conclusions / Outcomes</w:t>
            </w:r>
          </w:p>
        </w:tc>
      </w:tr>
      <w:tr w:rsidR="0015250D" w:rsidRPr="0015250D" w14:paraId="0C81A84E" w14:textId="77777777" w:rsidTr="00E05AF4">
        <w:tc>
          <w:tcPr>
            <w:tcW w:w="3220" w:type="dxa"/>
            <w:tcBorders>
              <w:top w:val="nil"/>
              <w:left w:val="single" w:sz="4" w:space="0" w:color="auto"/>
              <w:bottom w:val="single" w:sz="4" w:space="0" w:color="auto"/>
              <w:right w:val="single" w:sz="4" w:space="0" w:color="auto"/>
            </w:tcBorders>
            <w:shd w:val="clear" w:color="auto" w:fill="auto"/>
            <w:vAlign w:val="center"/>
            <w:hideMark/>
          </w:tcPr>
          <w:p w14:paraId="2F8F771E" w14:textId="57C1A972" w:rsidR="00E05AF4" w:rsidRPr="0015250D" w:rsidRDefault="0015250D"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15250D">
              <w:rPr>
                <w:rFonts w:ascii="Calibri" w:hAnsi="Calibri"/>
                <w:color w:val="000000"/>
                <w:sz w:val="22"/>
                <w:szCs w:val="22"/>
                <w:lang w:eastAsia="zh-CN"/>
              </w:rPr>
              <w:t>World Telecommunication Development Conference (WTDC 14)</w:t>
            </w:r>
          </w:p>
        </w:tc>
        <w:tc>
          <w:tcPr>
            <w:tcW w:w="5994" w:type="dxa"/>
            <w:tcBorders>
              <w:top w:val="nil"/>
              <w:left w:val="nil"/>
              <w:bottom w:val="single" w:sz="4" w:space="0" w:color="auto"/>
              <w:right w:val="single" w:sz="4" w:space="0" w:color="auto"/>
            </w:tcBorders>
            <w:shd w:val="clear" w:color="auto" w:fill="auto"/>
            <w:vAlign w:val="center"/>
            <w:hideMark/>
          </w:tcPr>
          <w:p w14:paraId="2DD982F4" w14:textId="77777777" w:rsidR="0015250D" w:rsidRPr="0015250D" w:rsidRDefault="0015250D"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15250D">
              <w:rPr>
                <w:rFonts w:ascii="Calibri" w:hAnsi="Calibri"/>
                <w:color w:val="000000"/>
                <w:sz w:val="22"/>
                <w:szCs w:val="22"/>
                <w:lang w:eastAsia="zh-CN"/>
              </w:rPr>
              <w:t>The summary report on the conclusions of WTDC-14 was noted.</w:t>
            </w:r>
          </w:p>
        </w:tc>
      </w:tr>
      <w:tr w:rsidR="0015250D" w:rsidRPr="0015250D" w14:paraId="5ACA8458" w14:textId="77777777" w:rsidTr="00E05AF4">
        <w:tc>
          <w:tcPr>
            <w:tcW w:w="3220" w:type="dxa"/>
            <w:tcBorders>
              <w:top w:val="nil"/>
              <w:left w:val="single" w:sz="4" w:space="0" w:color="auto"/>
              <w:bottom w:val="single" w:sz="4" w:space="0" w:color="auto"/>
              <w:right w:val="single" w:sz="4" w:space="0" w:color="auto"/>
            </w:tcBorders>
            <w:shd w:val="clear" w:color="auto" w:fill="auto"/>
            <w:vAlign w:val="center"/>
            <w:hideMark/>
          </w:tcPr>
          <w:p w14:paraId="65226DC2" w14:textId="77777777" w:rsidR="0015250D" w:rsidRPr="0015250D" w:rsidRDefault="0015250D"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15250D">
              <w:rPr>
                <w:rFonts w:ascii="Calibri" w:hAnsi="Calibri"/>
                <w:color w:val="000000"/>
                <w:sz w:val="22"/>
                <w:szCs w:val="22"/>
                <w:lang w:eastAsia="zh-CN"/>
              </w:rPr>
              <w:t>TDAG's new scope of work - Resolution 24 (Rev. Dubai, 2014)</w:t>
            </w:r>
          </w:p>
        </w:tc>
        <w:tc>
          <w:tcPr>
            <w:tcW w:w="5994" w:type="dxa"/>
            <w:tcBorders>
              <w:top w:val="nil"/>
              <w:left w:val="nil"/>
              <w:bottom w:val="single" w:sz="4" w:space="0" w:color="auto"/>
              <w:right w:val="single" w:sz="4" w:space="0" w:color="auto"/>
            </w:tcBorders>
            <w:shd w:val="clear" w:color="auto" w:fill="auto"/>
            <w:vAlign w:val="center"/>
            <w:hideMark/>
          </w:tcPr>
          <w:p w14:paraId="74D998DE" w14:textId="77777777" w:rsidR="0015250D" w:rsidRPr="0015250D" w:rsidRDefault="0015250D"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15250D">
              <w:rPr>
                <w:rFonts w:ascii="Calibri" w:hAnsi="Calibri"/>
                <w:color w:val="000000"/>
                <w:sz w:val="22"/>
                <w:szCs w:val="22"/>
                <w:lang w:eastAsia="zh-CN"/>
              </w:rPr>
              <w:t>TDAG took note of the document and emphasized that its content would provide useful guidance for its work going forward.</w:t>
            </w:r>
          </w:p>
        </w:tc>
      </w:tr>
      <w:tr w:rsidR="0015250D" w:rsidRPr="0015250D" w14:paraId="256FBA07" w14:textId="77777777" w:rsidTr="00E05AF4">
        <w:tc>
          <w:tcPr>
            <w:tcW w:w="3220" w:type="dxa"/>
            <w:tcBorders>
              <w:top w:val="nil"/>
              <w:left w:val="single" w:sz="4" w:space="0" w:color="auto"/>
              <w:bottom w:val="single" w:sz="4" w:space="0" w:color="auto"/>
              <w:right w:val="single" w:sz="4" w:space="0" w:color="auto"/>
            </w:tcBorders>
            <w:shd w:val="clear" w:color="auto" w:fill="auto"/>
            <w:vAlign w:val="center"/>
            <w:hideMark/>
          </w:tcPr>
          <w:p w14:paraId="2643FC03" w14:textId="77777777" w:rsidR="0015250D" w:rsidRPr="0015250D" w:rsidRDefault="0015250D"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15250D">
              <w:rPr>
                <w:rFonts w:ascii="Calibri" w:hAnsi="Calibri"/>
                <w:color w:val="000000"/>
                <w:sz w:val="22"/>
                <w:szCs w:val="22"/>
                <w:lang w:eastAsia="zh-CN"/>
              </w:rPr>
              <w:t>Strategic considerations for the implementation of the Dubai Action Plan</w:t>
            </w:r>
          </w:p>
        </w:tc>
        <w:tc>
          <w:tcPr>
            <w:tcW w:w="5994" w:type="dxa"/>
            <w:tcBorders>
              <w:top w:val="nil"/>
              <w:left w:val="nil"/>
              <w:bottom w:val="single" w:sz="4" w:space="0" w:color="auto"/>
              <w:right w:val="single" w:sz="4" w:space="0" w:color="auto"/>
            </w:tcBorders>
            <w:shd w:val="clear" w:color="auto" w:fill="auto"/>
            <w:vAlign w:val="center"/>
            <w:hideMark/>
          </w:tcPr>
          <w:p w14:paraId="1927C2FA" w14:textId="77777777" w:rsidR="0015250D" w:rsidRPr="0015250D" w:rsidRDefault="0015250D"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15250D">
              <w:rPr>
                <w:rFonts w:ascii="Calibri" w:hAnsi="Calibri"/>
                <w:color w:val="000000"/>
                <w:sz w:val="22"/>
                <w:szCs w:val="22"/>
                <w:lang w:eastAsia="zh-CN"/>
              </w:rPr>
              <w:t>TDAG noted with appreciation document 4 that presents WTDC-14 revised Resolution 24; TDAG created a correspondence group to review Resolution 1; TDAG elaborated the outcome indicators and key performance indicators.</w:t>
            </w:r>
          </w:p>
        </w:tc>
      </w:tr>
      <w:tr w:rsidR="0015250D" w:rsidRPr="0015250D" w14:paraId="00CDABE4" w14:textId="77777777" w:rsidTr="00E05AF4">
        <w:tc>
          <w:tcPr>
            <w:tcW w:w="3220" w:type="dxa"/>
            <w:tcBorders>
              <w:top w:val="nil"/>
              <w:left w:val="single" w:sz="4" w:space="0" w:color="auto"/>
              <w:bottom w:val="single" w:sz="4" w:space="0" w:color="auto"/>
              <w:right w:val="single" w:sz="4" w:space="0" w:color="auto"/>
            </w:tcBorders>
            <w:shd w:val="clear" w:color="auto" w:fill="auto"/>
            <w:vAlign w:val="center"/>
            <w:hideMark/>
          </w:tcPr>
          <w:p w14:paraId="4A4063C7" w14:textId="77777777" w:rsidR="0015250D" w:rsidRPr="0015250D" w:rsidRDefault="0015250D"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15250D">
              <w:rPr>
                <w:rFonts w:ascii="Calibri" w:hAnsi="Calibri"/>
                <w:color w:val="000000"/>
                <w:sz w:val="22"/>
                <w:szCs w:val="22"/>
                <w:lang w:eastAsia="zh-CN"/>
              </w:rPr>
              <w:t>Inter-sectoral activities</w:t>
            </w:r>
          </w:p>
        </w:tc>
        <w:tc>
          <w:tcPr>
            <w:tcW w:w="5994" w:type="dxa"/>
            <w:tcBorders>
              <w:top w:val="nil"/>
              <w:left w:val="nil"/>
              <w:bottom w:val="single" w:sz="4" w:space="0" w:color="auto"/>
              <w:right w:val="single" w:sz="4" w:space="0" w:color="auto"/>
            </w:tcBorders>
            <w:shd w:val="clear" w:color="auto" w:fill="auto"/>
            <w:vAlign w:val="center"/>
            <w:hideMark/>
          </w:tcPr>
          <w:p w14:paraId="23409CD7" w14:textId="77777777" w:rsidR="0015250D" w:rsidRPr="0015250D" w:rsidRDefault="0015250D"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15250D">
              <w:rPr>
                <w:rFonts w:ascii="Calibri" w:hAnsi="Calibri"/>
                <w:color w:val="000000"/>
                <w:sz w:val="22"/>
                <w:szCs w:val="22"/>
                <w:lang w:eastAsia="zh-CN"/>
              </w:rPr>
              <w:t>It was highlighted that the purpose of the inter-sectoral group was to provide a better understanding of what is done in the other two Sectors so that developing countries can easily access this information. TDAG agreed to send its representatives to participate in the inter-sectoral group.</w:t>
            </w:r>
          </w:p>
        </w:tc>
      </w:tr>
      <w:tr w:rsidR="0015250D" w:rsidRPr="0015250D" w14:paraId="62358BFF" w14:textId="77777777" w:rsidTr="00E05AF4">
        <w:tc>
          <w:tcPr>
            <w:tcW w:w="3220" w:type="dxa"/>
            <w:tcBorders>
              <w:top w:val="nil"/>
              <w:left w:val="single" w:sz="4" w:space="0" w:color="auto"/>
              <w:bottom w:val="single" w:sz="4" w:space="0" w:color="auto"/>
              <w:right w:val="single" w:sz="4" w:space="0" w:color="auto"/>
            </w:tcBorders>
            <w:shd w:val="clear" w:color="auto" w:fill="auto"/>
            <w:vAlign w:val="center"/>
            <w:hideMark/>
          </w:tcPr>
          <w:p w14:paraId="6D47FDC0" w14:textId="77777777" w:rsidR="0015250D" w:rsidRPr="0015250D" w:rsidRDefault="0015250D"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15250D">
              <w:rPr>
                <w:rFonts w:ascii="Calibri" w:hAnsi="Calibri"/>
                <w:color w:val="000000"/>
                <w:sz w:val="22"/>
                <w:szCs w:val="22"/>
                <w:lang w:eastAsia="zh-CN"/>
              </w:rPr>
              <w:t>Review of the implementation of the ITU-D Operational Plan</w:t>
            </w:r>
          </w:p>
        </w:tc>
        <w:tc>
          <w:tcPr>
            <w:tcW w:w="5994" w:type="dxa"/>
            <w:tcBorders>
              <w:top w:val="nil"/>
              <w:left w:val="nil"/>
              <w:bottom w:val="single" w:sz="4" w:space="0" w:color="auto"/>
              <w:right w:val="single" w:sz="4" w:space="0" w:color="auto"/>
            </w:tcBorders>
            <w:shd w:val="clear" w:color="auto" w:fill="auto"/>
            <w:vAlign w:val="center"/>
            <w:hideMark/>
          </w:tcPr>
          <w:p w14:paraId="7DDEAA3B" w14:textId="77777777" w:rsidR="0015250D" w:rsidRPr="0015250D" w:rsidRDefault="0015250D"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15250D">
              <w:rPr>
                <w:rFonts w:ascii="Calibri" w:hAnsi="Calibri"/>
                <w:color w:val="000000"/>
                <w:sz w:val="22"/>
                <w:szCs w:val="22"/>
                <w:lang w:eastAsia="zh-CN"/>
              </w:rPr>
              <w:t xml:space="preserve">TDAG took note of the 2013 performance report and the Quarterly Performance Report: January-June </w:t>
            </w:r>
            <w:proofErr w:type="gramStart"/>
            <w:r w:rsidRPr="0015250D">
              <w:rPr>
                <w:rFonts w:ascii="Calibri" w:hAnsi="Calibri"/>
                <w:color w:val="000000"/>
                <w:sz w:val="22"/>
                <w:szCs w:val="22"/>
                <w:lang w:eastAsia="zh-CN"/>
              </w:rPr>
              <w:t>2014  and</w:t>
            </w:r>
            <w:proofErr w:type="gramEnd"/>
            <w:r w:rsidRPr="0015250D">
              <w:rPr>
                <w:rFonts w:ascii="Calibri" w:hAnsi="Calibri"/>
                <w:color w:val="000000"/>
                <w:sz w:val="22"/>
                <w:szCs w:val="22"/>
                <w:lang w:eastAsia="zh-CN"/>
              </w:rPr>
              <w:t xml:space="preserve"> gave its support for BDT activities. In the framework of the enhancement of the effectiveness of the implementation of regionally approved initiatives at the national, regional, </w:t>
            </w:r>
            <w:r w:rsidRPr="0015250D">
              <w:rPr>
                <w:rFonts w:ascii="Calibri" w:hAnsi="Calibri"/>
                <w:color w:val="000000"/>
                <w:sz w:val="22"/>
                <w:szCs w:val="22"/>
                <w:lang w:eastAsia="zh-CN"/>
              </w:rPr>
              <w:lastRenderedPageBreak/>
              <w:t>interregional and global levels, TDAG advised to strive to organize annual Regional Development Forum (RDF) meetings whenever possible taking into consideration the importance of such meetings in the implementation of the regional initiatives.</w:t>
            </w:r>
          </w:p>
        </w:tc>
      </w:tr>
      <w:tr w:rsidR="0015250D" w:rsidRPr="0015250D" w14:paraId="7C9EF8C4" w14:textId="77777777" w:rsidTr="00E05AF4">
        <w:tc>
          <w:tcPr>
            <w:tcW w:w="3220" w:type="dxa"/>
            <w:tcBorders>
              <w:top w:val="nil"/>
              <w:left w:val="single" w:sz="4" w:space="0" w:color="auto"/>
              <w:bottom w:val="single" w:sz="4" w:space="0" w:color="auto"/>
              <w:right w:val="single" w:sz="4" w:space="0" w:color="auto"/>
            </w:tcBorders>
            <w:shd w:val="clear" w:color="auto" w:fill="auto"/>
            <w:vAlign w:val="center"/>
            <w:hideMark/>
          </w:tcPr>
          <w:p w14:paraId="3B48AB80" w14:textId="77777777" w:rsidR="0015250D" w:rsidRPr="0015250D" w:rsidRDefault="0015250D"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15250D">
              <w:rPr>
                <w:rFonts w:ascii="Calibri" w:hAnsi="Calibri"/>
                <w:color w:val="000000"/>
                <w:sz w:val="22"/>
                <w:szCs w:val="22"/>
                <w:lang w:eastAsia="zh-CN"/>
              </w:rPr>
              <w:lastRenderedPageBreak/>
              <w:t xml:space="preserve">ITU-D Study Groups related matters </w:t>
            </w:r>
          </w:p>
        </w:tc>
        <w:tc>
          <w:tcPr>
            <w:tcW w:w="5994" w:type="dxa"/>
            <w:tcBorders>
              <w:top w:val="nil"/>
              <w:left w:val="nil"/>
              <w:bottom w:val="single" w:sz="4" w:space="0" w:color="auto"/>
              <w:right w:val="single" w:sz="4" w:space="0" w:color="auto"/>
            </w:tcBorders>
            <w:shd w:val="clear" w:color="auto" w:fill="auto"/>
            <w:vAlign w:val="center"/>
            <w:hideMark/>
          </w:tcPr>
          <w:p w14:paraId="6DE81C9F" w14:textId="77777777" w:rsidR="0015250D" w:rsidRPr="0015250D" w:rsidRDefault="0015250D"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15250D">
              <w:rPr>
                <w:rFonts w:ascii="Calibri" w:hAnsi="Calibri"/>
                <w:color w:val="000000"/>
                <w:sz w:val="22"/>
                <w:szCs w:val="22"/>
                <w:lang w:eastAsia="zh-CN"/>
              </w:rPr>
              <w:t>The Scope of work of ITU-D Study Group 1 and Study Group 2 for the 2014-2018 study period were considered. TDAG thanked the members for the exceptionally large number of contributions received for the first meetings and noted that this shows that there is an interest in the work of the Development Sector. TDAG thanked the chairmen of study groups, vice-chairmen and rapporteurs for excellent work.</w:t>
            </w:r>
          </w:p>
        </w:tc>
      </w:tr>
      <w:tr w:rsidR="0015250D" w:rsidRPr="0015250D" w14:paraId="7708AD69" w14:textId="77777777" w:rsidTr="00E05AF4">
        <w:tc>
          <w:tcPr>
            <w:tcW w:w="3220" w:type="dxa"/>
            <w:tcBorders>
              <w:top w:val="nil"/>
              <w:left w:val="single" w:sz="4" w:space="0" w:color="auto"/>
              <w:bottom w:val="single" w:sz="4" w:space="0" w:color="auto"/>
              <w:right w:val="single" w:sz="4" w:space="0" w:color="auto"/>
            </w:tcBorders>
            <w:shd w:val="clear" w:color="auto" w:fill="auto"/>
            <w:vAlign w:val="center"/>
            <w:hideMark/>
          </w:tcPr>
          <w:p w14:paraId="437B238B" w14:textId="77777777" w:rsidR="0015250D" w:rsidRPr="0015250D" w:rsidRDefault="0015250D"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15250D">
              <w:rPr>
                <w:rFonts w:ascii="Calibri" w:hAnsi="Calibri"/>
                <w:color w:val="000000"/>
                <w:sz w:val="22"/>
                <w:szCs w:val="22"/>
                <w:lang w:eastAsia="zh-CN"/>
              </w:rPr>
              <w:t>ITU-D contribution to the implementation of the WSIS Plan of Action</w:t>
            </w:r>
          </w:p>
        </w:tc>
        <w:tc>
          <w:tcPr>
            <w:tcW w:w="5994" w:type="dxa"/>
            <w:tcBorders>
              <w:top w:val="nil"/>
              <w:left w:val="nil"/>
              <w:bottom w:val="single" w:sz="4" w:space="0" w:color="auto"/>
              <w:right w:val="single" w:sz="4" w:space="0" w:color="auto"/>
            </w:tcBorders>
            <w:shd w:val="clear" w:color="auto" w:fill="auto"/>
            <w:vAlign w:val="center"/>
            <w:hideMark/>
          </w:tcPr>
          <w:p w14:paraId="660F60FD" w14:textId="77777777" w:rsidR="0015250D" w:rsidRPr="0015250D" w:rsidRDefault="0015250D"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15250D">
              <w:rPr>
                <w:rFonts w:ascii="Calibri" w:hAnsi="Calibri"/>
                <w:color w:val="000000"/>
                <w:sz w:val="22"/>
                <w:szCs w:val="22"/>
                <w:lang w:eastAsia="zh-CN"/>
              </w:rPr>
              <w:t xml:space="preserve">The role of BDT in the WSIS process was highlighted, particularly in the implementation of WSIS outcomes and the preparatory work for the WSIS+10 High-Level Event. TDAG </w:t>
            </w:r>
            <w:proofErr w:type="spellStart"/>
            <w:r w:rsidRPr="0015250D">
              <w:rPr>
                <w:rFonts w:ascii="Calibri" w:hAnsi="Calibri"/>
                <w:color w:val="000000"/>
                <w:sz w:val="22"/>
                <w:szCs w:val="22"/>
                <w:lang w:eastAsia="zh-CN"/>
              </w:rPr>
              <w:t>expresswed</w:t>
            </w:r>
            <w:proofErr w:type="spellEnd"/>
            <w:r w:rsidRPr="0015250D">
              <w:rPr>
                <w:rFonts w:ascii="Calibri" w:hAnsi="Calibri"/>
                <w:color w:val="000000"/>
                <w:sz w:val="22"/>
                <w:szCs w:val="22"/>
                <w:lang w:eastAsia="zh-CN"/>
              </w:rPr>
              <w:t xml:space="preserve"> its appreciation, particularly regarding the leading role of BDT as facilitator of WSIS Action Lines C2, C5 and C6 and other WSIS Action Lines where ITU is co-facilitator, with BDT as its focal point. </w:t>
            </w:r>
          </w:p>
        </w:tc>
      </w:tr>
      <w:tr w:rsidR="0015250D" w:rsidRPr="0015250D" w14:paraId="3B8169CC" w14:textId="77777777" w:rsidTr="00E05AF4">
        <w:tc>
          <w:tcPr>
            <w:tcW w:w="3220" w:type="dxa"/>
            <w:tcBorders>
              <w:top w:val="nil"/>
              <w:left w:val="single" w:sz="4" w:space="0" w:color="auto"/>
              <w:bottom w:val="single" w:sz="4" w:space="0" w:color="auto"/>
              <w:right w:val="single" w:sz="4" w:space="0" w:color="auto"/>
            </w:tcBorders>
            <w:shd w:val="clear" w:color="auto" w:fill="auto"/>
            <w:vAlign w:val="center"/>
            <w:hideMark/>
          </w:tcPr>
          <w:p w14:paraId="79BA84E4" w14:textId="77777777" w:rsidR="0015250D" w:rsidRPr="0015250D" w:rsidRDefault="0015250D"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15250D">
              <w:rPr>
                <w:rFonts w:ascii="Calibri" w:hAnsi="Calibri"/>
                <w:color w:val="000000"/>
                <w:sz w:val="22"/>
                <w:szCs w:val="22"/>
                <w:lang w:eastAsia="zh-CN"/>
              </w:rPr>
              <w:t>ITU-D contribution to the implementation of the WSIS Plan of Action</w:t>
            </w:r>
          </w:p>
        </w:tc>
        <w:tc>
          <w:tcPr>
            <w:tcW w:w="5994" w:type="dxa"/>
            <w:tcBorders>
              <w:top w:val="nil"/>
              <w:left w:val="nil"/>
              <w:bottom w:val="single" w:sz="4" w:space="0" w:color="auto"/>
              <w:right w:val="single" w:sz="4" w:space="0" w:color="auto"/>
            </w:tcBorders>
            <w:shd w:val="clear" w:color="auto" w:fill="auto"/>
            <w:vAlign w:val="center"/>
            <w:hideMark/>
          </w:tcPr>
          <w:p w14:paraId="03890B41" w14:textId="77777777" w:rsidR="0015250D" w:rsidRPr="0015250D" w:rsidRDefault="0015250D"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15250D">
              <w:rPr>
                <w:rFonts w:ascii="Calibri" w:hAnsi="Calibri"/>
                <w:color w:val="000000"/>
                <w:sz w:val="22"/>
                <w:szCs w:val="22"/>
                <w:lang w:eastAsia="zh-CN"/>
              </w:rPr>
              <w:t xml:space="preserve">The role of BDT in the WSIS process was highlighted, particularly in the implementation of WSIS outcomes and the preparatory work for the WSIS+10 High-Level Event. TDAG </w:t>
            </w:r>
            <w:proofErr w:type="spellStart"/>
            <w:r w:rsidRPr="0015250D">
              <w:rPr>
                <w:rFonts w:ascii="Calibri" w:hAnsi="Calibri"/>
                <w:color w:val="000000"/>
                <w:sz w:val="22"/>
                <w:szCs w:val="22"/>
                <w:lang w:eastAsia="zh-CN"/>
              </w:rPr>
              <w:t>expresswed</w:t>
            </w:r>
            <w:proofErr w:type="spellEnd"/>
            <w:r w:rsidRPr="0015250D">
              <w:rPr>
                <w:rFonts w:ascii="Calibri" w:hAnsi="Calibri"/>
                <w:color w:val="000000"/>
                <w:sz w:val="22"/>
                <w:szCs w:val="22"/>
                <w:lang w:eastAsia="zh-CN"/>
              </w:rPr>
              <w:t xml:space="preserve"> its appreciation, particularly regarding the leading role of BDT as facilitator of WSIS Action Lines C2, C5 and C6 and other WSIS Action Lines where ITU is co-facilitator, with BDT as its focal point. </w:t>
            </w:r>
          </w:p>
        </w:tc>
      </w:tr>
      <w:tr w:rsidR="0015250D" w:rsidRPr="0015250D" w14:paraId="01311319" w14:textId="77777777" w:rsidTr="00E05AF4">
        <w:tc>
          <w:tcPr>
            <w:tcW w:w="3220" w:type="dxa"/>
            <w:tcBorders>
              <w:top w:val="nil"/>
              <w:left w:val="single" w:sz="4" w:space="0" w:color="auto"/>
              <w:bottom w:val="single" w:sz="4" w:space="0" w:color="auto"/>
              <w:right w:val="single" w:sz="4" w:space="0" w:color="auto"/>
            </w:tcBorders>
            <w:shd w:val="clear" w:color="auto" w:fill="auto"/>
            <w:vAlign w:val="center"/>
            <w:hideMark/>
          </w:tcPr>
          <w:p w14:paraId="6EC47EE3" w14:textId="77777777" w:rsidR="0015250D" w:rsidRPr="0015250D" w:rsidRDefault="0015250D"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15250D">
              <w:rPr>
                <w:rFonts w:ascii="Calibri" w:hAnsi="Calibri"/>
                <w:color w:val="000000"/>
                <w:sz w:val="22"/>
                <w:szCs w:val="22"/>
                <w:lang w:eastAsia="zh-CN"/>
              </w:rPr>
              <w:t>ITU-D 4-year rolling Operational Plan 2015-18</w:t>
            </w:r>
          </w:p>
        </w:tc>
        <w:tc>
          <w:tcPr>
            <w:tcW w:w="5994" w:type="dxa"/>
            <w:tcBorders>
              <w:top w:val="nil"/>
              <w:left w:val="nil"/>
              <w:bottom w:val="single" w:sz="4" w:space="0" w:color="auto"/>
              <w:right w:val="single" w:sz="4" w:space="0" w:color="auto"/>
            </w:tcBorders>
            <w:shd w:val="clear" w:color="auto" w:fill="auto"/>
            <w:vAlign w:val="center"/>
            <w:hideMark/>
          </w:tcPr>
          <w:p w14:paraId="0344CB1F" w14:textId="77777777" w:rsidR="0015250D" w:rsidRPr="0015250D" w:rsidRDefault="0015250D"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15250D">
              <w:rPr>
                <w:rFonts w:ascii="Calibri" w:hAnsi="Calibri"/>
                <w:color w:val="000000"/>
                <w:sz w:val="22"/>
                <w:szCs w:val="22"/>
                <w:lang w:eastAsia="zh-CN"/>
              </w:rPr>
              <w:t>The revised operational plan is proposed to reflect the following changes which were adopted by WTDC-14 as the ITU-D contribution to the ITU Strategic Plan of the Union 2016-2019.TDAG requested the correspondence group to consider the 2016-2019 operational plan for ITU-D and for the General Secretariat in the area relevant to ITU-D and prepare advice for the Director before Council 2015.</w:t>
            </w:r>
          </w:p>
        </w:tc>
      </w:tr>
      <w:tr w:rsidR="0015250D" w:rsidRPr="0015250D" w14:paraId="5A6C2C8C" w14:textId="77777777" w:rsidTr="00E05AF4">
        <w:tc>
          <w:tcPr>
            <w:tcW w:w="3220" w:type="dxa"/>
            <w:tcBorders>
              <w:top w:val="nil"/>
              <w:left w:val="single" w:sz="4" w:space="0" w:color="auto"/>
              <w:bottom w:val="single" w:sz="4" w:space="0" w:color="auto"/>
              <w:right w:val="single" w:sz="4" w:space="0" w:color="auto"/>
            </w:tcBorders>
            <w:shd w:val="clear" w:color="auto" w:fill="auto"/>
            <w:vAlign w:val="center"/>
            <w:hideMark/>
          </w:tcPr>
          <w:p w14:paraId="52B6475A" w14:textId="77777777" w:rsidR="0015250D" w:rsidRPr="0015250D" w:rsidRDefault="0015250D"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15250D">
              <w:rPr>
                <w:rFonts w:ascii="Calibri" w:hAnsi="Calibri"/>
                <w:color w:val="000000"/>
                <w:sz w:val="22"/>
                <w:szCs w:val="22"/>
                <w:lang w:eastAsia="zh-CN"/>
              </w:rPr>
              <w:t>TDAG and study groups working methods</w:t>
            </w:r>
          </w:p>
        </w:tc>
        <w:tc>
          <w:tcPr>
            <w:tcW w:w="5994" w:type="dxa"/>
            <w:tcBorders>
              <w:top w:val="nil"/>
              <w:left w:val="nil"/>
              <w:bottom w:val="single" w:sz="4" w:space="0" w:color="auto"/>
              <w:right w:val="single" w:sz="4" w:space="0" w:color="auto"/>
            </w:tcBorders>
            <w:shd w:val="clear" w:color="auto" w:fill="auto"/>
            <w:vAlign w:val="center"/>
            <w:hideMark/>
          </w:tcPr>
          <w:p w14:paraId="35DC2B0C" w14:textId="77777777" w:rsidR="0015250D" w:rsidRPr="0015250D" w:rsidRDefault="0015250D"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15250D">
              <w:rPr>
                <w:rFonts w:ascii="Calibri" w:hAnsi="Calibri"/>
                <w:color w:val="000000"/>
                <w:sz w:val="22"/>
                <w:szCs w:val="22"/>
                <w:lang w:eastAsia="zh-CN"/>
              </w:rPr>
              <w:t>TDAG noted that electronic working methods have been effective in saving costs, reducing the carbon footprint and broadening participation. TDAG also expressed its gratitude for the mobile application on ITU-D events and hopes its use will be extended to other Sectors.</w:t>
            </w:r>
            <w:r w:rsidRPr="0015250D">
              <w:rPr>
                <w:rFonts w:ascii="Calibri" w:hAnsi="Calibri"/>
                <w:color w:val="000000"/>
                <w:sz w:val="22"/>
                <w:szCs w:val="22"/>
                <w:lang w:eastAsia="zh-CN"/>
              </w:rPr>
              <w:br/>
              <w:t>TDAG invited the Director to examine the possibility of extending the ITU-D events mobile application to the ITU as a whole.</w:t>
            </w:r>
          </w:p>
        </w:tc>
      </w:tr>
      <w:tr w:rsidR="0015250D" w:rsidRPr="0015250D" w14:paraId="60505AE3" w14:textId="77777777" w:rsidTr="00E05AF4">
        <w:tc>
          <w:tcPr>
            <w:tcW w:w="3220" w:type="dxa"/>
            <w:tcBorders>
              <w:top w:val="nil"/>
              <w:left w:val="single" w:sz="4" w:space="0" w:color="auto"/>
              <w:bottom w:val="single" w:sz="4" w:space="0" w:color="auto"/>
              <w:right w:val="single" w:sz="4" w:space="0" w:color="auto"/>
            </w:tcBorders>
            <w:shd w:val="clear" w:color="auto" w:fill="auto"/>
            <w:vAlign w:val="center"/>
            <w:hideMark/>
          </w:tcPr>
          <w:p w14:paraId="02F5D1C0" w14:textId="77777777" w:rsidR="0015250D" w:rsidRPr="0015250D" w:rsidRDefault="0015250D"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15250D">
              <w:rPr>
                <w:rFonts w:ascii="Calibri" w:hAnsi="Calibri"/>
                <w:color w:val="000000"/>
                <w:sz w:val="22"/>
                <w:szCs w:val="22"/>
                <w:lang w:eastAsia="zh-CN"/>
              </w:rPr>
              <w:t>Report of the Group on Capacity Building Initiatives (GCBI)</w:t>
            </w:r>
          </w:p>
        </w:tc>
        <w:tc>
          <w:tcPr>
            <w:tcW w:w="5994" w:type="dxa"/>
            <w:tcBorders>
              <w:top w:val="nil"/>
              <w:left w:val="nil"/>
              <w:bottom w:val="single" w:sz="4" w:space="0" w:color="auto"/>
              <w:right w:val="single" w:sz="4" w:space="0" w:color="auto"/>
            </w:tcBorders>
            <w:shd w:val="clear" w:color="auto" w:fill="auto"/>
            <w:vAlign w:val="center"/>
            <w:hideMark/>
          </w:tcPr>
          <w:p w14:paraId="2B7C72E4" w14:textId="77777777" w:rsidR="0015250D" w:rsidRPr="0015250D" w:rsidRDefault="0015250D"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15250D">
              <w:rPr>
                <w:rFonts w:ascii="Calibri" w:hAnsi="Calibri"/>
                <w:color w:val="000000"/>
                <w:sz w:val="22"/>
                <w:szCs w:val="22"/>
                <w:lang w:eastAsia="zh-CN"/>
              </w:rPr>
              <w:t>TDAG thanked the Chairman of the Group on Capacity Building Initiatives for the excellent work that his group is doing. TDAG requested that the work of the group be made more visible on BDT’s website.</w:t>
            </w:r>
          </w:p>
        </w:tc>
      </w:tr>
      <w:tr w:rsidR="0015250D" w:rsidRPr="0015250D" w14:paraId="20E443D8" w14:textId="77777777" w:rsidTr="00E05AF4">
        <w:tc>
          <w:tcPr>
            <w:tcW w:w="3220" w:type="dxa"/>
            <w:tcBorders>
              <w:top w:val="nil"/>
              <w:left w:val="single" w:sz="4" w:space="0" w:color="auto"/>
              <w:bottom w:val="single" w:sz="4" w:space="0" w:color="auto"/>
              <w:right w:val="single" w:sz="4" w:space="0" w:color="auto"/>
            </w:tcBorders>
            <w:shd w:val="clear" w:color="auto" w:fill="auto"/>
            <w:vAlign w:val="center"/>
            <w:hideMark/>
          </w:tcPr>
          <w:p w14:paraId="05BBA0F1" w14:textId="77777777" w:rsidR="0015250D" w:rsidRPr="0015250D" w:rsidRDefault="0015250D"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15250D">
              <w:rPr>
                <w:rFonts w:ascii="Calibri" w:hAnsi="Calibri"/>
                <w:color w:val="000000"/>
                <w:sz w:val="22"/>
                <w:szCs w:val="22"/>
                <w:lang w:eastAsia="zh-CN"/>
              </w:rPr>
              <w:lastRenderedPageBreak/>
              <w:t>Membership and partnership-related issues</w:t>
            </w:r>
          </w:p>
        </w:tc>
        <w:tc>
          <w:tcPr>
            <w:tcW w:w="5994" w:type="dxa"/>
            <w:tcBorders>
              <w:top w:val="nil"/>
              <w:left w:val="nil"/>
              <w:bottom w:val="single" w:sz="4" w:space="0" w:color="auto"/>
              <w:right w:val="single" w:sz="4" w:space="0" w:color="auto"/>
            </w:tcBorders>
            <w:shd w:val="clear" w:color="auto" w:fill="auto"/>
            <w:vAlign w:val="center"/>
            <w:hideMark/>
          </w:tcPr>
          <w:p w14:paraId="0A19F54D" w14:textId="77777777" w:rsidR="0015250D" w:rsidRPr="0015250D" w:rsidRDefault="0015250D"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15250D">
              <w:rPr>
                <w:rFonts w:ascii="Calibri" w:hAnsi="Calibri"/>
                <w:color w:val="000000"/>
                <w:sz w:val="22"/>
                <w:szCs w:val="22"/>
                <w:lang w:eastAsia="zh-CN"/>
              </w:rPr>
              <w:t>TDAG noted with appreciation the reports and the work carried out by BDT to attract new Sector Members and to enhance partnership in ITU-D work, as well as the excellent contribution from Japan’s “proposal for acceleration of resource mobilization for projects”.</w:t>
            </w:r>
            <w:r w:rsidRPr="0015250D">
              <w:rPr>
                <w:rFonts w:ascii="Calibri" w:hAnsi="Calibri"/>
                <w:color w:val="000000"/>
                <w:sz w:val="22"/>
                <w:szCs w:val="22"/>
                <w:lang w:eastAsia="zh-CN"/>
              </w:rPr>
              <w:br/>
              <w:t>TDAG also recommended to the BDT Director, when determining the key performance indicators to take into account the outcomes of attracting and involving new members in the work of the Sector.</w:t>
            </w:r>
          </w:p>
        </w:tc>
      </w:tr>
    </w:tbl>
    <w:p w14:paraId="3BA38348" w14:textId="77777777" w:rsidR="00BD257F" w:rsidRDefault="00BD257F">
      <w:pPr>
        <w:tabs>
          <w:tab w:val="clear" w:pos="1134"/>
          <w:tab w:val="clear" w:pos="1871"/>
          <w:tab w:val="clear" w:pos="2268"/>
        </w:tabs>
        <w:overflowPunct/>
        <w:autoSpaceDE/>
        <w:autoSpaceDN/>
        <w:adjustRightInd/>
        <w:spacing w:before="0"/>
        <w:textAlignment w:val="auto"/>
      </w:pPr>
      <w:r>
        <w:br w:type="page"/>
      </w:r>
    </w:p>
    <w:p w14:paraId="0AF02532" w14:textId="74BC4193" w:rsidR="00BD257F" w:rsidRPr="0055628F" w:rsidRDefault="00BD257F" w:rsidP="00363DA9">
      <w:pPr>
        <w:pStyle w:val="Heading2"/>
      </w:pPr>
      <w:bookmarkStart w:id="12" w:name="_Toc482300239"/>
      <w:r w:rsidRPr="0055628F">
        <w:lastRenderedPageBreak/>
        <w:t>20th TDAG Meeting</w:t>
      </w:r>
      <w:bookmarkEnd w:id="12"/>
    </w:p>
    <w:p w14:paraId="3AFCE24F" w14:textId="66FC159C" w:rsidR="00BD257F" w:rsidRDefault="00BD257F" w:rsidP="00763E92">
      <w:pPr>
        <w:pStyle w:val="ListParagraph"/>
        <w:numPr>
          <w:ilvl w:val="0"/>
          <w:numId w:val="15"/>
        </w:numPr>
        <w:tabs>
          <w:tab w:val="clear" w:pos="1134"/>
          <w:tab w:val="clear" w:pos="1871"/>
          <w:tab w:val="left" w:pos="426"/>
        </w:tabs>
        <w:ind w:left="0" w:firstLine="0"/>
      </w:pPr>
      <w:r>
        <w:t xml:space="preserve">The 20th meeting of the Telecommunication Development Advisory Group (TDAG) was held at ITU headquarters in Geneva, from 28 to 30 April 2015, under the chairmanship of Professor Dr Vladimir </w:t>
      </w:r>
      <w:proofErr w:type="spellStart"/>
      <w:r>
        <w:t>Minkin</w:t>
      </w:r>
      <w:proofErr w:type="spellEnd"/>
      <w:r>
        <w:t>.</w:t>
      </w:r>
    </w:p>
    <w:p w14:paraId="53A73057" w14:textId="1282CC7D" w:rsidR="00BD257F" w:rsidRDefault="00BD257F" w:rsidP="00BD257F">
      <w:pPr>
        <w:tabs>
          <w:tab w:val="clear" w:pos="1134"/>
          <w:tab w:val="clear" w:pos="1871"/>
          <w:tab w:val="left" w:pos="567"/>
          <w:tab w:val="left" w:pos="851"/>
        </w:tabs>
      </w:pPr>
      <w:r>
        <w:t>At its 19th meeting (29 September-1 October 2014), TDAG established a Correspondence Group on the Strategic Plan, Operational Plan and Declaration; a Correspondence Group on WTDC Resolution 1 (Rev. Dubai, 2014), “Rules of procedure of the ITU Telecommunication Development Sector”, and an Inter-Sectoral Team on issues of mutual interest. These correspondence groups and the Inter-Sectoral Team held their first physical meetings in Geneva on 27 April 2015 and reported their preliminary progress to TDAG.</w:t>
      </w:r>
    </w:p>
    <w:p w14:paraId="1E752592" w14:textId="3194E9DE" w:rsidR="00763E92" w:rsidRDefault="00BD257F" w:rsidP="00BD257F">
      <w:pPr>
        <w:rPr>
          <w:rStyle w:val="Hyperlink"/>
        </w:rPr>
      </w:pPr>
      <w:r w:rsidRPr="00780CB0">
        <w:t>The full meeting report</w:t>
      </w:r>
      <w:r>
        <w:t xml:space="preserve">, </w:t>
      </w:r>
      <w:r w:rsidRPr="000D31EF">
        <w:t xml:space="preserve">in </w:t>
      </w:r>
      <w:r>
        <w:t>the</w:t>
      </w:r>
      <w:r w:rsidRPr="000D31EF">
        <w:t xml:space="preserve"> six</w:t>
      </w:r>
      <w:r>
        <w:t xml:space="preserve"> official</w:t>
      </w:r>
      <w:r w:rsidRPr="000D31EF">
        <w:t xml:space="preserve"> languages</w:t>
      </w:r>
      <w:r>
        <w:t xml:space="preserve"> of ITU</w:t>
      </w:r>
      <w:r w:rsidRPr="000D31EF">
        <w:t xml:space="preserve">, </w:t>
      </w:r>
      <w:r w:rsidRPr="00780CB0">
        <w:t xml:space="preserve">is available at: </w:t>
      </w:r>
      <w:hyperlink r:id="rId27" w:history="1">
        <w:r w:rsidRPr="009D35E0">
          <w:rPr>
            <w:rStyle w:val="Hyperlink"/>
          </w:rPr>
          <w:t>https://www.itu.int/md/D14-TDAG20-C-0032/en</w:t>
        </w:r>
      </w:hyperlink>
    </w:p>
    <w:p w14:paraId="0699CBEE" w14:textId="77777777" w:rsidR="00763E92" w:rsidRDefault="00763E92" w:rsidP="00763E92">
      <w:pPr>
        <w:pStyle w:val="ListParagraph"/>
        <w:numPr>
          <w:ilvl w:val="0"/>
          <w:numId w:val="15"/>
        </w:numPr>
        <w:ind w:left="426" w:hanging="426"/>
      </w:pPr>
      <w:r w:rsidRPr="0015250D">
        <w:t>Participants</w:t>
      </w:r>
    </w:p>
    <w:p w14:paraId="1A7950EA" w14:textId="6F1FEB2C" w:rsidR="007C632F" w:rsidRDefault="007C632F" w:rsidP="007C632F">
      <w:r>
        <w:t xml:space="preserve">The following </w:t>
      </w:r>
      <w:r w:rsidR="008A49F0">
        <w:t>chart provide</w:t>
      </w:r>
      <w:r w:rsidR="00764AE0">
        <w:t>s</w:t>
      </w:r>
      <w:r>
        <w:t xml:space="preserve"> the breakdown of participants by category:</w:t>
      </w:r>
    </w:p>
    <w:p w14:paraId="4D640AAF" w14:textId="062AE7B4" w:rsidR="008A49F0" w:rsidRDefault="00D91E0B" w:rsidP="007C632F">
      <w:r w:rsidRPr="00D91E0B">
        <w:rPr>
          <w:noProof/>
          <w:lang w:eastAsia="zh-CN"/>
        </w:rPr>
        <w:drawing>
          <wp:inline distT="0" distB="0" distL="0" distR="0" wp14:anchorId="37079D1D" wp14:editId="265C80EC">
            <wp:extent cx="5850890" cy="2395855"/>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850890" cy="2395855"/>
                    </a:xfrm>
                    <a:prstGeom prst="rect">
                      <a:avLst/>
                    </a:prstGeom>
                  </pic:spPr>
                </pic:pic>
              </a:graphicData>
            </a:graphic>
          </wp:inline>
        </w:drawing>
      </w:r>
    </w:p>
    <w:p w14:paraId="70164C87" w14:textId="77777777" w:rsidR="006E1BB3" w:rsidRDefault="006E1BB3" w:rsidP="006E1BB3">
      <w:r>
        <w:t>The following chart provides the breakdown of participants by region:</w:t>
      </w:r>
    </w:p>
    <w:p w14:paraId="4FA79862" w14:textId="019A9E38" w:rsidR="007A5D37" w:rsidRDefault="00D91E0B" w:rsidP="006E1BB3">
      <w:r w:rsidRPr="00D91E0B">
        <w:rPr>
          <w:noProof/>
          <w:lang w:eastAsia="zh-CN"/>
        </w:rPr>
        <w:drawing>
          <wp:inline distT="0" distB="0" distL="0" distR="0" wp14:anchorId="32CBA274" wp14:editId="0E5FDD0C">
            <wp:extent cx="5850890" cy="2395855"/>
            <wp:effectExtent l="0" t="0" r="0" b="44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850890" cy="2395855"/>
                    </a:xfrm>
                    <a:prstGeom prst="rect">
                      <a:avLst/>
                    </a:prstGeom>
                  </pic:spPr>
                </pic:pic>
              </a:graphicData>
            </a:graphic>
          </wp:inline>
        </w:drawing>
      </w:r>
    </w:p>
    <w:p w14:paraId="23B47D39" w14:textId="77777777" w:rsidR="007A5D37" w:rsidRDefault="007A5D37">
      <w:pPr>
        <w:tabs>
          <w:tab w:val="clear" w:pos="1134"/>
          <w:tab w:val="clear" w:pos="1871"/>
          <w:tab w:val="clear" w:pos="2268"/>
        </w:tabs>
        <w:overflowPunct/>
        <w:autoSpaceDE/>
        <w:autoSpaceDN/>
        <w:adjustRightInd/>
        <w:spacing w:before="0"/>
        <w:textAlignment w:val="auto"/>
      </w:pPr>
      <w:r>
        <w:br w:type="page"/>
      </w:r>
    </w:p>
    <w:p w14:paraId="21A2847B" w14:textId="77777777" w:rsidR="00763E92" w:rsidRDefault="00763E92" w:rsidP="00763E92">
      <w:pPr>
        <w:pStyle w:val="ListParagraph"/>
        <w:numPr>
          <w:ilvl w:val="0"/>
          <w:numId w:val="15"/>
        </w:numPr>
        <w:ind w:left="426" w:hanging="426"/>
      </w:pPr>
      <w:r>
        <w:lastRenderedPageBreak/>
        <w:t>Documents</w:t>
      </w:r>
    </w:p>
    <w:p w14:paraId="72C11C73" w14:textId="39F755AF" w:rsidR="00763E92" w:rsidRDefault="00763E92" w:rsidP="00763E92">
      <w:r>
        <w:t xml:space="preserve">The following </w:t>
      </w:r>
      <w:r w:rsidR="00F43327">
        <w:t>chart provide</w:t>
      </w:r>
      <w:r w:rsidR="000C38F9">
        <w:t>s</w:t>
      </w:r>
      <w:r>
        <w:t xml:space="preserve"> the number of documents broken down by category of documents:</w:t>
      </w:r>
    </w:p>
    <w:p w14:paraId="48DF5D47" w14:textId="689A1472" w:rsidR="00763E92" w:rsidRDefault="00683AC7" w:rsidP="00763E92">
      <w:pPr>
        <w:tabs>
          <w:tab w:val="clear" w:pos="1134"/>
          <w:tab w:val="clear" w:pos="1871"/>
          <w:tab w:val="clear" w:pos="2268"/>
        </w:tabs>
        <w:overflowPunct/>
        <w:autoSpaceDE/>
        <w:autoSpaceDN/>
        <w:adjustRightInd/>
        <w:spacing w:before="0"/>
        <w:textAlignment w:val="auto"/>
      </w:pPr>
      <w:r>
        <w:rPr>
          <w:noProof/>
          <w:lang w:eastAsia="zh-CN"/>
        </w:rPr>
        <w:drawing>
          <wp:inline distT="0" distB="0" distL="0" distR="0" wp14:anchorId="7A0F509F" wp14:editId="60486D5B">
            <wp:extent cx="5179161" cy="2670048"/>
            <wp:effectExtent l="0" t="0" r="2540" b="1651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F7E5AF4" w14:textId="77F56360" w:rsidR="00763E92" w:rsidRDefault="00763E92" w:rsidP="004B3144">
      <w:pPr>
        <w:pStyle w:val="ListParagraph"/>
        <w:numPr>
          <w:ilvl w:val="0"/>
          <w:numId w:val="15"/>
        </w:numPr>
        <w:ind w:left="426" w:hanging="426"/>
      </w:pPr>
      <w:r>
        <w:t>20</w:t>
      </w:r>
      <w:r w:rsidRPr="0015250D">
        <w:rPr>
          <w:vertAlign w:val="superscript"/>
        </w:rPr>
        <w:t>th</w:t>
      </w:r>
      <w:r>
        <w:t xml:space="preserve"> </w:t>
      </w:r>
      <w:r w:rsidRPr="0015250D">
        <w:t>TDAG Meeting</w:t>
      </w:r>
      <w:r>
        <w:t xml:space="preserve"> Outcomes</w:t>
      </w:r>
    </w:p>
    <w:p w14:paraId="5D744158" w14:textId="3BA480F2" w:rsidR="00763E92" w:rsidRDefault="00763E92" w:rsidP="003E489B">
      <w:pPr>
        <w:spacing w:after="120"/>
      </w:pPr>
      <w:r>
        <w:t>The following table provides the summary of the outcomes of the 20</w:t>
      </w:r>
      <w:r w:rsidRPr="0015250D">
        <w:rPr>
          <w:vertAlign w:val="superscript"/>
        </w:rPr>
        <w:t>th</w:t>
      </w:r>
      <w:r>
        <w:t xml:space="preserve"> TDAG meeting by subject:</w:t>
      </w:r>
    </w:p>
    <w:tbl>
      <w:tblPr>
        <w:tblW w:w="9214" w:type="dxa"/>
        <w:tblInd w:w="-5" w:type="dxa"/>
        <w:tblLook w:val="04A0" w:firstRow="1" w:lastRow="0" w:firstColumn="1" w:lastColumn="0" w:noHBand="0" w:noVBand="1"/>
      </w:tblPr>
      <w:tblGrid>
        <w:gridCol w:w="3220"/>
        <w:gridCol w:w="5994"/>
      </w:tblGrid>
      <w:tr w:rsidR="00763E92" w:rsidRPr="00763E92" w14:paraId="2A70E516" w14:textId="77777777" w:rsidTr="003E489B">
        <w:trPr>
          <w:trHeight w:val="300"/>
          <w:tblHeader/>
        </w:trPr>
        <w:tc>
          <w:tcPr>
            <w:tcW w:w="322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14:paraId="787C47C8" w14:textId="77777777" w:rsidR="00763E92" w:rsidRPr="00763E92" w:rsidRDefault="00763E92" w:rsidP="003E489B">
            <w:pPr>
              <w:tabs>
                <w:tab w:val="clear" w:pos="1134"/>
                <w:tab w:val="clear" w:pos="1871"/>
                <w:tab w:val="clear" w:pos="2268"/>
              </w:tabs>
              <w:overflowPunct/>
              <w:autoSpaceDE/>
              <w:autoSpaceDN/>
              <w:adjustRightInd/>
              <w:spacing w:after="120"/>
              <w:jc w:val="center"/>
              <w:textAlignment w:val="auto"/>
              <w:rPr>
                <w:rFonts w:ascii="Calibri" w:hAnsi="Calibri"/>
                <w:b/>
                <w:bCs/>
                <w:i/>
                <w:iCs/>
                <w:color w:val="000000"/>
                <w:sz w:val="22"/>
                <w:szCs w:val="22"/>
                <w:lang w:eastAsia="zh-CN"/>
              </w:rPr>
            </w:pPr>
            <w:r w:rsidRPr="00763E92">
              <w:rPr>
                <w:rFonts w:ascii="Calibri" w:hAnsi="Calibri"/>
                <w:b/>
                <w:bCs/>
                <w:i/>
                <w:iCs/>
                <w:color w:val="000000"/>
                <w:sz w:val="22"/>
                <w:szCs w:val="22"/>
                <w:lang w:eastAsia="zh-CN"/>
              </w:rPr>
              <w:t xml:space="preserve">Subject </w:t>
            </w:r>
          </w:p>
        </w:tc>
        <w:tc>
          <w:tcPr>
            <w:tcW w:w="5994" w:type="dxa"/>
            <w:tcBorders>
              <w:top w:val="single" w:sz="4" w:space="0" w:color="auto"/>
              <w:left w:val="nil"/>
              <w:bottom w:val="single" w:sz="4" w:space="0" w:color="auto"/>
              <w:right w:val="single" w:sz="4" w:space="0" w:color="auto"/>
            </w:tcBorders>
            <w:shd w:val="clear" w:color="auto" w:fill="FDE9D9" w:themeFill="accent6" w:themeFillTint="33"/>
            <w:noWrap/>
            <w:vAlign w:val="bottom"/>
            <w:hideMark/>
          </w:tcPr>
          <w:p w14:paraId="52DAAECE" w14:textId="77777777" w:rsidR="00763E92" w:rsidRPr="00763E92" w:rsidRDefault="00763E92" w:rsidP="003E489B">
            <w:pPr>
              <w:tabs>
                <w:tab w:val="clear" w:pos="1134"/>
                <w:tab w:val="clear" w:pos="1871"/>
                <w:tab w:val="clear" w:pos="2268"/>
              </w:tabs>
              <w:overflowPunct/>
              <w:autoSpaceDE/>
              <w:autoSpaceDN/>
              <w:adjustRightInd/>
              <w:spacing w:after="120"/>
              <w:jc w:val="center"/>
              <w:textAlignment w:val="auto"/>
              <w:rPr>
                <w:rFonts w:ascii="Calibri" w:hAnsi="Calibri"/>
                <w:b/>
                <w:bCs/>
                <w:i/>
                <w:iCs/>
                <w:color w:val="000000"/>
                <w:sz w:val="22"/>
                <w:szCs w:val="22"/>
                <w:lang w:eastAsia="zh-CN"/>
              </w:rPr>
            </w:pPr>
            <w:r w:rsidRPr="00763E92">
              <w:rPr>
                <w:rFonts w:ascii="Calibri" w:hAnsi="Calibri"/>
                <w:b/>
                <w:bCs/>
                <w:i/>
                <w:iCs/>
                <w:color w:val="000000"/>
                <w:sz w:val="22"/>
                <w:szCs w:val="22"/>
                <w:lang w:eastAsia="zh-CN"/>
              </w:rPr>
              <w:t>TDAG Conclusions / Outcomes</w:t>
            </w:r>
          </w:p>
        </w:tc>
      </w:tr>
      <w:tr w:rsidR="00763E92" w:rsidRPr="00763E92" w14:paraId="1347F307" w14:textId="77777777" w:rsidTr="00E05AF4">
        <w:tc>
          <w:tcPr>
            <w:tcW w:w="3220" w:type="dxa"/>
            <w:tcBorders>
              <w:top w:val="nil"/>
              <w:left w:val="single" w:sz="4" w:space="0" w:color="auto"/>
              <w:bottom w:val="single" w:sz="4" w:space="0" w:color="auto"/>
              <w:right w:val="single" w:sz="4" w:space="0" w:color="auto"/>
            </w:tcBorders>
            <w:shd w:val="clear" w:color="auto" w:fill="auto"/>
            <w:vAlign w:val="center"/>
            <w:hideMark/>
          </w:tcPr>
          <w:p w14:paraId="48114513" w14:textId="77777777" w:rsidR="00763E92" w:rsidRPr="00763E92" w:rsidRDefault="00763E92"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763E92">
              <w:rPr>
                <w:rFonts w:ascii="Calibri" w:hAnsi="Calibri"/>
                <w:color w:val="000000"/>
                <w:sz w:val="22"/>
                <w:szCs w:val="22"/>
                <w:lang w:eastAsia="zh-CN"/>
              </w:rPr>
              <w:t>Outcomes of PP-14 related to ITU-D</w:t>
            </w:r>
          </w:p>
        </w:tc>
        <w:tc>
          <w:tcPr>
            <w:tcW w:w="5994" w:type="dxa"/>
            <w:tcBorders>
              <w:top w:val="nil"/>
              <w:left w:val="nil"/>
              <w:bottom w:val="single" w:sz="4" w:space="0" w:color="auto"/>
              <w:right w:val="single" w:sz="4" w:space="0" w:color="auto"/>
            </w:tcBorders>
            <w:shd w:val="clear" w:color="auto" w:fill="auto"/>
            <w:vAlign w:val="center"/>
            <w:hideMark/>
          </w:tcPr>
          <w:p w14:paraId="5993B9B3" w14:textId="77777777" w:rsidR="00763E92" w:rsidRPr="00763E92" w:rsidRDefault="00763E92"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763E92">
              <w:rPr>
                <w:rFonts w:ascii="Calibri" w:hAnsi="Calibri"/>
                <w:color w:val="000000"/>
                <w:sz w:val="22"/>
                <w:szCs w:val="22"/>
                <w:lang w:eastAsia="zh-CN"/>
              </w:rPr>
              <w:t>TDAG took note of the main outcomes of the 19th Plenipotentiary Conference that relate to ITU-D. TDAG was informed that BDT has already developed an action plan to address, and follow up on, all these outcomes, which include decisions, resolutions and recommendations.</w:t>
            </w:r>
          </w:p>
        </w:tc>
      </w:tr>
      <w:tr w:rsidR="00763E92" w:rsidRPr="00763E92" w14:paraId="6447D35E" w14:textId="77777777" w:rsidTr="00E05AF4">
        <w:tc>
          <w:tcPr>
            <w:tcW w:w="3220" w:type="dxa"/>
            <w:tcBorders>
              <w:top w:val="nil"/>
              <w:left w:val="single" w:sz="4" w:space="0" w:color="auto"/>
              <w:bottom w:val="single" w:sz="4" w:space="0" w:color="auto"/>
              <w:right w:val="single" w:sz="4" w:space="0" w:color="auto"/>
            </w:tcBorders>
            <w:shd w:val="clear" w:color="auto" w:fill="auto"/>
            <w:vAlign w:val="center"/>
            <w:hideMark/>
          </w:tcPr>
          <w:p w14:paraId="4A4315B4" w14:textId="77777777" w:rsidR="00763E92" w:rsidRPr="00763E92" w:rsidRDefault="00763E92"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763E92">
              <w:rPr>
                <w:rFonts w:ascii="Calibri" w:hAnsi="Calibri"/>
                <w:color w:val="000000"/>
                <w:sz w:val="22"/>
                <w:szCs w:val="22"/>
                <w:lang w:eastAsia="zh-CN"/>
              </w:rPr>
              <w:t xml:space="preserve">Review of the implementation of the ITU-D Strategic Plan and Operational Plan 2014, including WTDC-14 Resolutions/PP-14 Resolutions related to ITU-D and regional initiatives </w:t>
            </w:r>
          </w:p>
        </w:tc>
        <w:tc>
          <w:tcPr>
            <w:tcW w:w="5994" w:type="dxa"/>
            <w:tcBorders>
              <w:top w:val="nil"/>
              <w:left w:val="nil"/>
              <w:bottom w:val="single" w:sz="4" w:space="0" w:color="auto"/>
              <w:right w:val="single" w:sz="4" w:space="0" w:color="auto"/>
            </w:tcBorders>
            <w:shd w:val="clear" w:color="auto" w:fill="auto"/>
            <w:vAlign w:val="center"/>
            <w:hideMark/>
          </w:tcPr>
          <w:p w14:paraId="0AA48325" w14:textId="77777777" w:rsidR="00763E92" w:rsidRPr="00763E92" w:rsidRDefault="00763E92"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763E92">
              <w:rPr>
                <w:rFonts w:ascii="Calibri" w:hAnsi="Calibri"/>
                <w:color w:val="000000"/>
                <w:sz w:val="22"/>
                <w:szCs w:val="22"/>
                <w:lang w:eastAsia="zh-CN"/>
              </w:rPr>
              <w:t xml:space="preserve">TDAG took note of the key outcomes of WTDC-14 of which the Dubai Declaration, the ITU-D Contribution to the 2016-2019 ITU Strategic Plan and the new scope of work for the Study Groups. TDAG also noted the Performance Report 2014, which provides the status of implementation of the objectives and outputs defined in the ITU-D strategic and operational plans. Finally, TDAG took note of the document on regional initiatives and expressed its appreciation to the secretariat for the reports. </w:t>
            </w:r>
          </w:p>
        </w:tc>
      </w:tr>
      <w:tr w:rsidR="00763E92" w:rsidRPr="00763E92" w14:paraId="4F425A4C" w14:textId="77777777" w:rsidTr="00E05AF4">
        <w:tc>
          <w:tcPr>
            <w:tcW w:w="3220" w:type="dxa"/>
            <w:tcBorders>
              <w:top w:val="nil"/>
              <w:left w:val="single" w:sz="4" w:space="0" w:color="auto"/>
              <w:bottom w:val="single" w:sz="4" w:space="0" w:color="auto"/>
              <w:right w:val="single" w:sz="4" w:space="0" w:color="auto"/>
            </w:tcBorders>
            <w:shd w:val="clear" w:color="auto" w:fill="auto"/>
            <w:vAlign w:val="center"/>
            <w:hideMark/>
          </w:tcPr>
          <w:p w14:paraId="3284AE71" w14:textId="77777777" w:rsidR="00763E92" w:rsidRPr="00763E92" w:rsidRDefault="00763E92"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763E92">
              <w:rPr>
                <w:rFonts w:ascii="Calibri" w:hAnsi="Calibri"/>
                <w:color w:val="000000"/>
                <w:sz w:val="22"/>
                <w:szCs w:val="22"/>
                <w:lang w:eastAsia="zh-CN"/>
              </w:rPr>
              <w:t>ITU-D Study Group-related matters</w:t>
            </w:r>
          </w:p>
        </w:tc>
        <w:tc>
          <w:tcPr>
            <w:tcW w:w="5994" w:type="dxa"/>
            <w:tcBorders>
              <w:top w:val="nil"/>
              <w:left w:val="nil"/>
              <w:bottom w:val="single" w:sz="4" w:space="0" w:color="auto"/>
              <w:right w:val="single" w:sz="4" w:space="0" w:color="auto"/>
            </w:tcBorders>
            <w:shd w:val="clear" w:color="auto" w:fill="auto"/>
            <w:vAlign w:val="center"/>
            <w:hideMark/>
          </w:tcPr>
          <w:p w14:paraId="2724F11B" w14:textId="77777777" w:rsidR="00763E92" w:rsidRPr="00763E92" w:rsidRDefault="00763E92"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763E92">
              <w:rPr>
                <w:rFonts w:ascii="Calibri" w:hAnsi="Calibri"/>
                <w:color w:val="000000"/>
                <w:sz w:val="22"/>
                <w:szCs w:val="22"/>
                <w:lang w:eastAsia="zh-CN"/>
              </w:rPr>
              <w:t>TDAG thanked both study group chairmen and rapporteurs for their enormous work and their collaboration and cooperation with the other ITU study groups.</w:t>
            </w:r>
          </w:p>
        </w:tc>
      </w:tr>
      <w:tr w:rsidR="00763E92" w:rsidRPr="00763E92" w14:paraId="62FB56F1" w14:textId="77777777" w:rsidTr="00E05AF4">
        <w:tc>
          <w:tcPr>
            <w:tcW w:w="3220" w:type="dxa"/>
            <w:tcBorders>
              <w:top w:val="nil"/>
              <w:left w:val="single" w:sz="4" w:space="0" w:color="auto"/>
              <w:bottom w:val="single" w:sz="4" w:space="0" w:color="auto"/>
              <w:right w:val="single" w:sz="4" w:space="0" w:color="auto"/>
            </w:tcBorders>
            <w:shd w:val="clear" w:color="auto" w:fill="auto"/>
            <w:vAlign w:val="center"/>
            <w:hideMark/>
          </w:tcPr>
          <w:p w14:paraId="3F8EE602" w14:textId="77777777" w:rsidR="00763E92" w:rsidRPr="00763E92" w:rsidRDefault="00763E92"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763E92">
              <w:rPr>
                <w:rFonts w:ascii="Calibri" w:hAnsi="Calibri"/>
                <w:color w:val="000000"/>
                <w:sz w:val="22"/>
                <w:szCs w:val="22"/>
                <w:lang w:eastAsia="zh-CN"/>
              </w:rPr>
              <w:t xml:space="preserve">ITU-D contribution to the implementation of the WSIS Plan of Action </w:t>
            </w:r>
          </w:p>
        </w:tc>
        <w:tc>
          <w:tcPr>
            <w:tcW w:w="5994" w:type="dxa"/>
            <w:tcBorders>
              <w:top w:val="nil"/>
              <w:left w:val="nil"/>
              <w:bottom w:val="single" w:sz="4" w:space="0" w:color="auto"/>
              <w:right w:val="single" w:sz="4" w:space="0" w:color="auto"/>
            </w:tcBorders>
            <w:shd w:val="clear" w:color="auto" w:fill="auto"/>
            <w:vAlign w:val="center"/>
            <w:hideMark/>
          </w:tcPr>
          <w:p w14:paraId="681AB0BE" w14:textId="77777777" w:rsidR="00763E92" w:rsidRPr="00763E92" w:rsidRDefault="00763E92"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763E92">
              <w:rPr>
                <w:rFonts w:ascii="Calibri" w:hAnsi="Calibri"/>
                <w:color w:val="000000"/>
                <w:sz w:val="22"/>
                <w:szCs w:val="22"/>
                <w:lang w:eastAsia="zh-CN"/>
              </w:rPr>
              <w:t xml:space="preserve">TDAG took note of the contribution from secretariat and proposed that the road maps under ITU-D responsibilities should be updated taking into account the outcomes of the WSIS+10 High-Level Event, the Sustainable Development Goals Summit and High-Level Meeting (HLM) implementation of WSIS </w:t>
            </w:r>
            <w:r w:rsidRPr="00763E92">
              <w:rPr>
                <w:rFonts w:ascii="Calibri" w:hAnsi="Calibri"/>
                <w:color w:val="000000"/>
                <w:sz w:val="22"/>
                <w:szCs w:val="22"/>
                <w:lang w:eastAsia="zh-CN"/>
              </w:rPr>
              <w:lastRenderedPageBreak/>
              <w:t>outcomes  at the 70th session of the United Nations General Assembly in 2015.</w:t>
            </w:r>
          </w:p>
        </w:tc>
      </w:tr>
      <w:tr w:rsidR="00763E92" w:rsidRPr="00763E92" w14:paraId="7D5D2841" w14:textId="77777777" w:rsidTr="00E05AF4">
        <w:tc>
          <w:tcPr>
            <w:tcW w:w="3220" w:type="dxa"/>
            <w:tcBorders>
              <w:top w:val="nil"/>
              <w:left w:val="single" w:sz="4" w:space="0" w:color="auto"/>
              <w:bottom w:val="single" w:sz="4" w:space="0" w:color="auto"/>
              <w:right w:val="single" w:sz="4" w:space="0" w:color="auto"/>
            </w:tcBorders>
            <w:shd w:val="clear" w:color="auto" w:fill="auto"/>
            <w:vAlign w:val="center"/>
            <w:hideMark/>
          </w:tcPr>
          <w:p w14:paraId="5F43474C" w14:textId="77777777" w:rsidR="00763E92" w:rsidRPr="00763E92" w:rsidRDefault="00763E92"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763E92">
              <w:rPr>
                <w:rFonts w:ascii="Calibri" w:hAnsi="Calibri"/>
                <w:color w:val="000000"/>
                <w:sz w:val="22"/>
                <w:szCs w:val="22"/>
                <w:lang w:eastAsia="zh-CN"/>
              </w:rPr>
              <w:lastRenderedPageBreak/>
              <w:t>Rules of procedure of ITU-D (WTDC Resolution 1 - Working methods), including TDAG Correspondence Group</w:t>
            </w:r>
          </w:p>
        </w:tc>
        <w:tc>
          <w:tcPr>
            <w:tcW w:w="5994" w:type="dxa"/>
            <w:tcBorders>
              <w:top w:val="nil"/>
              <w:left w:val="nil"/>
              <w:bottom w:val="single" w:sz="4" w:space="0" w:color="auto"/>
              <w:right w:val="single" w:sz="4" w:space="0" w:color="auto"/>
            </w:tcBorders>
            <w:shd w:val="clear" w:color="auto" w:fill="auto"/>
            <w:vAlign w:val="center"/>
            <w:hideMark/>
          </w:tcPr>
          <w:p w14:paraId="33131018" w14:textId="77777777" w:rsidR="00763E92" w:rsidRPr="00763E92" w:rsidRDefault="00763E92"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763E92">
              <w:rPr>
                <w:rFonts w:ascii="Calibri" w:hAnsi="Calibri"/>
                <w:color w:val="000000"/>
                <w:sz w:val="22"/>
                <w:szCs w:val="22"/>
                <w:lang w:eastAsia="zh-CN"/>
              </w:rPr>
              <w:t>TDAG commended the group for the progress made so far and encouraged it to continue developing proposals to further improve WTDC Resolution 1.</w:t>
            </w:r>
          </w:p>
        </w:tc>
      </w:tr>
      <w:tr w:rsidR="00763E92" w:rsidRPr="00763E92" w14:paraId="38BC087A" w14:textId="77777777" w:rsidTr="00E05AF4">
        <w:tc>
          <w:tcPr>
            <w:tcW w:w="3220" w:type="dxa"/>
            <w:tcBorders>
              <w:top w:val="nil"/>
              <w:left w:val="single" w:sz="4" w:space="0" w:color="auto"/>
              <w:bottom w:val="single" w:sz="4" w:space="0" w:color="auto"/>
              <w:right w:val="single" w:sz="4" w:space="0" w:color="auto"/>
            </w:tcBorders>
            <w:shd w:val="clear" w:color="auto" w:fill="auto"/>
            <w:vAlign w:val="center"/>
            <w:hideMark/>
          </w:tcPr>
          <w:p w14:paraId="6C2A1F63" w14:textId="77777777" w:rsidR="00763E92" w:rsidRPr="00763E92" w:rsidRDefault="00763E92"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763E92">
              <w:rPr>
                <w:rFonts w:ascii="Calibri" w:hAnsi="Calibri"/>
                <w:color w:val="000000"/>
                <w:sz w:val="22"/>
                <w:szCs w:val="22"/>
                <w:lang w:eastAsia="zh-CN"/>
              </w:rPr>
              <w:t>ITU-D four-year rolling Operational Plan 2016-19, including TDAG Correspondence Group</w:t>
            </w:r>
          </w:p>
        </w:tc>
        <w:tc>
          <w:tcPr>
            <w:tcW w:w="5994" w:type="dxa"/>
            <w:tcBorders>
              <w:top w:val="nil"/>
              <w:left w:val="nil"/>
              <w:bottom w:val="single" w:sz="4" w:space="0" w:color="auto"/>
              <w:right w:val="single" w:sz="4" w:space="0" w:color="auto"/>
            </w:tcBorders>
            <w:shd w:val="clear" w:color="auto" w:fill="auto"/>
            <w:vAlign w:val="center"/>
            <w:hideMark/>
          </w:tcPr>
          <w:p w14:paraId="2702FD4C" w14:textId="77777777" w:rsidR="00763E92" w:rsidRPr="00763E92" w:rsidRDefault="00763E92"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763E92">
              <w:rPr>
                <w:rFonts w:ascii="Calibri" w:hAnsi="Calibri"/>
                <w:color w:val="000000"/>
                <w:sz w:val="22"/>
                <w:szCs w:val="22"/>
                <w:lang w:eastAsia="zh-CN"/>
              </w:rPr>
              <w:t xml:space="preserve">TDAG endorsed the operational plan and expressed appreciation for its quality. The Correspondence Group has started to prepare the ITU-D strategic plan for 2020-2023. In this regard, TDAG noted the draft ITU-D contribution to the draft Strategic Plan of ITU for the period 2020-2023 submitted to it by the Chairman of its Correspondence Group on the Strategic Plan, Operational Plan and Declaration, based on the group’s meeting held on 27 April 2015. </w:t>
            </w:r>
            <w:r w:rsidRPr="00763E92">
              <w:rPr>
                <w:rFonts w:ascii="Calibri" w:hAnsi="Calibri"/>
                <w:color w:val="000000"/>
                <w:sz w:val="22"/>
                <w:szCs w:val="22"/>
                <w:lang w:eastAsia="zh-CN"/>
              </w:rPr>
              <w:br/>
              <w:t>TDAG agreed that the Correspondence Group should continue its work in both areas on the basis of the draft 2020-2023 ITU-D Strategic Plan and the draft WTDC-17 Declaration.</w:t>
            </w:r>
          </w:p>
        </w:tc>
      </w:tr>
      <w:tr w:rsidR="00763E92" w:rsidRPr="00763E92" w14:paraId="00C76992" w14:textId="77777777" w:rsidTr="00E05AF4">
        <w:tc>
          <w:tcPr>
            <w:tcW w:w="3220" w:type="dxa"/>
            <w:tcBorders>
              <w:top w:val="nil"/>
              <w:left w:val="single" w:sz="4" w:space="0" w:color="auto"/>
              <w:bottom w:val="single" w:sz="4" w:space="0" w:color="auto"/>
              <w:right w:val="single" w:sz="4" w:space="0" w:color="auto"/>
            </w:tcBorders>
            <w:shd w:val="clear" w:color="auto" w:fill="auto"/>
            <w:vAlign w:val="center"/>
            <w:hideMark/>
          </w:tcPr>
          <w:p w14:paraId="58612DB0" w14:textId="77777777" w:rsidR="00763E92" w:rsidRPr="00763E92" w:rsidRDefault="00763E92"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763E92">
              <w:rPr>
                <w:rFonts w:ascii="Calibri" w:hAnsi="Calibri"/>
                <w:color w:val="000000"/>
                <w:sz w:val="22"/>
                <w:szCs w:val="22"/>
                <w:lang w:eastAsia="zh-CN"/>
              </w:rPr>
              <w:t xml:space="preserve">Collaboration with other Sectors, including progress report on Inter-Sectoral Team </w:t>
            </w:r>
          </w:p>
        </w:tc>
        <w:tc>
          <w:tcPr>
            <w:tcW w:w="5994" w:type="dxa"/>
            <w:tcBorders>
              <w:top w:val="nil"/>
              <w:left w:val="nil"/>
              <w:bottom w:val="single" w:sz="4" w:space="0" w:color="auto"/>
              <w:right w:val="single" w:sz="4" w:space="0" w:color="auto"/>
            </w:tcBorders>
            <w:shd w:val="clear" w:color="auto" w:fill="auto"/>
            <w:vAlign w:val="center"/>
            <w:hideMark/>
          </w:tcPr>
          <w:p w14:paraId="23229553" w14:textId="77777777" w:rsidR="00763E92" w:rsidRPr="00763E92" w:rsidRDefault="00763E92"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763E92">
              <w:rPr>
                <w:rFonts w:ascii="Calibri" w:hAnsi="Calibri"/>
                <w:color w:val="000000"/>
                <w:sz w:val="22"/>
                <w:szCs w:val="22"/>
                <w:lang w:eastAsia="zh-CN"/>
              </w:rPr>
              <w:t xml:space="preserve">TDAG emphasized the importance of IXPs and invited Argentina to take note of the comments and information shared during the meeting, to prepare a concrete proposal where the IXPs matter should be addressed within ITU-D study groups’ activity, and consider proposing to add the item to an existing Question or creating a new ITU-D Question specifically related to IXPs. As for ITU-T/TSB and ITU-D/BDT collaboration and cooperation, TDAG concluded that a first step is to determine a number of issues of mutual interest, and Document 8 was seen as a good starting point. Concerning ITU-D web pages, TDAG considered the contribution that outlines proposals to improve the ITU-D website, focusing, in particular, on the issue of translation of web pages. The contribution highlights specific links to pages that have translation issues. </w:t>
            </w:r>
            <w:r w:rsidRPr="00763E92">
              <w:rPr>
                <w:rFonts w:ascii="Calibri" w:hAnsi="Calibri"/>
                <w:color w:val="000000"/>
                <w:sz w:val="22"/>
                <w:szCs w:val="22"/>
                <w:lang w:eastAsia="zh-CN"/>
              </w:rPr>
              <w:br/>
              <w:t>TDAG advised that the above proposals be considered by the BDT Director. TDAG also noted that these proposals may have an impact on BDT’s budget and advised that the Director take these proposals into account when implementing the ITU-D Operational Plan.</w:t>
            </w:r>
          </w:p>
        </w:tc>
      </w:tr>
      <w:tr w:rsidR="00763E92" w:rsidRPr="00763E92" w14:paraId="7E58DA3E" w14:textId="77777777" w:rsidTr="00E05AF4">
        <w:tc>
          <w:tcPr>
            <w:tcW w:w="3220" w:type="dxa"/>
            <w:tcBorders>
              <w:top w:val="nil"/>
              <w:left w:val="single" w:sz="4" w:space="0" w:color="auto"/>
              <w:bottom w:val="single" w:sz="4" w:space="0" w:color="auto"/>
              <w:right w:val="single" w:sz="4" w:space="0" w:color="auto"/>
            </w:tcBorders>
            <w:shd w:val="clear" w:color="auto" w:fill="auto"/>
            <w:vAlign w:val="center"/>
            <w:hideMark/>
          </w:tcPr>
          <w:p w14:paraId="7D29C666" w14:textId="77777777" w:rsidR="00763E92" w:rsidRPr="00763E92" w:rsidRDefault="00763E92"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763E92">
              <w:rPr>
                <w:rFonts w:ascii="Calibri" w:hAnsi="Calibri"/>
                <w:color w:val="000000"/>
                <w:sz w:val="22"/>
                <w:szCs w:val="22"/>
                <w:lang w:eastAsia="zh-CN"/>
              </w:rPr>
              <w:t xml:space="preserve">Report of the Group on Capacity Building Initiatives </w:t>
            </w:r>
          </w:p>
        </w:tc>
        <w:tc>
          <w:tcPr>
            <w:tcW w:w="5994" w:type="dxa"/>
            <w:tcBorders>
              <w:top w:val="nil"/>
              <w:left w:val="nil"/>
              <w:bottom w:val="single" w:sz="4" w:space="0" w:color="auto"/>
              <w:right w:val="single" w:sz="4" w:space="0" w:color="auto"/>
            </w:tcBorders>
            <w:shd w:val="clear" w:color="auto" w:fill="auto"/>
            <w:vAlign w:val="center"/>
            <w:hideMark/>
          </w:tcPr>
          <w:p w14:paraId="46AD3862" w14:textId="77777777" w:rsidR="00763E92" w:rsidRPr="00763E92" w:rsidRDefault="00763E92"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763E92">
              <w:rPr>
                <w:rFonts w:ascii="Calibri" w:hAnsi="Calibri"/>
                <w:color w:val="000000"/>
                <w:sz w:val="22"/>
                <w:szCs w:val="22"/>
                <w:lang w:eastAsia="zh-CN"/>
              </w:rPr>
              <w:t>TDAG took note of the report, thanked the Chairman of GCBI, and requested that the work of the group be made more visible on the ITU-D website.</w:t>
            </w:r>
          </w:p>
        </w:tc>
      </w:tr>
      <w:tr w:rsidR="00763E92" w:rsidRPr="00763E92" w14:paraId="1D949716" w14:textId="77777777" w:rsidTr="00E05AF4">
        <w:tc>
          <w:tcPr>
            <w:tcW w:w="3220" w:type="dxa"/>
            <w:tcBorders>
              <w:top w:val="nil"/>
              <w:left w:val="single" w:sz="4" w:space="0" w:color="auto"/>
              <w:bottom w:val="single" w:sz="4" w:space="0" w:color="auto"/>
              <w:right w:val="single" w:sz="4" w:space="0" w:color="auto"/>
            </w:tcBorders>
            <w:shd w:val="clear" w:color="auto" w:fill="auto"/>
            <w:vAlign w:val="center"/>
            <w:hideMark/>
          </w:tcPr>
          <w:p w14:paraId="31B98A24" w14:textId="77777777" w:rsidR="00763E92" w:rsidRPr="00763E92" w:rsidRDefault="00763E92"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763E92">
              <w:rPr>
                <w:rFonts w:ascii="Calibri" w:hAnsi="Calibri"/>
                <w:color w:val="000000"/>
                <w:sz w:val="22"/>
                <w:szCs w:val="22"/>
                <w:lang w:eastAsia="zh-CN"/>
              </w:rPr>
              <w:t>Report on other ITU-D activities</w:t>
            </w:r>
          </w:p>
        </w:tc>
        <w:tc>
          <w:tcPr>
            <w:tcW w:w="5994" w:type="dxa"/>
            <w:tcBorders>
              <w:top w:val="nil"/>
              <w:left w:val="nil"/>
              <w:bottom w:val="single" w:sz="4" w:space="0" w:color="auto"/>
              <w:right w:val="single" w:sz="4" w:space="0" w:color="auto"/>
            </w:tcBorders>
            <w:shd w:val="clear" w:color="auto" w:fill="auto"/>
            <w:vAlign w:val="center"/>
            <w:hideMark/>
          </w:tcPr>
          <w:p w14:paraId="35F5463E" w14:textId="77777777" w:rsidR="00763E92" w:rsidRPr="00763E92" w:rsidRDefault="00763E92"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763E92">
              <w:rPr>
                <w:rFonts w:ascii="Calibri" w:hAnsi="Calibri"/>
                <w:color w:val="000000"/>
                <w:sz w:val="22"/>
                <w:szCs w:val="22"/>
                <w:lang w:eastAsia="zh-CN"/>
              </w:rPr>
              <w:t xml:space="preserve">TDAG emphasized the importance of the 15th Edition of the Global Symposium for Regulators (GSR-15). TDAG considered the work on ICT indicators and statistics as highly important for good policy-making. TDAG recognized the need to enhance the level of WTIS participants to ministers and decision-makers. TDAG agreed that the question of emergencies is of relevance to </w:t>
            </w:r>
            <w:r w:rsidRPr="00763E92">
              <w:rPr>
                <w:rFonts w:ascii="Calibri" w:hAnsi="Calibri"/>
                <w:color w:val="000000"/>
                <w:sz w:val="22"/>
                <w:szCs w:val="22"/>
                <w:lang w:eastAsia="zh-CN"/>
              </w:rPr>
              <w:lastRenderedPageBreak/>
              <w:t>all countries, whether developing or developed, making the interest in this issue universal. TDAG advised that Regional Development Forums (RDFs) should take place in the first quarter of the year so that the results are available to TDAG meetings. TDAG further supported the holding of RDFs on an annual basis.</w:t>
            </w:r>
          </w:p>
        </w:tc>
      </w:tr>
      <w:tr w:rsidR="00763E92" w:rsidRPr="00763E92" w14:paraId="4ADB7C31" w14:textId="77777777" w:rsidTr="00E05AF4">
        <w:tc>
          <w:tcPr>
            <w:tcW w:w="3220" w:type="dxa"/>
            <w:tcBorders>
              <w:top w:val="nil"/>
              <w:left w:val="single" w:sz="4" w:space="0" w:color="auto"/>
              <w:bottom w:val="single" w:sz="4" w:space="0" w:color="auto"/>
              <w:right w:val="single" w:sz="4" w:space="0" w:color="auto"/>
            </w:tcBorders>
            <w:shd w:val="clear" w:color="auto" w:fill="auto"/>
            <w:vAlign w:val="center"/>
            <w:hideMark/>
          </w:tcPr>
          <w:p w14:paraId="6874E34F" w14:textId="77777777" w:rsidR="00763E92" w:rsidRPr="00763E92" w:rsidRDefault="00763E92"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763E92">
              <w:rPr>
                <w:rFonts w:ascii="Calibri" w:hAnsi="Calibri"/>
                <w:color w:val="000000"/>
                <w:sz w:val="22"/>
                <w:szCs w:val="22"/>
                <w:lang w:eastAsia="zh-CN"/>
              </w:rPr>
              <w:lastRenderedPageBreak/>
              <w:t xml:space="preserve">Membership, partnership and innovation-related matters </w:t>
            </w:r>
          </w:p>
        </w:tc>
        <w:tc>
          <w:tcPr>
            <w:tcW w:w="5994" w:type="dxa"/>
            <w:tcBorders>
              <w:top w:val="nil"/>
              <w:left w:val="nil"/>
              <w:bottom w:val="single" w:sz="4" w:space="0" w:color="auto"/>
              <w:right w:val="single" w:sz="4" w:space="0" w:color="auto"/>
            </w:tcBorders>
            <w:shd w:val="clear" w:color="auto" w:fill="auto"/>
            <w:vAlign w:val="center"/>
            <w:hideMark/>
          </w:tcPr>
          <w:p w14:paraId="67413001" w14:textId="77777777" w:rsidR="00763E92" w:rsidRPr="00763E92" w:rsidRDefault="00763E92"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763E92">
              <w:rPr>
                <w:rFonts w:ascii="Calibri" w:hAnsi="Calibri"/>
                <w:color w:val="000000"/>
                <w:sz w:val="22"/>
                <w:szCs w:val="22"/>
                <w:lang w:eastAsia="zh-CN"/>
              </w:rPr>
              <w:t xml:space="preserve">TDAG noted the actions carried out at global and regional levels to encourage partnerships, including public-private partnerships. TDAG also reviewed the proposed strategies and actions to facilitate the innovation agenda in both ITU-D and its membership. </w:t>
            </w:r>
          </w:p>
        </w:tc>
      </w:tr>
      <w:tr w:rsidR="00763E92" w:rsidRPr="00763E92" w14:paraId="36AD2D0F" w14:textId="77777777" w:rsidTr="00E05AF4">
        <w:tc>
          <w:tcPr>
            <w:tcW w:w="3220" w:type="dxa"/>
            <w:tcBorders>
              <w:top w:val="nil"/>
              <w:left w:val="single" w:sz="4" w:space="0" w:color="auto"/>
              <w:bottom w:val="nil"/>
              <w:right w:val="single" w:sz="4" w:space="0" w:color="auto"/>
            </w:tcBorders>
            <w:shd w:val="clear" w:color="auto" w:fill="auto"/>
            <w:vAlign w:val="center"/>
            <w:hideMark/>
          </w:tcPr>
          <w:p w14:paraId="613837DE" w14:textId="77777777" w:rsidR="00763E92" w:rsidRPr="00763E92" w:rsidRDefault="00763E92"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763E92">
              <w:rPr>
                <w:rFonts w:ascii="Calibri" w:hAnsi="Calibri"/>
                <w:color w:val="000000"/>
                <w:sz w:val="22"/>
                <w:szCs w:val="22"/>
                <w:lang w:eastAsia="zh-CN"/>
              </w:rPr>
              <w:t xml:space="preserve">Progress report on the preparation of the 2016-2017 budget </w:t>
            </w:r>
          </w:p>
        </w:tc>
        <w:tc>
          <w:tcPr>
            <w:tcW w:w="5994" w:type="dxa"/>
            <w:tcBorders>
              <w:top w:val="nil"/>
              <w:left w:val="nil"/>
              <w:bottom w:val="nil"/>
              <w:right w:val="single" w:sz="4" w:space="0" w:color="auto"/>
            </w:tcBorders>
            <w:shd w:val="clear" w:color="auto" w:fill="auto"/>
            <w:vAlign w:val="center"/>
            <w:hideMark/>
          </w:tcPr>
          <w:p w14:paraId="44C43835" w14:textId="77777777" w:rsidR="00763E92" w:rsidRPr="00763E92" w:rsidRDefault="00763E92"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763E92">
              <w:rPr>
                <w:rFonts w:ascii="Calibri" w:hAnsi="Calibri"/>
                <w:color w:val="000000"/>
                <w:sz w:val="22"/>
                <w:szCs w:val="22"/>
                <w:lang w:eastAsia="zh-CN"/>
              </w:rPr>
              <w:t>TDAG expressed appreciation to the secretariat regarding the budget being balanced, but most importantly that measures had been taken not to withdraw funds from the Reserve Account.</w:t>
            </w:r>
          </w:p>
        </w:tc>
      </w:tr>
      <w:tr w:rsidR="00763E92" w:rsidRPr="00763E92" w14:paraId="6E675609" w14:textId="77777777" w:rsidTr="00E05AF4">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67031" w14:textId="77777777" w:rsidR="00763E92" w:rsidRPr="00763E92" w:rsidRDefault="00763E92"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763E92">
              <w:rPr>
                <w:rFonts w:ascii="Calibri" w:hAnsi="Calibri"/>
                <w:color w:val="000000"/>
                <w:sz w:val="22"/>
                <w:szCs w:val="22"/>
                <w:lang w:eastAsia="zh-CN"/>
              </w:rPr>
              <w:t xml:space="preserve">Calendar of ITU-D events </w:t>
            </w:r>
          </w:p>
        </w:tc>
        <w:tc>
          <w:tcPr>
            <w:tcW w:w="5994" w:type="dxa"/>
            <w:tcBorders>
              <w:top w:val="single" w:sz="4" w:space="0" w:color="auto"/>
              <w:left w:val="nil"/>
              <w:bottom w:val="single" w:sz="4" w:space="0" w:color="auto"/>
              <w:right w:val="single" w:sz="4" w:space="0" w:color="auto"/>
            </w:tcBorders>
            <w:shd w:val="clear" w:color="auto" w:fill="auto"/>
            <w:vAlign w:val="center"/>
            <w:hideMark/>
          </w:tcPr>
          <w:p w14:paraId="082AD62E" w14:textId="77777777" w:rsidR="00763E92" w:rsidRPr="00763E92" w:rsidRDefault="00763E92"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763E92">
              <w:rPr>
                <w:rFonts w:ascii="Calibri" w:hAnsi="Calibri"/>
                <w:color w:val="000000"/>
                <w:sz w:val="22"/>
                <w:szCs w:val="22"/>
                <w:lang w:eastAsia="zh-CN"/>
              </w:rPr>
              <w:t>TDAG thanked the secretariat for the calendar of ITU-D events as a very useful document and noted that after the Council, there will be some changes to this document.</w:t>
            </w:r>
          </w:p>
        </w:tc>
      </w:tr>
    </w:tbl>
    <w:p w14:paraId="38DCB58D" w14:textId="77777777" w:rsidR="00763E92" w:rsidRPr="007D35A2" w:rsidRDefault="00763E92">
      <w:pPr>
        <w:tabs>
          <w:tab w:val="clear" w:pos="1134"/>
          <w:tab w:val="clear" w:pos="1871"/>
          <w:tab w:val="clear" w:pos="2268"/>
        </w:tabs>
        <w:overflowPunct/>
        <w:autoSpaceDE/>
        <w:autoSpaceDN/>
        <w:adjustRightInd/>
        <w:spacing w:before="0"/>
        <w:textAlignment w:val="auto"/>
        <w:rPr>
          <w:rStyle w:val="Hyperlink"/>
          <w:color w:val="auto"/>
        </w:rPr>
      </w:pPr>
      <w:r>
        <w:rPr>
          <w:rStyle w:val="Hyperlink"/>
        </w:rPr>
        <w:br w:type="page"/>
      </w:r>
    </w:p>
    <w:p w14:paraId="3EBD2870" w14:textId="2613565A" w:rsidR="005A4086" w:rsidRPr="0055628F" w:rsidRDefault="005A4086" w:rsidP="00363DA9">
      <w:pPr>
        <w:pStyle w:val="Heading2"/>
      </w:pPr>
      <w:bookmarkStart w:id="13" w:name="_Toc482300240"/>
      <w:r w:rsidRPr="0055628F">
        <w:lastRenderedPageBreak/>
        <w:t>21st TDAG Meeting</w:t>
      </w:r>
      <w:bookmarkEnd w:id="13"/>
    </w:p>
    <w:p w14:paraId="725C38CC" w14:textId="376020B7" w:rsidR="005A4086" w:rsidRDefault="005A4086" w:rsidP="004B3144">
      <w:pPr>
        <w:pStyle w:val="ListParagraph"/>
        <w:numPr>
          <w:ilvl w:val="0"/>
          <w:numId w:val="16"/>
        </w:numPr>
        <w:tabs>
          <w:tab w:val="clear" w:pos="1134"/>
          <w:tab w:val="clear" w:pos="1871"/>
          <w:tab w:val="left" w:pos="426"/>
          <w:tab w:val="left" w:pos="851"/>
        </w:tabs>
        <w:ind w:left="0" w:firstLine="0"/>
      </w:pPr>
      <w:r>
        <w:t xml:space="preserve">The 21st meeting of the Telecommunication Development Advisory Group (TDAG) was held at ITU headquarters in Geneva, from 16 to 18 March 2016, under the chairmanship of Professor Dr Vladimir </w:t>
      </w:r>
      <w:proofErr w:type="spellStart"/>
      <w:r>
        <w:t>Minkin</w:t>
      </w:r>
      <w:proofErr w:type="spellEnd"/>
      <w:r>
        <w:t>.</w:t>
      </w:r>
    </w:p>
    <w:p w14:paraId="574919B3" w14:textId="56FBCCA4" w:rsidR="00692AE2" w:rsidRDefault="005A4086" w:rsidP="005A4086">
      <w:pPr>
        <w:tabs>
          <w:tab w:val="clear" w:pos="1134"/>
          <w:tab w:val="clear" w:pos="1871"/>
          <w:tab w:val="left" w:pos="567"/>
          <w:tab w:val="left" w:pos="851"/>
        </w:tabs>
      </w:pPr>
      <w:r>
        <w:t>TDAG’s Correspondence Group on the Strategic Plan, Operational Plan and Declaration, Correspondence Group on WTDC Resolution 1 (Rev. Dubai, 2014), “Rules of procedure of the ITU Telecommunication Development Sector”, and the Inter-Sector Coordination Team on Issues of Mutual Interest met in Geneva on 15 March 2016 and reported their progress to TDAG.</w:t>
      </w:r>
    </w:p>
    <w:p w14:paraId="14E68406" w14:textId="0123A7E4" w:rsidR="00763E92" w:rsidRDefault="005A4086" w:rsidP="005A4086">
      <w:pPr>
        <w:rPr>
          <w:rStyle w:val="Hyperlink"/>
        </w:rPr>
      </w:pPr>
      <w:r w:rsidRPr="00780CB0">
        <w:t>The full meeting report</w:t>
      </w:r>
      <w:r>
        <w:t xml:space="preserve">, </w:t>
      </w:r>
      <w:r w:rsidRPr="000D31EF">
        <w:t xml:space="preserve">in </w:t>
      </w:r>
      <w:r>
        <w:t>the</w:t>
      </w:r>
      <w:r w:rsidRPr="000D31EF">
        <w:t xml:space="preserve"> six</w:t>
      </w:r>
      <w:r>
        <w:t xml:space="preserve"> official</w:t>
      </w:r>
      <w:r w:rsidRPr="000D31EF">
        <w:t xml:space="preserve"> languages</w:t>
      </w:r>
      <w:r>
        <w:t xml:space="preserve"> of ITU</w:t>
      </w:r>
      <w:r w:rsidRPr="000D31EF">
        <w:t xml:space="preserve">, </w:t>
      </w:r>
      <w:r w:rsidRPr="00780CB0">
        <w:t xml:space="preserve">is available at: </w:t>
      </w:r>
      <w:hyperlink r:id="rId31" w:history="1">
        <w:r w:rsidRPr="009D35E0">
          <w:rPr>
            <w:rStyle w:val="Hyperlink"/>
          </w:rPr>
          <w:t>https://www.itu.int/md/D14-TDAG21-C-0043/en</w:t>
        </w:r>
      </w:hyperlink>
    </w:p>
    <w:p w14:paraId="7039B5BE" w14:textId="77777777" w:rsidR="00763E92" w:rsidRDefault="00763E92" w:rsidP="00763E92">
      <w:pPr>
        <w:pStyle w:val="ListParagraph"/>
        <w:numPr>
          <w:ilvl w:val="0"/>
          <w:numId w:val="16"/>
        </w:numPr>
        <w:ind w:left="284" w:hanging="284"/>
      </w:pPr>
      <w:r w:rsidRPr="0015250D">
        <w:t>Participants</w:t>
      </w:r>
    </w:p>
    <w:p w14:paraId="2DCBFADD" w14:textId="3C963EE5" w:rsidR="007C632F" w:rsidRDefault="007C632F" w:rsidP="007C632F">
      <w:r>
        <w:t xml:space="preserve">The following </w:t>
      </w:r>
      <w:r w:rsidR="00002006">
        <w:t>chart provide</w:t>
      </w:r>
      <w:r w:rsidR="00384C71">
        <w:t>s</w:t>
      </w:r>
      <w:r>
        <w:t xml:space="preserve"> the breakdown of participants by category:</w:t>
      </w:r>
    </w:p>
    <w:p w14:paraId="635FD2B0" w14:textId="41F48B28" w:rsidR="0043709C" w:rsidRDefault="00D91E0B" w:rsidP="00B0215B">
      <w:r w:rsidRPr="00D91E0B">
        <w:rPr>
          <w:noProof/>
          <w:lang w:eastAsia="zh-CN"/>
        </w:rPr>
        <w:drawing>
          <wp:inline distT="0" distB="0" distL="0" distR="0" wp14:anchorId="5D8B6083" wp14:editId="3B447F46">
            <wp:extent cx="5850890" cy="2395855"/>
            <wp:effectExtent l="0" t="0" r="0" b="44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850890" cy="2395855"/>
                    </a:xfrm>
                    <a:prstGeom prst="rect">
                      <a:avLst/>
                    </a:prstGeom>
                  </pic:spPr>
                </pic:pic>
              </a:graphicData>
            </a:graphic>
          </wp:inline>
        </w:drawing>
      </w:r>
    </w:p>
    <w:p w14:paraId="5280B718" w14:textId="6E2287F8" w:rsidR="00B0215B" w:rsidRDefault="00B0215B" w:rsidP="00B0215B">
      <w:r>
        <w:t>The following chart provides the breakdown of participants by region:</w:t>
      </w:r>
    </w:p>
    <w:p w14:paraId="5BB70417" w14:textId="673C1BA1" w:rsidR="007A5D37" w:rsidRDefault="00D91E0B" w:rsidP="00763E92">
      <w:r w:rsidRPr="00D91E0B">
        <w:rPr>
          <w:noProof/>
          <w:lang w:eastAsia="zh-CN"/>
        </w:rPr>
        <w:drawing>
          <wp:inline distT="0" distB="0" distL="0" distR="0" wp14:anchorId="347C5495" wp14:editId="782F8A6B">
            <wp:extent cx="5850890" cy="2395855"/>
            <wp:effectExtent l="0" t="0" r="0" b="444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850890" cy="2395855"/>
                    </a:xfrm>
                    <a:prstGeom prst="rect">
                      <a:avLst/>
                    </a:prstGeom>
                  </pic:spPr>
                </pic:pic>
              </a:graphicData>
            </a:graphic>
          </wp:inline>
        </w:drawing>
      </w:r>
    </w:p>
    <w:p w14:paraId="07FCDA1D" w14:textId="77777777" w:rsidR="007A5D37" w:rsidRDefault="007A5D37">
      <w:pPr>
        <w:tabs>
          <w:tab w:val="clear" w:pos="1134"/>
          <w:tab w:val="clear" w:pos="1871"/>
          <w:tab w:val="clear" w:pos="2268"/>
        </w:tabs>
        <w:overflowPunct/>
        <w:autoSpaceDE/>
        <w:autoSpaceDN/>
        <w:adjustRightInd/>
        <w:spacing w:before="0"/>
        <w:textAlignment w:val="auto"/>
      </w:pPr>
      <w:r>
        <w:br w:type="page"/>
      </w:r>
    </w:p>
    <w:p w14:paraId="0BF872C9" w14:textId="77777777" w:rsidR="00763E92" w:rsidRDefault="00763E92" w:rsidP="00763E92">
      <w:pPr>
        <w:pStyle w:val="ListParagraph"/>
        <w:numPr>
          <w:ilvl w:val="0"/>
          <w:numId w:val="16"/>
        </w:numPr>
        <w:ind w:left="284" w:hanging="284"/>
      </w:pPr>
      <w:r>
        <w:lastRenderedPageBreak/>
        <w:t>Documents</w:t>
      </w:r>
    </w:p>
    <w:p w14:paraId="55582DE2" w14:textId="3F5E6C1C" w:rsidR="00763E92" w:rsidRDefault="00763E92" w:rsidP="00763E92">
      <w:r>
        <w:t xml:space="preserve">The following </w:t>
      </w:r>
      <w:r w:rsidR="009B41AB">
        <w:t>chart provide</w:t>
      </w:r>
      <w:r w:rsidR="00683AC7">
        <w:t>s</w:t>
      </w:r>
      <w:r>
        <w:t xml:space="preserve"> the number of documents broken down by category of documents:</w:t>
      </w:r>
    </w:p>
    <w:p w14:paraId="546D4990" w14:textId="5BF1EAEE" w:rsidR="00763E92" w:rsidRDefault="00C6063B" w:rsidP="007A5D37">
      <w:pPr>
        <w:tabs>
          <w:tab w:val="clear" w:pos="1134"/>
          <w:tab w:val="clear" w:pos="1871"/>
          <w:tab w:val="clear" w:pos="2268"/>
        </w:tabs>
        <w:overflowPunct/>
        <w:autoSpaceDE/>
        <w:autoSpaceDN/>
        <w:adjustRightInd/>
        <w:spacing w:before="0"/>
        <w:textAlignment w:val="auto"/>
      </w:pPr>
      <w:r>
        <w:rPr>
          <w:noProof/>
          <w:lang w:eastAsia="zh-CN"/>
        </w:rPr>
        <w:drawing>
          <wp:inline distT="0" distB="0" distL="0" distR="0" wp14:anchorId="4877A7DD" wp14:editId="3E54739A">
            <wp:extent cx="5157216" cy="2648102"/>
            <wp:effectExtent l="0" t="0" r="571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04A7194E" w14:textId="67BA8B81" w:rsidR="00763E92" w:rsidRDefault="00763E92" w:rsidP="004B3144">
      <w:pPr>
        <w:pStyle w:val="ListParagraph"/>
        <w:numPr>
          <w:ilvl w:val="0"/>
          <w:numId w:val="16"/>
        </w:numPr>
        <w:ind w:left="426" w:hanging="426"/>
      </w:pPr>
      <w:r>
        <w:t>21</w:t>
      </w:r>
      <w:r w:rsidRPr="0015250D">
        <w:rPr>
          <w:vertAlign w:val="superscript"/>
        </w:rPr>
        <w:t>th</w:t>
      </w:r>
      <w:r>
        <w:t xml:space="preserve"> </w:t>
      </w:r>
      <w:r w:rsidRPr="0015250D">
        <w:t>TDAG Meeting</w:t>
      </w:r>
      <w:r>
        <w:t xml:space="preserve"> Outcomes</w:t>
      </w:r>
    </w:p>
    <w:p w14:paraId="19828999" w14:textId="21A7C02B" w:rsidR="00763E92" w:rsidRDefault="00763E92" w:rsidP="003E489B">
      <w:pPr>
        <w:spacing w:after="120"/>
      </w:pPr>
      <w:r>
        <w:t>The following table provides the summary of the outcomes of the 21</w:t>
      </w:r>
      <w:r w:rsidRPr="0015250D">
        <w:rPr>
          <w:vertAlign w:val="superscript"/>
        </w:rPr>
        <w:t>th</w:t>
      </w:r>
      <w:r>
        <w:t xml:space="preserve"> TDAG meeting by subject:</w:t>
      </w:r>
    </w:p>
    <w:tbl>
      <w:tblPr>
        <w:tblW w:w="9214" w:type="dxa"/>
        <w:tblInd w:w="-5" w:type="dxa"/>
        <w:tblLook w:val="04A0" w:firstRow="1" w:lastRow="0" w:firstColumn="1" w:lastColumn="0" w:noHBand="0" w:noVBand="1"/>
      </w:tblPr>
      <w:tblGrid>
        <w:gridCol w:w="3220"/>
        <w:gridCol w:w="5994"/>
      </w:tblGrid>
      <w:tr w:rsidR="00217665" w:rsidRPr="00217665" w14:paraId="4C33BCA9" w14:textId="77777777" w:rsidTr="003E489B">
        <w:trPr>
          <w:trHeight w:val="300"/>
          <w:tblHeader/>
        </w:trPr>
        <w:tc>
          <w:tcPr>
            <w:tcW w:w="322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14:paraId="64ADD4C4" w14:textId="77777777" w:rsidR="00217665" w:rsidRPr="00217665" w:rsidRDefault="00217665" w:rsidP="003E489B">
            <w:pPr>
              <w:tabs>
                <w:tab w:val="clear" w:pos="1134"/>
                <w:tab w:val="clear" w:pos="1871"/>
                <w:tab w:val="clear" w:pos="2268"/>
              </w:tabs>
              <w:overflowPunct/>
              <w:autoSpaceDE/>
              <w:autoSpaceDN/>
              <w:adjustRightInd/>
              <w:spacing w:after="120"/>
              <w:jc w:val="center"/>
              <w:textAlignment w:val="auto"/>
              <w:rPr>
                <w:rFonts w:ascii="Calibri" w:hAnsi="Calibri"/>
                <w:b/>
                <w:bCs/>
                <w:i/>
                <w:iCs/>
                <w:color w:val="000000"/>
                <w:sz w:val="22"/>
                <w:szCs w:val="22"/>
                <w:lang w:eastAsia="zh-CN"/>
              </w:rPr>
            </w:pPr>
            <w:r w:rsidRPr="00217665">
              <w:rPr>
                <w:rFonts w:ascii="Calibri" w:hAnsi="Calibri"/>
                <w:b/>
                <w:bCs/>
                <w:i/>
                <w:iCs/>
                <w:color w:val="000000"/>
                <w:sz w:val="22"/>
                <w:szCs w:val="22"/>
                <w:lang w:eastAsia="zh-CN"/>
              </w:rPr>
              <w:t xml:space="preserve">Subject </w:t>
            </w:r>
          </w:p>
        </w:tc>
        <w:tc>
          <w:tcPr>
            <w:tcW w:w="5994" w:type="dxa"/>
            <w:tcBorders>
              <w:top w:val="single" w:sz="4" w:space="0" w:color="auto"/>
              <w:left w:val="nil"/>
              <w:bottom w:val="single" w:sz="4" w:space="0" w:color="auto"/>
              <w:right w:val="single" w:sz="4" w:space="0" w:color="auto"/>
            </w:tcBorders>
            <w:shd w:val="clear" w:color="auto" w:fill="FDE9D9" w:themeFill="accent6" w:themeFillTint="33"/>
            <w:noWrap/>
            <w:vAlign w:val="bottom"/>
            <w:hideMark/>
          </w:tcPr>
          <w:p w14:paraId="7BC83F5D" w14:textId="77777777" w:rsidR="00217665" w:rsidRPr="00217665" w:rsidRDefault="00217665" w:rsidP="003E489B">
            <w:pPr>
              <w:tabs>
                <w:tab w:val="clear" w:pos="1134"/>
                <w:tab w:val="clear" w:pos="1871"/>
                <w:tab w:val="clear" w:pos="2268"/>
              </w:tabs>
              <w:overflowPunct/>
              <w:autoSpaceDE/>
              <w:autoSpaceDN/>
              <w:adjustRightInd/>
              <w:spacing w:after="120"/>
              <w:jc w:val="center"/>
              <w:textAlignment w:val="auto"/>
              <w:rPr>
                <w:rFonts w:ascii="Calibri" w:hAnsi="Calibri"/>
                <w:b/>
                <w:bCs/>
                <w:i/>
                <w:iCs/>
                <w:color w:val="000000"/>
                <w:sz w:val="22"/>
                <w:szCs w:val="22"/>
                <w:lang w:eastAsia="zh-CN"/>
              </w:rPr>
            </w:pPr>
            <w:r w:rsidRPr="00217665">
              <w:rPr>
                <w:rFonts w:ascii="Calibri" w:hAnsi="Calibri"/>
                <w:b/>
                <w:bCs/>
                <w:i/>
                <w:iCs/>
                <w:color w:val="000000"/>
                <w:sz w:val="22"/>
                <w:szCs w:val="22"/>
                <w:lang w:eastAsia="zh-CN"/>
              </w:rPr>
              <w:t>TDAG Conclusions / Outcomes</w:t>
            </w:r>
          </w:p>
        </w:tc>
      </w:tr>
      <w:tr w:rsidR="00217665" w:rsidRPr="00217665" w14:paraId="29FE1002" w14:textId="77777777" w:rsidTr="003401C0">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14:paraId="77D96C31" w14:textId="77777777" w:rsidR="00217665" w:rsidRPr="00217665" w:rsidRDefault="00217665"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217665">
              <w:rPr>
                <w:rFonts w:ascii="Calibri" w:hAnsi="Calibri"/>
                <w:color w:val="000000"/>
                <w:sz w:val="22"/>
                <w:szCs w:val="22"/>
                <w:lang w:eastAsia="zh-CN"/>
              </w:rPr>
              <w:t>Outcomes of RA-15 and WRC-15 related to ITU-D</w:t>
            </w:r>
          </w:p>
        </w:tc>
        <w:tc>
          <w:tcPr>
            <w:tcW w:w="5994" w:type="dxa"/>
            <w:tcBorders>
              <w:top w:val="nil"/>
              <w:left w:val="nil"/>
              <w:bottom w:val="single" w:sz="4" w:space="0" w:color="auto"/>
              <w:right w:val="single" w:sz="4" w:space="0" w:color="auto"/>
            </w:tcBorders>
            <w:shd w:val="clear" w:color="auto" w:fill="auto"/>
            <w:vAlign w:val="center"/>
            <w:hideMark/>
          </w:tcPr>
          <w:p w14:paraId="6B189AF8" w14:textId="77777777" w:rsidR="00217665" w:rsidRPr="00217665" w:rsidRDefault="00217665"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217665">
              <w:rPr>
                <w:rFonts w:ascii="Calibri" w:hAnsi="Calibri"/>
                <w:color w:val="000000"/>
                <w:sz w:val="22"/>
                <w:szCs w:val="22"/>
                <w:lang w:eastAsia="zh-CN"/>
              </w:rPr>
              <w:t>TDAG took note of this document and invited ITU-D study groups to consider the outcomes of RA-15, WRC-15 and CPM19-1 in their future work.</w:t>
            </w:r>
          </w:p>
        </w:tc>
      </w:tr>
      <w:tr w:rsidR="00217665" w:rsidRPr="00217665" w14:paraId="624631B8" w14:textId="77777777" w:rsidTr="003E489B">
        <w:tc>
          <w:tcPr>
            <w:tcW w:w="3220" w:type="dxa"/>
            <w:tcBorders>
              <w:top w:val="nil"/>
              <w:left w:val="single" w:sz="4" w:space="0" w:color="auto"/>
              <w:bottom w:val="single" w:sz="4" w:space="0" w:color="auto"/>
              <w:right w:val="single" w:sz="4" w:space="0" w:color="auto"/>
            </w:tcBorders>
            <w:shd w:val="clear" w:color="auto" w:fill="auto"/>
            <w:vAlign w:val="center"/>
            <w:hideMark/>
          </w:tcPr>
          <w:p w14:paraId="12B8F692" w14:textId="77777777" w:rsidR="00217665" w:rsidRPr="00217665" w:rsidRDefault="00217665"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217665">
              <w:rPr>
                <w:rFonts w:ascii="Calibri" w:hAnsi="Calibri"/>
                <w:color w:val="000000"/>
                <w:sz w:val="22"/>
                <w:szCs w:val="22"/>
                <w:lang w:eastAsia="zh-CN"/>
              </w:rPr>
              <w:t xml:space="preserve">Review of the implementation of the ITU-D Strategic Plan and Operational Plan 2015, including regional initiatives </w:t>
            </w:r>
          </w:p>
        </w:tc>
        <w:tc>
          <w:tcPr>
            <w:tcW w:w="5994" w:type="dxa"/>
            <w:tcBorders>
              <w:top w:val="nil"/>
              <w:left w:val="nil"/>
              <w:bottom w:val="single" w:sz="4" w:space="0" w:color="auto"/>
              <w:right w:val="single" w:sz="4" w:space="0" w:color="auto"/>
            </w:tcBorders>
            <w:shd w:val="clear" w:color="auto" w:fill="auto"/>
            <w:vAlign w:val="center"/>
            <w:hideMark/>
          </w:tcPr>
          <w:p w14:paraId="5CD7EA59" w14:textId="77777777" w:rsidR="00217665" w:rsidRPr="00217665" w:rsidRDefault="00217665"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217665">
              <w:rPr>
                <w:rFonts w:ascii="Calibri" w:hAnsi="Calibri"/>
                <w:color w:val="000000"/>
                <w:sz w:val="22"/>
                <w:szCs w:val="22"/>
                <w:lang w:eastAsia="zh-CN"/>
              </w:rPr>
              <w:t>TDAG provided positive feedback on the 2015 Performance Report and the Regional Initiatives, congratulated BDT for the high level of presentations and welcomed the efficient collaboration between the Regional Offices and the three ITU Sectors. TDAG noted that the draft satisfaction survey on the regional presence covers not only BDT, but the whole ITU.TDAG also noted that the draft survey will be sent to Council-16. Concerning case studies and information sharing of ITU projects and regional initiatives, TDAG noted that ITU has accumulated a lot of valuable experience and information in the implementation of ITU projects and regional initiatives which could be an important repository for developing countries. TDAG called upon ITU-BDT to improve its website to make this information accessible.</w:t>
            </w:r>
          </w:p>
        </w:tc>
      </w:tr>
      <w:tr w:rsidR="00217665" w:rsidRPr="00217665" w14:paraId="6F38B53E" w14:textId="77777777" w:rsidTr="003E489B">
        <w:tc>
          <w:tcPr>
            <w:tcW w:w="3220" w:type="dxa"/>
            <w:tcBorders>
              <w:top w:val="nil"/>
              <w:left w:val="single" w:sz="4" w:space="0" w:color="auto"/>
              <w:bottom w:val="single" w:sz="4" w:space="0" w:color="auto"/>
              <w:right w:val="single" w:sz="4" w:space="0" w:color="auto"/>
            </w:tcBorders>
            <w:shd w:val="clear" w:color="auto" w:fill="auto"/>
            <w:vAlign w:val="center"/>
            <w:hideMark/>
          </w:tcPr>
          <w:p w14:paraId="39EE546F" w14:textId="77777777" w:rsidR="00217665" w:rsidRPr="00217665" w:rsidRDefault="00217665"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217665">
              <w:rPr>
                <w:rFonts w:ascii="Calibri" w:hAnsi="Calibri"/>
                <w:color w:val="000000"/>
                <w:sz w:val="22"/>
                <w:szCs w:val="22"/>
                <w:lang w:eastAsia="zh-CN"/>
              </w:rPr>
              <w:t xml:space="preserve">ITU-D Study Group-related matters </w:t>
            </w:r>
          </w:p>
        </w:tc>
        <w:tc>
          <w:tcPr>
            <w:tcW w:w="5994" w:type="dxa"/>
            <w:tcBorders>
              <w:top w:val="nil"/>
              <w:left w:val="nil"/>
              <w:bottom w:val="single" w:sz="4" w:space="0" w:color="auto"/>
              <w:right w:val="single" w:sz="4" w:space="0" w:color="auto"/>
            </w:tcBorders>
            <w:shd w:val="clear" w:color="auto" w:fill="auto"/>
            <w:vAlign w:val="center"/>
            <w:hideMark/>
          </w:tcPr>
          <w:p w14:paraId="0729F215" w14:textId="77777777" w:rsidR="00217665" w:rsidRPr="00217665" w:rsidRDefault="00217665"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217665">
              <w:rPr>
                <w:rFonts w:ascii="Calibri" w:hAnsi="Calibri"/>
                <w:color w:val="000000"/>
                <w:sz w:val="22"/>
                <w:szCs w:val="22"/>
                <w:lang w:eastAsia="zh-CN"/>
              </w:rPr>
              <w:t xml:space="preserve">TDAG provided positive feedback to the chairmen of ITU-D Study Groups 1 and 2 regarding the current status of the groups’ work. </w:t>
            </w:r>
            <w:r w:rsidRPr="00217665">
              <w:rPr>
                <w:rFonts w:ascii="Calibri" w:hAnsi="Calibri"/>
                <w:color w:val="000000"/>
                <w:sz w:val="22"/>
                <w:szCs w:val="22"/>
                <w:lang w:eastAsia="zh-CN"/>
              </w:rPr>
              <w:br/>
              <w:t xml:space="preserve">TDAG called upon ITU-D and in particular the ITU-D study group chairmen to coordinate work between ITU-D and ITU-T study groups. </w:t>
            </w:r>
            <w:r w:rsidRPr="00217665">
              <w:rPr>
                <w:rFonts w:ascii="Calibri" w:hAnsi="Calibri"/>
                <w:color w:val="000000"/>
                <w:sz w:val="22"/>
                <w:szCs w:val="22"/>
                <w:lang w:eastAsia="zh-CN"/>
              </w:rPr>
              <w:br/>
            </w:r>
            <w:r w:rsidRPr="00217665">
              <w:rPr>
                <w:rFonts w:ascii="Calibri" w:hAnsi="Calibri"/>
                <w:color w:val="000000"/>
                <w:sz w:val="22"/>
                <w:szCs w:val="22"/>
                <w:lang w:eastAsia="zh-CN"/>
              </w:rPr>
              <w:lastRenderedPageBreak/>
              <w:t xml:space="preserve">TDAG noted the relationship between Questions in Study Group 2 and those of Study Group 1, as well as with Questions in ITU-T and ITU-R study groups and provided positive feedback that measures have been initiated by way of information exchange and liaison statements to start and maintain cooperation. </w:t>
            </w:r>
          </w:p>
        </w:tc>
      </w:tr>
      <w:tr w:rsidR="00217665" w:rsidRPr="00217665" w14:paraId="0BD40D91" w14:textId="77777777" w:rsidTr="003E489B">
        <w:tc>
          <w:tcPr>
            <w:tcW w:w="3220" w:type="dxa"/>
            <w:tcBorders>
              <w:top w:val="nil"/>
              <w:left w:val="single" w:sz="4" w:space="0" w:color="auto"/>
              <w:bottom w:val="single" w:sz="4" w:space="0" w:color="auto"/>
              <w:right w:val="single" w:sz="4" w:space="0" w:color="auto"/>
            </w:tcBorders>
            <w:shd w:val="clear" w:color="auto" w:fill="auto"/>
            <w:vAlign w:val="center"/>
            <w:hideMark/>
          </w:tcPr>
          <w:p w14:paraId="6D8DEC67" w14:textId="77777777" w:rsidR="00217665" w:rsidRPr="00217665" w:rsidRDefault="00217665"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217665">
              <w:rPr>
                <w:rFonts w:ascii="Calibri" w:hAnsi="Calibri"/>
                <w:color w:val="000000"/>
                <w:sz w:val="22"/>
                <w:szCs w:val="22"/>
                <w:lang w:eastAsia="zh-CN"/>
              </w:rPr>
              <w:lastRenderedPageBreak/>
              <w:t xml:space="preserve">ITU-D contribution to the implementation of the WSIS Plan of Action, including the United Nations General Assembly Overall Review and the Sustainable Development Goals </w:t>
            </w:r>
          </w:p>
        </w:tc>
        <w:tc>
          <w:tcPr>
            <w:tcW w:w="5994" w:type="dxa"/>
            <w:tcBorders>
              <w:top w:val="nil"/>
              <w:left w:val="nil"/>
              <w:bottom w:val="single" w:sz="4" w:space="0" w:color="auto"/>
              <w:right w:val="single" w:sz="4" w:space="0" w:color="auto"/>
            </w:tcBorders>
            <w:shd w:val="clear" w:color="auto" w:fill="auto"/>
            <w:vAlign w:val="center"/>
            <w:hideMark/>
          </w:tcPr>
          <w:p w14:paraId="78B3265F" w14:textId="77777777" w:rsidR="00217665" w:rsidRPr="00217665" w:rsidRDefault="00217665"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217665">
              <w:rPr>
                <w:rFonts w:ascii="Calibri" w:hAnsi="Calibri"/>
                <w:color w:val="000000"/>
                <w:sz w:val="22"/>
                <w:szCs w:val="22"/>
                <w:lang w:eastAsia="zh-CN"/>
              </w:rPr>
              <w:t>TDAG noted the contribution of ITU-D to the implementation of the WSIS outcomes, including actions undertaken by BDT in the context of the United Nations General Assembly Overall Review of the Implementation of the WSIS Outcomes.</w:t>
            </w:r>
            <w:r w:rsidRPr="00217665">
              <w:rPr>
                <w:rFonts w:ascii="Calibri" w:hAnsi="Calibri"/>
                <w:color w:val="000000"/>
                <w:sz w:val="22"/>
                <w:szCs w:val="22"/>
                <w:lang w:eastAsia="zh-CN"/>
              </w:rPr>
              <w:br/>
              <w:t>TDAG welcomed the substantive contribution of ITU-D to the implementation of the WSIS Plan of Action.</w:t>
            </w:r>
          </w:p>
        </w:tc>
      </w:tr>
      <w:tr w:rsidR="00217665" w:rsidRPr="00217665" w14:paraId="0E1FBAC6" w14:textId="77777777" w:rsidTr="003E489B">
        <w:tc>
          <w:tcPr>
            <w:tcW w:w="3220" w:type="dxa"/>
            <w:tcBorders>
              <w:top w:val="nil"/>
              <w:left w:val="single" w:sz="4" w:space="0" w:color="auto"/>
              <w:bottom w:val="single" w:sz="4" w:space="0" w:color="auto"/>
              <w:right w:val="single" w:sz="4" w:space="0" w:color="auto"/>
            </w:tcBorders>
            <w:shd w:val="clear" w:color="auto" w:fill="auto"/>
            <w:vAlign w:val="center"/>
            <w:hideMark/>
          </w:tcPr>
          <w:p w14:paraId="61191B50" w14:textId="77777777" w:rsidR="00217665" w:rsidRPr="00217665" w:rsidRDefault="00217665"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217665">
              <w:rPr>
                <w:rFonts w:ascii="Calibri" w:hAnsi="Calibri"/>
                <w:color w:val="000000"/>
                <w:sz w:val="22"/>
                <w:szCs w:val="22"/>
                <w:lang w:eastAsia="zh-CN"/>
              </w:rPr>
              <w:t xml:space="preserve">Working methods, including a progress report by the TDAG Correspondence Group on Rules of Procedure of ITU-D </w:t>
            </w:r>
          </w:p>
        </w:tc>
        <w:tc>
          <w:tcPr>
            <w:tcW w:w="5994" w:type="dxa"/>
            <w:tcBorders>
              <w:top w:val="nil"/>
              <w:left w:val="nil"/>
              <w:bottom w:val="single" w:sz="4" w:space="0" w:color="auto"/>
              <w:right w:val="single" w:sz="4" w:space="0" w:color="auto"/>
            </w:tcBorders>
            <w:shd w:val="clear" w:color="auto" w:fill="auto"/>
            <w:vAlign w:val="center"/>
            <w:hideMark/>
          </w:tcPr>
          <w:p w14:paraId="1B39A947" w14:textId="77777777" w:rsidR="00217665" w:rsidRPr="00217665" w:rsidRDefault="00217665"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217665">
              <w:rPr>
                <w:rFonts w:ascii="Calibri" w:hAnsi="Calibri"/>
                <w:color w:val="000000"/>
                <w:sz w:val="22"/>
                <w:szCs w:val="22"/>
                <w:lang w:eastAsia="zh-CN"/>
              </w:rPr>
              <w:t xml:space="preserve">TDAG thanked the Chairman of the Correspondence Group for her outstanding work. TDAG advised that the group consider the items brought up in the discussion. As regards to the use of electronic resources for improving efficiency of work of study groups and their rapporteur groups, TDAG invited the BDT Director to seek the possibility of using SharePoint for the Development Sector, taking into account the contribution from the Russian Federation and the potential difficulties referred to above. Finally TDAG invited BDT to explore the proposals in relation to </w:t>
            </w:r>
            <w:proofErr w:type="spellStart"/>
            <w:r w:rsidRPr="00217665">
              <w:rPr>
                <w:rFonts w:ascii="Calibri" w:hAnsi="Calibri"/>
                <w:color w:val="000000"/>
                <w:sz w:val="22"/>
                <w:szCs w:val="22"/>
                <w:lang w:eastAsia="zh-CN"/>
              </w:rPr>
              <w:t>he</w:t>
            </w:r>
            <w:proofErr w:type="spellEnd"/>
            <w:r w:rsidRPr="00217665">
              <w:rPr>
                <w:rFonts w:ascii="Calibri" w:hAnsi="Calibri"/>
                <w:color w:val="000000"/>
                <w:sz w:val="22"/>
                <w:szCs w:val="22"/>
                <w:lang w:eastAsia="zh-CN"/>
              </w:rPr>
              <w:t xml:space="preserve"> simplification of the access to ITU-D documents, taking into account the best practices of the </w:t>
            </w:r>
            <w:proofErr w:type="spellStart"/>
            <w:r w:rsidRPr="00217665">
              <w:rPr>
                <w:rFonts w:ascii="Calibri" w:hAnsi="Calibri"/>
                <w:color w:val="000000"/>
                <w:sz w:val="22"/>
                <w:szCs w:val="22"/>
                <w:lang w:eastAsia="zh-CN"/>
              </w:rPr>
              <w:t>Radiocommunication</w:t>
            </w:r>
            <w:proofErr w:type="spellEnd"/>
            <w:r w:rsidRPr="00217665">
              <w:rPr>
                <w:rFonts w:ascii="Calibri" w:hAnsi="Calibri"/>
                <w:color w:val="000000"/>
                <w:sz w:val="22"/>
                <w:szCs w:val="22"/>
                <w:lang w:eastAsia="zh-CN"/>
              </w:rPr>
              <w:t xml:space="preserve"> Bureau (BR), to the extent feasible.</w:t>
            </w:r>
          </w:p>
        </w:tc>
      </w:tr>
      <w:tr w:rsidR="00217665" w:rsidRPr="00217665" w14:paraId="0ECA8CF9" w14:textId="77777777" w:rsidTr="003E489B">
        <w:tc>
          <w:tcPr>
            <w:tcW w:w="3220" w:type="dxa"/>
            <w:tcBorders>
              <w:top w:val="nil"/>
              <w:left w:val="single" w:sz="4" w:space="0" w:color="auto"/>
              <w:bottom w:val="single" w:sz="4" w:space="0" w:color="auto"/>
              <w:right w:val="single" w:sz="4" w:space="0" w:color="auto"/>
            </w:tcBorders>
            <w:shd w:val="clear" w:color="auto" w:fill="auto"/>
            <w:vAlign w:val="center"/>
            <w:hideMark/>
          </w:tcPr>
          <w:p w14:paraId="724CF752" w14:textId="77777777" w:rsidR="00217665" w:rsidRPr="00217665" w:rsidRDefault="00217665"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217665">
              <w:rPr>
                <w:rFonts w:ascii="Calibri" w:hAnsi="Calibri"/>
                <w:color w:val="000000"/>
                <w:sz w:val="22"/>
                <w:szCs w:val="22"/>
                <w:lang w:eastAsia="zh-CN"/>
              </w:rPr>
              <w:t>ITU-D four-year rolling Operational Plan 2017-2020, including a report by the TDAG Correspondence Group on Strategic Plan, Operational Plan and Declaration</w:t>
            </w:r>
          </w:p>
        </w:tc>
        <w:tc>
          <w:tcPr>
            <w:tcW w:w="5994" w:type="dxa"/>
            <w:tcBorders>
              <w:top w:val="nil"/>
              <w:left w:val="nil"/>
              <w:bottom w:val="single" w:sz="4" w:space="0" w:color="auto"/>
              <w:right w:val="single" w:sz="4" w:space="0" w:color="auto"/>
            </w:tcBorders>
            <w:shd w:val="clear" w:color="auto" w:fill="auto"/>
            <w:vAlign w:val="center"/>
            <w:hideMark/>
          </w:tcPr>
          <w:p w14:paraId="0DB90A3D" w14:textId="77777777" w:rsidR="00217665" w:rsidRPr="00217665" w:rsidRDefault="00217665"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217665">
              <w:rPr>
                <w:rFonts w:ascii="Calibri" w:hAnsi="Calibri"/>
                <w:color w:val="000000"/>
                <w:sz w:val="22"/>
                <w:szCs w:val="22"/>
                <w:lang w:eastAsia="zh-CN"/>
              </w:rPr>
              <w:t xml:space="preserve">TDAG took note of the four-year rolling Operational Plan for ITU-D. TDAG also expressed its appreciation for the work of BDT in resource mobilization and encouraged BDT to continue this work in particular in fostering collaboration and partnerships with Sector Members, Associates and Academia. Finally, TDAG agreed that the discussion on this issue at the Correspondence Group meeting should be included in the report. </w:t>
            </w:r>
          </w:p>
        </w:tc>
      </w:tr>
      <w:tr w:rsidR="00217665" w:rsidRPr="00217665" w14:paraId="076AC81A" w14:textId="77777777" w:rsidTr="003401C0">
        <w:trPr>
          <w:trHeight w:val="8190"/>
        </w:trPr>
        <w:tc>
          <w:tcPr>
            <w:tcW w:w="3220" w:type="dxa"/>
            <w:tcBorders>
              <w:top w:val="nil"/>
              <w:left w:val="single" w:sz="4" w:space="0" w:color="auto"/>
              <w:bottom w:val="single" w:sz="4" w:space="0" w:color="auto"/>
              <w:right w:val="single" w:sz="4" w:space="0" w:color="auto"/>
            </w:tcBorders>
            <w:shd w:val="clear" w:color="auto" w:fill="auto"/>
            <w:vAlign w:val="center"/>
            <w:hideMark/>
          </w:tcPr>
          <w:p w14:paraId="0B8ED286" w14:textId="77777777" w:rsidR="00217665" w:rsidRPr="00217665" w:rsidRDefault="00217665"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217665">
              <w:rPr>
                <w:rFonts w:ascii="Calibri" w:hAnsi="Calibri"/>
                <w:color w:val="000000"/>
                <w:sz w:val="22"/>
                <w:szCs w:val="22"/>
                <w:lang w:eastAsia="zh-CN"/>
              </w:rPr>
              <w:lastRenderedPageBreak/>
              <w:t xml:space="preserve">Preparations for WTDC-17 </w:t>
            </w:r>
          </w:p>
        </w:tc>
        <w:tc>
          <w:tcPr>
            <w:tcW w:w="5994" w:type="dxa"/>
            <w:tcBorders>
              <w:top w:val="nil"/>
              <w:left w:val="nil"/>
              <w:bottom w:val="single" w:sz="4" w:space="0" w:color="auto"/>
              <w:right w:val="single" w:sz="4" w:space="0" w:color="auto"/>
            </w:tcBorders>
            <w:shd w:val="clear" w:color="auto" w:fill="auto"/>
            <w:vAlign w:val="center"/>
            <w:hideMark/>
          </w:tcPr>
          <w:p w14:paraId="012F1CA6" w14:textId="77777777" w:rsidR="00217665" w:rsidRPr="00217665" w:rsidRDefault="00217665"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217665">
              <w:rPr>
                <w:rFonts w:ascii="Calibri" w:hAnsi="Calibri"/>
                <w:color w:val="000000"/>
                <w:sz w:val="22"/>
                <w:szCs w:val="22"/>
                <w:lang w:eastAsia="zh-CN"/>
              </w:rPr>
              <w:t>With regards to the Progress Report of the TDAG Correspondence Group on Strategic Plan, Operational Plan and Declaration, TDAG requested that all CG-SPOPD output documents (40(Rev.1), 10, 30, and 31(Rev.1)), along with the summaries of the Correspondence Group’s discussions, should be posted on the CG-SPOPD website to populate it.  Concerning the Preliminary Draft ITU-D Contribution to the ITU Strategic Plan for 2020-2023, TDAG endorsed the revised ITU-D contribution to the ITU Strategic Plan for the period 2020-2023 while noting the guidance of CG-SPOPD as defined at its 15 March 2016 meeting, including that ITU-D is aligning its work to contribute to the achievement of the SDGs and to the facilitation of implementation of the referenced WSIS Action Lines.  TDAG requested that the Correspondence Group on the Strategic Plan, Operational Plan and Declaration should continue its work in line with the conclusions above. Finally, concerning the Preliminary Draft WTDC-17 Declaration, TDAG noted the progress made in the preparation of the Preliminary Draft Declaration and requested that the Correspondence Group on the Strategic Plan, Operational Plan and Declaration should continue its work in line with the conclusions above. Conclusions on the preparation of WTDC-17, RDFs and RPMs: TDAG took note of the status of the preparations for WTDC-17 and its associated Regional Preparatory Meetings and Regional Development Forums. TDAG welcomed the fact that that the places of the conference/meetings are already known at such an early stage, and noted that participation in, and contributions to, Regional Preparatory Meetings are an opportunity for members to contribute to WTDC preparations. TDAG considered Document 39 presented by Argentina, supported the comments and proposals made in that document, and advised that the BDT Director make use of these proposals in his work in the run-up to the conference. TDAG also noted that in 2017, ITU-D will celebrate its 25th anniversary marking its creation as a Sector.</w:t>
            </w:r>
          </w:p>
        </w:tc>
      </w:tr>
      <w:tr w:rsidR="00217665" w:rsidRPr="00217665" w14:paraId="42BF3D29" w14:textId="77777777" w:rsidTr="003401C0">
        <w:trPr>
          <w:trHeight w:val="1800"/>
        </w:trPr>
        <w:tc>
          <w:tcPr>
            <w:tcW w:w="3220" w:type="dxa"/>
            <w:tcBorders>
              <w:top w:val="nil"/>
              <w:left w:val="single" w:sz="4" w:space="0" w:color="auto"/>
              <w:bottom w:val="single" w:sz="4" w:space="0" w:color="auto"/>
              <w:right w:val="single" w:sz="4" w:space="0" w:color="auto"/>
            </w:tcBorders>
            <w:shd w:val="clear" w:color="auto" w:fill="auto"/>
            <w:vAlign w:val="center"/>
            <w:hideMark/>
          </w:tcPr>
          <w:p w14:paraId="268B3EFA" w14:textId="77777777" w:rsidR="00217665" w:rsidRPr="00217665" w:rsidRDefault="00217665"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217665">
              <w:rPr>
                <w:rFonts w:ascii="Calibri" w:hAnsi="Calibri"/>
                <w:color w:val="000000"/>
                <w:sz w:val="22"/>
                <w:szCs w:val="22"/>
                <w:lang w:eastAsia="zh-CN"/>
              </w:rPr>
              <w:t>Collaboration with the other Sectors, including a progress report by the Inter-Sector Coordination Team on Issues of Mutual Interest</w:t>
            </w:r>
          </w:p>
        </w:tc>
        <w:tc>
          <w:tcPr>
            <w:tcW w:w="5994" w:type="dxa"/>
            <w:tcBorders>
              <w:top w:val="nil"/>
              <w:left w:val="nil"/>
              <w:bottom w:val="single" w:sz="4" w:space="0" w:color="auto"/>
              <w:right w:val="single" w:sz="4" w:space="0" w:color="auto"/>
            </w:tcBorders>
            <w:shd w:val="clear" w:color="auto" w:fill="auto"/>
            <w:vAlign w:val="center"/>
            <w:hideMark/>
          </w:tcPr>
          <w:p w14:paraId="46FBBE45" w14:textId="77777777" w:rsidR="00217665" w:rsidRPr="00217665" w:rsidRDefault="00217665"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217665">
              <w:rPr>
                <w:rFonts w:ascii="Calibri" w:hAnsi="Calibri"/>
                <w:color w:val="000000"/>
                <w:sz w:val="22"/>
                <w:szCs w:val="22"/>
                <w:lang w:eastAsia="zh-CN"/>
              </w:rPr>
              <w:t>TDAG approved the updated Terms of Reference of the Inter-Sector Coordination Team on Issues of Mutual Interest, and agreed to send the updated list of issues of mutual interest and the Terms of Reference, together with the report in Document 12 to the other two Sector advisory groups.</w:t>
            </w:r>
          </w:p>
        </w:tc>
      </w:tr>
      <w:tr w:rsidR="00217665" w:rsidRPr="00217665" w14:paraId="328DEC02" w14:textId="77777777" w:rsidTr="00AF3BD4">
        <w:tc>
          <w:tcPr>
            <w:tcW w:w="3220" w:type="dxa"/>
            <w:tcBorders>
              <w:top w:val="nil"/>
              <w:left w:val="single" w:sz="4" w:space="0" w:color="auto"/>
              <w:bottom w:val="single" w:sz="4" w:space="0" w:color="auto"/>
              <w:right w:val="single" w:sz="4" w:space="0" w:color="auto"/>
            </w:tcBorders>
            <w:shd w:val="clear" w:color="auto" w:fill="auto"/>
            <w:vAlign w:val="center"/>
            <w:hideMark/>
          </w:tcPr>
          <w:p w14:paraId="3D9A3931" w14:textId="77777777" w:rsidR="00217665" w:rsidRPr="00217665" w:rsidRDefault="00217665"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217665">
              <w:rPr>
                <w:rFonts w:ascii="Calibri" w:hAnsi="Calibri"/>
                <w:color w:val="000000"/>
                <w:sz w:val="22"/>
                <w:szCs w:val="22"/>
                <w:lang w:eastAsia="zh-CN"/>
              </w:rPr>
              <w:t>Report on the Group on Capacity Building Initiatives (GCBI) (Document 13) and Report on capacity building activities</w:t>
            </w:r>
          </w:p>
        </w:tc>
        <w:tc>
          <w:tcPr>
            <w:tcW w:w="5994" w:type="dxa"/>
            <w:tcBorders>
              <w:top w:val="nil"/>
              <w:left w:val="nil"/>
              <w:bottom w:val="single" w:sz="4" w:space="0" w:color="auto"/>
              <w:right w:val="single" w:sz="4" w:space="0" w:color="auto"/>
            </w:tcBorders>
            <w:shd w:val="clear" w:color="auto" w:fill="auto"/>
            <w:vAlign w:val="center"/>
            <w:hideMark/>
          </w:tcPr>
          <w:p w14:paraId="6090EAD6" w14:textId="77777777" w:rsidR="00217665" w:rsidRPr="00217665" w:rsidRDefault="00217665"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217665">
              <w:rPr>
                <w:rFonts w:ascii="Calibri" w:hAnsi="Calibri"/>
                <w:color w:val="000000"/>
                <w:sz w:val="22"/>
                <w:szCs w:val="22"/>
                <w:lang w:eastAsia="zh-CN"/>
              </w:rPr>
              <w:t>TDAG provided positive feedback on the Report of the Chairman of GCBI, the report on capacity building activities and the report on future improvement of the ITU Centres of Excellence (</w:t>
            </w:r>
            <w:proofErr w:type="spellStart"/>
            <w:r w:rsidRPr="00217665">
              <w:rPr>
                <w:rFonts w:ascii="Calibri" w:hAnsi="Calibri"/>
                <w:color w:val="000000"/>
                <w:sz w:val="22"/>
                <w:szCs w:val="22"/>
                <w:lang w:eastAsia="zh-CN"/>
              </w:rPr>
              <w:t>CoE</w:t>
            </w:r>
            <w:proofErr w:type="spellEnd"/>
            <w:r w:rsidRPr="00217665">
              <w:rPr>
                <w:rFonts w:ascii="Calibri" w:hAnsi="Calibri"/>
                <w:color w:val="000000"/>
                <w:sz w:val="22"/>
                <w:szCs w:val="22"/>
                <w:lang w:eastAsia="zh-CN"/>
              </w:rPr>
              <w:t xml:space="preserve">) strategy. </w:t>
            </w:r>
            <w:r w:rsidRPr="00217665">
              <w:rPr>
                <w:rFonts w:ascii="Calibri" w:hAnsi="Calibri"/>
                <w:color w:val="000000"/>
                <w:sz w:val="22"/>
                <w:szCs w:val="22"/>
                <w:lang w:eastAsia="zh-CN"/>
              </w:rPr>
              <w:br/>
              <w:t xml:space="preserve">TDAG expressed its wish that the level of transparency on the work of the steering committees of </w:t>
            </w:r>
            <w:proofErr w:type="spellStart"/>
            <w:r w:rsidRPr="00217665">
              <w:rPr>
                <w:rFonts w:ascii="Calibri" w:hAnsi="Calibri"/>
                <w:color w:val="000000"/>
                <w:sz w:val="22"/>
                <w:szCs w:val="22"/>
                <w:lang w:eastAsia="zh-CN"/>
              </w:rPr>
              <w:t>CoE</w:t>
            </w:r>
            <w:proofErr w:type="spellEnd"/>
            <w:r w:rsidRPr="00217665">
              <w:rPr>
                <w:rFonts w:ascii="Calibri" w:hAnsi="Calibri"/>
                <w:color w:val="000000"/>
                <w:sz w:val="22"/>
                <w:szCs w:val="22"/>
                <w:lang w:eastAsia="zh-CN"/>
              </w:rPr>
              <w:t xml:space="preserve"> in the various regions be increased. Participants, for example, suggested that a </w:t>
            </w:r>
            <w:r w:rsidRPr="00217665">
              <w:rPr>
                <w:rFonts w:ascii="Calibri" w:hAnsi="Calibri"/>
                <w:color w:val="000000"/>
                <w:sz w:val="22"/>
                <w:szCs w:val="22"/>
                <w:lang w:eastAsia="zh-CN"/>
              </w:rPr>
              <w:lastRenderedPageBreak/>
              <w:t xml:space="preserve">mechanism be defined for Steering Committees across regions to share experiences amongst themselves. </w:t>
            </w:r>
          </w:p>
        </w:tc>
      </w:tr>
      <w:tr w:rsidR="00217665" w:rsidRPr="00217665" w14:paraId="3D1BB341" w14:textId="77777777" w:rsidTr="00AF3BD4">
        <w:tc>
          <w:tcPr>
            <w:tcW w:w="3220" w:type="dxa"/>
            <w:tcBorders>
              <w:top w:val="nil"/>
              <w:left w:val="single" w:sz="4" w:space="0" w:color="auto"/>
              <w:bottom w:val="single" w:sz="4" w:space="0" w:color="auto"/>
              <w:right w:val="single" w:sz="4" w:space="0" w:color="auto"/>
            </w:tcBorders>
            <w:shd w:val="clear" w:color="auto" w:fill="auto"/>
            <w:vAlign w:val="center"/>
            <w:hideMark/>
          </w:tcPr>
          <w:p w14:paraId="09A3E185" w14:textId="77777777" w:rsidR="00217665" w:rsidRPr="00217665" w:rsidRDefault="00217665"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217665">
              <w:rPr>
                <w:rFonts w:ascii="Calibri" w:hAnsi="Calibri"/>
                <w:color w:val="000000"/>
                <w:sz w:val="22"/>
                <w:szCs w:val="22"/>
                <w:lang w:eastAsia="zh-CN"/>
              </w:rPr>
              <w:lastRenderedPageBreak/>
              <w:t>Report on other ITU-D activities</w:t>
            </w:r>
          </w:p>
        </w:tc>
        <w:tc>
          <w:tcPr>
            <w:tcW w:w="5994" w:type="dxa"/>
            <w:tcBorders>
              <w:top w:val="nil"/>
              <w:left w:val="nil"/>
              <w:bottom w:val="single" w:sz="4" w:space="0" w:color="auto"/>
              <w:right w:val="single" w:sz="4" w:space="0" w:color="auto"/>
            </w:tcBorders>
            <w:shd w:val="clear" w:color="auto" w:fill="auto"/>
            <w:vAlign w:val="center"/>
            <w:hideMark/>
          </w:tcPr>
          <w:p w14:paraId="6F0F6828" w14:textId="77777777" w:rsidR="00217665" w:rsidRPr="00217665" w:rsidRDefault="00217665"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217665">
              <w:rPr>
                <w:rFonts w:ascii="Calibri" w:hAnsi="Calibri"/>
                <w:color w:val="000000"/>
                <w:sz w:val="22"/>
                <w:szCs w:val="22"/>
                <w:lang w:eastAsia="zh-CN"/>
              </w:rPr>
              <w:t xml:space="preserve">TDAG thanked BDT for the excellent work in organizing this unique annual forum for regulators and invited membership to actively participate in the forthcoming Global Symposium for Regulators (GSRs). TDAG expressed appreciation for the information provided on the 13th WTIS and thanked the Government of Japan and BDT for organizing the event. </w:t>
            </w:r>
            <w:r w:rsidRPr="00217665">
              <w:rPr>
                <w:rFonts w:ascii="Calibri" w:hAnsi="Calibri"/>
                <w:color w:val="000000"/>
                <w:sz w:val="22"/>
                <w:szCs w:val="22"/>
                <w:lang w:eastAsia="zh-CN"/>
              </w:rPr>
              <w:br/>
              <w:t>TDAG considered the work on ICT indicators and statistics as highly important for good policy-making. In preparation for WTIS-16, TDAG advised the development of ICT indicators for the measurement of the UN 2030 Agenda for Sustainable Development. TDAG advised that BDT provide more information on the results of activities being undertaken on the use of human and financial resources in emergency telecommunications and highlighted the importance of capacity building in this area.</w:t>
            </w:r>
          </w:p>
        </w:tc>
      </w:tr>
      <w:tr w:rsidR="00217665" w:rsidRPr="00217665" w14:paraId="6CB3F271" w14:textId="77777777" w:rsidTr="00AF3BD4">
        <w:tc>
          <w:tcPr>
            <w:tcW w:w="3220" w:type="dxa"/>
            <w:tcBorders>
              <w:top w:val="nil"/>
              <w:left w:val="single" w:sz="4" w:space="0" w:color="auto"/>
              <w:bottom w:val="nil"/>
              <w:right w:val="single" w:sz="4" w:space="0" w:color="auto"/>
            </w:tcBorders>
            <w:shd w:val="clear" w:color="auto" w:fill="auto"/>
            <w:vAlign w:val="center"/>
            <w:hideMark/>
          </w:tcPr>
          <w:p w14:paraId="6AB88DAB" w14:textId="77777777" w:rsidR="00217665" w:rsidRPr="00217665" w:rsidRDefault="00217665"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217665">
              <w:rPr>
                <w:rFonts w:ascii="Calibri" w:hAnsi="Calibri"/>
                <w:color w:val="000000"/>
                <w:sz w:val="22"/>
                <w:szCs w:val="22"/>
                <w:lang w:eastAsia="zh-CN"/>
              </w:rPr>
              <w:t xml:space="preserve">Membership, Partnership and Innovation-related matters </w:t>
            </w:r>
          </w:p>
        </w:tc>
        <w:tc>
          <w:tcPr>
            <w:tcW w:w="5994" w:type="dxa"/>
            <w:tcBorders>
              <w:top w:val="nil"/>
              <w:left w:val="nil"/>
              <w:bottom w:val="nil"/>
              <w:right w:val="single" w:sz="4" w:space="0" w:color="auto"/>
            </w:tcBorders>
            <w:shd w:val="clear" w:color="auto" w:fill="auto"/>
            <w:vAlign w:val="center"/>
            <w:hideMark/>
          </w:tcPr>
          <w:p w14:paraId="451FB6C8" w14:textId="77777777" w:rsidR="00217665" w:rsidRPr="00217665" w:rsidRDefault="00217665"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217665">
              <w:rPr>
                <w:rFonts w:ascii="Calibri" w:hAnsi="Calibri"/>
                <w:color w:val="000000"/>
                <w:sz w:val="22"/>
                <w:szCs w:val="22"/>
                <w:lang w:eastAsia="zh-CN"/>
              </w:rPr>
              <w:t>TDAG expressed its appreciation for BDT’s work in encouraging the involvement and participation of the private sector in ITU-D initiatives, projects and activities at regional as well as at global levels.</w:t>
            </w:r>
            <w:r w:rsidRPr="00217665">
              <w:rPr>
                <w:rFonts w:ascii="Calibri" w:hAnsi="Calibri"/>
                <w:color w:val="000000"/>
                <w:sz w:val="22"/>
                <w:szCs w:val="22"/>
                <w:lang w:eastAsia="zh-CN"/>
              </w:rPr>
              <w:br/>
              <w:t>TDAG highlighted the importance of telecommunications/ICTs for global development and underlined the role of the private sector in leading this effort, making collaboration with BDT even more important. TDAG commended the work of BDT and underlined that further engagement with the private sector could only benefit both parties.  TDAG commended strategies and actions on innovation for the membership proposed by BDT. TDAG took note with satisfaction of Document 23 and advised that BDT continue its work on innovation jointly with the private sector and Member States.</w:t>
            </w:r>
          </w:p>
        </w:tc>
      </w:tr>
      <w:tr w:rsidR="00217665" w:rsidRPr="00217665" w14:paraId="0C014B5B" w14:textId="77777777" w:rsidTr="00AF3BD4">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8C672" w14:textId="77777777" w:rsidR="00217665" w:rsidRPr="00217665" w:rsidRDefault="00217665"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217665">
              <w:rPr>
                <w:rFonts w:ascii="Calibri" w:hAnsi="Calibri"/>
                <w:color w:val="000000"/>
                <w:sz w:val="22"/>
                <w:szCs w:val="22"/>
                <w:lang w:eastAsia="zh-CN"/>
              </w:rPr>
              <w:t xml:space="preserve">Calendar of ITU-D events </w:t>
            </w:r>
          </w:p>
        </w:tc>
        <w:tc>
          <w:tcPr>
            <w:tcW w:w="5994" w:type="dxa"/>
            <w:tcBorders>
              <w:top w:val="single" w:sz="4" w:space="0" w:color="auto"/>
              <w:left w:val="nil"/>
              <w:bottom w:val="single" w:sz="4" w:space="0" w:color="auto"/>
              <w:right w:val="single" w:sz="4" w:space="0" w:color="auto"/>
            </w:tcBorders>
            <w:shd w:val="clear" w:color="auto" w:fill="auto"/>
            <w:vAlign w:val="center"/>
            <w:hideMark/>
          </w:tcPr>
          <w:p w14:paraId="2491E4BF" w14:textId="77777777" w:rsidR="00217665" w:rsidRPr="00217665" w:rsidRDefault="00217665" w:rsidP="00E05AF4">
            <w:pPr>
              <w:tabs>
                <w:tab w:val="clear" w:pos="1134"/>
                <w:tab w:val="clear" w:pos="1871"/>
                <w:tab w:val="clear" w:pos="2268"/>
              </w:tabs>
              <w:overflowPunct/>
              <w:autoSpaceDE/>
              <w:autoSpaceDN/>
              <w:adjustRightInd/>
              <w:spacing w:after="120"/>
              <w:textAlignment w:val="auto"/>
              <w:rPr>
                <w:rFonts w:ascii="Calibri" w:hAnsi="Calibri"/>
                <w:color w:val="000000"/>
                <w:sz w:val="22"/>
                <w:szCs w:val="22"/>
                <w:lang w:eastAsia="zh-CN"/>
              </w:rPr>
            </w:pPr>
            <w:r w:rsidRPr="00217665">
              <w:rPr>
                <w:rFonts w:ascii="Calibri" w:hAnsi="Calibri"/>
                <w:color w:val="000000"/>
                <w:sz w:val="22"/>
                <w:szCs w:val="22"/>
                <w:lang w:eastAsia="zh-CN"/>
              </w:rPr>
              <w:t>TDAG noted with appreciation the calendar of events.</w:t>
            </w:r>
          </w:p>
        </w:tc>
      </w:tr>
    </w:tbl>
    <w:p w14:paraId="3E05EC75" w14:textId="77777777" w:rsidR="007A5D37" w:rsidRDefault="007A5D37">
      <w:pPr>
        <w:tabs>
          <w:tab w:val="clear" w:pos="1134"/>
          <w:tab w:val="clear" w:pos="1871"/>
          <w:tab w:val="clear" w:pos="2268"/>
        </w:tabs>
        <w:overflowPunct/>
        <w:autoSpaceDE/>
        <w:autoSpaceDN/>
        <w:adjustRightInd/>
        <w:spacing w:before="0"/>
        <w:textAlignment w:val="auto"/>
        <w:rPr>
          <w:b/>
        </w:rPr>
      </w:pPr>
      <w:bookmarkStart w:id="14" w:name="_Toc379236732"/>
      <w:bookmarkStart w:id="15" w:name="_Toc482300241"/>
      <w:r>
        <w:br w:type="page"/>
      </w:r>
    </w:p>
    <w:p w14:paraId="04EEC0E8" w14:textId="2740C274" w:rsidR="000D6D4F" w:rsidRPr="0055628F" w:rsidRDefault="000D6D4F" w:rsidP="000D6D4F">
      <w:pPr>
        <w:pStyle w:val="Heading2"/>
      </w:pPr>
      <w:r w:rsidRPr="0055628F">
        <w:lastRenderedPageBreak/>
        <w:t>2</w:t>
      </w:r>
      <w:r>
        <w:t>2</w:t>
      </w:r>
      <w:r w:rsidRPr="000D6D4F">
        <w:rPr>
          <w:vertAlign w:val="superscript"/>
        </w:rPr>
        <w:t>nd</w:t>
      </w:r>
      <w:r>
        <w:t xml:space="preserve"> </w:t>
      </w:r>
      <w:r w:rsidRPr="0055628F">
        <w:t>TDAG Meeting</w:t>
      </w:r>
    </w:p>
    <w:p w14:paraId="566B4731" w14:textId="47C1324E" w:rsidR="000D6D4F" w:rsidRPr="001E6206" w:rsidRDefault="004B3144" w:rsidP="001E6206">
      <w:pPr>
        <w:pStyle w:val="ListParagraph"/>
        <w:numPr>
          <w:ilvl w:val="0"/>
          <w:numId w:val="25"/>
        </w:numPr>
        <w:tabs>
          <w:tab w:val="clear" w:pos="1134"/>
          <w:tab w:val="clear" w:pos="1871"/>
          <w:tab w:val="left" w:pos="426"/>
          <w:tab w:val="left" w:pos="851"/>
        </w:tabs>
        <w:ind w:left="0" w:firstLine="0"/>
        <w:contextualSpacing w:val="0"/>
      </w:pPr>
      <w:r>
        <w:t xml:space="preserve">The 22st meeting of the Telecommunication Development Advisory Group (TDAG) was held at ITU headquarters in Geneva, from </w:t>
      </w:r>
      <w:r w:rsidR="00647BF7">
        <w:t>9</w:t>
      </w:r>
      <w:r>
        <w:t xml:space="preserve"> to 1</w:t>
      </w:r>
      <w:r w:rsidR="00647BF7">
        <w:t>2</w:t>
      </w:r>
      <w:r>
        <w:t xml:space="preserve"> Ma</w:t>
      </w:r>
      <w:r w:rsidR="00647BF7">
        <w:t>y</w:t>
      </w:r>
      <w:r>
        <w:t xml:space="preserve"> 2017, under the chairmanship of Professor Dr Vladimir </w:t>
      </w:r>
      <w:proofErr w:type="spellStart"/>
      <w:r>
        <w:t>Minkin</w:t>
      </w:r>
      <w:proofErr w:type="spellEnd"/>
      <w:r>
        <w:t>.</w:t>
      </w:r>
    </w:p>
    <w:p w14:paraId="5464F941" w14:textId="45A37FBC" w:rsidR="000D6D4F" w:rsidRDefault="00647BF7">
      <w:pPr>
        <w:tabs>
          <w:tab w:val="clear" w:pos="1134"/>
          <w:tab w:val="clear" w:pos="1871"/>
          <w:tab w:val="left" w:pos="567"/>
          <w:tab w:val="left" w:pos="851"/>
        </w:tabs>
      </w:pPr>
      <w:r>
        <w:rPr>
          <w:rFonts w:cstheme="minorHAnsi"/>
          <w:szCs w:val="24"/>
        </w:rPr>
        <w:t xml:space="preserve">The </w:t>
      </w:r>
      <w:r w:rsidRPr="00F82176">
        <w:rPr>
          <w:rFonts w:cstheme="minorHAnsi"/>
          <w:szCs w:val="24"/>
        </w:rPr>
        <w:t>TDAG Correspondence Group on the Strategic Plan, Operational Plan and Declaration</w:t>
      </w:r>
      <w:r>
        <w:rPr>
          <w:rFonts w:cstheme="minorHAnsi"/>
          <w:szCs w:val="24"/>
        </w:rPr>
        <w:t xml:space="preserve">, the </w:t>
      </w:r>
      <w:r w:rsidRPr="00F82176">
        <w:rPr>
          <w:rFonts w:cstheme="minorHAnsi"/>
          <w:szCs w:val="24"/>
        </w:rPr>
        <w:t>Correspondence Group on WTDC Resolution</w:t>
      </w:r>
      <w:r>
        <w:rPr>
          <w:rFonts w:cstheme="minorHAnsi"/>
          <w:szCs w:val="24"/>
        </w:rPr>
        <w:t xml:space="preserve"> </w:t>
      </w:r>
      <w:r w:rsidRPr="00F82176">
        <w:rPr>
          <w:rFonts w:cstheme="minorHAnsi"/>
          <w:szCs w:val="24"/>
        </w:rPr>
        <w:t>1 (Rev. Dubai, 2014), “Rules of procedure of the ITU Telecommunication Development</w:t>
      </w:r>
      <w:r>
        <w:rPr>
          <w:rFonts w:cstheme="minorHAnsi"/>
          <w:szCs w:val="24"/>
        </w:rPr>
        <w:t xml:space="preserve"> </w:t>
      </w:r>
      <w:r w:rsidRPr="00F82176">
        <w:rPr>
          <w:rFonts w:cstheme="minorHAnsi"/>
          <w:szCs w:val="24"/>
        </w:rPr>
        <w:t xml:space="preserve">Sector”, </w:t>
      </w:r>
      <w:r>
        <w:rPr>
          <w:rFonts w:cstheme="minorHAnsi"/>
          <w:szCs w:val="24"/>
        </w:rPr>
        <w:t xml:space="preserve">the Correspondence Group on Streamlining WTDC Resolutions </w:t>
      </w:r>
      <w:r w:rsidRPr="00F82176">
        <w:rPr>
          <w:rFonts w:cstheme="minorHAnsi"/>
          <w:szCs w:val="24"/>
        </w:rPr>
        <w:t xml:space="preserve">and </w:t>
      </w:r>
      <w:r>
        <w:rPr>
          <w:rFonts w:cstheme="minorHAnsi"/>
          <w:szCs w:val="24"/>
        </w:rPr>
        <w:t xml:space="preserve">the </w:t>
      </w:r>
      <w:r w:rsidRPr="00F82176">
        <w:rPr>
          <w:rFonts w:cstheme="minorHAnsi"/>
          <w:szCs w:val="24"/>
        </w:rPr>
        <w:t>Inter-Sector</w:t>
      </w:r>
      <w:r>
        <w:rPr>
          <w:rFonts w:cstheme="minorHAnsi"/>
          <w:szCs w:val="24"/>
        </w:rPr>
        <w:t xml:space="preserve"> Coordination</w:t>
      </w:r>
      <w:r w:rsidRPr="00F82176">
        <w:rPr>
          <w:rFonts w:cstheme="minorHAnsi"/>
          <w:szCs w:val="24"/>
        </w:rPr>
        <w:t xml:space="preserve"> Team on </w:t>
      </w:r>
      <w:r>
        <w:rPr>
          <w:rFonts w:cstheme="minorHAnsi"/>
          <w:szCs w:val="24"/>
        </w:rPr>
        <w:t>I</w:t>
      </w:r>
      <w:r w:rsidRPr="00F82176">
        <w:rPr>
          <w:rFonts w:cstheme="minorHAnsi"/>
          <w:szCs w:val="24"/>
        </w:rPr>
        <w:t xml:space="preserve">ssues of </w:t>
      </w:r>
      <w:r>
        <w:rPr>
          <w:rFonts w:cstheme="minorHAnsi"/>
          <w:szCs w:val="24"/>
        </w:rPr>
        <w:t>M</w:t>
      </w:r>
      <w:r w:rsidRPr="00F82176">
        <w:rPr>
          <w:rFonts w:cstheme="minorHAnsi"/>
          <w:szCs w:val="24"/>
        </w:rPr>
        <w:t>utual</w:t>
      </w:r>
      <w:r>
        <w:rPr>
          <w:rFonts w:cstheme="minorHAnsi"/>
          <w:szCs w:val="24"/>
        </w:rPr>
        <w:t xml:space="preserve"> I</w:t>
      </w:r>
      <w:r w:rsidRPr="00F82176">
        <w:rPr>
          <w:rFonts w:cstheme="minorHAnsi"/>
          <w:szCs w:val="24"/>
        </w:rPr>
        <w:t xml:space="preserve">nterest </w:t>
      </w:r>
      <w:r>
        <w:rPr>
          <w:rFonts w:cstheme="minorHAnsi"/>
          <w:szCs w:val="24"/>
        </w:rPr>
        <w:t>met</w:t>
      </w:r>
      <w:r w:rsidRPr="00F82176">
        <w:rPr>
          <w:rFonts w:cstheme="minorHAnsi"/>
          <w:szCs w:val="24"/>
        </w:rPr>
        <w:t xml:space="preserve"> in Geneva</w:t>
      </w:r>
      <w:r>
        <w:rPr>
          <w:rFonts w:cstheme="minorHAnsi"/>
          <w:szCs w:val="24"/>
        </w:rPr>
        <w:t xml:space="preserve"> </w:t>
      </w:r>
      <w:r w:rsidRPr="00F82176">
        <w:rPr>
          <w:rFonts w:cstheme="minorHAnsi"/>
          <w:szCs w:val="24"/>
        </w:rPr>
        <w:t xml:space="preserve">on </w:t>
      </w:r>
      <w:r>
        <w:rPr>
          <w:rFonts w:cstheme="minorHAnsi"/>
          <w:szCs w:val="24"/>
        </w:rPr>
        <w:t>9 and 10 May 2017</w:t>
      </w:r>
      <w:r w:rsidRPr="00F82176">
        <w:rPr>
          <w:rFonts w:cstheme="minorHAnsi"/>
          <w:szCs w:val="24"/>
        </w:rPr>
        <w:t xml:space="preserve"> and reported their </w:t>
      </w:r>
      <w:r>
        <w:rPr>
          <w:rFonts w:cstheme="minorHAnsi"/>
          <w:szCs w:val="24"/>
        </w:rPr>
        <w:t>outcomes</w:t>
      </w:r>
      <w:r w:rsidRPr="00F82176">
        <w:rPr>
          <w:rFonts w:cstheme="minorHAnsi"/>
          <w:szCs w:val="24"/>
        </w:rPr>
        <w:t xml:space="preserve"> to TDAG.</w:t>
      </w:r>
    </w:p>
    <w:p w14:paraId="3033D7C4" w14:textId="72798F3B" w:rsidR="00647BF7" w:rsidRPr="004B3144" w:rsidRDefault="00647BF7">
      <w:pPr>
        <w:tabs>
          <w:tab w:val="clear" w:pos="1134"/>
          <w:tab w:val="clear" w:pos="1871"/>
          <w:tab w:val="left" w:pos="567"/>
          <w:tab w:val="left" w:pos="851"/>
        </w:tabs>
      </w:pPr>
      <w:r w:rsidRPr="00780CB0">
        <w:t>The full meeting report</w:t>
      </w:r>
      <w:r>
        <w:t xml:space="preserve">, </w:t>
      </w:r>
      <w:r w:rsidRPr="000D31EF">
        <w:t xml:space="preserve">in </w:t>
      </w:r>
      <w:r>
        <w:t>the</w:t>
      </w:r>
      <w:r w:rsidRPr="000D31EF">
        <w:t xml:space="preserve"> six</w:t>
      </w:r>
      <w:r>
        <w:t xml:space="preserve"> official</w:t>
      </w:r>
      <w:r w:rsidRPr="000D31EF">
        <w:t xml:space="preserve"> languages</w:t>
      </w:r>
      <w:r>
        <w:t xml:space="preserve"> of ITU</w:t>
      </w:r>
      <w:r w:rsidRPr="000D31EF">
        <w:t xml:space="preserve">, </w:t>
      </w:r>
      <w:r w:rsidRPr="00780CB0">
        <w:t xml:space="preserve">is available at: </w:t>
      </w:r>
      <w:hyperlink r:id="rId35" w:history="1">
        <w:r w:rsidR="0080697E" w:rsidRPr="00747A22">
          <w:rPr>
            <w:rStyle w:val="Hyperlink"/>
          </w:rPr>
          <w:t>https://www.itu.int/md/D14-TDAG22-C-0073/en</w:t>
        </w:r>
      </w:hyperlink>
    </w:p>
    <w:p w14:paraId="0A160165" w14:textId="3C5D9655" w:rsidR="000D6D4F" w:rsidRPr="004B3144" w:rsidRDefault="000D6D4F" w:rsidP="006D38CA">
      <w:pPr>
        <w:pStyle w:val="ListParagraph"/>
        <w:numPr>
          <w:ilvl w:val="0"/>
          <w:numId w:val="25"/>
        </w:numPr>
        <w:tabs>
          <w:tab w:val="clear" w:pos="1134"/>
          <w:tab w:val="clear" w:pos="1871"/>
          <w:tab w:val="left" w:pos="851"/>
        </w:tabs>
        <w:ind w:left="426" w:hanging="426"/>
      </w:pPr>
      <w:r w:rsidRPr="004B3144">
        <w:t>Participants</w:t>
      </w:r>
    </w:p>
    <w:p w14:paraId="6A51ED19" w14:textId="77777777" w:rsidR="00CD4EB2" w:rsidRDefault="00CD4EB2" w:rsidP="00CD4EB2">
      <w:r>
        <w:t>The following chart provides the breakdown of participants by category:</w:t>
      </w:r>
    </w:p>
    <w:p w14:paraId="7565CC6C" w14:textId="488D7D28" w:rsidR="00CD4EB2" w:rsidRDefault="00D23A95" w:rsidP="000D6D4F">
      <w:pPr>
        <w:tabs>
          <w:tab w:val="clear" w:pos="1134"/>
          <w:tab w:val="clear" w:pos="1871"/>
          <w:tab w:val="left" w:pos="567"/>
          <w:tab w:val="left" w:pos="851"/>
        </w:tabs>
        <w:rPr>
          <w:highlight w:val="yellow"/>
        </w:rPr>
      </w:pPr>
      <w:r w:rsidRPr="00D23A95">
        <w:rPr>
          <w:noProof/>
          <w:lang w:eastAsia="zh-CN"/>
        </w:rPr>
        <w:drawing>
          <wp:inline distT="0" distB="0" distL="0" distR="0" wp14:anchorId="770755BF" wp14:editId="60D4D754">
            <wp:extent cx="5288889" cy="2671423"/>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293434" cy="2673719"/>
                    </a:xfrm>
                    <a:prstGeom prst="rect">
                      <a:avLst/>
                    </a:prstGeom>
                  </pic:spPr>
                </pic:pic>
              </a:graphicData>
            </a:graphic>
          </wp:inline>
        </w:drawing>
      </w:r>
    </w:p>
    <w:p w14:paraId="49691566" w14:textId="77777777" w:rsidR="00CD4EB2" w:rsidRDefault="00CD4EB2" w:rsidP="00CD4EB2">
      <w:r>
        <w:t>The following chart provides the breakdown of participants by region:</w:t>
      </w:r>
    </w:p>
    <w:p w14:paraId="20124E86" w14:textId="2DBA1AC2" w:rsidR="000D6D4F" w:rsidRDefault="00D23A95" w:rsidP="007A5D37">
      <w:pPr>
        <w:tabs>
          <w:tab w:val="clear" w:pos="1134"/>
          <w:tab w:val="clear" w:pos="1871"/>
          <w:tab w:val="left" w:pos="567"/>
          <w:tab w:val="left" w:pos="851"/>
        </w:tabs>
      </w:pPr>
      <w:r w:rsidRPr="00D23A95">
        <w:rPr>
          <w:noProof/>
          <w:lang w:eastAsia="zh-CN"/>
        </w:rPr>
        <w:drawing>
          <wp:inline distT="0" distB="0" distL="0" distR="0" wp14:anchorId="57A16189" wp14:editId="38BDEE35">
            <wp:extent cx="3723063" cy="27736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3733387" cy="2781371"/>
                    </a:xfrm>
                    <a:prstGeom prst="rect">
                      <a:avLst/>
                    </a:prstGeom>
                  </pic:spPr>
                </pic:pic>
              </a:graphicData>
            </a:graphic>
          </wp:inline>
        </w:drawing>
      </w:r>
      <w:r w:rsidR="00647BF7">
        <w:rPr>
          <w:highlight w:val="yellow"/>
        </w:rPr>
        <w:br w:type="page"/>
      </w:r>
    </w:p>
    <w:p w14:paraId="0BCE36D0" w14:textId="77777777" w:rsidR="000B1CBA" w:rsidRDefault="000D6D4F" w:rsidP="006D38CA">
      <w:pPr>
        <w:pStyle w:val="ListParagraph"/>
        <w:numPr>
          <w:ilvl w:val="0"/>
          <w:numId w:val="25"/>
        </w:numPr>
        <w:tabs>
          <w:tab w:val="clear" w:pos="1134"/>
          <w:tab w:val="clear" w:pos="1871"/>
          <w:tab w:val="left" w:pos="851"/>
        </w:tabs>
        <w:ind w:left="426" w:hanging="426"/>
      </w:pPr>
      <w:r>
        <w:lastRenderedPageBreak/>
        <w:t>Document</w:t>
      </w:r>
      <w:r w:rsidR="000B1CBA">
        <w:t>s</w:t>
      </w:r>
    </w:p>
    <w:p w14:paraId="195044FC" w14:textId="03210510" w:rsidR="00D91CE3" w:rsidRDefault="00D91CE3" w:rsidP="00D91CE3">
      <w:r>
        <w:t>The following chart provides the number of documents broken down by category of documents:</w:t>
      </w:r>
    </w:p>
    <w:p w14:paraId="2C15AF44" w14:textId="26600C1B" w:rsidR="000B1CBA" w:rsidRDefault="00F64F56" w:rsidP="006D38CA">
      <w:pPr>
        <w:pStyle w:val="ListParagraph"/>
        <w:tabs>
          <w:tab w:val="clear" w:pos="1134"/>
          <w:tab w:val="clear" w:pos="1871"/>
          <w:tab w:val="left" w:pos="567"/>
          <w:tab w:val="left" w:pos="851"/>
        </w:tabs>
        <w:ind w:left="567" w:hanging="851"/>
      </w:pPr>
      <w:r>
        <w:rPr>
          <w:noProof/>
          <w:lang w:eastAsia="zh-CN"/>
        </w:rPr>
        <w:drawing>
          <wp:inline distT="0" distB="0" distL="0" distR="0" wp14:anchorId="4DBD3A27" wp14:editId="71333783">
            <wp:extent cx="4871720" cy="3184264"/>
            <wp:effectExtent l="0" t="0" r="5080" b="1651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543E8F2F" w14:textId="3C414DCB" w:rsidR="000D6D4F" w:rsidRDefault="000D6D4F" w:rsidP="005E5E51">
      <w:pPr>
        <w:pStyle w:val="ListParagraph"/>
        <w:numPr>
          <w:ilvl w:val="0"/>
          <w:numId w:val="25"/>
        </w:numPr>
        <w:tabs>
          <w:tab w:val="clear" w:pos="1134"/>
          <w:tab w:val="clear" w:pos="1871"/>
          <w:tab w:val="left" w:pos="851"/>
        </w:tabs>
        <w:spacing w:after="120"/>
        <w:ind w:left="426" w:hanging="426"/>
      </w:pPr>
      <w:r>
        <w:t>22</w:t>
      </w:r>
      <w:r w:rsidRPr="000D6D4F">
        <w:rPr>
          <w:vertAlign w:val="superscript"/>
        </w:rPr>
        <w:t>nd</w:t>
      </w:r>
      <w:r>
        <w:t xml:space="preserve"> TDAG Meeting Outcomes</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5812"/>
      </w:tblGrid>
      <w:tr w:rsidR="000D6D4F" w:rsidRPr="000D6D4F" w14:paraId="2D0E7A43" w14:textId="77777777" w:rsidTr="005E5E51">
        <w:trPr>
          <w:cantSplit/>
          <w:tblHeader/>
        </w:trPr>
        <w:tc>
          <w:tcPr>
            <w:tcW w:w="3402" w:type="dxa"/>
            <w:shd w:val="clear" w:color="auto" w:fill="FDE9D9" w:themeFill="accent6" w:themeFillTint="33"/>
            <w:vAlign w:val="center"/>
          </w:tcPr>
          <w:p w14:paraId="3C63B0C9" w14:textId="6CBC9B0A" w:rsidR="000D6D4F" w:rsidRPr="00CD4906" w:rsidRDefault="000D6D4F" w:rsidP="00CD4906">
            <w:pPr>
              <w:keepNext/>
              <w:spacing w:after="120"/>
              <w:jc w:val="center"/>
              <w:rPr>
                <w:b/>
                <w:bCs/>
                <w:i/>
                <w:iCs/>
                <w:sz w:val="22"/>
                <w:szCs w:val="22"/>
              </w:rPr>
            </w:pPr>
            <w:r w:rsidRPr="00CD4906">
              <w:rPr>
                <w:b/>
                <w:bCs/>
                <w:i/>
                <w:iCs/>
                <w:sz w:val="22"/>
                <w:szCs w:val="22"/>
              </w:rPr>
              <w:t>Subject</w:t>
            </w:r>
          </w:p>
        </w:tc>
        <w:tc>
          <w:tcPr>
            <w:tcW w:w="5812" w:type="dxa"/>
            <w:shd w:val="clear" w:color="auto" w:fill="FDE9D9" w:themeFill="accent6" w:themeFillTint="33"/>
            <w:vAlign w:val="center"/>
          </w:tcPr>
          <w:p w14:paraId="5781E3D6" w14:textId="6A0916A2" w:rsidR="000D6D4F" w:rsidRPr="00CD4906" w:rsidRDefault="000D6D4F" w:rsidP="00CD4906">
            <w:pPr>
              <w:keepNext/>
              <w:spacing w:after="120"/>
              <w:jc w:val="center"/>
              <w:rPr>
                <w:b/>
                <w:bCs/>
                <w:i/>
                <w:iCs/>
                <w:sz w:val="22"/>
                <w:szCs w:val="22"/>
              </w:rPr>
            </w:pPr>
            <w:r w:rsidRPr="00CD4906">
              <w:rPr>
                <w:b/>
                <w:bCs/>
                <w:i/>
                <w:iCs/>
                <w:sz w:val="22"/>
                <w:szCs w:val="22"/>
              </w:rPr>
              <w:t>TDAG conclusions / outcomes</w:t>
            </w:r>
          </w:p>
        </w:tc>
      </w:tr>
      <w:tr w:rsidR="000D6D4F" w:rsidRPr="005A399F" w14:paraId="58933B61" w14:textId="77777777" w:rsidTr="005E5E51">
        <w:trPr>
          <w:cantSplit/>
        </w:trPr>
        <w:tc>
          <w:tcPr>
            <w:tcW w:w="3402" w:type="dxa"/>
            <w:tcBorders>
              <w:bottom w:val="single" w:sz="4" w:space="0" w:color="auto"/>
            </w:tcBorders>
          </w:tcPr>
          <w:p w14:paraId="1F7516F0" w14:textId="77777777" w:rsidR="000D6D4F" w:rsidRPr="00CD4906" w:rsidRDefault="000D6D4F" w:rsidP="00CD4906">
            <w:pPr>
              <w:tabs>
                <w:tab w:val="left" w:pos="567"/>
              </w:tabs>
              <w:spacing w:after="60"/>
              <w:rPr>
                <w:rFonts w:cs="Calibri"/>
                <w:sz w:val="22"/>
                <w:szCs w:val="22"/>
              </w:rPr>
            </w:pPr>
            <w:r w:rsidRPr="00CD4906">
              <w:rPr>
                <w:rFonts w:cs="Calibri"/>
                <w:sz w:val="22"/>
                <w:szCs w:val="22"/>
              </w:rPr>
              <w:t>5. Outcomes of WTSA-16 related to the work of ITU-D</w:t>
            </w:r>
          </w:p>
        </w:tc>
        <w:tc>
          <w:tcPr>
            <w:tcW w:w="5812" w:type="dxa"/>
            <w:tcBorders>
              <w:bottom w:val="single" w:sz="4" w:space="0" w:color="auto"/>
            </w:tcBorders>
          </w:tcPr>
          <w:p w14:paraId="69FDAA4F" w14:textId="77777777" w:rsidR="000D6D4F" w:rsidRPr="00CD4906" w:rsidRDefault="000D6D4F" w:rsidP="00CD4906">
            <w:pPr>
              <w:pStyle w:val="Default"/>
              <w:spacing w:before="120"/>
              <w:rPr>
                <w:rFonts w:asciiTheme="minorHAnsi" w:eastAsia="Times New Roman" w:hAnsiTheme="minorHAnsi" w:cstheme="minorHAnsi"/>
                <w:sz w:val="22"/>
                <w:szCs w:val="22"/>
              </w:rPr>
            </w:pPr>
            <w:r w:rsidRPr="00CD4906">
              <w:rPr>
                <w:rFonts w:asciiTheme="minorHAnsi" w:eastAsia="Times New Roman" w:hAnsiTheme="minorHAnsi" w:cstheme="minorHAnsi"/>
                <w:sz w:val="22"/>
                <w:szCs w:val="22"/>
              </w:rPr>
              <w:t xml:space="preserve">TDAG raised the issue of the financial implications for ITU as a whole of any decisions taken by the Conferences/Assemblies of one of the Sectors. TDAG advised the Director of BDT to raise the issue of the implications at ITU Council, including but not limited to, the financial implications of WTSA-16 on the work of ITU-D and ITU-D Study Groups in particular. </w:t>
            </w:r>
          </w:p>
          <w:p w14:paraId="437B9096" w14:textId="77777777" w:rsidR="000D6D4F" w:rsidRPr="00CD4906" w:rsidRDefault="000D6D4F" w:rsidP="00CD4906">
            <w:pPr>
              <w:pStyle w:val="Default"/>
              <w:spacing w:before="120"/>
              <w:rPr>
                <w:rFonts w:asciiTheme="minorHAnsi" w:eastAsia="Times New Roman" w:hAnsiTheme="minorHAnsi" w:cstheme="minorHAnsi"/>
                <w:sz w:val="22"/>
                <w:szCs w:val="22"/>
              </w:rPr>
            </w:pPr>
            <w:r w:rsidRPr="00CD4906">
              <w:rPr>
                <w:rFonts w:asciiTheme="minorHAnsi" w:eastAsia="Times New Roman" w:hAnsiTheme="minorHAnsi" w:cstheme="minorHAnsi"/>
                <w:sz w:val="22"/>
                <w:szCs w:val="22"/>
              </w:rPr>
              <w:t>TDAG reiterated that each ITU sector should work within the limits of their terms of reference. TDAG further advised the Director of BDT to engage in preliminary consultation with the other ITU Sectors to avoid overlap in the implementation of activities.</w:t>
            </w:r>
          </w:p>
          <w:p w14:paraId="766695F1" w14:textId="77777777" w:rsidR="000D6D4F" w:rsidRPr="00CD4906" w:rsidRDefault="000D6D4F" w:rsidP="00CD4906">
            <w:pPr>
              <w:pStyle w:val="Default"/>
              <w:spacing w:before="120" w:after="120"/>
              <w:rPr>
                <w:rFonts w:asciiTheme="minorHAnsi" w:eastAsia="Times New Roman" w:hAnsiTheme="minorHAnsi" w:cstheme="minorHAnsi"/>
                <w:sz w:val="22"/>
                <w:szCs w:val="22"/>
              </w:rPr>
            </w:pPr>
            <w:r w:rsidRPr="00CD4906">
              <w:rPr>
                <w:rFonts w:asciiTheme="minorHAnsi" w:eastAsia="Times New Roman" w:hAnsiTheme="minorHAnsi" w:cstheme="minorHAnsi"/>
                <w:sz w:val="22"/>
                <w:szCs w:val="22"/>
              </w:rPr>
              <w:t>TDAG invited the Members to take these aspects into account when preparing their proposals and contributions to WTDC-17.</w:t>
            </w:r>
          </w:p>
        </w:tc>
      </w:tr>
      <w:tr w:rsidR="000D6D4F" w:rsidRPr="005C4438" w14:paraId="2749F807" w14:textId="77777777" w:rsidTr="005E5E51">
        <w:trPr>
          <w:cantSplit/>
        </w:trPr>
        <w:tc>
          <w:tcPr>
            <w:tcW w:w="3402" w:type="dxa"/>
            <w:tcBorders>
              <w:bottom w:val="single" w:sz="4" w:space="0" w:color="auto"/>
            </w:tcBorders>
          </w:tcPr>
          <w:p w14:paraId="2359E9C2" w14:textId="77777777" w:rsidR="000D6D4F" w:rsidRPr="00CD4906" w:rsidRDefault="000D6D4F" w:rsidP="00CD4906">
            <w:pPr>
              <w:tabs>
                <w:tab w:val="left" w:pos="567"/>
              </w:tabs>
              <w:spacing w:after="60"/>
              <w:rPr>
                <w:rFonts w:cs="Calibri"/>
                <w:sz w:val="22"/>
                <w:szCs w:val="22"/>
              </w:rPr>
            </w:pPr>
            <w:r w:rsidRPr="00CD4906">
              <w:rPr>
                <w:rFonts w:cs="Calibri"/>
                <w:sz w:val="22"/>
                <w:szCs w:val="22"/>
              </w:rPr>
              <w:t>6.</w:t>
            </w:r>
            <w:r w:rsidRPr="00CD4906">
              <w:rPr>
                <w:sz w:val="22"/>
                <w:szCs w:val="22"/>
              </w:rPr>
              <w:t xml:space="preserve"> </w:t>
            </w:r>
            <w:r w:rsidRPr="00CD4906">
              <w:rPr>
                <w:rFonts w:cs="Calibri"/>
                <w:sz w:val="22"/>
                <w:szCs w:val="22"/>
              </w:rPr>
              <w:t>Report on the implementation of the ITU-D Strategic Plan and Operational Plan 2016</w:t>
            </w:r>
          </w:p>
        </w:tc>
        <w:tc>
          <w:tcPr>
            <w:tcW w:w="5812" w:type="dxa"/>
            <w:tcBorders>
              <w:bottom w:val="single" w:sz="4" w:space="0" w:color="auto"/>
            </w:tcBorders>
          </w:tcPr>
          <w:p w14:paraId="4B697212" w14:textId="77777777" w:rsidR="000D6D4F" w:rsidRPr="00CD4906" w:rsidRDefault="000D6D4F" w:rsidP="00CD4906">
            <w:pPr>
              <w:overflowPunct/>
              <w:spacing w:after="120"/>
              <w:textAlignment w:val="auto"/>
              <w:rPr>
                <w:sz w:val="22"/>
                <w:szCs w:val="22"/>
              </w:rPr>
            </w:pPr>
            <w:r w:rsidRPr="00CD4906">
              <w:rPr>
                <w:sz w:val="22"/>
                <w:szCs w:val="22"/>
              </w:rPr>
              <w:t>TDAG welcomed the reports and thanked the Secretariat for compiling this information. It advised that in the future report on projects, detailed project information broken down by each region should also be featured as much as possible. TDAG encouraged the Secretariat to continue efforts on resource mobilization with other partners and develop project proposals to this effect.</w:t>
            </w:r>
          </w:p>
        </w:tc>
      </w:tr>
      <w:tr w:rsidR="000D6D4F" w:rsidRPr="00141E9D" w14:paraId="1C49FD29" w14:textId="77777777" w:rsidTr="005E5E51">
        <w:trPr>
          <w:cantSplit/>
          <w:trHeight w:val="507"/>
        </w:trPr>
        <w:tc>
          <w:tcPr>
            <w:tcW w:w="3402" w:type="dxa"/>
          </w:tcPr>
          <w:p w14:paraId="5BBCF610" w14:textId="77777777" w:rsidR="000D6D4F" w:rsidRPr="00CD4906" w:rsidRDefault="000D6D4F" w:rsidP="00CD4906">
            <w:pPr>
              <w:tabs>
                <w:tab w:val="left" w:pos="567"/>
              </w:tabs>
              <w:spacing w:after="60"/>
              <w:rPr>
                <w:rFonts w:cs="Calibri"/>
                <w:sz w:val="22"/>
                <w:szCs w:val="22"/>
              </w:rPr>
            </w:pPr>
            <w:r w:rsidRPr="00CD4906">
              <w:rPr>
                <w:rFonts w:cs="Calibri"/>
                <w:sz w:val="22"/>
                <w:szCs w:val="22"/>
              </w:rPr>
              <w:lastRenderedPageBreak/>
              <w:t>7. Reports on ITU-D Study Group activities</w:t>
            </w:r>
          </w:p>
        </w:tc>
        <w:tc>
          <w:tcPr>
            <w:tcW w:w="5812" w:type="dxa"/>
          </w:tcPr>
          <w:p w14:paraId="7B38B5A0" w14:textId="77777777" w:rsidR="000D6D4F" w:rsidRPr="00CD4906" w:rsidRDefault="000D6D4F" w:rsidP="00CD4906">
            <w:pPr>
              <w:rPr>
                <w:sz w:val="22"/>
                <w:szCs w:val="22"/>
              </w:rPr>
            </w:pPr>
            <w:r w:rsidRPr="00CD4906">
              <w:rPr>
                <w:sz w:val="22"/>
                <w:szCs w:val="22"/>
              </w:rPr>
              <w:t xml:space="preserve">TDAG welcomed the results achieved by the ITU-D Study Groups and expressed appreciation to the Chairman of Study Group 1, Ms Roxanne </w:t>
            </w:r>
            <w:proofErr w:type="spellStart"/>
            <w:r w:rsidRPr="00CD4906">
              <w:rPr>
                <w:sz w:val="22"/>
                <w:szCs w:val="22"/>
              </w:rPr>
              <w:t>McElvane</w:t>
            </w:r>
            <w:proofErr w:type="spellEnd"/>
            <w:r w:rsidRPr="00CD4906">
              <w:rPr>
                <w:sz w:val="22"/>
                <w:szCs w:val="22"/>
              </w:rPr>
              <w:t xml:space="preserve"> Webber and the Chairman of Study Group 2, Dr Ahmad Reza </w:t>
            </w:r>
            <w:proofErr w:type="spellStart"/>
            <w:r w:rsidRPr="00CD4906">
              <w:rPr>
                <w:sz w:val="22"/>
                <w:szCs w:val="22"/>
              </w:rPr>
              <w:t>Sharafat</w:t>
            </w:r>
            <w:proofErr w:type="spellEnd"/>
            <w:r w:rsidRPr="00CD4906">
              <w:rPr>
                <w:sz w:val="22"/>
                <w:szCs w:val="22"/>
              </w:rPr>
              <w:t>, Vice-Chairmen, Rapporteurs, Vice-Rapporteurs, Co-Rapporteurs, and the Secretariat for the remarkable work undertaken. TDAG asked the Chairmen to take note of the comments made by TDAG members in finalizing their report to WTDC-17. TDAG supported the constructive initiatives undertaken by the Study Groups, noted the successful holding of seminars and workshops and providing surveys and encouraged to continue such activities in the coming study period. TDAG requested that the deadline of surveys be extended until September 2017.</w:t>
            </w:r>
          </w:p>
          <w:p w14:paraId="499CB7F5" w14:textId="59B3BFF0" w:rsidR="000D6D4F" w:rsidRPr="00CD4906" w:rsidRDefault="000D6D4F">
            <w:pPr>
              <w:overflowPunct/>
              <w:spacing w:after="120"/>
              <w:textAlignment w:val="auto"/>
              <w:rPr>
                <w:sz w:val="22"/>
                <w:szCs w:val="22"/>
              </w:rPr>
            </w:pPr>
            <w:r w:rsidRPr="00CD4906">
              <w:rPr>
                <w:sz w:val="22"/>
                <w:szCs w:val="22"/>
              </w:rPr>
              <w:t>TDAG considered the liaison statement from RAG on Resolution 9 (Rev. Dubai, 2014) and prepared the liaison statement to RAG (TDAG/17-22/</w:t>
            </w:r>
            <w:r w:rsidR="0080697E">
              <w:rPr>
                <w:sz w:val="22"/>
                <w:szCs w:val="22"/>
              </w:rPr>
              <w:t>72</w:t>
            </w:r>
            <w:r w:rsidRPr="00CD4906">
              <w:rPr>
                <w:sz w:val="22"/>
                <w:szCs w:val="22"/>
              </w:rPr>
              <w:t xml:space="preserve">). </w:t>
            </w:r>
          </w:p>
        </w:tc>
      </w:tr>
      <w:tr w:rsidR="000D6D4F" w:rsidRPr="005C4438" w14:paraId="197ACF14" w14:textId="77777777" w:rsidTr="005E5E51">
        <w:trPr>
          <w:cantSplit/>
        </w:trPr>
        <w:tc>
          <w:tcPr>
            <w:tcW w:w="3402" w:type="dxa"/>
            <w:tcBorders>
              <w:bottom w:val="single" w:sz="4" w:space="0" w:color="auto"/>
            </w:tcBorders>
          </w:tcPr>
          <w:p w14:paraId="5D81C87D" w14:textId="77777777" w:rsidR="000D6D4F" w:rsidRPr="00CD4906" w:rsidRDefault="000D6D4F" w:rsidP="00CD4906">
            <w:pPr>
              <w:tabs>
                <w:tab w:val="left" w:pos="567"/>
              </w:tabs>
              <w:spacing w:after="60"/>
              <w:rPr>
                <w:rFonts w:cs="Calibri"/>
                <w:sz w:val="22"/>
                <w:szCs w:val="22"/>
              </w:rPr>
            </w:pPr>
            <w:r w:rsidRPr="00CD4906">
              <w:rPr>
                <w:rFonts w:cs="Calibri"/>
                <w:sz w:val="22"/>
                <w:szCs w:val="22"/>
              </w:rPr>
              <w:t>8. ITU-D contribution to the implementation of the WSIS Plan of Action, including UNGA Overall Review and SDGs</w:t>
            </w:r>
          </w:p>
        </w:tc>
        <w:tc>
          <w:tcPr>
            <w:tcW w:w="5812" w:type="dxa"/>
            <w:tcBorders>
              <w:bottom w:val="single" w:sz="4" w:space="0" w:color="auto"/>
            </w:tcBorders>
          </w:tcPr>
          <w:p w14:paraId="56F53EE6" w14:textId="5FD73FB7" w:rsidR="000D6D4F" w:rsidRPr="00CD4906" w:rsidRDefault="000D6D4F">
            <w:pPr>
              <w:overflowPunct/>
              <w:spacing w:after="120"/>
              <w:textAlignment w:val="auto"/>
              <w:rPr>
                <w:sz w:val="22"/>
                <w:szCs w:val="22"/>
              </w:rPr>
            </w:pPr>
            <w:r w:rsidRPr="00CD4906">
              <w:rPr>
                <w:sz w:val="22"/>
                <w:szCs w:val="22"/>
              </w:rPr>
              <w:t xml:space="preserve">TDAG welcomed the report and advised that it </w:t>
            </w:r>
            <w:r w:rsidR="0080697E">
              <w:rPr>
                <w:sz w:val="22"/>
                <w:szCs w:val="22"/>
              </w:rPr>
              <w:t>be</w:t>
            </w:r>
            <w:r w:rsidRPr="00CD4906">
              <w:rPr>
                <w:sz w:val="22"/>
                <w:szCs w:val="22"/>
              </w:rPr>
              <w:t xml:space="preserve"> used by Members in preparation for WTDC-17 on the Strategic Plan, the Action Plan and the Declaration as well as relevant Resolutions.</w:t>
            </w:r>
          </w:p>
        </w:tc>
      </w:tr>
      <w:tr w:rsidR="000D6D4F" w:rsidRPr="005C4438" w14:paraId="24029211" w14:textId="77777777" w:rsidTr="005E5E51">
        <w:trPr>
          <w:cantSplit/>
        </w:trPr>
        <w:tc>
          <w:tcPr>
            <w:tcW w:w="3402" w:type="dxa"/>
            <w:tcBorders>
              <w:bottom w:val="single" w:sz="4" w:space="0" w:color="auto"/>
            </w:tcBorders>
          </w:tcPr>
          <w:p w14:paraId="1766FDB9" w14:textId="77777777" w:rsidR="000D6D4F" w:rsidRPr="00CD4906" w:rsidRDefault="000D6D4F" w:rsidP="00CD4906">
            <w:pPr>
              <w:tabs>
                <w:tab w:val="left" w:pos="567"/>
              </w:tabs>
              <w:spacing w:after="60"/>
              <w:rPr>
                <w:rFonts w:cs="Calibri"/>
                <w:sz w:val="22"/>
                <w:szCs w:val="22"/>
              </w:rPr>
            </w:pPr>
            <w:r w:rsidRPr="00CD4906">
              <w:rPr>
                <w:rFonts w:cs="Calibri"/>
                <w:sz w:val="22"/>
                <w:szCs w:val="22"/>
              </w:rPr>
              <w:t xml:space="preserve">9. ITU-D four-year rolling Operational Plan 2018-2021 </w:t>
            </w:r>
          </w:p>
        </w:tc>
        <w:tc>
          <w:tcPr>
            <w:tcW w:w="5812" w:type="dxa"/>
            <w:tcBorders>
              <w:bottom w:val="single" w:sz="4" w:space="0" w:color="auto"/>
            </w:tcBorders>
          </w:tcPr>
          <w:p w14:paraId="6520524F" w14:textId="77777777" w:rsidR="000D6D4F" w:rsidRPr="00CD4906" w:rsidRDefault="000D6D4F" w:rsidP="00CD4906">
            <w:pPr>
              <w:overflowPunct/>
              <w:spacing w:after="120"/>
              <w:textAlignment w:val="auto"/>
              <w:rPr>
                <w:sz w:val="22"/>
                <w:szCs w:val="22"/>
              </w:rPr>
            </w:pPr>
            <w:r w:rsidRPr="00CD4906">
              <w:rPr>
                <w:sz w:val="22"/>
                <w:szCs w:val="22"/>
              </w:rPr>
              <w:t>TDAG noted the documents and drew attention of the Secretariat on the necessity to provide information on the financial implications of the WTSA Resolutions pertaining to the work of ITU-D.</w:t>
            </w:r>
          </w:p>
        </w:tc>
      </w:tr>
      <w:tr w:rsidR="000D6D4F" w:rsidRPr="00303A59" w14:paraId="7D4DCFF6" w14:textId="77777777" w:rsidTr="005E5E51">
        <w:trPr>
          <w:cantSplit/>
        </w:trPr>
        <w:tc>
          <w:tcPr>
            <w:tcW w:w="3402" w:type="dxa"/>
            <w:tcBorders>
              <w:bottom w:val="single" w:sz="4" w:space="0" w:color="auto"/>
            </w:tcBorders>
          </w:tcPr>
          <w:p w14:paraId="11AA6933" w14:textId="77777777" w:rsidR="000D6D4F" w:rsidRPr="00CD4906" w:rsidRDefault="000D6D4F" w:rsidP="00CD4906">
            <w:pPr>
              <w:tabs>
                <w:tab w:val="left" w:pos="567"/>
              </w:tabs>
              <w:spacing w:after="60"/>
              <w:rPr>
                <w:rFonts w:cs="Calibri"/>
                <w:sz w:val="22"/>
                <w:szCs w:val="22"/>
              </w:rPr>
            </w:pPr>
            <w:r w:rsidRPr="00CD4906">
              <w:rPr>
                <w:rFonts w:cs="Calibri"/>
                <w:sz w:val="22"/>
                <w:szCs w:val="22"/>
              </w:rPr>
              <w:t>10. Preparations for WTDC-17 (Secretariat and Member contributions)</w:t>
            </w:r>
          </w:p>
        </w:tc>
        <w:tc>
          <w:tcPr>
            <w:tcW w:w="5812" w:type="dxa"/>
            <w:tcBorders>
              <w:bottom w:val="single" w:sz="4" w:space="0" w:color="auto"/>
            </w:tcBorders>
          </w:tcPr>
          <w:p w14:paraId="519286E5" w14:textId="77777777" w:rsidR="000D6D4F" w:rsidRPr="00CD4906" w:rsidRDefault="000D6D4F" w:rsidP="00CD4906">
            <w:pPr>
              <w:widowControl w:val="0"/>
              <w:rPr>
                <w:sz w:val="22"/>
                <w:szCs w:val="22"/>
              </w:rPr>
            </w:pPr>
          </w:p>
        </w:tc>
      </w:tr>
      <w:tr w:rsidR="000D6D4F" w:rsidRPr="005C4438" w14:paraId="4CC9B018" w14:textId="77777777" w:rsidTr="005E5E51">
        <w:trPr>
          <w:cantSplit/>
        </w:trPr>
        <w:tc>
          <w:tcPr>
            <w:tcW w:w="3402" w:type="dxa"/>
            <w:tcBorders>
              <w:bottom w:val="single" w:sz="4" w:space="0" w:color="auto"/>
            </w:tcBorders>
          </w:tcPr>
          <w:p w14:paraId="2D30093A" w14:textId="77777777" w:rsidR="000D6D4F" w:rsidRPr="00CD4906" w:rsidRDefault="000D6D4F" w:rsidP="00CD4906">
            <w:pPr>
              <w:tabs>
                <w:tab w:val="left" w:pos="567"/>
              </w:tabs>
              <w:spacing w:after="60"/>
              <w:rPr>
                <w:rFonts w:cs="Calibri"/>
                <w:sz w:val="22"/>
                <w:szCs w:val="22"/>
              </w:rPr>
            </w:pPr>
            <w:r w:rsidRPr="00CD4906">
              <w:rPr>
                <w:rFonts w:cs="Calibri"/>
                <w:sz w:val="22"/>
                <w:szCs w:val="22"/>
              </w:rPr>
              <w:t>10 a. Update on the preparations for WTDC</w:t>
            </w:r>
          </w:p>
        </w:tc>
        <w:tc>
          <w:tcPr>
            <w:tcW w:w="5812" w:type="dxa"/>
            <w:tcBorders>
              <w:bottom w:val="single" w:sz="4" w:space="0" w:color="auto"/>
            </w:tcBorders>
          </w:tcPr>
          <w:p w14:paraId="26DECF76" w14:textId="5FB42E0A" w:rsidR="000D6D4F" w:rsidRPr="00CD4906" w:rsidRDefault="000D6D4F" w:rsidP="00CD4906">
            <w:pPr>
              <w:overflowPunct/>
              <w:spacing w:after="120"/>
              <w:textAlignment w:val="auto"/>
              <w:rPr>
                <w:sz w:val="22"/>
                <w:szCs w:val="22"/>
              </w:rPr>
            </w:pPr>
            <w:r w:rsidRPr="00CD4906">
              <w:rPr>
                <w:sz w:val="22"/>
                <w:szCs w:val="22"/>
              </w:rPr>
              <w:t xml:space="preserve">TDAG welcomed document </w:t>
            </w:r>
            <w:hyperlink r:id="rId39" w:history="1">
              <w:r w:rsidRPr="00CD4906">
                <w:rPr>
                  <w:rStyle w:val="Hyperlink"/>
                  <w:i/>
                  <w:iCs/>
                  <w:sz w:val="22"/>
                  <w:szCs w:val="22"/>
                </w:rPr>
                <w:t>16</w:t>
              </w:r>
            </w:hyperlink>
            <w:r w:rsidRPr="00CD4906">
              <w:rPr>
                <w:i/>
                <w:iCs/>
                <w:sz w:val="22"/>
                <w:szCs w:val="22"/>
              </w:rPr>
              <w:t xml:space="preserve"> </w:t>
            </w:r>
            <w:r w:rsidRPr="00CD4906">
              <w:rPr>
                <w:sz w:val="22"/>
                <w:szCs w:val="22"/>
              </w:rPr>
              <w:t xml:space="preserve">and presentation document </w:t>
            </w:r>
            <w:hyperlink r:id="rId40" w:history="1">
              <w:r w:rsidRPr="00CD4906">
                <w:rPr>
                  <w:rStyle w:val="Hyperlink"/>
                  <w:i/>
                  <w:iCs/>
                  <w:sz w:val="22"/>
                  <w:szCs w:val="22"/>
                </w:rPr>
                <w:t>69</w:t>
              </w:r>
            </w:hyperlink>
            <w:r w:rsidRPr="00CD4906">
              <w:rPr>
                <w:rStyle w:val="Hyperlink"/>
                <w:i/>
                <w:iCs/>
                <w:sz w:val="22"/>
                <w:szCs w:val="22"/>
              </w:rPr>
              <w:t xml:space="preserve"> </w:t>
            </w:r>
            <w:r w:rsidRPr="00CD4906">
              <w:rPr>
                <w:sz w:val="22"/>
                <w:szCs w:val="22"/>
              </w:rPr>
              <w:t xml:space="preserve">and thanked the government of Argentina for hosting the forthcoming WTDC in Buenos Aires from 9-20 October 2017. With regards to document </w:t>
            </w:r>
            <w:hyperlink r:id="rId41" w:history="1">
              <w:r w:rsidRPr="00CD4906">
                <w:rPr>
                  <w:rStyle w:val="Hyperlink"/>
                  <w:i/>
                  <w:iCs/>
                  <w:sz w:val="22"/>
                  <w:szCs w:val="22"/>
                </w:rPr>
                <w:t>16</w:t>
              </w:r>
            </w:hyperlink>
            <w:r w:rsidRPr="001E6206">
              <w:rPr>
                <w:rStyle w:val="Hyperlink"/>
                <w:color w:val="auto"/>
                <w:sz w:val="22"/>
                <w:szCs w:val="22"/>
                <w:u w:val="none"/>
              </w:rPr>
              <w:t>,</w:t>
            </w:r>
            <w:r w:rsidRPr="001E6206">
              <w:rPr>
                <w:rStyle w:val="Hyperlink"/>
                <w:sz w:val="22"/>
                <w:szCs w:val="22"/>
                <w:u w:val="none"/>
              </w:rPr>
              <w:t xml:space="preserve"> </w:t>
            </w:r>
            <w:r w:rsidRPr="00CD4906">
              <w:rPr>
                <w:sz w:val="22"/>
                <w:szCs w:val="22"/>
              </w:rPr>
              <w:t>the meeting supported the proposal of maintaining policy statements while limiting their duration to 3minutes. One delegation pointed out that the opportunity of policy statements should be extended to all Heads of delegation. TDAG advised the BDT Director to consider this proposal.</w:t>
            </w:r>
          </w:p>
        </w:tc>
      </w:tr>
      <w:tr w:rsidR="000D6D4F" w:rsidRPr="0028019A" w14:paraId="23BDBEDC" w14:textId="77777777" w:rsidTr="005E5E51">
        <w:trPr>
          <w:cantSplit/>
        </w:trPr>
        <w:tc>
          <w:tcPr>
            <w:tcW w:w="3402" w:type="dxa"/>
            <w:tcBorders>
              <w:bottom w:val="single" w:sz="4" w:space="0" w:color="auto"/>
            </w:tcBorders>
          </w:tcPr>
          <w:p w14:paraId="70755478" w14:textId="77777777" w:rsidR="000D6D4F" w:rsidRPr="00CD4906" w:rsidRDefault="000D6D4F" w:rsidP="00CD4906">
            <w:pPr>
              <w:tabs>
                <w:tab w:val="left" w:pos="567"/>
              </w:tabs>
              <w:spacing w:after="60"/>
              <w:rPr>
                <w:rFonts w:cs="Calibri"/>
                <w:sz w:val="22"/>
                <w:szCs w:val="22"/>
              </w:rPr>
            </w:pPr>
            <w:r w:rsidRPr="00CD4906">
              <w:rPr>
                <w:rFonts w:cs="Calibri"/>
                <w:sz w:val="22"/>
                <w:szCs w:val="22"/>
              </w:rPr>
              <w:t>10 b. Report of RPM-CM</w:t>
            </w:r>
          </w:p>
        </w:tc>
        <w:tc>
          <w:tcPr>
            <w:tcW w:w="5812" w:type="dxa"/>
            <w:tcBorders>
              <w:bottom w:val="single" w:sz="4" w:space="0" w:color="auto"/>
            </w:tcBorders>
          </w:tcPr>
          <w:p w14:paraId="603671EF" w14:textId="77777777" w:rsidR="000D6D4F" w:rsidRPr="00CD4906" w:rsidRDefault="000D6D4F" w:rsidP="00CD4906">
            <w:pPr>
              <w:overflowPunct/>
              <w:spacing w:after="120"/>
              <w:textAlignment w:val="auto"/>
              <w:rPr>
                <w:sz w:val="22"/>
                <w:szCs w:val="22"/>
              </w:rPr>
            </w:pPr>
            <w:r w:rsidRPr="00CD4906">
              <w:rPr>
                <w:sz w:val="22"/>
                <w:szCs w:val="22"/>
              </w:rPr>
              <w:t>TDAG welcomed the report and emphasized the importance of organizing RPMs in preparation for WTDC. TDAG advised that RPMs be organized as close as possible to WTDC and the reports of the RPMs should be reported to the last TDAG meeting before WTDC.</w:t>
            </w:r>
          </w:p>
        </w:tc>
      </w:tr>
      <w:tr w:rsidR="000D6D4F" w:rsidRPr="005C4438" w14:paraId="090E8D0C" w14:textId="77777777" w:rsidTr="005E5E51">
        <w:trPr>
          <w:cantSplit/>
        </w:trPr>
        <w:tc>
          <w:tcPr>
            <w:tcW w:w="3402" w:type="dxa"/>
            <w:tcBorders>
              <w:bottom w:val="single" w:sz="4" w:space="0" w:color="auto"/>
            </w:tcBorders>
          </w:tcPr>
          <w:p w14:paraId="414FBA04" w14:textId="77777777" w:rsidR="000D6D4F" w:rsidRPr="00CD4906" w:rsidRDefault="000D6D4F" w:rsidP="00346D34">
            <w:pPr>
              <w:rPr>
                <w:sz w:val="22"/>
                <w:szCs w:val="22"/>
              </w:rPr>
            </w:pPr>
            <w:r w:rsidRPr="00CD4906">
              <w:rPr>
                <w:sz w:val="22"/>
                <w:szCs w:val="22"/>
              </w:rPr>
              <w:lastRenderedPageBreak/>
              <w:t>10 c. Structure of WTDC-17</w:t>
            </w:r>
          </w:p>
        </w:tc>
        <w:tc>
          <w:tcPr>
            <w:tcW w:w="5812" w:type="dxa"/>
            <w:tcBorders>
              <w:bottom w:val="single" w:sz="4" w:space="0" w:color="auto"/>
            </w:tcBorders>
          </w:tcPr>
          <w:p w14:paraId="2A9FF8DB" w14:textId="77777777" w:rsidR="000D6D4F" w:rsidRPr="00CD4906" w:rsidRDefault="000D6D4F" w:rsidP="00CD4906">
            <w:pPr>
              <w:widowControl w:val="0"/>
              <w:rPr>
                <w:sz w:val="22"/>
                <w:szCs w:val="22"/>
              </w:rPr>
            </w:pPr>
            <w:r w:rsidRPr="00CD4906">
              <w:rPr>
                <w:sz w:val="22"/>
                <w:szCs w:val="22"/>
              </w:rPr>
              <w:t>TDAG welcomed the document and advised the Director of BDT and to WTDC-17 that:</w:t>
            </w:r>
          </w:p>
          <w:p w14:paraId="561AB563" w14:textId="77777777" w:rsidR="000D6D4F" w:rsidRPr="00CD4906" w:rsidRDefault="000D6D4F" w:rsidP="00CD4906">
            <w:pPr>
              <w:widowControl w:val="0"/>
              <w:rPr>
                <w:sz w:val="22"/>
                <w:szCs w:val="22"/>
              </w:rPr>
            </w:pPr>
            <w:r w:rsidRPr="00CD4906">
              <w:rPr>
                <w:sz w:val="22"/>
                <w:szCs w:val="22"/>
              </w:rPr>
              <w:t xml:space="preserve">1) The number of drafting/ad hoc group meetings should be kept to the minimum. </w:t>
            </w:r>
          </w:p>
          <w:p w14:paraId="59AD69E9" w14:textId="77777777" w:rsidR="000D6D4F" w:rsidRPr="00CD4906" w:rsidRDefault="000D6D4F" w:rsidP="00CD4906">
            <w:pPr>
              <w:widowControl w:val="0"/>
              <w:rPr>
                <w:sz w:val="22"/>
                <w:szCs w:val="22"/>
              </w:rPr>
            </w:pPr>
            <w:r w:rsidRPr="00CD4906">
              <w:rPr>
                <w:sz w:val="22"/>
                <w:szCs w:val="22"/>
              </w:rPr>
              <w:t>2) Such meetings should not be held in parallel, to the extent possible, in particular drafting groups should not be organized parallel to the parent Committee.</w:t>
            </w:r>
          </w:p>
          <w:p w14:paraId="6CC4EC67" w14:textId="2B434959" w:rsidR="000D6D4F" w:rsidRPr="00CD4906" w:rsidRDefault="000D6D4F" w:rsidP="00CD4906">
            <w:pPr>
              <w:widowControl w:val="0"/>
              <w:rPr>
                <w:sz w:val="22"/>
                <w:szCs w:val="22"/>
              </w:rPr>
            </w:pPr>
            <w:r w:rsidRPr="00CD4906">
              <w:rPr>
                <w:sz w:val="22"/>
                <w:szCs w:val="22"/>
              </w:rPr>
              <w:t xml:space="preserve">3) The cut-off time for ad hoc meetings should be limited to 2300h local time and no meetings should be held on Sundays. </w:t>
            </w:r>
          </w:p>
          <w:p w14:paraId="59AE26AC" w14:textId="77777777" w:rsidR="000D6D4F" w:rsidRPr="00CD4906" w:rsidRDefault="000D6D4F" w:rsidP="00CD4906">
            <w:pPr>
              <w:overflowPunct/>
              <w:spacing w:after="120"/>
              <w:textAlignment w:val="auto"/>
              <w:rPr>
                <w:sz w:val="22"/>
                <w:szCs w:val="22"/>
              </w:rPr>
            </w:pPr>
            <w:r w:rsidRPr="00CD4906">
              <w:rPr>
                <w:sz w:val="22"/>
                <w:szCs w:val="22"/>
              </w:rPr>
              <w:t>4) All timetables and notifications regarding all meetings, including ad hoc groups, occurring the next day should be announced on the screens and published not later than 2100h.</w:t>
            </w:r>
          </w:p>
        </w:tc>
      </w:tr>
      <w:tr w:rsidR="000D6D4F" w:rsidRPr="005C4438" w14:paraId="5C39FDAD" w14:textId="77777777" w:rsidTr="005E5E51">
        <w:trPr>
          <w:cantSplit/>
        </w:trPr>
        <w:tc>
          <w:tcPr>
            <w:tcW w:w="3402" w:type="dxa"/>
            <w:tcBorders>
              <w:bottom w:val="single" w:sz="4" w:space="0" w:color="auto"/>
            </w:tcBorders>
          </w:tcPr>
          <w:p w14:paraId="0E45C2CE" w14:textId="77777777" w:rsidR="000D6D4F" w:rsidRPr="00CD4906" w:rsidRDefault="000D6D4F" w:rsidP="00CD4906">
            <w:pPr>
              <w:tabs>
                <w:tab w:val="left" w:pos="567"/>
              </w:tabs>
              <w:spacing w:after="60"/>
              <w:rPr>
                <w:rFonts w:cs="Calibri"/>
                <w:sz w:val="22"/>
                <w:szCs w:val="22"/>
              </w:rPr>
            </w:pPr>
            <w:r w:rsidRPr="00CD4906">
              <w:rPr>
                <w:rFonts w:cs="Calibri"/>
                <w:sz w:val="22"/>
                <w:szCs w:val="22"/>
              </w:rPr>
              <w:t>10 d. ITU-D Contribution to the Draft ITU Strategic Plan</w:t>
            </w:r>
          </w:p>
        </w:tc>
        <w:tc>
          <w:tcPr>
            <w:tcW w:w="5812" w:type="dxa"/>
            <w:tcBorders>
              <w:bottom w:val="single" w:sz="4" w:space="0" w:color="auto"/>
            </w:tcBorders>
          </w:tcPr>
          <w:p w14:paraId="254F0A37" w14:textId="77777777" w:rsidR="000D6D4F" w:rsidRPr="00CD4906" w:rsidRDefault="000D6D4F" w:rsidP="00CD4906">
            <w:pPr>
              <w:widowControl w:val="0"/>
              <w:rPr>
                <w:sz w:val="22"/>
                <w:szCs w:val="22"/>
              </w:rPr>
            </w:pPr>
            <w:r w:rsidRPr="00CD4906">
              <w:rPr>
                <w:sz w:val="22"/>
                <w:szCs w:val="22"/>
              </w:rPr>
              <w:t>Documents were considered during the meeting of the TDAG Correspondence Group on Strategic Plan, Operational Plan and Declaration (CG-SPOPD) which took place on 9 May 2017.</w:t>
            </w:r>
          </w:p>
          <w:p w14:paraId="6447AE5B" w14:textId="77777777" w:rsidR="000D6D4F" w:rsidRPr="00CD4906" w:rsidRDefault="000D6D4F" w:rsidP="00CD4906">
            <w:pPr>
              <w:widowControl w:val="0"/>
              <w:rPr>
                <w:sz w:val="22"/>
                <w:szCs w:val="22"/>
              </w:rPr>
            </w:pPr>
            <w:r w:rsidRPr="00CD4906">
              <w:rPr>
                <w:sz w:val="22"/>
                <w:szCs w:val="22"/>
              </w:rPr>
              <w:t xml:space="preserve">TDAG welcomed the results achieved by the CG-SPOPD and expressed appreciation to the Chairman, Dr Fabio </w:t>
            </w:r>
            <w:proofErr w:type="spellStart"/>
            <w:r w:rsidRPr="00CD4906">
              <w:rPr>
                <w:sz w:val="22"/>
                <w:szCs w:val="22"/>
              </w:rPr>
              <w:t>Bigi</w:t>
            </w:r>
            <w:proofErr w:type="spellEnd"/>
            <w:r w:rsidRPr="00CD4906">
              <w:rPr>
                <w:sz w:val="22"/>
                <w:szCs w:val="22"/>
              </w:rPr>
              <w:t xml:space="preserve"> for the work undertaken. TDAG requested the BDT Director to submit to WTDC-17 the versions of the preliminary draft ITU-D contribution to the ITU Strategic Plan for 2020-2023 (RPM-XXX/7), the preliminary draft ITU-D Action Plan for 2018-2021 (RPM-XXX/8) and the preliminary draft WTDC-17 Declaration (RPM-XXX/9) that were submitted to each RPM. Members will be invited to make their proposals to WTDC-17 based on these documents.  </w:t>
            </w:r>
          </w:p>
          <w:p w14:paraId="2CF8B2C0" w14:textId="77777777" w:rsidR="000D6D4F" w:rsidRPr="00CD4906" w:rsidRDefault="000D6D4F" w:rsidP="00CD4906">
            <w:pPr>
              <w:widowControl w:val="0"/>
              <w:rPr>
                <w:sz w:val="22"/>
                <w:szCs w:val="22"/>
              </w:rPr>
            </w:pPr>
            <w:r w:rsidRPr="00CD4906">
              <w:rPr>
                <w:sz w:val="22"/>
                <w:szCs w:val="22"/>
              </w:rPr>
              <w:t>The TDAG drew attention to documents TDAG17-22/7, TDAG17-22/8 and TDAG17-22/9, which contain the compilation of outcomes by RPMs and contributions to TDAG17 and invited members to use these documents in their preparation for WTDC-17.</w:t>
            </w:r>
          </w:p>
          <w:p w14:paraId="5BEE337C" w14:textId="77777777" w:rsidR="000D6D4F" w:rsidRPr="00CD4906" w:rsidRDefault="000D6D4F" w:rsidP="00CD4906">
            <w:pPr>
              <w:overflowPunct/>
              <w:spacing w:after="120"/>
              <w:textAlignment w:val="auto"/>
              <w:rPr>
                <w:sz w:val="22"/>
                <w:szCs w:val="22"/>
              </w:rPr>
            </w:pPr>
            <w:r w:rsidRPr="00CD4906">
              <w:rPr>
                <w:sz w:val="22"/>
                <w:szCs w:val="22"/>
              </w:rPr>
              <w:t>Considering that the regional groups will continue to work on preparation for WTDC-17, the Secretariat was requested to publish a list of meetings for all the regional groups.  The regional groups were encouraged to identify a focal point for each document and share their contact details so that the regional organizations could attempt to coordinate amongst themselves in an effort to reach agreement in advance of WTDC-17. Regional organizations were also requested to immediately inform the secretariat of any changes on place and dates of their meeting so they are published on the BDT website.</w:t>
            </w:r>
          </w:p>
        </w:tc>
      </w:tr>
      <w:tr w:rsidR="000D6D4F" w:rsidRPr="00C20EE0" w14:paraId="1081F620" w14:textId="77777777" w:rsidTr="005E5E51">
        <w:trPr>
          <w:cantSplit/>
        </w:trPr>
        <w:tc>
          <w:tcPr>
            <w:tcW w:w="3402" w:type="dxa"/>
            <w:tcBorders>
              <w:bottom w:val="single" w:sz="4" w:space="0" w:color="auto"/>
            </w:tcBorders>
          </w:tcPr>
          <w:p w14:paraId="37C5C9B0" w14:textId="77777777" w:rsidR="000D6D4F" w:rsidRPr="00CD4906" w:rsidRDefault="000D6D4F" w:rsidP="00CD4906">
            <w:pPr>
              <w:tabs>
                <w:tab w:val="left" w:pos="567"/>
              </w:tabs>
              <w:spacing w:after="60"/>
              <w:rPr>
                <w:rFonts w:cs="Calibri"/>
                <w:sz w:val="22"/>
                <w:szCs w:val="22"/>
              </w:rPr>
            </w:pPr>
            <w:r w:rsidRPr="00CD4906">
              <w:rPr>
                <w:rFonts w:cs="Calibri"/>
                <w:sz w:val="22"/>
                <w:szCs w:val="22"/>
              </w:rPr>
              <w:lastRenderedPageBreak/>
              <w:t>10 e. Draft ITU-D Action Plan (including ITU-D Study Group Questions)</w:t>
            </w:r>
          </w:p>
        </w:tc>
        <w:tc>
          <w:tcPr>
            <w:tcW w:w="5812" w:type="dxa"/>
            <w:tcBorders>
              <w:top w:val="single" w:sz="4" w:space="0" w:color="auto"/>
              <w:bottom w:val="single" w:sz="4" w:space="0" w:color="auto"/>
            </w:tcBorders>
          </w:tcPr>
          <w:p w14:paraId="39D737BC" w14:textId="0E4C975F" w:rsidR="000D6D4F" w:rsidRPr="00CD4906" w:rsidRDefault="000D6D4F">
            <w:pPr>
              <w:overflowPunct/>
              <w:spacing w:after="120"/>
              <w:textAlignment w:val="auto"/>
              <w:rPr>
                <w:sz w:val="22"/>
                <w:szCs w:val="22"/>
              </w:rPr>
            </w:pPr>
            <w:r w:rsidRPr="00CD4906">
              <w:rPr>
                <w:sz w:val="22"/>
                <w:szCs w:val="22"/>
              </w:rPr>
              <w:t xml:space="preserve">TDAG agreed that the existing mechanism of the two Expert Groups on Indicators was suited to discuss issues related to indicators and statistics, which also allowed for </w:t>
            </w:r>
            <w:proofErr w:type="spellStart"/>
            <w:r w:rsidRPr="00CD4906">
              <w:rPr>
                <w:sz w:val="22"/>
                <w:szCs w:val="22"/>
              </w:rPr>
              <w:t>multistakeholder</w:t>
            </w:r>
            <w:proofErr w:type="spellEnd"/>
            <w:r w:rsidRPr="00CD4906">
              <w:rPr>
                <w:sz w:val="22"/>
                <w:szCs w:val="22"/>
              </w:rPr>
              <w:t xml:space="preserve"> participation, in particular from National Statistical Offices. TDAG requested the Secretariat </w:t>
            </w:r>
            <w:r w:rsidR="00E52982">
              <w:t xml:space="preserve">to continue providing support to the Expert </w:t>
            </w:r>
            <w:r w:rsidR="006D4678">
              <w:t>G</w:t>
            </w:r>
            <w:r w:rsidR="00E52982">
              <w:t>roups in improvement of the methodology taking into account the fast changing environment within telecommunication/ICT sector and</w:t>
            </w:r>
            <w:r w:rsidR="00E52982" w:rsidRPr="00CD4906">
              <w:rPr>
                <w:sz w:val="22"/>
                <w:szCs w:val="22"/>
              </w:rPr>
              <w:t xml:space="preserve"> </w:t>
            </w:r>
            <w:r w:rsidRPr="00CD4906">
              <w:rPr>
                <w:sz w:val="22"/>
                <w:szCs w:val="22"/>
              </w:rPr>
              <w:t>to report on the work of the Expert Groups at every TDAG meeting.</w:t>
            </w:r>
          </w:p>
        </w:tc>
      </w:tr>
      <w:tr w:rsidR="000D6D4F" w:rsidRPr="00B8456A" w14:paraId="68A18B7A" w14:textId="77777777" w:rsidTr="005E5E51">
        <w:trPr>
          <w:cantSplit/>
        </w:trPr>
        <w:tc>
          <w:tcPr>
            <w:tcW w:w="3402" w:type="dxa"/>
            <w:tcBorders>
              <w:bottom w:val="single" w:sz="4" w:space="0" w:color="auto"/>
            </w:tcBorders>
          </w:tcPr>
          <w:p w14:paraId="64CBE065" w14:textId="77777777" w:rsidR="000D6D4F" w:rsidRPr="00CD4906" w:rsidRDefault="000D6D4F" w:rsidP="00CD4906">
            <w:pPr>
              <w:tabs>
                <w:tab w:val="left" w:pos="567"/>
              </w:tabs>
              <w:spacing w:after="60"/>
              <w:rPr>
                <w:rFonts w:cs="Calibri"/>
                <w:sz w:val="22"/>
                <w:szCs w:val="22"/>
              </w:rPr>
            </w:pPr>
            <w:r w:rsidRPr="00CD4906">
              <w:rPr>
                <w:sz w:val="22"/>
                <w:szCs w:val="22"/>
              </w:rPr>
              <w:t>10 f. Draft WTDC-17 Declaration</w:t>
            </w:r>
          </w:p>
        </w:tc>
        <w:tc>
          <w:tcPr>
            <w:tcW w:w="5812" w:type="dxa"/>
            <w:tcBorders>
              <w:top w:val="single" w:sz="4" w:space="0" w:color="auto"/>
              <w:bottom w:val="single" w:sz="4" w:space="0" w:color="auto"/>
            </w:tcBorders>
          </w:tcPr>
          <w:p w14:paraId="7C6C7A6C" w14:textId="77777777" w:rsidR="000D6D4F" w:rsidRPr="00CD4906" w:rsidRDefault="000D6D4F" w:rsidP="00CD4906">
            <w:pPr>
              <w:widowControl w:val="0"/>
              <w:rPr>
                <w:sz w:val="22"/>
                <w:szCs w:val="22"/>
              </w:rPr>
            </w:pPr>
          </w:p>
        </w:tc>
      </w:tr>
      <w:tr w:rsidR="000D6D4F" w:rsidRPr="0028019A" w14:paraId="68C016C8" w14:textId="77777777" w:rsidTr="005E5E51">
        <w:trPr>
          <w:cantSplit/>
        </w:trPr>
        <w:tc>
          <w:tcPr>
            <w:tcW w:w="3402" w:type="dxa"/>
            <w:tcBorders>
              <w:bottom w:val="single" w:sz="4" w:space="0" w:color="auto"/>
            </w:tcBorders>
          </w:tcPr>
          <w:p w14:paraId="1870A61B" w14:textId="77777777" w:rsidR="000D6D4F" w:rsidRPr="00CD4906" w:rsidRDefault="000D6D4F" w:rsidP="00CD4906">
            <w:pPr>
              <w:tabs>
                <w:tab w:val="left" w:pos="567"/>
              </w:tabs>
              <w:spacing w:after="60"/>
              <w:rPr>
                <w:rFonts w:cs="Calibri"/>
                <w:sz w:val="22"/>
                <w:szCs w:val="22"/>
              </w:rPr>
            </w:pPr>
            <w:r w:rsidRPr="00CD4906">
              <w:rPr>
                <w:sz w:val="22"/>
                <w:szCs w:val="22"/>
              </w:rPr>
              <w:t>10 g. Working methods and Rules of Procedure of ITU-D (WTDC Resolution 1)</w:t>
            </w:r>
          </w:p>
        </w:tc>
        <w:tc>
          <w:tcPr>
            <w:tcW w:w="5812" w:type="dxa"/>
            <w:tcBorders>
              <w:bottom w:val="single" w:sz="4" w:space="0" w:color="auto"/>
            </w:tcBorders>
          </w:tcPr>
          <w:p w14:paraId="34A12B08" w14:textId="77777777" w:rsidR="000D6D4F" w:rsidRPr="00CD4906" w:rsidRDefault="000D6D4F" w:rsidP="00CD4906">
            <w:pPr>
              <w:widowControl w:val="0"/>
              <w:rPr>
                <w:sz w:val="22"/>
                <w:szCs w:val="22"/>
              </w:rPr>
            </w:pPr>
            <w:r w:rsidRPr="00CD4906">
              <w:rPr>
                <w:sz w:val="22"/>
                <w:szCs w:val="22"/>
              </w:rPr>
              <w:t>Documents were discussed during the meeting of the TDAG Correspondence Group on Rules of Procedure of ITU-D (CG-Res1) which took place on 10 May 2017.</w:t>
            </w:r>
          </w:p>
          <w:p w14:paraId="25FCA7DA" w14:textId="77777777" w:rsidR="000D6D4F" w:rsidRPr="00CD4906" w:rsidRDefault="000D6D4F" w:rsidP="00CD4906">
            <w:pPr>
              <w:overflowPunct/>
              <w:spacing w:after="120"/>
              <w:textAlignment w:val="auto"/>
              <w:rPr>
                <w:sz w:val="22"/>
                <w:szCs w:val="22"/>
              </w:rPr>
            </w:pPr>
            <w:r w:rsidRPr="00CD4906">
              <w:rPr>
                <w:bCs/>
                <w:sz w:val="22"/>
                <w:szCs w:val="22"/>
              </w:rPr>
              <w:t xml:space="preserve">TDAG </w:t>
            </w:r>
            <w:r w:rsidRPr="00CD4906">
              <w:rPr>
                <w:sz w:val="22"/>
                <w:szCs w:val="22"/>
              </w:rPr>
              <w:t xml:space="preserve">welcomed the results achieved by the CG-Res.1 and expressed appreciation </w:t>
            </w:r>
            <w:r w:rsidRPr="00CD4906">
              <w:rPr>
                <w:bCs/>
                <w:sz w:val="22"/>
                <w:szCs w:val="22"/>
              </w:rPr>
              <w:t xml:space="preserve">to the Chairman, Ms Roxanne </w:t>
            </w:r>
            <w:proofErr w:type="spellStart"/>
            <w:r w:rsidRPr="00CD4906">
              <w:rPr>
                <w:bCs/>
                <w:sz w:val="22"/>
                <w:szCs w:val="22"/>
              </w:rPr>
              <w:t>McElvane</w:t>
            </w:r>
            <w:proofErr w:type="spellEnd"/>
            <w:r w:rsidRPr="00CD4906">
              <w:rPr>
                <w:bCs/>
                <w:sz w:val="22"/>
                <w:szCs w:val="22"/>
              </w:rPr>
              <w:t xml:space="preserve"> Webber for the work undertaken. TDAG advised members to use the compilation document TDAG17-22/10 in the preparation for WTDC.</w:t>
            </w:r>
          </w:p>
        </w:tc>
      </w:tr>
      <w:tr w:rsidR="000D6D4F" w:rsidRPr="00141E9D" w14:paraId="6664420E" w14:textId="77777777" w:rsidTr="005E5E51">
        <w:trPr>
          <w:cantSplit/>
        </w:trPr>
        <w:tc>
          <w:tcPr>
            <w:tcW w:w="3402" w:type="dxa"/>
            <w:tcBorders>
              <w:bottom w:val="single" w:sz="4" w:space="0" w:color="auto"/>
            </w:tcBorders>
          </w:tcPr>
          <w:p w14:paraId="2C36E687" w14:textId="77777777" w:rsidR="000D6D4F" w:rsidRPr="00CD4906" w:rsidRDefault="000D6D4F" w:rsidP="00CD4906">
            <w:pPr>
              <w:tabs>
                <w:tab w:val="left" w:pos="567"/>
              </w:tabs>
              <w:spacing w:after="60"/>
              <w:rPr>
                <w:rFonts w:cs="Calibri"/>
                <w:sz w:val="22"/>
                <w:szCs w:val="22"/>
              </w:rPr>
            </w:pPr>
            <w:r w:rsidRPr="00CD4906">
              <w:rPr>
                <w:rFonts w:cs="Calibri"/>
                <w:sz w:val="22"/>
                <w:szCs w:val="22"/>
              </w:rPr>
              <w:t>10 h. Streamlining WTDC Resolutions</w:t>
            </w:r>
          </w:p>
        </w:tc>
        <w:tc>
          <w:tcPr>
            <w:tcW w:w="5812" w:type="dxa"/>
            <w:tcBorders>
              <w:bottom w:val="single" w:sz="4" w:space="0" w:color="auto"/>
            </w:tcBorders>
          </w:tcPr>
          <w:p w14:paraId="513683C9" w14:textId="77777777" w:rsidR="000D6D4F" w:rsidRPr="00CD4906" w:rsidRDefault="000D6D4F" w:rsidP="00CD4906">
            <w:pPr>
              <w:tabs>
                <w:tab w:val="left" w:pos="567"/>
              </w:tabs>
              <w:rPr>
                <w:rFonts w:ascii="Calibri" w:hAnsi="Calibri"/>
                <w:sz w:val="22"/>
                <w:szCs w:val="22"/>
              </w:rPr>
            </w:pPr>
            <w:r w:rsidRPr="00CD4906">
              <w:rPr>
                <w:rFonts w:ascii="Calibri" w:hAnsi="Calibri"/>
                <w:sz w:val="22"/>
                <w:szCs w:val="22"/>
              </w:rPr>
              <w:t xml:space="preserve">Documents were considered by the meeting of TDAG Correspondence Group on Streamlining WTDC Resolutions (CG-SR) </w:t>
            </w:r>
            <w:r w:rsidRPr="00CD4906">
              <w:rPr>
                <w:sz w:val="22"/>
                <w:szCs w:val="22"/>
              </w:rPr>
              <w:t>which took place on 10 May 2017</w:t>
            </w:r>
            <w:r w:rsidRPr="00CD4906">
              <w:rPr>
                <w:rFonts w:ascii="Calibri" w:hAnsi="Calibri"/>
                <w:sz w:val="22"/>
                <w:szCs w:val="22"/>
              </w:rPr>
              <w:t>.</w:t>
            </w:r>
          </w:p>
          <w:p w14:paraId="336A9F72" w14:textId="77777777" w:rsidR="000D6D4F" w:rsidRPr="00CD4906" w:rsidRDefault="000D6D4F" w:rsidP="00CD4906">
            <w:pPr>
              <w:widowControl w:val="0"/>
              <w:rPr>
                <w:bCs/>
                <w:sz w:val="22"/>
                <w:szCs w:val="22"/>
              </w:rPr>
            </w:pPr>
            <w:r w:rsidRPr="00CD4906">
              <w:rPr>
                <w:bCs/>
                <w:sz w:val="22"/>
                <w:szCs w:val="22"/>
              </w:rPr>
              <w:t xml:space="preserve">TDAG </w:t>
            </w:r>
            <w:r w:rsidRPr="00CD4906">
              <w:rPr>
                <w:sz w:val="22"/>
                <w:szCs w:val="22"/>
              </w:rPr>
              <w:t xml:space="preserve">welcomed the results achieved by the CG-SR and expressed appreciation to the Chairman, Dr Ahmad Reza </w:t>
            </w:r>
            <w:proofErr w:type="spellStart"/>
            <w:r w:rsidRPr="00CD4906">
              <w:rPr>
                <w:sz w:val="22"/>
                <w:szCs w:val="22"/>
              </w:rPr>
              <w:t>Sharafat</w:t>
            </w:r>
            <w:proofErr w:type="spellEnd"/>
            <w:r w:rsidRPr="00CD4906">
              <w:rPr>
                <w:sz w:val="22"/>
                <w:szCs w:val="22"/>
              </w:rPr>
              <w:t xml:space="preserve"> for the work undertaken</w:t>
            </w:r>
            <w:r w:rsidRPr="00CD4906">
              <w:rPr>
                <w:bCs/>
                <w:sz w:val="22"/>
                <w:szCs w:val="22"/>
              </w:rPr>
              <w:t>. TDAG noted that the representatives of three regions expressed their wish to work on common proposals for streamlining Resolutions 17 and 32 and Resolutions 37 and 50.</w:t>
            </w:r>
          </w:p>
          <w:p w14:paraId="1C73A1B2" w14:textId="77777777" w:rsidR="000D6D4F" w:rsidRPr="00CD4906" w:rsidRDefault="000D6D4F" w:rsidP="00CD4906">
            <w:pPr>
              <w:widowControl w:val="0"/>
              <w:rPr>
                <w:bCs/>
                <w:sz w:val="22"/>
                <w:szCs w:val="22"/>
              </w:rPr>
            </w:pPr>
            <w:r w:rsidRPr="00CD4906">
              <w:rPr>
                <w:bCs/>
                <w:sz w:val="22"/>
                <w:szCs w:val="22"/>
              </w:rPr>
              <w:t xml:space="preserve">TDAG endorsed the guidelines for streamlining WTDC resolutions in annex 1 to TDAG17-22/11 and recommended to use the material in the preparation for WTDC. </w:t>
            </w:r>
          </w:p>
          <w:p w14:paraId="27FB1513" w14:textId="4C44562D" w:rsidR="000D6D4F" w:rsidRPr="00CD4906" w:rsidRDefault="000D6D4F" w:rsidP="00CD4906">
            <w:pPr>
              <w:overflowPunct/>
              <w:spacing w:after="120"/>
              <w:textAlignment w:val="auto"/>
              <w:rPr>
                <w:bCs/>
                <w:sz w:val="22"/>
                <w:szCs w:val="22"/>
              </w:rPr>
            </w:pPr>
            <w:r w:rsidRPr="00CD4906">
              <w:rPr>
                <w:bCs/>
                <w:sz w:val="22"/>
                <w:szCs w:val="22"/>
              </w:rPr>
              <w:t xml:space="preserve">For the review of the documents that had been allocated by TDAG to the CG-SR on study Questions, TDAG supported the report of CG-SR and appreciated the proposal to reduce the number of study Questions and efforts to avoid duplications. </w:t>
            </w:r>
          </w:p>
        </w:tc>
      </w:tr>
      <w:tr w:rsidR="000D6D4F" w:rsidRPr="005C4438" w14:paraId="409B55FC" w14:textId="77777777" w:rsidTr="005E5E51">
        <w:trPr>
          <w:cantSplit/>
        </w:trPr>
        <w:tc>
          <w:tcPr>
            <w:tcW w:w="3402" w:type="dxa"/>
            <w:tcBorders>
              <w:bottom w:val="single" w:sz="4" w:space="0" w:color="auto"/>
            </w:tcBorders>
          </w:tcPr>
          <w:p w14:paraId="2F471038" w14:textId="77777777" w:rsidR="000D6D4F" w:rsidRPr="00CD4906" w:rsidRDefault="000D6D4F" w:rsidP="00CD4906">
            <w:pPr>
              <w:tabs>
                <w:tab w:val="left" w:pos="567"/>
              </w:tabs>
              <w:spacing w:after="60"/>
              <w:rPr>
                <w:rFonts w:cs="Calibri"/>
                <w:sz w:val="22"/>
                <w:szCs w:val="22"/>
              </w:rPr>
            </w:pPr>
            <w:r w:rsidRPr="00CD4906">
              <w:rPr>
                <w:rFonts w:cs="Calibri"/>
                <w:sz w:val="22"/>
                <w:szCs w:val="22"/>
              </w:rPr>
              <w:lastRenderedPageBreak/>
              <w:t>11. Collaboration with the other Sectors, including a progress report by the Inter-Sector Coordination Team on Issues of Mutual Interest</w:t>
            </w:r>
          </w:p>
        </w:tc>
        <w:tc>
          <w:tcPr>
            <w:tcW w:w="5812" w:type="dxa"/>
            <w:tcBorders>
              <w:bottom w:val="single" w:sz="4" w:space="0" w:color="auto"/>
            </w:tcBorders>
          </w:tcPr>
          <w:p w14:paraId="5445F4DB" w14:textId="77777777" w:rsidR="000D6D4F" w:rsidRPr="00CD4906" w:rsidRDefault="000D6D4F" w:rsidP="00CD4906">
            <w:pPr>
              <w:tabs>
                <w:tab w:val="left" w:pos="567"/>
              </w:tabs>
              <w:rPr>
                <w:rFonts w:ascii="Calibri" w:hAnsi="Calibri"/>
                <w:sz w:val="22"/>
                <w:szCs w:val="22"/>
              </w:rPr>
            </w:pPr>
            <w:r w:rsidRPr="00CD4906">
              <w:rPr>
                <w:rFonts w:ascii="Calibri" w:hAnsi="Calibri"/>
                <w:sz w:val="22"/>
                <w:szCs w:val="22"/>
              </w:rPr>
              <w:t xml:space="preserve">Documents were considered by the meeting of Inter-Sector Coordination Team on Issues of Mutual Interest (ISCT) </w:t>
            </w:r>
            <w:r w:rsidRPr="00CD4906">
              <w:rPr>
                <w:sz w:val="22"/>
                <w:szCs w:val="22"/>
              </w:rPr>
              <w:t>which took place on 10 May 2017</w:t>
            </w:r>
            <w:r w:rsidRPr="00CD4906">
              <w:rPr>
                <w:rFonts w:ascii="Calibri" w:hAnsi="Calibri"/>
                <w:sz w:val="22"/>
                <w:szCs w:val="22"/>
              </w:rPr>
              <w:t>.</w:t>
            </w:r>
          </w:p>
          <w:p w14:paraId="1ACF5E76" w14:textId="2B57D6FA" w:rsidR="000D6D4F" w:rsidRPr="00CD4906" w:rsidRDefault="000D6D4F">
            <w:pPr>
              <w:widowControl w:val="0"/>
              <w:rPr>
                <w:sz w:val="22"/>
                <w:szCs w:val="22"/>
              </w:rPr>
            </w:pPr>
            <w:r w:rsidRPr="00CD4906">
              <w:rPr>
                <w:sz w:val="22"/>
                <w:szCs w:val="22"/>
              </w:rPr>
              <w:t xml:space="preserve">TDAG noted the report with appreciation and thanked the Chairmen, Dr Fabio </w:t>
            </w:r>
            <w:proofErr w:type="spellStart"/>
            <w:r w:rsidRPr="00CD4906">
              <w:rPr>
                <w:sz w:val="22"/>
                <w:szCs w:val="22"/>
              </w:rPr>
              <w:t>Bigi</w:t>
            </w:r>
            <w:proofErr w:type="spellEnd"/>
            <w:r w:rsidRPr="00CD4906">
              <w:rPr>
                <w:sz w:val="22"/>
                <w:szCs w:val="22"/>
              </w:rPr>
              <w:t xml:space="preserve"> for the work undertaken. It was proposed that </w:t>
            </w:r>
            <w:r w:rsidR="0080697E">
              <w:rPr>
                <w:sz w:val="22"/>
                <w:szCs w:val="22"/>
              </w:rPr>
              <w:t>g</w:t>
            </w:r>
            <w:r w:rsidRPr="00CD4906">
              <w:rPr>
                <w:sz w:val="22"/>
                <w:szCs w:val="22"/>
              </w:rPr>
              <w:t>ender aspects be considered for inclusion in the areas of mutual interest, while noting that gender is a cross-cutting issue.</w:t>
            </w:r>
          </w:p>
          <w:p w14:paraId="206793BC" w14:textId="77777777" w:rsidR="000D6D4F" w:rsidRPr="00CD4906" w:rsidRDefault="000D6D4F" w:rsidP="00CD4906">
            <w:pPr>
              <w:overflowPunct/>
              <w:spacing w:after="120"/>
              <w:textAlignment w:val="auto"/>
              <w:rPr>
                <w:sz w:val="22"/>
                <w:szCs w:val="22"/>
              </w:rPr>
            </w:pPr>
            <w:r w:rsidRPr="00CD4906">
              <w:rPr>
                <w:sz w:val="22"/>
                <w:szCs w:val="22"/>
              </w:rPr>
              <w:t>TDAG expressed its appreciation for the mapping tables provided in the appendices which are useful when preparing proposals on ITU-D study Questions. It was also proposed to add reference to ITU-R SG1 Question 1/239 on EMF in appendix 2.</w:t>
            </w:r>
          </w:p>
        </w:tc>
      </w:tr>
      <w:tr w:rsidR="000D6D4F" w:rsidRPr="005C4438" w14:paraId="2335E6A2" w14:textId="77777777" w:rsidTr="005E5E51">
        <w:trPr>
          <w:cantSplit/>
          <w:trHeight w:val="507"/>
        </w:trPr>
        <w:tc>
          <w:tcPr>
            <w:tcW w:w="3402" w:type="dxa"/>
          </w:tcPr>
          <w:p w14:paraId="223E715A" w14:textId="77777777" w:rsidR="000D6D4F" w:rsidRPr="00CD4906" w:rsidRDefault="000D6D4F" w:rsidP="00CD4906">
            <w:pPr>
              <w:tabs>
                <w:tab w:val="left" w:pos="567"/>
              </w:tabs>
              <w:spacing w:after="60"/>
              <w:rPr>
                <w:rFonts w:cs="Calibri"/>
                <w:sz w:val="22"/>
                <w:szCs w:val="22"/>
              </w:rPr>
            </w:pPr>
            <w:r w:rsidRPr="00CD4906">
              <w:rPr>
                <w:rFonts w:cs="Calibri"/>
                <w:sz w:val="22"/>
                <w:szCs w:val="22"/>
              </w:rPr>
              <w:t>12: Report of TDAG to WTDC-17</w:t>
            </w:r>
          </w:p>
        </w:tc>
        <w:tc>
          <w:tcPr>
            <w:tcW w:w="5812" w:type="dxa"/>
          </w:tcPr>
          <w:p w14:paraId="508F4424" w14:textId="77777777" w:rsidR="000D6D4F" w:rsidRPr="00CD4906" w:rsidRDefault="000D6D4F" w:rsidP="00CD4906">
            <w:pPr>
              <w:overflowPunct/>
              <w:spacing w:after="120"/>
              <w:textAlignment w:val="auto"/>
              <w:rPr>
                <w:sz w:val="22"/>
                <w:szCs w:val="22"/>
              </w:rPr>
            </w:pPr>
            <w:r w:rsidRPr="00CD4906">
              <w:rPr>
                <w:sz w:val="22"/>
                <w:szCs w:val="22"/>
              </w:rPr>
              <w:t>TDAG noted the draft report of TDAG activities for 2014-2017 to WTDC-17 and decided to request members to provide any comments to this draft by 1 June 2017. Chairman promised to finalize the report by 15 June 2017.</w:t>
            </w:r>
          </w:p>
        </w:tc>
      </w:tr>
      <w:tr w:rsidR="000D6D4F" w:rsidRPr="005C4438" w14:paraId="4AD030F0" w14:textId="77777777" w:rsidTr="005E5E51">
        <w:trPr>
          <w:cantSplit/>
        </w:trPr>
        <w:tc>
          <w:tcPr>
            <w:tcW w:w="3402" w:type="dxa"/>
            <w:tcBorders>
              <w:bottom w:val="single" w:sz="4" w:space="0" w:color="auto"/>
            </w:tcBorders>
          </w:tcPr>
          <w:p w14:paraId="65DD8840" w14:textId="77777777" w:rsidR="000D6D4F" w:rsidRPr="00CD4906" w:rsidRDefault="000D6D4F" w:rsidP="00CD4906">
            <w:pPr>
              <w:tabs>
                <w:tab w:val="left" w:pos="567"/>
              </w:tabs>
              <w:spacing w:after="60"/>
              <w:rPr>
                <w:rFonts w:cs="Calibri"/>
                <w:sz w:val="22"/>
                <w:szCs w:val="22"/>
              </w:rPr>
            </w:pPr>
            <w:r w:rsidRPr="00CD4906">
              <w:rPr>
                <w:rFonts w:cs="Calibri"/>
                <w:sz w:val="22"/>
                <w:szCs w:val="22"/>
              </w:rPr>
              <w:t>13. Report on the GCBI</w:t>
            </w:r>
          </w:p>
        </w:tc>
        <w:tc>
          <w:tcPr>
            <w:tcW w:w="5812" w:type="dxa"/>
            <w:tcBorders>
              <w:bottom w:val="single" w:sz="4" w:space="0" w:color="auto"/>
            </w:tcBorders>
          </w:tcPr>
          <w:p w14:paraId="7EC0F050" w14:textId="77777777" w:rsidR="000D6D4F" w:rsidRPr="00CD4906" w:rsidRDefault="000D6D4F" w:rsidP="00CD4906">
            <w:pPr>
              <w:overflowPunct/>
              <w:spacing w:after="120"/>
              <w:textAlignment w:val="auto"/>
              <w:rPr>
                <w:sz w:val="22"/>
                <w:szCs w:val="22"/>
              </w:rPr>
            </w:pPr>
            <w:r w:rsidRPr="00CD4906">
              <w:rPr>
                <w:sz w:val="22"/>
                <w:szCs w:val="22"/>
              </w:rPr>
              <w:t>TDAG welcomed the report and expressed its appreciation for the work of the GCBI and the Chairman Mr Santiago Reyes-</w:t>
            </w:r>
            <w:proofErr w:type="spellStart"/>
            <w:r w:rsidRPr="00CD4906">
              <w:rPr>
                <w:sz w:val="22"/>
                <w:szCs w:val="22"/>
              </w:rPr>
              <w:t>Borda</w:t>
            </w:r>
            <w:proofErr w:type="spellEnd"/>
            <w:r w:rsidRPr="00CD4906">
              <w:rPr>
                <w:sz w:val="22"/>
                <w:szCs w:val="22"/>
              </w:rPr>
              <w:t xml:space="preserve"> and encouraged the group to continue its efforts in advising the BDT Director on matters related to strengthening capacities.</w:t>
            </w:r>
          </w:p>
        </w:tc>
      </w:tr>
      <w:tr w:rsidR="000D6D4F" w:rsidRPr="005C4438" w14:paraId="104297DE" w14:textId="77777777" w:rsidTr="005E5E51">
        <w:trPr>
          <w:cantSplit/>
        </w:trPr>
        <w:tc>
          <w:tcPr>
            <w:tcW w:w="3402" w:type="dxa"/>
            <w:tcBorders>
              <w:bottom w:val="single" w:sz="4" w:space="0" w:color="auto"/>
            </w:tcBorders>
          </w:tcPr>
          <w:p w14:paraId="2FF2350A" w14:textId="77777777" w:rsidR="000D6D4F" w:rsidRPr="00CD4906" w:rsidRDefault="000D6D4F" w:rsidP="00CD4906">
            <w:pPr>
              <w:tabs>
                <w:tab w:val="left" w:pos="567"/>
              </w:tabs>
              <w:spacing w:after="60"/>
              <w:rPr>
                <w:rFonts w:cs="Calibri"/>
                <w:sz w:val="22"/>
                <w:szCs w:val="22"/>
              </w:rPr>
            </w:pPr>
            <w:r w:rsidRPr="00CD4906">
              <w:rPr>
                <w:rFonts w:cs="Calibri"/>
                <w:sz w:val="22"/>
                <w:szCs w:val="22"/>
              </w:rPr>
              <w:t>14. Report on other ITU-D activities</w:t>
            </w:r>
          </w:p>
        </w:tc>
        <w:tc>
          <w:tcPr>
            <w:tcW w:w="5812" w:type="dxa"/>
            <w:tcBorders>
              <w:bottom w:val="single" w:sz="4" w:space="0" w:color="auto"/>
            </w:tcBorders>
          </w:tcPr>
          <w:p w14:paraId="79E98FE7" w14:textId="77777777" w:rsidR="000D6D4F" w:rsidRPr="00CD4906" w:rsidRDefault="000D6D4F" w:rsidP="00CD4906">
            <w:pPr>
              <w:widowControl w:val="0"/>
              <w:rPr>
                <w:sz w:val="22"/>
                <w:szCs w:val="22"/>
              </w:rPr>
            </w:pPr>
          </w:p>
        </w:tc>
      </w:tr>
      <w:tr w:rsidR="000D6D4F" w:rsidRPr="005C4438" w14:paraId="5081E558" w14:textId="77777777" w:rsidTr="005E5E51">
        <w:trPr>
          <w:cantSplit/>
        </w:trPr>
        <w:tc>
          <w:tcPr>
            <w:tcW w:w="3402" w:type="dxa"/>
            <w:tcBorders>
              <w:bottom w:val="single" w:sz="4" w:space="0" w:color="auto"/>
            </w:tcBorders>
          </w:tcPr>
          <w:p w14:paraId="65C8D85E" w14:textId="77777777" w:rsidR="000D6D4F" w:rsidRPr="00CD4906" w:rsidRDefault="000D6D4F" w:rsidP="00CD4906">
            <w:pPr>
              <w:tabs>
                <w:tab w:val="left" w:pos="567"/>
              </w:tabs>
              <w:spacing w:after="60"/>
              <w:rPr>
                <w:rFonts w:cs="Calibri"/>
                <w:sz w:val="22"/>
                <w:szCs w:val="22"/>
              </w:rPr>
            </w:pPr>
            <w:r w:rsidRPr="00CD4906">
              <w:rPr>
                <w:rFonts w:cs="Calibri"/>
                <w:sz w:val="22"/>
                <w:szCs w:val="22"/>
              </w:rPr>
              <w:t>14 a. Report on GSR</w:t>
            </w:r>
          </w:p>
        </w:tc>
        <w:tc>
          <w:tcPr>
            <w:tcW w:w="5812" w:type="dxa"/>
            <w:tcBorders>
              <w:bottom w:val="single" w:sz="4" w:space="0" w:color="auto"/>
            </w:tcBorders>
          </w:tcPr>
          <w:p w14:paraId="65217B3E" w14:textId="77777777" w:rsidR="000D6D4F" w:rsidRPr="00CD4906" w:rsidRDefault="000D6D4F" w:rsidP="00CD4906">
            <w:pPr>
              <w:overflowPunct/>
              <w:spacing w:after="120"/>
              <w:textAlignment w:val="auto"/>
              <w:rPr>
                <w:sz w:val="22"/>
                <w:szCs w:val="22"/>
              </w:rPr>
            </w:pPr>
            <w:r w:rsidRPr="00CD4906">
              <w:rPr>
                <w:sz w:val="22"/>
                <w:szCs w:val="22"/>
              </w:rPr>
              <w:t>TDAG welcomed the document and thanked the Government of the Bahamas for hosting the forthcoming Global Symposium for Regulators (GSR) 2017.</w:t>
            </w:r>
          </w:p>
        </w:tc>
      </w:tr>
      <w:tr w:rsidR="000D6D4F" w:rsidRPr="005C4438" w14:paraId="7F093514" w14:textId="77777777" w:rsidTr="005E5E51">
        <w:trPr>
          <w:cantSplit/>
        </w:trPr>
        <w:tc>
          <w:tcPr>
            <w:tcW w:w="3402" w:type="dxa"/>
            <w:tcBorders>
              <w:bottom w:val="single" w:sz="4" w:space="0" w:color="auto"/>
            </w:tcBorders>
          </w:tcPr>
          <w:p w14:paraId="2248496C" w14:textId="77777777" w:rsidR="000D6D4F" w:rsidRPr="00CD4906" w:rsidRDefault="000D6D4F" w:rsidP="00CD4906">
            <w:pPr>
              <w:tabs>
                <w:tab w:val="left" w:pos="567"/>
              </w:tabs>
              <w:spacing w:after="60"/>
              <w:rPr>
                <w:rFonts w:cs="Calibri"/>
                <w:sz w:val="22"/>
                <w:szCs w:val="22"/>
              </w:rPr>
            </w:pPr>
            <w:r w:rsidRPr="00CD4906">
              <w:rPr>
                <w:rFonts w:cs="Calibri"/>
                <w:sz w:val="22"/>
                <w:szCs w:val="22"/>
              </w:rPr>
              <w:t>14 b. Report on CBS</w:t>
            </w:r>
          </w:p>
        </w:tc>
        <w:tc>
          <w:tcPr>
            <w:tcW w:w="5812" w:type="dxa"/>
            <w:tcBorders>
              <w:bottom w:val="single" w:sz="4" w:space="0" w:color="auto"/>
            </w:tcBorders>
          </w:tcPr>
          <w:p w14:paraId="4A356FA7" w14:textId="77777777" w:rsidR="000D6D4F" w:rsidRPr="00CD4906" w:rsidRDefault="000D6D4F" w:rsidP="00CD4906">
            <w:pPr>
              <w:overflowPunct/>
              <w:spacing w:after="120"/>
              <w:textAlignment w:val="auto"/>
              <w:rPr>
                <w:sz w:val="22"/>
                <w:szCs w:val="22"/>
              </w:rPr>
            </w:pPr>
            <w:r w:rsidRPr="00CD4906">
              <w:rPr>
                <w:sz w:val="22"/>
                <w:szCs w:val="22"/>
              </w:rPr>
              <w:t>TDAG welcomed the report and, in particular, appreciated the presence of young people in the Symposium and welcomed efforts to ensure their participation in the next Capacity Building Symposium.</w:t>
            </w:r>
          </w:p>
        </w:tc>
      </w:tr>
      <w:tr w:rsidR="000D6D4F" w:rsidRPr="005C4438" w14:paraId="53044144" w14:textId="77777777" w:rsidTr="005E5E51">
        <w:trPr>
          <w:cantSplit/>
        </w:trPr>
        <w:tc>
          <w:tcPr>
            <w:tcW w:w="3402" w:type="dxa"/>
            <w:tcBorders>
              <w:bottom w:val="single" w:sz="4" w:space="0" w:color="auto"/>
            </w:tcBorders>
          </w:tcPr>
          <w:p w14:paraId="1F46312F" w14:textId="77777777" w:rsidR="000D6D4F" w:rsidRPr="00CD4906" w:rsidRDefault="000D6D4F" w:rsidP="00CD4906">
            <w:pPr>
              <w:tabs>
                <w:tab w:val="left" w:pos="567"/>
              </w:tabs>
              <w:spacing w:after="60"/>
              <w:rPr>
                <w:rFonts w:cs="Calibri"/>
                <w:sz w:val="22"/>
                <w:szCs w:val="22"/>
              </w:rPr>
            </w:pPr>
            <w:r w:rsidRPr="00CD4906">
              <w:rPr>
                <w:rFonts w:cs="Calibri"/>
                <w:sz w:val="22"/>
                <w:szCs w:val="22"/>
              </w:rPr>
              <w:t>14 c. Report on WTIS</w:t>
            </w:r>
          </w:p>
        </w:tc>
        <w:tc>
          <w:tcPr>
            <w:tcW w:w="5812" w:type="dxa"/>
            <w:tcBorders>
              <w:bottom w:val="single" w:sz="4" w:space="0" w:color="auto"/>
            </w:tcBorders>
          </w:tcPr>
          <w:p w14:paraId="62D9A7B9" w14:textId="77777777" w:rsidR="000D6D4F" w:rsidRPr="00CD4906" w:rsidRDefault="000D6D4F" w:rsidP="00CD4906">
            <w:pPr>
              <w:overflowPunct/>
              <w:spacing w:after="120"/>
              <w:textAlignment w:val="auto"/>
              <w:rPr>
                <w:sz w:val="22"/>
                <w:szCs w:val="22"/>
              </w:rPr>
            </w:pPr>
            <w:r w:rsidRPr="00CD4906">
              <w:rPr>
                <w:sz w:val="22"/>
                <w:szCs w:val="22"/>
              </w:rPr>
              <w:t>TDAG welcomed the document and thanked the Governments of Botswana for hosting WTIS-16 and Tunisia for the offer to host WTIS-17. TDAG emphasized the importance of ITU statistics which are used by many other stakeholders. It was proposed to continue reviewing the working mechanisms with a view to move the releasing the results of the ICT Development Index (IDI) earlier in the year.</w:t>
            </w:r>
          </w:p>
        </w:tc>
      </w:tr>
      <w:tr w:rsidR="000D6D4F" w:rsidRPr="00141E9D" w14:paraId="372F7318" w14:textId="77777777" w:rsidTr="005E5E51">
        <w:trPr>
          <w:cantSplit/>
        </w:trPr>
        <w:tc>
          <w:tcPr>
            <w:tcW w:w="3402" w:type="dxa"/>
          </w:tcPr>
          <w:p w14:paraId="6548BE78" w14:textId="77777777" w:rsidR="000D6D4F" w:rsidRPr="00CD4906" w:rsidRDefault="000D6D4F" w:rsidP="00CD4906">
            <w:pPr>
              <w:tabs>
                <w:tab w:val="left" w:pos="567"/>
              </w:tabs>
              <w:spacing w:after="60"/>
              <w:rPr>
                <w:rFonts w:cs="Calibri"/>
                <w:sz w:val="22"/>
                <w:szCs w:val="22"/>
              </w:rPr>
            </w:pPr>
            <w:r w:rsidRPr="00CD4906">
              <w:rPr>
                <w:rFonts w:cs="Calibri"/>
                <w:sz w:val="22"/>
                <w:szCs w:val="22"/>
              </w:rPr>
              <w:lastRenderedPageBreak/>
              <w:t>15. Membership, Partnership and Innovation-related matters</w:t>
            </w:r>
          </w:p>
        </w:tc>
        <w:tc>
          <w:tcPr>
            <w:tcW w:w="5812" w:type="dxa"/>
          </w:tcPr>
          <w:p w14:paraId="32BFE998" w14:textId="77777777" w:rsidR="000D6D4F" w:rsidRPr="00CD4906" w:rsidRDefault="000D6D4F" w:rsidP="00CD4906">
            <w:pPr>
              <w:widowControl w:val="0"/>
              <w:rPr>
                <w:sz w:val="22"/>
                <w:szCs w:val="22"/>
              </w:rPr>
            </w:pPr>
            <w:r w:rsidRPr="00CD4906">
              <w:rPr>
                <w:sz w:val="22"/>
                <w:szCs w:val="22"/>
              </w:rPr>
              <w:t>TDAG welcomed the documents and advised the BDT Director to take into account the comments raised and provide additional information on each region for WTDC. A snapshot specifically of the 2014-2017 cycle would also be appreciated.</w:t>
            </w:r>
          </w:p>
          <w:p w14:paraId="07714A8F" w14:textId="77777777" w:rsidR="000D6D4F" w:rsidRPr="00CD4906" w:rsidRDefault="000D6D4F" w:rsidP="00CD4906">
            <w:pPr>
              <w:widowControl w:val="0"/>
              <w:rPr>
                <w:sz w:val="22"/>
                <w:szCs w:val="22"/>
              </w:rPr>
            </w:pPr>
            <w:r w:rsidRPr="00CD4906">
              <w:rPr>
                <w:sz w:val="22"/>
                <w:szCs w:val="22"/>
              </w:rPr>
              <w:t>TDAG asked the Secretariat to take into account the comments received, especially in terms of a detailed analysis on the engagement with academia in the regions. TDAG asked the Director to consider ways to attract SMEs and micro enterprises. With regards to a definition of SMEs, interested parties can work on this and submit contributions to WTDC, the content of which could be included in relevant resolutions.</w:t>
            </w:r>
          </w:p>
          <w:p w14:paraId="2045F75D" w14:textId="77777777" w:rsidR="000D6D4F" w:rsidRPr="00CD4906" w:rsidRDefault="000D6D4F" w:rsidP="00CD4906">
            <w:pPr>
              <w:overflowPunct/>
              <w:spacing w:after="120"/>
              <w:textAlignment w:val="auto"/>
              <w:rPr>
                <w:sz w:val="22"/>
                <w:szCs w:val="22"/>
              </w:rPr>
            </w:pPr>
            <w:r w:rsidRPr="00CD4906">
              <w:rPr>
                <w:sz w:val="22"/>
                <w:szCs w:val="22"/>
              </w:rPr>
              <w:t xml:space="preserve">TDAG expressed appreciation to the TDAG Vice-Chairman, Mr Dominique </w:t>
            </w:r>
            <w:proofErr w:type="spellStart"/>
            <w:r w:rsidRPr="00CD4906">
              <w:rPr>
                <w:sz w:val="22"/>
                <w:szCs w:val="22"/>
              </w:rPr>
              <w:t>Würges</w:t>
            </w:r>
            <w:proofErr w:type="spellEnd"/>
            <w:r w:rsidRPr="00CD4906">
              <w:rPr>
                <w:sz w:val="22"/>
                <w:szCs w:val="22"/>
              </w:rPr>
              <w:t xml:space="preserve"> for the work undertaken on the private sector issues during two cycles. </w:t>
            </w:r>
          </w:p>
        </w:tc>
      </w:tr>
      <w:tr w:rsidR="000D6D4F" w:rsidRPr="005C4438" w14:paraId="55D68347" w14:textId="77777777" w:rsidTr="005E5E51">
        <w:trPr>
          <w:cantSplit/>
        </w:trPr>
        <w:tc>
          <w:tcPr>
            <w:tcW w:w="3402" w:type="dxa"/>
          </w:tcPr>
          <w:p w14:paraId="325F1E0F" w14:textId="77777777" w:rsidR="000D6D4F" w:rsidRPr="00CD4906" w:rsidRDefault="000D6D4F" w:rsidP="00CD4906">
            <w:pPr>
              <w:tabs>
                <w:tab w:val="left" w:pos="567"/>
              </w:tabs>
              <w:spacing w:after="60"/>
              <w:rPr>
                <w:rFonts w:cs="Calibri"/>
                <w:sz w:val="22"/>
                <w:szCs w:val="22"/>
              </w:rPr>
            </w:pPr>
            <w:r w:rsidRPr="00CD4906">
              <w:rPr>
                <w:rFonts w:cs="Calibri"/>
                <w:sz w:val="22"/>
                <w:szCs w:val="22"/>
              </w:rPr>
              <w:t>16. ITU-D 25th Anniversary celebrations</w:t>
            </w:r>
          </w:p>
        </w:tc>
        <w:tc>
          <w:tcPr>
            <w:tcW w:w="5812" w:type="dxa"/>
          </w:tcPr>
          <w:p w14:paraId="06110416" w14:textId="77777777" w:rsidR="000D6D4F" w:rsidRPr="00CD4906" w:rsidRDefault="000D6D4F" w:rsidP="00CD4906">
            <w:pPr>
              <w:overflowPunct/>
              <w:spacing w:after="120"/>
              <w:textAlignment w:val="auto"/>
              <w:rPr>
                <w:sz w:val="22"/>
                <w:szCs w:val="22"/>
              </w:rPr>
            </w:pPr>
            <w:r w:rsidRPr="00CD4906">
              <w:rPr>
                <w:sz w:val="22"/>
                <w:szCs w:val="22"/>
              </w:rPr>
              <w:t>TDAG welcomed the presentation and advised to clarify the issue of participation by high-level officials. TDAG also advised ensuring high visibility on the achievements of ITU-D over the past 25 years through various mechanisms focusing on success stories and meaningful outcomes, in particular in the interest of developing countries as well as on the leading role of ITU-D in the implementation of WSIS outcomes, the Sustainable Development Goals and the Connect 2020 Agenda. Membership was encouraged to contribute to the preparation of the ITU-D 25th anniversary celebration.</w:t>
            </w:r>
          </w:p>
        </w:tc>
      </w:tr>
      <w:tr w:rsidR="000D6D4F" w:rsidRPr="005C4438" w14:paraId="116157BB" w14:textId="77777777" w:rsidTr="005E5E51">
        <w:trPr>
          <w:cantSplit/>
        </w:trPr>
        <w:tc>
          <w:tcPr>
            <w:tcW w:w="3402" w:type="dxa"/>
          </w:tcPr>
          <w:p w14:paraId="217718FB" w14:textId="77777777" w:rsidR="000D6D4F" w:rsidRPr="00CD4906" w:rsidRDefault="000D6D4F" w:rsidP="00CD4906">
            <w:pPr>
              <w:tabs>
                <w:tab w:val="left" w:pos="567"/>
              </w:tabs>
              <w:spacing w:after="60"/>
              <w:rPr>
                <w:rFonts w:cs="Calibri"/>
                <w:sz w:val="22"/>
                <w:szCs w:val="22"/>
              </w:rPr>
            </w:pPr>
            <w:r w:rsidRPr="00CD4906">
              <w:rPr>
                <w:sz w:val="22"/>
                <w:szCs w:val="22"/>
              </w:rPr>
              <w:t>17. Calendar of ITU-D events</w:t>
            </w:r>
          </w:p>
        </w:tc>
        <w:tc>
          <w:tcPr>
            <w:tcW w:w="5812" w:type="dxa"/>
          </w:tcPr>
          <w:p w14:paraId="71061505" w14:textId="50EE5A63" w:rsidR="000D6D4F" w:rsidRPr="00CD4906" w:rsidRDefault="000D6D4F" w:rsidP="008946ED">
            <w:pPr>
              <w:pStyle w:val="CEONormal"/>
              <w:autoSpaceDE w:val="0"/>
              <w:autoSpaceDN w:val="0"/>
              <w:adjustRightInd w:val="0"/>
              <w:spacing w:before="120" w:after="120"/>
              <w:rPr>
                <w:rFonts w:asciiTheme="minorHAnsi" w:eastAsia="Times New Roman" w:hAnsiTheme="minorHAnsi"/>
                <w:sz w:val="22"/>
                <w:szCs w:val="22"/>
              </w:rPr>
            </w:pPr>
            <w:r w:rsidRPr="00CD4906">
              <w:rPr>
                <w:rFonts w:asciiTheme="minorHAnsi" w:eastAsia="Times New Roman" w:hAnsiTheme="minorHAnsi"/>
                <w:sz w:val="22"/>
                <w:szCs w:val="22"/>
              </w:rPr>
              <w:t>TDAG welcomed the document and endorsed the calendar of events. TDAG encouraged to continue coordination of events with other Sectors and other interna</w:t>
            </w:r>
            <w:r w:rsidR="008946ED">
              <w:rPr>
                <w:rFonts w:asciiTheme="minorHAnsi" w:eastAsia="Times New Roman" w:hAnsiTheme="minorHAnsi"/>
                <w:sz w:val="22"/>
                <w:szCs w:val="22"/>
              </w:rPr>
              <w:t>tional</w:t>
            </w:r>
            <w:r w:rsidRPr="00CD4906">
              <w:rPr>
                <w:rFonts w:asciiTheme="minorHAnsi" w:eastAsia="Times New Roman" w:hAnsiTheme="minorHAnsi"/>
                <w:sz w:val="22"/>
                <w:szCs w:val="22"/>
              </w:rPr>
              <w:t xml:space="preserve"> and regional organizations.</w:t>
            </w:r>
          </w:p>
        </w:tc>
      </w:tr>
      <w:tr w:rsidR="000D6D4F" w:rsidRPr="005C4438" w14:paraId="494E9972" w14:textId="77777777" w:rsidTr="005E5E51">
        <w:trPr>
          <w:cantSplit/>
        </w:trPr>
        <w:tc>
          <w:tcPr>
            <w:tcW w:w="3402" w:type="dxa"/>
          </w:tcPr>
          <w:p w14:paraId="5E6F5E99" w14:textId="77777777" w:rsidR="000D6D4F" w:rsidRPr="00CD4906" w:rsidRDefault="000D6D4F" w:rsidP="00CD4906">
            <w:pPr>
              <w:tabs>
                <w:tab w:val="left" w:pos="567"/>
              </w:tabs>
              <w:spacing w:after="60"/>
              <w:rPr>
                <w:rFonts w:cs="Calibri"/>
                <w:sz w:val="22"/>
                <w:szCs w:val="22"/>
              </w:rPr>
            </w:pPr>
            <w:r w:rsidRPr="00CD4906">
              <w:rPr>
                <w:sz w:val="22"/>
                <w:szCs w:val="22"/>
              </w:rPr>
              <w:t>18. Any other business</w:t>
            </w:r>
          </w:p>
        </w:tc>
        <w:tc>
          <w:tcPr>
            <w:tcW w:w="5812" w:type="dxa"/>
          </w:tcPr>
          <w:p w14:paraId="718D003A" w14:textId="77777777" w:rsidR="000D6D4F" w:rsidRPr="00CD4906" w:rsidRDefault="000D6D4F" w:rsidP="00CD4906">
            <w:pPr>
              <w:overflowPunct/>
              <w:spacing w:after="120"/>
              <w:textAlignment w:val="auto"/>
              <w:rPr>
                <w:sz w:val="22"/>
                <w:szCs w:val="22"/>
              </w:rPr>
            </w:pPr>
            <w:r w:rsidRPr="00CD4906">
              <w:rPr>
                <w:sz w:val="22"/>
                <w:szCs w:val="22"/>
              </w:rPr>
              <w:t>TDAG welcomed the information documents.</w:t>
            </w:r>
          </w:p>
        </w:tc>
      </w:tr>
    </w:tbl>
    <w:p w14:paraId="4F002606" w14:textId="77777777" w:rsidR="00B03303" w:rsidRPr="00BC78ED" w:rsidRDefault="00B03303" w:rsidP="00363DA9">
      <w:pPr>
        <w:pStyle w:val="Heading1"/>
        <w:ind w:left="567" w:hanging="567"/>
      </w:pPr>
      <w:r w:rsidRPr="00BC78ED">
        <w:t>TDAG Correspondence Group Meetings</w:t>
      </w:r>
      <w:bookmarkEnd w:id="14"/>
      <w:bookmarkEnd w:id="15"/>
      <w:r w:rsidRPr="00BC78ED">
        <w:t xml:space="preserve"> </w:t>
      </w:r>
    </w:p>
    <w:p w14:paraId="5E6A0EDD" w14:textId="3ABF6389" w:rsidR="00B03303" w:rsidRDefault="00B03303">
      <w:pPr>
        <w:tabs>
          <w:tab w:val="clear" w:pos="1134"/>
          <w:tab w:val="left" w:pos="567"/>
        </w:tabs>
      </w:pPr>
      <w:r w:rsidRPr="00B03303">
        <w:t>During the period 201</w:t>
      </w:r>
      <w:r>
        <w:t>4</w:t>
      </w:r>
      <w:r w:rsidRPr="00B03303">
        <w:t>-201</w:t>
      </w:r>
      <w:r w:rsidR="00D62D8E">
        <w:t>7</w:t>
      </w:r>
      <w:r w:rsidRPr="00B03303">
        <w:t xml:space="preserve">, TDAG </w:t>
      </w:r>
      <w:r w:rsidR="00932065">
        <w:t>established</w:t>
      </w:r>
      <w:r w:rsidR="00932065" w:rsidRPr="00B03303">
        <w:t xml:space="preserve"> </w:t>
      </w:r>
      <w:r>
        <w:t>three Correspondence Groups:</w:t>
      </w:r>
    </w:p>
    <w:p w14:paraId="0FD7F809" w14:textId="77777777" w:rsidR="00B03303" w:rsidRDefault="00B03303" w:rsidP="00B03303">
      <w:pPr>
        <w:pStyle w:val="ListParagraph"/>
        <w:numPr>
          <w:ilvl w:val="0"/>
          <w:numId w:val="10"/>
        </w:numPr>
        <w:tabs>
          <w:tab w:val="clear" w:pos="1134"/>
        </w:tabs>
        <w:ind w:left="567"/>
      </w:pPr>
      <w:r w:rsidRPr="00B03303">
        <w:t>TDAG Correspondence Group on rules of procedure of ITU-D (WTDC Resolution 1)</w:t>
      </w:r>
      <w:r>
        <w:t>;</w:t>
      </w:r>
    </w:p>
    <w:p w14:paraId="46721407" w14:textId="77777777" w:rsidR="00B03303" w:rsidRDefault="00B03303" w:rsidP="00B03303">
      <w:pPr>
        <w:pStyle w:val="ListParagraph"/>
        <w:numPr>
          <w:ilvl w:val="0"/>
          <w:numId w:val="10"/>
        </w:numPr>
        <w:tabs>
          <w:tab w:val="clear" w:pos="1134"/>
        </w:tabs>
        <w:ind w:left="567"/>
      </w:pPr>
      <w:r w:rsidRPr="00B03303">
        <w:t>TDAG Correspondence Group on Strategic Plan, Operational Plan and Declaration</w:t>
      </w:r>
      <w:r>
        <w:t>;</w:t>
      </w:r>
    </w:p>
    <w:p w14:paraId="0BE13485" w14:textId="77777777" w:rsidR="00B03303" w:rsidRDefault="00B03303" w:rsidP="00B03303">
      <w:pPr>
        <w:pStyle w:val="ListParagraph"/>
        <w:numPr>
          <w:ilvl w:val="0"/>
          <w:numId w:val="10"/>
        </w:numPr>
        <w:tabs>
          <w:tab w:val="clear" w:pos="1134"/>
        </w:tabs>
        <w:ind w:left="567"/>
      </w:pPr>
      <w:r w:rsidRPr="00B03303">
        <w:t>TDAG Correspondence Group on Streamlining WTDC Resolutions</w:t>
      </w:r>
      <w:r>
        <w:t>.</w:t>
      </w:r>
    </w:p>
    <w:p w14:paraId="025FCCD2" w14:textId="77777777" w:rsidR="00B03303" w:rsidRDefault="00B03303" w:rsidP="00B03303">
      <w:pPr>
        <w:tabs>
          <w:tab w:val="clear" w:pos="1134"/>
        </w:tabs>
      </w:pPr>
      <w:r>
        <w:t xml:space="preserve">TDAG also dealt with the work and outcomes of the </w:t>
      </w:r>
      <w:r w:rsidRPr="00B03303">
        <w:t>Inter-Sector Coordination Team on Issues of Mutual Interest</w:t>
      </w:r>
      <w:r>
        <w:t>.</w:t>
      </w:r>
    </w:p>
    <w:p w14:paraId="0EAD1C5A" w14:textId="040FBF38" w:rsidR="00C61DF7" w:rsidRDefault="00B03303" w:rsidP="00B03303">
      <w:pPr>
        <w:tabs>
          <w:tab w:val="clear" w:pos="1134"/>
        </w:tabs>
      </w:pPr>
      <w:r w:rsidRPr="00B03303">
        <w:t>The Groups worked through electronic means</w:t>
      </w:r>
      <w:r>
        <w:t xml:space="preserve"> and physical meetings. </w:t>
      </w:r>
    </w:p>
    <w:p w14:paraId="6C1F3C99" w14:textId="77777777" w:rsidR="007F599D" w:rsidRDefault="007F599D" w:rsidP="00BC78ED">
      <w:pPr>
        <w:pStyle w:val="Heading2"/>
      </w:pPr>
      <w:bookmarkStart w:id="16" w:name="_Toc482300242"/>
      <w:r w:rsidRPr="00B03303">
        <w:t>TDAG Correspondence Group on rules of procedure of ITU-D (WTDC Resolution 1)</w:t>
      </w:r>
      <w:bookmarkEnd w:id="16"/>
    </w:p>
    <w:p w14:paraId="63AB46F4" w14:textId="738B3A01" w:rsidR="00B03303" w:rsidRDefault="00B03303" w:rsidP="009321D9">
      <w:pPr>
        <w:tabs>
          <w:tab w:val="clear" w:pos="1134"/>
          <w:tab w:val="clear" w:pos="1871"/>
          <w:tab w:val="left" w:pos="426"/>
        </w:tabs>
      </w:pPr>
      <w:r w:rsidRPr="00D62D8E">
        <w:t xml:space="preserve">The TDAG Correspondence Group on rules of procedure of ITU-D </w:t>
      </w:r>
      <w:r w:rsidR="001E0FAD">
        <w:t xml:space="preserve">(CG-Res.1) </w:t>
      </w:r>
      <w:r>
        <w:t xml:space="preserve">held </w:t>
      </w:r>
      <w:r w:rsidR="00F62EFF">
        <w:t>t</w:t>
      </w:r>
      <w:r w:rsidR="001E0FAD">
        <w:t xml:space="preserve">hree </w:t>
      </w:r>
      <w:r>
        <w:t xml:space="preserve">meetings, </w:t>
      </w:r>
      <w:r w:rsidR="001E0FAD">
        <w:t xml:space="preserve">on </w:t>
      </w:r>
      <w:r w:rsidRPr="00B03303">
        <w:t>27 April 2015</w:t>
      </w:r>
      <w:r w:rsidR="001E0FAD">
        <w:t>,</w:t>
      </w:r>
      <w:r>
        <w:t xml:space="preserve"> </w:t>
      </w:r>
      <w:r w:rsidRPr="00B03303">
        <w:t>15 March 2016</w:t>
      </w:r>
      <w:r w:rsidR="001E0FAD">
        <w:t xml:space="preserve"> and </w:t>
      </w:r>
      <w:r w:rsidR="007E78B4">
        <w:t>10 </w:t>
      </w:r>
      <w:r w:rsidRPr="00B03303">
        <w:t>May 2017</w:t>
      </w:r>
      <w:r>
        <w:t>.</w:t>
      </w:r>
    </w:p>
    <w:p w14:paraId="53E16B9D" w14:textId="56F6849C" w:rsidR="009F7326" w:rsidRDefault="009F7326" w:rsidP="00D62D8E">
      <w:pPr>
        <w:tabs>
          <w:tab w:val="clear" w:pos="1134"/>
          <w:tab w:val="clear" w:pos="1871"/>
          <w:tab w:val="left" w:pos="426"/>
        </w:tabs>
      </w:pPr>
      <w:r>
        <w:lastRenderedPageBreak/>
        <w:t>The terms of reference of the group are the following:</w:t>
      </w:r>
    </w:p>
    <w:p w14:paraId="621182EE" w14:textId="77777777" w:rsidR="009F7326" w:rsidRDefault="009F7326" w:rsidP="009F7326">
      <w:pPr>
        <w:tabs>
          <w:tab w:val="clear" w:pos="1134"/>
          <w:tab w:val="clear" w:pos="1871"/>
          <w:tab w:val="left" w:pos="426"/>
        </w:tabs>
      </w:pPr>
      <w:r>
        <w:t>Building upon the extensive work undertaken during WTDC-14:</w:t>
      </w:r>
    </w:p>
    <w:p w14:paraId="54D8C15F" w14:textId="02A3A153" w:rsidR="009F7326" w:rsidRDefault="009F7326" w:rsidP="00AF3BD4">
      <w:pPr>
        <w:pStyle w:val="ListParagraph"/>
        <w:numPr>
          <w:ilvl w:val="0"/>
          <w:numId w:val="10"/>
        </w:numPr>
        <w:tabs>
          <w:tab w:val="clear" w:pos="1134"/>
          <w:tab w:val="clear" w:pos="1871"/>
          <w:tab w:val="clear" w:pos="2268"/>
          <w:tab w:val="left" w:pos="567"/>
        </w:tabs>
        <w:ind w:left="567" w:hanging="567"/>
        <w:contextualSpacing w:val="0"/>
      </w:pPr>
      <w:r>
        <w:t>To review the existing text in Resolution 1 (Rev. Dubai, 2014) with a view to give practical interpretation of the working methods and prepare proposals for further improving the text of the resolution, between the two WTDCs, through the Telecommunication Development Advisory Group (TDAG).</w:t>
      </w:r>
    </w:p>
    <w:p w14:paraId="3E97499D" w14:textId="77777777" w:rsidR="009F7326" w:rsidRDefault="009F7326" w:rsidP="00AF3BD4">
      <w:pPr>
        <w:pStyle w:val="ListParagraph"/>
        <w:numPr>
          <w:ilvl w:val="0"/>
          <w:numId w:val="10"/>
        </w:numPr>
        <w:tabs>
          <w:tab w:val="clear" w:pos="1134"/>
          <w:tab w:val="clear" w:pos="1871"/>
          <w:tab w:val="clear" w:pos="2268"/>
          <w:tab w:val="left" w:pos="567"/>
        </w:tabs>
        <w:ind w:left="567" w:hanging="567"/>
        <w:contextualSpacing w:val="0"/>
      </w:pPr>
      <w:r>
        <w:t>To study the matters dealt with in Resolution 1 and recommend areas of improvement by presenting progress on its work to the annual TDAG meetings in 2015 and 2016.</w:t>
      </w:r>
    </w:p>
    <w:p w14:paraId="1E3AC5DA" w14:textId="4CEFD384" w:rsidR="009F7326" w:rsidRDefault="009F7326" w:rsidP="00AF3BD4">
      <w:pPr>
        <w:pStyle w:val="ListParagraph"/>
        <w:numPr>
          <w:ilvl w:val="0"/>
          <w:numId w:val="10"/>
        </w:numPr>
        <w:tabs>
          <w:tab w:val="clear" w:pos="1134"/>
          <w:tab w:val="clear" w:pos="1871"/>
          <w:tab w:val="clear" w:pos="2268"/>
          <w:tab w:val="left" w:pos="567"/>
        </w:tabs>
        <w:ind w:left="567" w:hanging="567"/>
        <w:contextualSpacing w:val="0"/>
      </w:pPr>
      <w:r>
        <w:t>To examine in particular matters left outstanding by WTDC-14, e.g.</w:t>
      </w:r>
    </w:p>
    <w:p w14:paraId="51BB24B0" w14:textId="2D85A6B1" w:rsidR="009F7326" w:rsidRDefault="009F7326" w:rsidP="007E78B4">
      <w:pPr>
        <w:pStyle w:val="ListParagraph"/>
        <w:numPr>
          <w:ilvl w:val="0"/>
          <w:numId w:val="13"/>
        </w:numPr>
        <w:tabs>
          <w:tab w:val="clear" w:pos="1134"/>
          <w:tab w:val="clear" w:pos="1871"/>
          <w:tab w:val="clear" w:pos="2268"/>
          <w:tab w:val="left" w:pos="567"/>
        </w:tabs>
        <w:spacing w:before="60"/>
        <w:ind w:left="1134" w:hanging="567"/>
        <w:contextualSpacing w:val="0"/>
      </w:pPr>
      <w:r>
        <w:t xml:space="preserve">Continue evaluating the working methods; </w:t>
      </w:r>
    </w:p>
    <w:p w14:paraId="137B6575" w14:textId="07D96648" w:rsidR="009F7326" w:rsidRDefault="009F7326" w:rsidP="007E78B4">
      <w:pPr>
        <w:pStyle w:val="ListParagraph"/>
        <w:numPr>
          <w:ilvl w:val="0"/>
          <w:numId w:val="13"/>
        </w:numPr>
        <w:tabs>
          <w:tab w:val="clear" w:pos="1134"/>
          <w:tab w:val="clear" w:pos="1871"/>
          <w:tab w:val="clear" w:pos="2268"/>
          <w:tab w:val="left" w:pos="567"/>
        </w:tabs>
        <w:spacing w:before="60"/>
        <w:ind w:left="1134" w:hanging="567"/>
        <w:contextualSpacing w:val="0"/>
      </w:pPr>
      <w:r>
        <w:t>Editorial alignments; Process and use of information documents;</w:t>
      </w:r>
    </w:p>
    <w:p w14:paraId="7FEFF418" w14:textId="6A476017" w:rsidR="009F7326" w:rsidRDefault="009F7326" w:rsidP="007E78B4">
      <w:pPr>
        <w:pStyle w:val="ListParagraph"/>
        <w:numPr>
          <w:ilvl w:val="0"/>
          <w:numId w:val="13"/>
        </w:numPr>
        <w:tabs>
          <w:tab w:val="clear" w:pos="1134"/>
          <w:tab w:val="clear" w:pos="1871"/>
          <w:tab w:val="clear" w:pos="2268"/>
          <w:tab w:val="left" w:pos="567"/>
        </w:tabs>
        <w:spacing w:before="60"/>
        <w:ind w:left="1134" w:hanging="567"/>
        <w:contextualSpacing w:val="0"/>
      </w:pPr>
      <w:r>
        <w:t xml:space="preserve">Approval process for Study Group deliverables; </w:t>
      </w:r>
    </w:p>
    <w:p w14:paraId="33743E92" w14:textId="4DC0A4D6" w:rsidR="009F7326" w:rsidRDefault="009F7326" w:rsidP="007E78B4">
      <w:pPr>
        <w:pStyle w:val="ListParagraph"/>
        <w:numPr>
          <w:ilvl w:val="0"/>
          <w:numId w:val="13"/>
        </w:numPr>
        <w:tabs>
          <w:tab w:val="clear" w:pos="1134"/>
          <w:tab w:val="clear" w:pos="1871"/>
          <w:tab w:val="clear" w:pos="2268"/>
          <w:tab w:val="left" w:pos="567"/>
        </w:tabs>
        <w:spacing w:before="60"/>
        <w:ind w:left="1134" w:hanging="567"/>
        <w:contextualSpacing w:val="0"/>
      </w:pPr>
      <w:r>
        <w:t xml:space="preserve">Duties of Co-Rapporteurs and Vice Rapporteurs; and </w:t>
      </w:r>
    </w:p>
    <w:p w14:paraId="0D9138A4" w14:textId="192C32BB" w:rsidR="009F7326" w:rsidRDefault="009F7326" w:rsidP="007E78B4">
      <w:pPr>
        <w:pStyle w:val="ListParagraph"/>
        <w:numPr>
          <w:ilvl w:val="0"/>
          <w:numId w:val="13"/>
        </w:numPr>
        <w:tabs>
          <w:tab w:val="clear" w:pos="1134"/>
          <w:tab w:val="clear" w:pos="1871"/>
          <w:tab w:val="clear" w:pos="2268"/>
          <w:tab w:val="left" w:pos="567"/>
        </w:tabs>
        <w:spacing w:before="60"/>
        <w:ind w:left="1134" w:hanging="567"/>
        <w:contextualSpacing w:val="0"/>
      </w:pPr>
      <w:r>
        <w:t>Relevant results of the 2014 Plenipotentiary Conference, if any.</w:t>
      </w:r>
    </w:p>
    <w:p w14:paraId="76BBB86D" w14:textId="30B60239" w:rsidR="00932065" w:rsidRDefault="009F7326">
      <w:pPr>
        <w:pStyle w:val="ListParagraph"/>
        <w:numPr>
          <w:ilvl w:val="0"/>
          <w:numId w:val="10"/>
        </w:numPr>
        <w:tabs>
          <w:tab w:val="clear" w:pos="1134"/>
          <w:tab w:val="clear" w:pos="1871"/>
          <w:tab w:val="clear" w:pos="2268"/>
          <w:tab w:val="left" w:pos="567"/>
        </w:tabs>
        <w:ind w:left="567" w:hanging="567"/>
        <w:contextualSpacing w:val="0"/>
      </w:pPr>
      <w:r>
        <w:t>To take into account useful information and relevant practices of the other Sectors where appropriate</w:t>
      </w:r>
      <w:r w:rsidR="00DF2236">
        <w:t>.</w:t>
      </w:r>
    </w:p>
    <w:p w14:paraId="0051CEB9" w14:textId="3F3D351F" w:rsidR="00932065" w:rsidRDefault="001E0FAD" w:rsidP="001E6206">
      <w:pPr>
        <w:tabs>
          <w:tab w:val="clear" w:pos="1134"/>
          <w:tab w:val="clear" w:pos="1871"/>
          <w:tab w:val="clear" w:pos="2268"/>
          <w:tab w:val="left" w:pos="567"/>
        </w:tabs>
        <w:rPr>
          <w:rFonts w:cstheme="minorHAnsi"/>
          <w:szCs w:val="24"/>
        </w:rPr>
      </w:pPr>
      <w:r>
        <w:t>CG-Res.1</w:t>
      </w:r>
      <w:r>
        <w:rPr>
          <w:rFonts w:cstheme="minorHAnsi"/>
          <w:szCs w:val="24"/>
        </w:rPr>
        <w:t xml:space="preserve"> has met to agree on </w:t>
      </w:r>
      <w:r w:rsidRPr="00152731">
        <w:rPr>
          <w:rFonts w:cstheme="minorHAnsi"/>
          <w:szCs w:val="24"/>
        </w:rPr>
        <w:t xml:space="preserve">changes </w:t>
      </w:r>
      <w:r>
        <w:rPr>
          <w:rFonts w:cstheme="minorHAnsi"/>
          <w:szCs w:val="24"/>
        </w:rPr>
        <w:t xml:space="preserve">required to the text in Resolution 1 </w:t>
      </w:r>
      <w:r w:rsidRPr="00152731">
        <w:rPr>
          <w:rFonts w:cstheme="minorHAnsi"/>
          <w:szCs w:val="24"/>
        </w:rPr>
        <w:t xml:space="preserve">and </w:t>
      </w:r>
      <w:r>
        <w:rPr>
          <w:rFonts w:cstheme="minorHAnsi"/>
          <w:szCs w:val="24"/>
        </w:rPr>
        <w:t xml:space="preserve">to identify </w:t>
      </w:r>
      <w:r w:rsidRPr="00152731">
        <w:rPr>
          <w:rFonts w:cstheme="minorHAnsi"/>
          <w:szCs w:val="24"/>
        </w:rPr>
        <w:t>items requiring further work</w:t>
      </w:r>
      <w:r>
        <w:rPr>
          <w:rFonts w:cstheme="minorHAnsi"/>
          <w:szCs w:val="24"/>
        </w:rPr>
        <w:t xml:space="preserve">. Some further modifications have been done by correspondence. The </w:t>
      </w:r>
      <w:r w:rsidRPr="00152731">
        <w:rPr>
          <w:rFonts w:cstheme="minorHAnsi"/>
          <w:szCs w:val="24"/>
        </w:rPr>
        <w:t xml:space="preserve">document </w:t>
      </w:r>
      <w:r>
        <w:rPr>
          <w:rFonts w:cstheme="minorHAnsi"/>
          <w:szCs w:val="24"/>
        </w:rPr>
        <w:t xml:space="preserve">has also been </w:t>
      </w:r>
      <w:r w:rsidRPr="00152731">
        <w:rPr>
          <w:rFonts w:cstheme="minorHAnsi"/>
          <w:szCs w:val="24"/>
        </w:rPr>
        <w:t>submitted as a contribution to all six Regional Preparatory Meetings (RPMs).</w:t>
      </w:r>
    </w:p>
    <w:p w14:paraId="33E89F33" w14:textId="22D4EF93" w:rsidR="001E0FAD" w:rsidRDefault="00805A54" w:rsidP="001E6206">
      <w:pPr>
        <w:tabs>
          <w:tab w:val="clear" w:pos="1134"/>
          <w:tab w:val="clear" w:pos="1871"/>
          <w:tab w:val="clear" w:pos="2268"/>
          <w:tab w:val="left" w:pos="567"/>
        </w:tabs>
      </w:pPr>
      <w:r>
        <w:t>(</w:t>
      </w:r>
      <w:proofErr w:type="gramStart"/>
      <w:r>
        <w:t>see</w:t>
      </w:r>
      <w:proofErr w:type="gramEnd"/>
      <w:r>
        <w:t xml:space="preserve"> section 2.4 d 10 g for the conclusion of TDAG17)</w:t>
      </w:r>
    </w:p>
    <w:p w14:paraId="6AF5ACFA" w14:textId="77777777" w:rsidR="007F599D" w:rsidRDefault="007F599D" w:rsidP="00BC78ED">
      <w:pPr>
        <w:pStyle w:val="Heading2"/>
        <w:contextualSpacing w:val="0"/>
      </w:pPr>
      <w:bookmarkStart w:id="17" w:name="_Toc482300243"/>
      <w:r w:rsidRPr="00B03303">
        <w:t>TDAG Correspondence Group on Strategic Plan, Operational Plan and Declaration</w:t>
      </w:r>
      <w:bookmarkEnd w:id="17"/>
      <w:r w:rsidRPr="00D62D8E">
        <w:t xml:space="preserve"> </w:t>
      </w:r>
    </w:p>
    <w:p w14:paraId="325B90A9" w14:textId="3209C646" w:rsidR="00D62D8E" w:rsidRDefault="00D62D8E" w:rsidP="009321D9">
      <w:pPr>
        <w:tabs>
          <w:tab w:val="clear" w:pos="1134"/>
        </w:tabs>
      </w:pPr>
      <w:r w:rsidRPr="00D62D8E">
        <w:t>The TDAG Correspondence Group on Strategic Plan, Operational Plan and Declaration</w:t>
      </w:r>
      <w:r>
        <w:t xml:space="preserve"> </w:t>
      </w:r>
      <w:r w:rsidR="00C820E7">
        <w:t xml:space="preserve">(CG-SPOPD) </w:t>
      </w:r>
      <w:r>
        <w:t xml:space="preserve">held </w:t>
      </w:r>
      <w:r w:rsidR="00F62EFF">
        <w:t>t</w:t>
      </w:r>
      <w:r w:rsidR="001E0FAD">
        <w:t>hree</w:t>
      </w:r>
      <w:r>
        <w:t xml:space="preserve"> meetings, </w:t>
      </w:r>
      <w:r w:rsidR="001E0FAD">
        <w:t xml:space="preserve">on </w:t>
      </w:r>
      <w:r w:rsidRPr="00B03303">
        <w:t>27 April 2015</w:t>
      </w:r>
      <w:r w:rsidR="001E0FAD">
        <w:t xml:space="preserve">, </w:t>
      </w:r>
      <w:r w:rsidRPr="00B03303">
        <w:t>15 March 2016</w:t>
      </w:r>
      <w:r w:rsidR="001E0FAD">
        <w:t xml:space="preserve"> and </w:t>
      </w:r>
      <w:r w:rsidR="009321D9">
        <w:t>9</w:t>
      </w:r>
      <w:r>
        <w:t xml:space="preserve"> May 2017. </w:t>
      </w:r>
    </w:p>
    <w:p w14:paraId="0E86D63A" w14:textId="3F978708" w:rsidR="009F7326" w:rsidRDefault="009F7326" w:rsidP="009F7326">
      <w:pPr>
        <w:tabs>
          <w:tab w:val="clear" w:pos="1134"/>
        </w:tabs>
      </w:pPr>
      <w:r>
        <w:t>The terms of reference are the following:</w:t>
      </w:r>
    </w:p>
    <w:p w14:paraId="3FE84082" w14:textId="2A7D58DD" w:rsidR="009F7326" w:rsidRDefault="009F7326" w:rsidP="00AF3BD4">
      <w:pPr>
        <w:pStyle w:val="ListParagraph"/>
        <w:numPr>
          <w:ilvl w:val="0"/>
          <w:numId w:val="10"/>
        </w:numPr>
        <w:tabs>
          <w:tab w:val="clear" w:pos="1134"/>
        </w:tabs>
        <w:ind w:left="567" w:hanging="567"/>
        <w:contextualSpacing w:val="0"/>
      </w:pPr>
      <w:r>
        <w:t xml:space="preserve">To review the Strategic Plan approved by the 2014 Plenipotentiary Conference and to prepare proposals for the draft new ITU-D contribution to </w:t>
      </w:r>
      <w:proofErr w:type="gramStart"/>
      <w:r>
        <w:t>the  ITU</w:t>
      </w:r>
      <w:proofErr w:type="gramEnd"/>
      <w:r>
        <w:t xml:space="preserve"> Strategic Plan for the next period (2020-2023).</w:t>
      </w:r>
    </w:p>
    <w:p w14:paraId="4BFFA4A6" w14:textId="02B4376A" w:rsidR="009F7326" w:rsidRDefault="009F7326" w:rsidP="00AF3BD4">
      <w:pPr>
        <w:pStyle w:val="ListParagraph"/>
        <w:numPr>
          <w:ilvl w:val="0"/>
          <w:numId w:val="10"/>
        </w:numPr>
        <w:tabs>
          <w:tab w:val="clear" w:pos="1134"/>
        </w:tabs>
        <w:ind w:left="567" w:hanging="567"/>
        <w:contextualSpacing w:val="0"/>
      </w:pPr>
      <w:r>
        <w:t>To review the Dubai Action Plan and its links with the Operational Plan.</w:t>
      </w:r>
    </w:p>
    <w:p w14:paraId="295C63F3" w14:textId="59C12DA3" w:rsidR="009F7326" w:rsidRDefault="009F7326" w:rsidP="00AF3BD4">
      <w:pPr>
        <w:pStyle w:val="ListParagraph"/>
        <w:numPr>
          <w:ilvl w:val="0"/>
          <w:numId w:val="10"/>
        </w:numPr>
        <w:tabs>
          <w:tab w:val="clear" w:pos="1134"/>
        </w:tabs>
        <w:ind w:left="567" w:hanging="567"/>
        <w:contextualSpacing w:val="0"/>
      </w:pPr>
      <w:r>
        <w:t xml:space="preserve">To review the four-year rolling Operational Plan, identify areas of improvement, and develop recommendations for the draft Operational Plan </w:t>
      </w:r>
      <w:proofErr w:type="spellStart"/>
      <w:r>
        <w:t>beforeit</w:t>
      </w:r>
      <w:proofErr w:type="spellEnd"/>
      <w:r>
        <w:t xml:space="preserve"> is considered by Council.</w:t>
      </w:r>
    </w:p>
    <w:p w14:paraId="4EE8D57F" w14:textId="0653E246" w:rsidR="008C042E" w:rsidRDefault="008C042E" w:rsidP="00AF3BD4">
      <w:pPr>
        <w:pStyle w:val="ListParagraph"/>
        <w:numPr>
          <w:ilvl w:val="0"/>
          <w:numId w:val="10"/>
        </w:numPr>
        <w:tabs>
          <w:tab w:val="clear" w:pos="1134"/>
        </w:tabs>
        <w:ind w:left="567" w:hanging="567"/>
        <w:contextualSpacing w:val="0"/>
      </w:pPr>
      <w:r>
        <w:t>To propose elements for the future draft Declaration.</w:t>
      </w:r>
    </w:p>
    <w:p w14:paraId="01CD222D" w14:textId="0EF84626" w:rsidR="00077048" w:rsidRDefault="00077048" w:rsidP="009321D9">
      <w:pPr>
        <w:tabs>
          <w:tab w:val="clear" w:pos="1134"/>
        </w:tabs>
      </w:pPr>
      <w:r>
        <w:t>CG-SPOPD prepared the draft versions of the preliminary draft ITU-D contribution to the ITU Strategic Plan for 2020-2023, the preliminary draft ITU-D Action Plan for 2018-2021 and the preliminary draft WTDC-17 Declaration.</w:t>
      </w:r>
    </w:p>
    <w:p w14:paraId="6E9AB4E5" w14:textId="61D9D7FA" w:rsidR="00077048" w:rsidRDefault="00077048" w:rsidP="009321D9">
      <w:pPr>
        <w:tabs>
          <w:tab w:val="clear" w:pos="1134"/>
        </w:tabs>
      </w:pPr>
      <w:r>
        <w:t>These were reviewed by the CG-SPOPD during its April 2015 and March 2016 meetings and then submitted to TDAG</w:t>
      </w:r>
      <w:r w:rsidR="00E71756">
        <w:t>-16</w:t>
      </w:r>
      <w:r>
        <w:t>.</w:t>
      </w:r>
    </w:p>
    <w:p w14:paraId="73D740C2" w14:textId="6C6A12DB" w:rsidR="009F7326" w:rsidRDefault="002F1D8E" w:rsidP="009321D9">
      <w:pPr>
        <w:tabs>
          <w:tab w:val="clear" w:pos="1134"/>
        </w:tabs>
      </w:pPr>
      <w:r>
        <w:lastRenderedPageBreak/>
        <w:t>After online consultation by the ITU-D membership, t</w:t>
      </w:r>
      <w:r w:rsidR="009F7326">
        <w:t>he</w:t>
      </w:r>
      <w:r>
        <w:t xml:space="preserve">se three documents </w:t>
      </w:r>
      <w:r w:rsidR="009F7326">
        <w:t xml:space="preserve">were </w:t>
      </w:r>
      <w:r>
        <w:t xml:space="preserve">then submitted </w:t>
      </w:r>
      <w:r w:rsidR="009F7326">
        <w:t>to all six Regional Preparatory Meetings for consideration.</w:t>
      </w:r>
      <w:r>
        <w:t xml:space="preserve"> </w:t>
      </w:r>
      <w:r w:rsidR="009F7326">
        <w:t>Outcomes of RPMs</w:t>
      </w:r>
      <w:r w:rsidR="005A06C3">
        <w:t xml:space="preserve"> </w:t>
      </w:r>
      <w:r w:rsidR="009F7326">
        <w:t>w</w:t>
      </w:r>
      <w:r w:rsidR="002605C4">
        <w:t xml:space="preserve">ere </w:t>
      </w:r>
      <w:r w:rsidR="00127F16">
        <w:t>compil</w:t>
      </w:r>
      <w:r w:rsidR="00A75306">
        <w:t xml:space="preserve">ed </w:t>
      </w:r>
      <w:r w:rsidR="009F7326">
        <w:t xml:space="preserve">at the </w:t>
      </w:r>
      <w:r w:rsidR="009B3475">
        <w:t>RPM C</w:t>
      </w:r>
      <w:r w:rsidR="009F7326">
        <w:t xml:space="preserve">oordination </w:t>
      </w:r>
      <w:r w:rsidR="009B3475">
        <w:t>M</w:t>
      </w:r>
      <w:r w:rsidR="009F7326">
        <w:t>eeting</w:t>
      </w:r>
      <w:r w:rsidR="009321D9">
        <w:t xml:space="preserve"> on 8 May 2017</w:t>
      </w:r>
      <w:r w:rsidR="00864B44">
        <w:t xml:space="preserve">. In addition, </w:t>
      </w:r>
      <w:r w:rsidR="005A06C3">
        <w:t>outcomes of RPMs and contributions to TDAG</w:t>
      </w:r>
      <w:r w:rsidR="00E71756">
        <w:t>17</w:t>
      </w:r>
      <w:r w:rsidR="005A06C3">
        <w:t xml:space="preserve"> were compiled at the </w:t>
      </w:r>
      <w:r w:rsidR="009F7326">
        <w:t xml:space="preserve">CG-SPOPD </w:t>
      </w:r>
      <w:r w:rsidR="009321D9">
        <w:t>meeting on</w:t>
      </w:r>
      <w:r w:rsidR="009F7326">
        <w:t xml:space="preserve"> </w:t>
      </w:r>
      <w:r w:rsidR="009321D9">
        <w:t xml:space="preserve">9 </w:t>
      </w:r>
      <w:r w:rsidR="009F7326">
        <w:t>May 2017</w:t>
      </w:r>
      <w:r w:rsidR="009B3475">
        <w:t xml:space="preserve">. </w:t>
      </w:r>
    </w:p>
    <w:p w14:paraId="748E06DE" w14:textId="4ED56935" w:rsidR="00C820E7" w:rsidRDefault="008113AF" w:rsidP="001E6206">
      <w:r>
        <w:t>(</w:t>
      </w:r>
      <w:proofErr w:type="gramStart"/>
      <w:r>
        <w:t>see</w:t>
      </w:r>
      <w:proofErr w:type="gramEnd"/>
      <w:r>
        <w:t xml:space="preserve"> </w:t>
      </w:r>
      <w:r w:rsidR="00805A54">
        <w:t xml:space="preserve">section </w:t>
      </w:r>
      <w:r>
        <w:t>2.4 d 10</w:t>
      </w:r>
      <w:r w:rsidR="00805A54">
        <w:t xml:space="preserve"> </w:t>
      </w:r>
      <w:r>
        <w:t xml:space="preserve">d, </w:t>
      </w:r>
      <w:r w:rsidR="00805A54">
        <w:t xml:space="preserve">10 </w:t>
      </w:r>
      <w:r>
        <w:t xml:space="preserve">e, </w:t>
      </w:r>
      <w:r w:rsidR="00805A54">
        <w:t xml:space="preserve">10 </w:t>
      </w:r>
      <w:r>
        <w:t>f for the conclusion of TDAG17)</w:t>
      </w:r>
    </w:p>
    <w:p w14:paraId="6738777C" w14:textId="77777777" w:rsidR="007F599D" w:rsidRDefault="007F599D" w:rsidP="00BC78ED">
      <w:pPr>
        <w:pStyle w:val="Heading2"/>
      </w:pPr>
      <w:bookmarkStart w:id="18" w:name="_Toc482300244"/>
      <w:r w:rsidRPr="00B03303">
        <w:t>TDAG Correspondence Group on Streamlining WTDC Resolutions</w:t>
      </w:r>
      <w:bookmarkEnd w:id="18"/>
      <w:r w:rsidRPr="00BC78ED">
        <w:t xml:space="preserve"> </w:t>
      </w:r>
    </w:p>
    <w:p w14:paraId="0BA63C54" w14:textId="17191F65" w:rsidR="00D62D8E" w:rsidRPr="00BC78ED" w:rsidRDefault="00D62D8E" w:rsidP="00E56545">
      <w:pPr>
        <w:tabs>
          <w:tab w:val="clear" w:pos="1134"/>
        </w:tabs>
      </w:pPr>
      <w:r w:rsidRPr="00BC78ED">
        <w:t xml:space="preserve">The TDAG Correspondence Group on Streamlining WTDC Resolutions </w:t>
      </w:r>
      <w:r w:rsidR="00C00D53">
        <w:t xml:space="preserve">(CG-SR) </w:t>
      </w:r>
      <w:r w:rsidRPr="00BC78ED">
        <w:t>held f</w:t>
      </w:r>
      <w:r w:rsidR="00E56545">
        <w:t>ive</w:t>
      </w:r>
      <w:r w:rsidRPr="00BC78ED">
        <w:t xml:space="preserve"> meetings, </w:t>
      </w:r>
      <w:r w:rsidR="00E56545">
        <w:t xml:space="preserve">on </w:t>
      </w:r>
      <w:r w:rsidRPr="00BC78ED">
        <w:t xml:space="preserve">17 March 2016, 28 September 2016, </w:t>
      </w:r>
      <w:r w:rsidR="00BC78ED" w:rsidRPr="00BC78ED">
        <w:t>25 January 2017</w:t>
      </w:r>
      <w:r w:rsidR="00E56545">
        <w:t>,</w:t>
      </w:r>
      <w:r w:rsidRPr="00BC78ED">
        <w:t xml:space="preserve"> 3 April 2017</w:t>
      </w:r>
      <w:r w:rsidR="00E56545">
        <w:t xml:space="preserve"> and 10 May 2017</w:t>
      </w:r>
      <w:r w:rsidRPr="00BC78ED">
        <w:t xml:space="preserve">. </w:t>
      </w:r>
    </w:p>
    <w:p w14:paraId="1E0321AD" w14:textId="7A946652" w:rsidR="009F7326" w:rsidRDefault="009F7326" w:rsidP="009F7326">
      <w:pPr>
        <w:tabs>
          <w:tab w:val="clear" w:pos="1134"/>
          <w:tab w:val="clear" w:pos="1871"/>
          <w:tab w:val="left" w:pos="426"/>
        </w:tabs>
      </w:pPr>
      <w:r>
        <w:t>The terms of reference are the following:</w:t>
      </w:r>
    </w:p>
    <w:p w14:paraId="792FBD9D" w14:textId="1A5E7B35" w:rsidR="009F7326" w:rsidRDefault="009F7326" w:rsidP="00AF3BD4">
      <w:pPr>
        <w:pStyle w:val="ListParagraph"/>
        <w:numPr>
          <w:ilvl w:val="0"/>
          <w:numId w:val="10"/>
        </w:numPr>
        <w:tabs>
          <w:tab w:val="clear" w:pos="1134"/>
          <w:tab w:val="clear" w:pos="1871"/>
          <w:tab w:val="clear" w:pos="2268"/>
          <w:tab w:val="left" w:pos="567"/>
        </w:tabs>
        <w:ind w:left="567" w:hanging="567"/>
        <w:contextualSpacing w:val="0"/>
      </w:pPr>
      <w:r>
        <w:t>To review existing World Telecommunication Development Conference (WTDC) Resolutions and Recommendations with a view to streamlining them, taking into account the Resolutions in Plenipotentiary Conference and other Sectors as appropriate.</w:t>
      </w:r>
    </w:p>
    <w:p w14:paraId="378A3316" w14:textId="3071F47E" w:rsidR="009F7326" w:rsidRDefault="009F7326" w:rsidP="00AF3BD4">
      <w:pPr>
        <w:pStyle w:val="ListParagraph"/>
        <w:numPr>
          <w:ilvl w:val="0"/>
          <w:numId w:val="10"/>
        </w:numPr>
        <w:tabs>
          <w:tab w:val="clear" w:pos="1134"/>
          <w:tab w:val="clear" w:pos="1871"/>
          <w:tab w:val="clear" w:pos="2268"/>
          <w:tab w:val="left" w:pos="567"/>
        </w:tabs>
        <w:ind w:left="567" w:hanging="567"/>
        <w:contextualSpacing w:val="0"/>
      </w:pPr>
      <w:r>
        <w:t>To give due regard to the outcomes of the Regional Preparatory Meetings for the World Telecommunication Development Conference 2017 (WTDC-17), as far as the Resolutions and Recommendations are concerned.</w:t>
      </w:r>
    </w:p>
    <w:p w14:paraId="67BD7721" w14:textId="77777777" w:rsidR="00607A26" w:rsidRDefault="009F7326" w:rsidP="00AF3BD4">
      <w:pPr>
        <w:pStyle w:val="ListParagraph"/>
        <w:numPr>
          <w:ilvl w:val="0"/>
          <w:numId w:val="10"/>
        </w:numPr>
        <w:tabs>
          <w:tab w:val="clear" w:pos="1134"/>
          <w:tab w:val="clear" w:pos="1871"/>
          <w:tab w:val="clear" w:pos="2268"/>
          <w:tab w:val="left" w:pos="567"/>
        </w:tabs>
        <w:ind w:left="567" w:hanging="567"/>
        <w:contextualSpacing w:val="0"/>
      </w:pPr>
      <w:r>
        <w:t>To report to the 2017 meeting of TDAG.</w:t>
      </w:r>
    </w:p>
    <w:p w14:paraId="751DC46A" w14:textId="39D63245" w:rsidR="00F62EFF" w:rsidRDefault="00C00D53" w:rsidP="00C00D53">
      <w:pPr>
        <w:tabs>
          <w:tab w:val="clear" w:pos="1134"/>
          <w:tab w:val="clear" w:pos="1871"/>
          <w:tab w:val="left" w:pos="426"/>
        </w:tabs>
      </w:pPr>
      <w:r>
        <w:t>CG-SR</w:t>
      </w:r>
      <w:r w:rsidR="00F62EFF">
        <w:t xml:space="preserve"> has decided on the </w:t>
      </w:r>
      <w:r w:rsidR="00F62EFF" w:rsidRPr="00F62EFF">
        <w:t>following guiding principles in the work on streamlining Resolutions</w:t>
      </w:r>
      <w:r w:rsidR="00F62EFF">
        <w:t>:</w:t>
      </w:r>
    </w:p>
    <w:p w14:paraId="6641FEFB" w14:textId="69534CF7" w:rsidR="00F62EFF" w:rsidRDefault="00F62EFF" w:rsidP="00C00D53">
      <w:pPr>
        <w:pStyle w:val="ListParagraph"/>
        <w:numPr>
          <w:ilvl w:val="0"/>
          <w:numId w:val="10"/>
        </w:numPr>
        <w:tabs>
          <w:tab w:val="clear" w:pos="1134"/>
          <w:tab w:val="clear" w:pos="1871"/>
          <w:tab w:val="clear" w:pos="2268"/>
          <w:tab w:val="left" w:pos="567"/>
        </w:tabs>
        <w:spacing w:before="60"/>
        <w:ind w:left="567" w:hanging="567"/>
        <w:contextualSpacing w:val="0"/>
      </w:pPr>
      <w:r>
        <w:t xml:space="preserve">Coherence </w:t>
      </w:r>
      <w:r w:rsidR="00C00D53">
        <w:t>and</w:t>
      </w:r>
      <w:r>
        <w:t xml:space="preserve"> Consistency;</w:t>
      </w:r>
    </w:p>
    <w:p w14:paraId="681FC142" w14:textId="3BBCA002" w:rsidR="00F62EFF" w:rsidRDefault="00F62EFF" w:rsidP="00C00D53">
      <w:pPr>
        <w:pStyle w:val="ListParagraph"/>
        <w:numPr>
          <w:ilvl w:val="0"/>
          <w:numId w:val="10"/>
        </w:numPr>
        <w:tabs>
          <w:tab w:val="clear" w:pos="1134"/>
          <w:tab w:val="clear" w:pos="1871"/>
          <w:tab w:val="clear" w:pos="2268"/>
          <w:tab w:val="left" w:pos="567"/>
        </w:tabs>
        <w:spacing w:before="60"/>
        <w:ind w:left="567" w:hanging="567"/>
        <w:contextualSpacing w:val="0"/>
      </w:pPr>
      <w:r w:rsidRPr="00F62EFF">
        <w:t xml:space="preserve">Overlap </w:t>
      </w:r>
      <w:r w:rsidR="00C00D53">
        <w:t>and</w:t>
      </w:r>
      <w:r w:rsidRPr="00F62EFF">
        <w:t xml:space="preserve"> duplication</w:t>
      </w:r>
      <w:r>
        <w:t>;</w:t>
      </w:r>
    </w:p>
    <w:p w14:paraId="5EC60878" w14:textId="72DBC336" w:rsidR="00F62EFF" w:rsidRDefault="00F62EFF" w:rsidP="00833E61">
      <w:pPr>
        <w:pStyle w:val="ListParagraph"/>
        <w:numPr>
          <w:ilvl w:val="0"/>
          <w:numId w:val="10"/>
        </w:numPr>
        <w:tabs>
          <w:tab w:val="clear" w:pos="1134"/>
          <w:tab w:val="clear" w:pos="1871"/>
          <w:tab w:val="clear" w:pos="2268"/>
          <w:tab w:val="left" w:pos="567"/>
        </w:tabs>
        <w:spacing w:before="60"/>
        <w:ind w:left="567" w:hanging="567"/>
        <w:contextualSpacing w:val="0"/>
      </w:pPr>
      <w:r w:rsidRPr="00F62EFF">
        <w:t>Necessity</w:t>
      </w:r>
      <w:r>
        <w:t>;</w:t>
      </w:r>
    </w:p>
    <w:p w14:paraId="54DE6529" w14:textId="4E53455E" w:rsidR="00F62EFF" w:rsidRDefault="00F62EFF" w:rsidP="00C00D53">
      <w:pPr>
        <w:pStyle w:val="ListParagraph"/>
        <w:numPr>
          <w:ilvl w:val="0"/>
          <w:numId w:val="10"/>
        </w:numPr>
        <w:tabs>
          <w:tab w:val="clear" w:pos="1134"/>
          <w:tab w:val="clear" w:pos="1871"/>
          <w:tab w:val="clear" w:pos="2268"/>
          <w:tab w:val="left" w:pos="567"/>
        </w:tabs>
        <w:spacing w:before="60"/>
        <w:ind w:left="567" w:hanging="567"/>
        <w:contextualSpacing w:val="0"/>
      </w:pPr>
      <w:r w:rsidRPr="00F62EFF">
        <w:t xml:space="preserve">Action-orientation </w:t>
      </w:r>
      <w:r w:rsidR="00C00D53">
        <w:t>and</w:t>
      </w:r>
      <w:r w:rsidRPr="00F62EFF">
        <w:t xml:space="preserve"> accountability</w:t>
      </w:r>
      <w:r>
        <w:t>.</w:t>
      </w:r>
    </w:p>
    <w:p w14:paraId="35CC9D60" w14:textId="6B98FC6A" w:rsidR="00607A26" w:rsidRDefault="00C00D53" w:rsidP="00C00D53">
      <w:pPr>
        <w:tabs>
          <w:tab w:val="clear" w:pos="1134"/>
          <w:tab w:val="clear" w:pos="1871"/>
          <w:tab w:val="left" w:pos="426"/>
        </w:tabs>
      </w:pPr>
      <w:r>
        <w:t>CG-SR</w:t>
      </w:r>
      <w:r w:rsidR="00F62EFF">
        <w:t xml:space="preserve"> has also set g</w:t>
      </w:r>
      <w:r w:rsidR="00F62EFF" w:rsidRPr="00F62EFF">
        <w:t>uidelines for drafting new WTDC Resolutions</w:t>
      </w:r>
      <w:r w:rsidR="00F62EFF">
        <w:t>.</w:t>
      </w:r>
    </w:p>
    <w:p w14:paraId="31AF551F" w14:textId="4DF563C2" w:rsidR="00833E61" w:rsidRPr="00EC13A6" w:rsidRDefault="00C00D53" w:rsidP="00C00D53">
      <w:r>
        <w:t>CG-SR</w:t>
      </w:r>
      <w:r w:rsidR="00833E61" w:rsidRPr="00EC13A6">
        <w:t xml:space="preserve"> has received a total of </w:t>
      </w:r>
      <w:r w:rsidR="00833E61" w:rsidRPr="00B00903">
        <w:t>1</w:t>
      </w:r>
      <w:r w:rsidR="00833E61">
        <w:t>2</w:t>
      </w:r>
      <w:r w:rsidR="00833E61" w:rsidRPr="00EC13A6">
        <w:t xml:space="preserve"> proposals to streamline WTDC </w:t>
      </w:r>
      <w:r w:rsidR="00833E61">
        <w:t>r</w:t>
      </w:r>
      <w:r w:rsidR="00833E61" w:rsidRPr="00EC13A6">
        <w:t>esolutions through RPMs</w:t>
      </w:r>
      <w:r w:rsidR="00833E61">
        <w:t xml:space="preserve"> in the</w:t>
      </w:r>
      <w:r w:rsidR="00833E61" w:rsidRPr="00EC13A6">
        <w:t xml:space="preserve"> CIS, Africa, Arab States, Americas and Asia-Pacific</w:t>
      </w:r>
      <w:r w:rsidR="00833E61">
        <w:t xml:space="preserve"> regions</w:t>
      </w:r>
      <w:r w:rsidR="00833E61" w:rsidRPr="00EC13A6">
        <w:t>.</w:t>
      </w:r>
      <w:r>
        <w:t xml:space="preserve"> CG-SR </w:t>
      </w:r>
      <w:r w:rsidR="00833E61">
        <w:t>compil</w:t>
      </w:r>
      <w:r>
        <w:t>ed</w:t>
      </w:r>
      <w:r w:rsidR="00833E61">
        <w:t xml:space="preserve"> the following regionally-agreed proposals for streamlining resolutions</w:t>
      </w:r>
      <w:r w:rsidR="00833E61" w:rsidRPr="00EC13A6">
        <w:t>:</w:t>
      </w:r>
    </w:p>
    <w:p w14:paraId="2E616532" w14:textId="77777777" w:rsidR="00833E61" w:rsidRPr="00B00903" w:rsidRDefault="00833E61" w:rsidP="00833E61">
      <w:pPr>
        <w:numPr>
          <w:ilvl w:val="0"/>
          <w:numId w:val="26"/>
        </w:numPr>
        <w:tabs>
          <w:tab w:val="clear" w:pos="1134"/>
          <w:tab w:val="clear" w:pos="1871"/>
          <w:tab w:val="clear" w:pos="2268"/>
          <w:tab w:val="left" w:pos="794"/>
          <w:tab w:val="left" w:pos="1191"/>
          <w:tab w:val="left" w:pos="1588"/>
          <w:tab w:val="left" w:pos="1985"/>
        </w:tabs>
        <w:spacing w:before="60"/>
        <w:ind w:left="567" w:hanging="567"/>
      </w:pPr>
      <w:r w:rsidRPr="00B00903">
        <w:t>The merger of Resolutions 1 and 31</w:t>
      </w:r>
    </w:p>
    <w:p w14:paraId="69740E52" w14:textId="77777777" w:rsidR="00833E61" w:rsidRPr="00B00903" w:rsidRDefault="00833E61" w:rsidP="00833E61">
      <w:pPr>
        <w:numPr>
          <w:ilvl w:val="0"/>
          <w:numId w:val="26"/>
        </w:numPr>
        <w:tabs>
          <w:tab w:val="clear" w:pos="1134"/>
          <w:tab w:val="clear" w:pos="1871"/>
          <w:tab w:val="clear" w:pos="2268"/>
          <w:tab w:val="left" w:pos="794"/>
          <w:tab w:val="left" w:pos="1191"/>
          <w:tab w:val="left" w:pos="1588"/>
          <w:tab w:val="left" w:pos="1985"/>
        </w:tabs>
        <w:spacing w:before="60"/>
        <w:ind w:left="567" w:hanging="567"/>
      </w:pPr>
      <w:r w:rsidRPr="00B00903">
        <w:t xml:space="preserve">The merger of Resolutions 17 and 32 </w:t>
      </w:r>
    </w:p>
    <w:p w14:paraId="245653DB" w14:textId="77777777" w:rsidR="00833E61" w:rsidRPr="00B00903" w:rsidRDefault="00833E61" w:rsidP="00833E61">
      <w:pPr>
        <w:numPr>
          <w:ilvl w:val="0"/>
          <w:numId w:val="26"/>
        </w:numPr>
        <w:tabs>
          <w:tab w:val="clear" w:pos="1134"/>
          <w:tab w:val="clear" w:pos="1871"/>
          <w:tab w:val="clear" w:pos="2268"/>
          <w:tab w:val="left" w:pos="794"/>
          <w:tab w:val="left" w:pos="1191"/>
          <w:tab w:val="left" w:pos="1588"/>
          <w:tab w:val="left" w:pos="1985"/>
        </w:tabs>
        <w:spacing w:before="60"/>
        <w:ind w:left="567" w:hanging="567"/>
      </w:pPr>
      <w:r w:rsidRPr="00B00903">
        <w:t xml:space="preserve">The merger of Resolutions 37 and 50 </w:t>
      </w:r>
    </w:p>
    <w:p w14:paraId="1EDBB9E6" w14:textId="77777777" w:rsidR="00833E61" w:rsidRPr="008A2B0B" w:rsidRDefault="00833E61" w:rsidP="00833E61">
      <w:pPr>
        <w:numPr>
          <w:ilvl w:val="0"/>
          <w:numId w:val="26"/>
        </w:numPr>
        <w:tabs>
          <w:tab w:val="clear" w:pos="1134"/>
          <w:tab w:val="clear" w:pos="1871"/>
          <w:tab w:val="clear" w:pos="2268"/>
          <w:tab w:val="left" w:pos="794"/>
          <w:tab w:val="left" w:pos="1191"/>
          <w:tab w:val="left" w:pos="1588"/>
          <w:tab w:val="left" w:pos="1985"/>
        </w:tabs>
        <w:spacing w:before="60"/>
        <w:ind w:left="567" w:hanging="567"/>
      </w:pPr>
      <w:r w:rsidRPr="00F81BC7">
        <w:t xml:space="preserve">The abrogation of Resolution </w:t>
      </w:r>
      <w:r w:rsidRPr="008A2B0B">
        <w:t>31</w:t>
      </w:r>
    </w:p>
    <w:p w14:paraId="6E776F03" w14:textId="77777777" w:rsidR="00833E61" w:rsidRPr="008A2B0B" w:rsidRDefault="00833E61" w:rsidP="00833E61">
      <w:pPr>
        <w:numPr>
          <w:ilvl w:val="0"/>
          <w:numId w:val="26"/>
        </w:numPr>
        <w:tabs>
          <w:tab w:val="clear" w:pos="1134"/>
          <w:tab w:val="clear" w:pos="1871"/>
          <w:tab w:val="clear" w:pos="2268"/>
          <w:tab w:val="left" w:pos="794"/>
          <w:tab w:val="left" w:pos="1191"/>
          <w:tab w:val="left" w:pos="1588"/>
          <w:tab w:val="left" w:pos="1985"/>
        </w:tabs>
        <w:spacing w:before="60"/>
        <w:ind w:left="567" w:hanging="567"/>
      </w:pPr>
      <w:r w:rsidRPr="00B629EA">
        <w:t>The abrogation of Resolution</w:t>
      </w:r>
      <w:r w:rsidRPr="008A2B0B">
        <w:t xml:space="preserve"> </w:t>
      </w:r>
      <w:r w:rsidRPr="00F81BC7">
        <w:t>32</w:t>
      </w:r>
    </w:p>
    <w:p w14:paraId="76EACAB6" w14:textId="77777777" w:rsidR="00833E61" w:rsidRDefault="00833E61" w:rsidP="00833E61">
      <w:pPr>
        <w:numPr>
          <w:ilvl w:val="0"/>
          <w:numId w:val="26"/>
        </w:numPr>
        <w:tabs>
          <w:tab w:val="clear" w:pos="1134"/>
          <w:tab w:val="clear" w:pos="1871"/>
          <w:tab w:val="clear" w:pos="2268"/>
          <w:tab w:val="left" w:pos="794"/>
          <w:tab w:val="left" w:pos="1191"/>
          <w:tab w:val="left" w:pos="1588"/>
          <w:tab w:val="left" w:pos="1985"/>
        </w:tabs>
        <w:spacing w:before="60"/>
        <w:ind w:left="567" w:hanging="567"/>
      </w:pPr>
      <w:r w:rsidRPr="00B629EA">
        <w:t>The abrogation of Resolution</w:t>
      </w:r>
      <w:r w:rsidRPr="00F81BC7">
        <w:t xml:space="preserve"> 50</w:t>
      </w:r>
      <w:r w:rsidRPr="00E539E7">
        <w:t>.</w:t>
      </w:r>
    </w:p>
    <w:p w14:paraId="286F9570" w14:textId="77777777" w:rsidR="00833E61" w:rsidRDefault="00833E61" w:rsidP="001E6206">
      <w:r>
        <w:t>Proposals from individual Member States were also put forward to either RPMs or the dedicated meetings of CG-SR regarding:</w:t>
      </w:r>
    </w:p>
    <w:p w14:paraId="5BC4C420" w14:textId="77777777" w:rsidR="00833E61" w:rsidRPr="00E539E7" w:rsidRDefault="00833E61" w:rsidP="00833E61">
      <w:pPr>
        <w:numPr>
          <w:ilvl w:val="0"/>
          <w:numId w:val="27"/>
        </w:numPr>
        <w:tabs>
          <w:tab w:val="clear" w:pos="1134"/>
          <w:tab w:val="clear" w:pos="1871"/>
          <w:tab w:val="clear" w:pos="2268"/>
          <w:tab w:val="left" w:pos="794"/>
          <w:tab w:val="left" w:pos="1191"/>
          <w:tab w:val="left" w:pos="1588"/>
          <w:tab w:val="left" w:pos="1985"/>
        </w:tabs>
        <w:spacing w:before="60"/>
        <w:ind w:left="567" w:hanging="567"/>
      </w:pPr>
      <w:r w:rsidRPr="00E539E7">
        <w:t>The merger of Resolutions 46 and 68</w:t>
      </w:r>
    </w:p>
    <w:p w14:paraId="26A4E2AF" w14:textId="77777777" w:rsidR="00833E61" w:rsidRDefault="00833E61" w:rsidP="00833E61">
      <w:pPr>
        <w:numPr>
          <w:ilvl w:val="0"/>
          <w:numId w:val="27"/>
        </w:numPr>
        <w:tabs>
          <w:tab w:val="clear" w:pos="1134"/>
          <w:tab w:val="clear" w:pos="1871"/>
          <w:tab w:val="clear" w:pos="2268"/>
          <w:tab w:val="left" w:pos="794"/>
          <w:tab w:val="left" w:pos="1191"/>
          <w:tab w:val="left" w:pos="1588"/>
          <w:tab w:val="left" w:pos="1985"/>
        </w:tabs>
        <w:spacing w:before="60"/>
        <w:ind w:left="567" w:hanging="567"/>
      </w:pPr>
      <w:r w:rsidRPr="00E539E7">
        <w:t>The merger of Resolutions 50 and 54</w:t>
      </w:r>
    </w:p>
    <w:p w14:paraId="1E990BFF" w14:textId="77777777" w:rsidR="00833E61" w:rsidRDefault="00833E61" w:rsidP="00833E61">
      <w:pPr>
        <w:numPr>
          <w:ilvl w:val="0"/>
          <w:numId w:val="27"/>
        </w:numPr>
        <w:tabs>
          <w:tab w:val="clear" w:pos="1134"/>
          <w:tab w:val="clear" w:pos="1871"/>
          <w:tab w:val="clear" w:pos="2268"/>
          <w:tab w:val="left" w:pos="794"/>
          <w:tab w:val="left" w:pos="1191"/>
          <w:tab w:val="left" w:pos="1588"/>
          <w:tab w:val="left" w:pos="1985"/>
        </w:tabs>
        <w:spacing w:before="60"/>
        <w:ind w:left="567" w:hanging="567"/>
      </w:pPr>
      <w:r w:rsidRPr="00F81BC7">
        <w:t>The abrogation of Resolution</w:t>
      </w:r>
      <w:r>
        <w:t xml:space="preserve"> 68</w:t>
      </w:r>
    </w:p>
    <w:p w14:paraId="706E06DB" w14:textId="77777777" w:rsidR="00833E61" w:rsidRDefault="00833E61" w:rsidP="00833E61">
      <w:pPr>
        <w:numPr>
          <w:ilvl w:val="0"/>
          <w:numId w:val="27"/>
        </w:numPr>
        <w:tabs>
          <w:tab w:val="clear" w:pos="1134"/>
          <w:tab w:val="clear" w:pos="1871"/>
          <w:tab w:val="clear" w:pos="2268"/>
          <w:tab w:val="left" w:pos="794"/>
          <w:tab w:val="left" w:pos="1191"/>
          <w:tab w:val="left" w:pos="1588"/>
          <w:tab w:val="left" w:pos="1985"/>
        </w:tabs>
        <w:spacing w:before="60"/>
        <w:ind w:left="567" w:hanging="567"/>
      </w:pPr>
      <w:r w:rsidRPr="00F81BC7">
        <w:t>The abrogation of Resolution</w:t>
      </w:r>
      <w:r>
        <w:t xml:space="preserve"> 54</w:t>
      </w:r>
    </w:p>
    <w:p w14:paraId="4809FBDD" w14:textId="77777777" w:rsidR="00833E61" w:rsidRDefault="00833E61" w:rsidP="00833E61">
      <w:pPr>
        <w:numPr>
          <w:ilvl w:val="0"/>
          <w:numId w:val="27"/>
        </w:numPr>
        <w:tabs>
          <w:tab w:val="clear" w:pos="1134"/>
          <w:tab w:val="clear" w:pos="1871"/>
          <w:tab w:val="clear" w:pos="2268"/>
          <w:tab w:val="left" w:pos="794"/>
          <w:tab w:val="left" w:pos="1191"/>
          <w:tab w:val="left" w:pos="1588"/>
          <w:tab w:val="left" w:pos="1985"/>
        </w:tabs>
        <w:spacing w:before="60"/>
        <w:ind w:left="567" w:hanging="567"/>
      </w:pPr>
      <w:r w:rsidRPr="00F81BC7">
        <w:t>The abrogation of Resolution</w:t>
      </w:r>
      <w:r>
        <w:t xml:space="preserve"> 33</w:t>
      </w:r>
    </w:p>
    <w:p w14:paraId="42103450" w14:textId="77777777" w:rsidR="00833E61" w:rsidRDefault="00833E61" w:rsidP="00833E61">
      <w:pPr>
        <w:numPr>
          <w:ilvl w:val="0"/>
          <w:numId w:val="27"/>
        </w:numPr>
        <w:tabs>
          <w:tab w:val="clear" w:pos="1134"/>
          <w:tab w:val="clear" w:pos="1871"/>
          <w:tab w:val="clear" w:pos="2268"/>
          <w:tab w:val="left" w:pos="794"/>
          <w:tab w:val="left" w:pos="1191"/>
          <w:tab w:val="left" w:pos="1588"/>
          <w:tab w:val="left" w:pos="1985"/>
        </w:tabs>
        <w:spacing w:before="60"/>
        <w:ind w:left="567" w:hanging="567"/>
      </w:pPr>
      <w:r w:rsidRPr="00F81BC7">
        <w:t>The abrogation of Resolution</w:t>
      </w:r>
      <w:r>
        <w:t xml:space="preserve"> 67.</w:t>
      </w:r>
    </w:p>
    <w:p w14:paraId="520EEB73" w14:textId="57B2C829" w:rsidR="00C00D53" w:rsidRPr="00E539E7" w:rsidRDefault="00805A54" w:rsidP="001E6206">
      <w:pPr>
        <w:tabs>
          <w:tab w:val="clear" w:pos="1134"/>
          <w:tab w:val="clear" w:pos="1871"/>
          <w:tab w:val="clear" w:pos="2268"/>
          <w:tab w:val="left" w:pos="794"/>
          <w:tab w:val="left" w:pos="1191"/>
          <w:tab w:val="left" w:pos="1588"/>
          <w:tab w:val="left" w:pos="1985"/>
        </w:tabs>
      </w:pPr>
      <w:r>
        <w:lastRenderedPageBreak/>
        <w:t>(</w:t>
      </w:r>
      <w:proofErr w:type="gramStart"/>
      <w:r>
        <w:t>see</w:t>
      </w:r>
      <w:proofErr w:type="gramEnd"/>
      <w:r>
        <w:t xml:space="preserve"> section 2.4 d 10 h for the conclusion of TDAG17)</w:t>
      </w:r>
    </w:p>
    <w:p w14:paraId="57E8F8D2" w14:textId="15ACE5FD" w:rsidR="00565EBE" w:rsidRPr="00BC78ED" w:rsidRDefault="002E0223" w:rsidP="001E6206">
      <w:pPr>
        <w:pStyle w:val="Heading1"/>
        <w:ind w:left="567" w:hanging="567"/>
        <w:contextualSpacing w:val="0"/>
      </w:pPr>
      <w:bookmarkStart w:id="19" w:name="_Toc482300245"/>
      <w:r>
        <w:t>M</w:t>
      </w:r>
      <w:r w:rsidR="00565EBE" w:rsidRPr="00BC78ED">
        <w:t xml:space="preserve">atters assigned to </w:t>
      </w:r>
      <w:r>
        <w:t>TDAG</w:t>
      </w:r>
      <w:r w:rsidR="00565EBE" w:rsidRPr="00BC78ED">
        <w:t xml:space="preserve"> by WTDC Resolution 24 (Rev. Dubai, 2014)</w:t>
      </w:r>
      <w:bookmarkEnd w:id="19"/>
    </w:p>
    <w:p w14:paraId="29A4AEBF" w14:textId="2F0727BD" w:rsidR="00565EBE" w:rsidRPr="0071512D" w:rsidRDefault="00565EBE" w:rsidP="00BC78ED">
      <w:pPr>
        <w:pStyle w:val="Heading2"/>
      </w:pPr>
      <w:bookmarkStart w:id="20" w:name="_Toc482300246"/>
      <w:r w:rsidRPr="0071512D">
        <w:t>Background</w:t>
      </w:r>
      <w:bookmarkEnd w:id="20"/>
    </w:p>
    <w:p w14:paraId="2DD08F9C" w14:textId="77777777" w:rsidR="00565EBE" w:rsidRPr="0071512D" w:rsidRDefault="00565EBE" w:rsidP="00565EBE">
      <w:pPr>
        <w:pStyle w:val="CEONormal"/>
        <w:spacing w:before="120" w:after="120"/>
        <w:rPr>
          <w:rFonts w:ascii="Calibri" w:hAnsi="Calibri" w:cs="Calibri"/>
          <w:sz w:val="24"/>
          <w:szCs w:val="24"/>
        </w:rPr>
      </w:pPr>
      <w:r w:rsidRPr="0071512D">
        <w:rPr>
          <w:rFonts w:ascii="Calibri" w:hAnsi="Calibri" w:cs="Calibri"/>
          <w:sz w:val="24"/>
          <w:szCs w:val="24"/>
        </w:rPr>
        <w:t>According to provision No. 215JA of Article 17 of the Convention of the International Telecommunication Union, the Telecommunication Development Advisory Group (TDAG) shall submit a report to the 2017 World Telecommunication Development Conference (WTDC-17) on the specific matters assigned to it by WTDC-10, in accordance with provision No. 213A of Article 16 of the Convention.</w:t>
      </w:r>
    </w:p>
    <w:p w14:paraId="35220C52" w14:textId="0D325C42" w:rsidR="00565EBE" w:rsidRPr="0071512D" w:rsidRDefault="00565EBE" w:rsidP="00C10A8E">
      <w:pPr>
        <w:pStyle w:val="CEONormal"/>
        <w:spacing w:after="120"/>
        <w:rPr>
          <w:rFonts w:ascii="Calibri" w:hAnsi="Calibri" w:cs="Calibri"/>
          <w:sz w:val="24"/>
          <w:szCs w:val="24"/>
        </w:rPr>
      </w:pPr>
      <w:r w:rsidRPr="0071512D">
        <w:rPr>
          <w:rFonts w:ascii="Calibri" w:hAnsi="Calibri" w:cs="Calibri"/>
          <w:sz w:val="24"/>
          <w:szCs w:val="24"/>
        </w:rPr>
        <w:t>WTDC-</w:t>
      </w:r>
      <w:r w:rsidR="001C55C7">
        <w:rPr>
          <w:rFonts w:ascii="Calibri" w:hAnsi="Calibri" w:cs="Calibri"/>
          <w:sz w:val="24"/>
          <w:szCs w:val="24"/>
        </w:rPr>
        <w:t>14</w:t>
      </w:r>
      <w:r w:rsidRPr="0071512D">
        <w:rPr>
          <w:rFonts w:ascii="Calibri" w:hAnsi="Calibri" w:cs="Calibri"/>
          <w:sz w:val="24"/>
          <w:szCs w:val="24"/>
        </w:rPr>
        <w:t xml:space="preserve"> revised Resolution 24 (Rev. Dubai, 2014</w:t>
      </w:r>
      <w:bookmarkStart w:id="21" w:name="_GoBack"/>
      <w:r w:rsidRPr="0071512D">
        <w:rPr>
          <w:rFonts w:ascii="Calibri" w:hAnsi="Calibri" w:cs="Calibri"/>
          <w:sz w:val="24"/>
          <w:szCs w:val="24"/>
        </w:rPr>
        <w:t xml:space="preserve">) </w:t>
      </w:r>
      <w:r w:rsidR="00C10A8E">
        <w:rPr>
          <w:rFonts w:ascii="Calibri" w:hAnsi="Calibri" w:cs="Calibri"/>
          <w:sz w:val="24"/>
          <w:szCs w:val="24"/>
        </w:rPr>
        <w:t>which</w:t>
      </w:r>
      <w:r w:rsidR="00C10A8E" w:rsidRPr="0071512D">
        <w:rPr>
          <w:rFonts w:ascii="Calibri" w:hAnsi="Calibri" w:cs="Calibri"/>
          <w:sz w:val="24"/>
          <w:szCs w:val="24"/>
        </w:rPr>
        <w:t xml:space="preserve"> </w:t>
      </w:r>
      <w:r w:rsidRPr="0071512D">
        <w:rPr>
          <w:rFonts w:ascii="Calibri" w:hAnsi="Calibri" w:cs="Calibri"/>
          <w:sz w:val="24"/>
          <w:szCs w:val="24"/>
        </w:rPr>
        <w:t>assign</w:t>
      </w:r>
      <w:r w:rsidR="001C55C7">
        <w:rPr>
          <w:rFonts w:ascii="Calibri" w:hAnsi="Calibri" w:cs="Calibri"/>
          <w:sz w:val="24"/>
          <w:szCs w:val="24"/>
        </w:rPr>
        <w:t>ed</w:t>
      </w:r>
      <w:r w:rsidRPr="0071512D">
        <w:rPr>
          <w:rFonts w:ascii="Calibri" w:hAnsi="Calibri" w:cs="Calibri"/>
          <w:sz w:val="24"/>
          <w:szCs w:val="24"/>
        </w:rPr>
        <w:t xml:space="preserve"> to TDAG the following specific matters, between two consecutive WTDCs, acting through</w:t>
      </w:r>
      <w:bookmarkEnd w:id="21"/>
      <w:r w:rsidRPr="0071512D">
        <w:rPr>
          <w:rFonts w:ascii="Calibri" w:hAnsi="Calibri" w:cs="Calibri"/>
          <w:sz w:val="24"/>
          <w:szCs w:val="24"/>
        </w:rPr>
        <w:t xml:space="preserve"> reports from the Director of </w:t>
      </w:r>
      <w:proofErr w:type="spellStart"/>
      <w:r w:rsidRPr="0071512D">
        <w:rPr>
          <w:rFonts w:ascii="Calibri" w:hAnsi="Calibri" w:cs="Calibri"/>
          <w:sz w:val="24"/>
          <w:szCs w:val="24"/>
        </w:rPr>
        <w:t>theTelecommunication</w:t>
      </w:r>
      <w:proofErr w:type="spellEnd"/>
      <w:r w:rsidRPr="0071512D">
        <w:rPr>
          <w:rFonts w:ascii="Calibri" w:hAnsi="Calibri" w:cs="Calibri"/>
          <w:sz w:val="24"/>
          <w:szCs w:val="24"/>
        </w:rPr>
        <w:t xml:space="preserve"> Development Bureau (BDT) and study group chairmen, as appropriate:</w:t>
      </w:r>
    </w:p>
    <w:p w14:paraId="763F658D" w14:textId="421730DC" w:rsidR="00565EBE" w:rsidRPr="0071512D" w:rsidRDefault="00565EBE" w:rsidP="005E5E51">
      <w:pPr>
        <w:pStyle w:val="CEONormal"/>
        <w:tabs>
          <w:tab w:val="left" w:pos="567"/>
        </w:tabs>
        <w:spacing w:after="120"/>
        <w:rPr>
          <w:rFonts w:ascii="Calibri" w:hAnsi="Calibri" w:cs="Calibri"/>
          <w:sz w:val="24"/>
          <w:szCs w:val="24"/>
        </w:rPr>
      </w:pPr>
      <w:proofErr w:type="spellStart"/>
      <w:r w:rsidRPr="0071512D">
        <w:rPr>
          <w:rFonts w:ascii="Calibri" w:hAnsi="Calibri" w:cs="Calibri"/>
          <w:sz w:val="24"/>
          <w:szCs w:val="24"/>
        </w:rPr>
        <w:t>i</w:t>
      </w:r>
      <w:proofErr w:type="spellEnd"/>
      <w:r w:rsidRPr="0071512D">
        <w:rPr>
          <w:rFonts w:ascii="Calibri" w:hAnsi="Calibri" w:cs="Calibri"/>
          <w:sz w:val="24"/>
          <w:szCs w:val="24"/>
        </w:rPr>
        <w:t xml:space="preserve">) </w:t>
      </w:r>
      <w:r w:rsidR="005E5E51">
        <w:rPr>
          <w:rFonts w:ascii="Calibri" w:hAnsi="Calibri" w:cs="Calibri"/>
          <w:sz w:val="24"/>
          <w:szCs w:val="24"/>
        </w:rPr>
        <w:tab/>
      </w:r>
      <w:r w:rsidRPr="0071512D">
        <w:rPr>
          <w:rFonts w:ascii="Calibri" w:hAnsi="Calibri" w:cs="Calibri"/>
          <w:sz w:val="24"/>
          <w:szCs w:val="24"/>
        </w:rPr>
        <w:t xml:space="preserve">continue to maintain efficient and flexible working guidelines, and update them as necessary, including to provide opportunities for </w:t>
      </w:r>
      <w:proofErr w:type="spellStart"/>
      <w:r w:rsidRPr="0071512D">
        <w:rPr>
          <w:rFonts w:ascii="Calibri" w:hAnsi="Calibri" w:cs="Calibri"/>
          <w:sz w:val="24"/>
          <w:szCs w:val="24"/>
        </w:rPr>
        <w:t>crossregional</w:t>
      </w:r>
      <w:proofErr w:type="spellEnd"/>
      <w:r w:rsidRPr="0071512D">
        <w:rPr>
          <w:rFonts w:ascii="Calibri" w:hAnsi="Calibri" w:cs="Calibri"/>
          <w:sz w:val="24"/>
          <w:szCs w:val="24"/>
        </w:rPr>
        <w:t xml:space="preserve"> sharing of experiences on the implementation of regional actions, initiatives and projects;</w:t>
      </w:r>
    </w:p>
    <w:p w14:paraId="7927C22A" w14:textId="0EBA45CF" w:rsidR="00565EBE" w:rsidRPr="0071512D" w:rsidRDefault="00565EBE" w:rsidP="005E5E51">
      <w:pPr>
        <w:pStyle w:val="CEONormal"/>
        <w:tabs>
          <w:tab w:val="left" w:pos="567"/>
        </w:tabs>
        <w:spacing w:after="120"/>
        <w:rPr>
          <w:rFonts w:ascii="Calibri" w:hAnsi="Calibri" w:cs="Calibri"/>
          <w:sz w:val="24"/>
          <w:szCs w:val="24"/>
        </w:rPr>
      </w:pPr>
      <w:r w:rsidRPr="0071512D">
        <w:rPr>
          <w:rFonts w:ascii="Calibri" w:hAnsi="Calibri" w:cs="Calibri"/>
          <w:sz w:val="24"/>
          <w:szCs w:val="24"/>
        </w:rPr>
        <w:t xml:space="preserve">ii) </w:t>
      </w:r>
      <w:r w:rsidR="005E5E51">
        <w:rPr>
          <w:rFonts w:ascii="Calibri" w:hAnsi="Calibri" w:cs="Calibri"/>
          <w:sz w:val="24"/>
          <w:szCs w:val="24"/>
        </w:rPr>
        <w:tab/>
      </w:r>
      <w:r w:rsidRPr="0071512D">
        <w:rPr>
          <w:rFonts w:ascii="Calibri" w:hAnsi="Calibri" w:cs="Calibri"/>
          <w:sz w:val="24"/>
          <w:szCs w:val="24"/>
        </w:rPr>
        <w:t>review, on an ongoing basis, the relationship between the ITU-D objectives outlined in the strategic plan for the Union and the budgetary appropriations available for activities, particularly programmes and regional initiatives, with a view to recommending any measures necessary to ensure the efficient and effective delivery of the principal products and services (outputs) of the Sector;</w:t>
      </w:r>
    </w:p>
    <w:p w14:paraId="0550AD7D" w14:textId="481E00F2" w:rsidR="00565EBE" w:rsidRPr="0071512D" w:rsidRDefault="00565EBE" w:rsidP="005E5E51">
      <w:pPr>
        <w:pStyle w:val="CEONormal"/>
        <w:tabs>
          <w:tab w:val="left" w:pos="567"/>
        </w:tabs>
        <w:spacing w:after="120"/>
        <w:rPr>
          <w:rFonts w:ascii="Calibri" w:hAnsi="Calibri" w:cs="Calibri"/>
          <w:sz w:val="24"/>
          <w:szCs w:val="24"/>
        </w:rPr>
      </w:pPr>
      <w:r w:rsidRPr="0071512D">
        <w:rPr>
          <w:rFonts w:ascii="Calibri" w:hAnsi="Calibri" w:cs="Calibri"/>
          <w:sz w:val="24"/>
          <w:szCs w:val="24"/>
        </w:rPr>
        <w:t xml:space="preserve">iii) </w:t>
      </w:r>
      <w:r w:rsidR="005E5E51">
        <w:rPr>
          <w:rFonts w:ascii="Calibri" w:hAnsi="Calibri" w:cs="Calibri"/>
          <w:sz w:val="24"/>
          <w:szCs w:val="24"/>
        </w:rPr>
        <w:tab/>
      </w:r>
      <w:proofErr w:type="gramStart"/>
      <w:r w:rsidRPr="0071512D">
        <w:rPr>
          <w:rFonts w:ascii="Calibri" w:hAnsi="Calibri" w:cs="Calibri"/>
          <w:sz w:val="24"/>
          <w:szCs w:val="24"/>
        </w:rPr>
        <w:t>review</w:t>
      </w:r>
      <w:proofErr w:type="gramEnd"/>
      <w:r w:rsidRPr="0071512D">
        <w:rPr>
          <w:rFonts w:ascii="Calibri" w:hAnsi="Calibri" w:cs="Calibri"/>
          <w:sz w:val="24"/>
          <w:szCs w:val="24"/>
        </w:rPr>
        <w:t>, on an ongoing basis and in accordance with No. 223A of the Convention, the implementation of the rolling four-year operational plan for ITU-D and provide guidance to BDT on the elaboration of the draft ITU-D operational plan to be approved by the following ITU Council session;</w:t>
      </w:r>
    </w:p>
    <w:p w14:paraId="031C3B01" w14:textId="22ECC1C9" w:rsidR="00565EBE" w:rsidRPr="0071512D" w:rsidRDefault="00565EBE" w:rsidP="005E5E51">
      <w:pPr>
        <w:pStyle w:val="CEONormal"/>
        <w:tabs>
          <w:tab w:val="left" w:pos="567"/>
        </w:tabs>
        <w:spacing w:after="120"/>
        <w:rPr>
          <w:rFonts w:ascii="Calibri" w:hAnsi="Calibri" w:cs="Calibri"/>
          <w:sz w:val="24"/>
          <w:szCs w:val="24"/>
        </w:rPr>
      </w:pPr>
      <w:r w:rsidRPr="0071512D">
        <w:rPr>
          <w:rFonts w:ascii="Calibri" w:hAnsi="Calibri" w:cs="Calibri"/>
          <w:sz w:val="24"/>
          <w:szCs w:val="24"/>
        </w:rPr>
        <w:t xml:space="preserve">iv) </w:t>
      </w:r>
      <w:r w:rsidR="005E5E51">
        <w:rPr>
          <w:rFonts w:ascii="Calibri" w:hAnsi="Calibri" w:cs="Calibri"/>
          <w:sz w:val="24"/>
          <w:szCs w:val="24"/>
        </w:rPr>
        <w:tab/>
      </w:r>
      <w:proofErr w:type="gramStart"/>
      <w:r w:rsidRPr="0071512D">
        <w:rPr>
          <w:rFonts w:ascii="Calibri" w:hAnsi="Calibri" w:cs="Calibri"/>
          <w:sz w:val="24"/>
          <w:szCs w:val="24"/>
        </w:rPr>
        <w:t>evaluate</w:t>
      </w:r>
      <w:proofErr w:type="gramEnd"/>
      <w:r w:rsidRPr="0071512D">
        <w:rPr>
          <w:rFonts w:ascii="Calibri" w:hAnsi="Calibri" w:cs="Calibri"/>
          <w:sz w:val="24"/>
          <w:szCs w:val="24"/>
        </w:rPr>
        <w:t>, and update as necessary, working methods and guidelines to ensure the most efficient and flexible implementation of the key elements of the WTDC Action Plan;</w:t>
      </w:r>
    </w:p>
    <w:p w14:paraId="6D103761" w14:textId="6FD312EF" w:rsidR="00565EBE" w:rsidRPr="0071512D" w:rsidRDefault="00565EBE" w:rsidP="005E5E51">
      <w:pPr>
        <w:pStyle w:val="CEONormal"/>
        <w:tabs>
          <w:tab w:val="left" w:pos="567"/>
        </w:tabs>
        <w:spacing w:after="120"/>
        <w:rPr>
          <w:rFonts w:ascii="Calibri" w:hAnsi="Calibri" w:cs="Calibri"/>
          <w:sz w:val="24"/>
          <w:szCs w:val="24"/>
        </w:rPr>
      </w:pPr>
      <w:r w:rsidRPr="0071512D">
        <w:rPr>
          <w:rFonts w:ascii="Calibri" w:hAnsi="Calibri" w:cs="Calibri"/>
          <w:sz w:val="24"/>
          <w:szCs w:val="24"/>
        </w:rPr>
        <w:t xml:space="preserve">v) </w:t>
      </w:r>
      <w:r w:rsidR="005E5E51">
        <w:rPr>
          <w:rFonts w:ascii="Calibri" w:hAnsi="Calibri" w:cs="Calibri"/>
          <w:sz w:val="24"/>
          <w:szCs w:val="24"/>
        </w:rPr>
        <w:tab/>
      </w:r>
      <w:r w:rsidRPr="0071512D">
        <w:rPr>
          <w:rFonts w:ascii="Calibri" w:hAnsi="Calibri" w:cs="Calibri"/>
          <w:sz w:val="24"/>
          <w:szCs w:val="24"/>
        </w:rPr>
        <w:t>evaluate periodically the working methods and functioning of the ITU-D study groups, to identify options for maximizing programme delivery and to approve appropriate changes thereto following an assessment of their work programme, including strengthening of the synergy between Questions, programmes and regional initiatives;</w:t>
      </w:r>
    </w:p>
    <w:p w14:paraId="22296FEA" w14:textId="0F8A4FA4" w:rsidR="00565EBE" w:rsidRPr="0071512D" w:rsidRDefault="00565EBE" w:rsidP="005E5E51">
      <w:pPr>
        <w:pStyle w:val="CEONormal"/>
        <w:tabs>
          <w:tab w:val="left" w:pos="567"/>
        </w:tabs>
        <w:spacing w:after="120"/>
        <w:rPr>
          <w:rFonts w:ascii="Calibri" w:hAnsi="Calibri" w:cs="Calibri"/>
          <w:sz w:val="24"/>
          <w:szCs w:val="24"/>
        </w:rPr>
      </w:pPr>
      <w:r w:rsidRPr="0071512D">
        <w:rPr>
          <w:rFonts w:ascii="Calibri" w:hAnsi="Calibri" w:cs="Calibri"/>
          <w:sz w:val="24"/>
          <w:szCs w:val="24"/>
        </w:rPr>
        <w:t xml:space="preserve">vi) </w:t>
      </w:r>
      <w:r w:rsidR="005E5E51">
        <w:rPr>
          <w:rFonts w:ascii="Calibri" w:hAnsi="Calibri" w:cs="Calibri"/>
          <w:sz w:val="24"/>
          <w:szCs w:val="24"/>
        </w:rPr>
        <w:tab/>
      </w:r>
      <w:proofErr w:type="gramStart"/>
      <w:r w:rsidRPr="0071512D">
        <w:rPr>
          <w:rFonts w:ascii="Calibri" w:hAnsi="Calibri" w:cs="Calibri"/>
          <w:sz w:val="24"/>
          <w:szCs w:val="24"/>
        </w:rPr>
        <w:t>conduct</w:t>
      </w:r>
      <w:proofErr w:type="gramEnd"/>
      <w:r w:rsidRPr="0071512D">
        <w:rPr>
          <w:rFonts w:ascii="Calibri" w:hAnsi="Calibri" w:cs="Calibri"/>
          <w:sz w:val="24"/>
          <w:szCs w:val="24"/>
        </w:rPr>
        <w:t xml:space="preserve"> the assessment pursuant to v) above, taking into account the following actions in relation to the current work programme of the study groups, if needed:</w:t>
      </w:r>
    </w:p>
    <w:p w14:paraId="2AB72F2A" w14:textId="77777777" w:rsidR="00565EBE" w:rsidRPr="0071512D" w:rsidRDefault="00565EBE" w:rsidP="005E5E51">
      <w:pPr>
        <w:pStyle w:val="CEONormal"/>
        <w:numPr>
          <w:ilvl w:val="0"/>
          <w:numId w:val="17"/>
        </w:numPr>
        <w:tabs>
          <w:tab w:val="left" w:pos="567"/>
        </w:tabs>
        <w:spacing w:after="120"/>
        <w:ind w:left="567" w:hanging="567"/>
        <w:rPr>
          <w:rFonts w:ascii="Calibri" w:hAnsi="Calibri" w:cs="Calibri"/>
          <w:sz w:val="24"/>
          <w:szCs w:val="24"/>
        </w:rPr>
      </w:pPr>
      <w:r w:rsidRPr="0071512D">
        <w:rPr>
          <w:rFonts w:ascii="Calibri" w:hAnsi="Calibri" w:cs="Calibri"/>
          <w:sz w:val="24"/>
          <w:szCs w:val="24"/>
        </w:rPr>
        <w:t>redefinition of the terms of reference of Questions in order to provide focus and eliminate overlap;</w:t>
      </w:r>
    </w:p>
    <w:p w14:paraId="509918DA" w14:textId="77777777" w:rsidR="00565EBE" w:rsidRPr="0071512D" w:rsidRDefault="00565EBE" w:rsidP="005E5E51">
      <w:pPr>
        <w:pStyle w:val="CEONormal"/>
        <w:numPr>
          <w:ilvl w:val="0"/>
          <w:numId w:val="17"/>
        </w:numPr>
        <w:tabs>
          <w:tab w:val="left" w:pos="567"/>
        </w:tabs>
        <w:spacing w:after="120"/>
        <w:ind w:left="567" w:hanging="567"/>
        <w:rPr>
          <w:rFonts w:ascii="Calibri" w:hAnsi="Calibri" w:cs="Calibri"/>
          <w:sz w:val="24"/>
          <w:szCs w:val="24"/>
        </w:rPr>
      </w:pPr>
      <w:r w:rsidRPr="0071512D">
        <w:rPr>
          <w:rFonts w:ascii="Calibri" w:hAnsi="Calibri" w:cs="Calibri"/>
          <w:sz w:val="24"/>
          <w:szCs w:val="24"/>
        </w:rPr>
        <w:t>deletion or merging of Questions as appropriate; and</w:t>
      </w:r>
    </w:p>
    <w:p w14:paraId="1C5B3EAF" w14:textId="77777777" w:rsidR="00565EBE" w:rsidRPr="0071512D" w:rsidRDefault="00565EBE" w:rsidP="005E5E51">
      <w:pPr>
        <w:pStyle w:val="CEONormal"/>
        <w:numPr>
          <w:ilvl w:val="0"/>
          <w:numId w:val="17"/>
        </w:numPr>
        <w:tabs>
          <w:tab w:val="left" w:pos="567"/>
        </w:tabs>
        <w:spacing w:after="120"/>
        <w:ind w:left="567" w:hanging="567"/>
        <w:rPr>
          <w:rFonts w:ascii="Calibri" w:hAnsi="Calibri" w:cs="Calibri"/>
          <w:sz w:val="24"/>
          <w:szCs w:val="24"/>
        </w:rPr>
      </w:pPr>
      <w:r w:rsidRPr="0071512D">
        <w:rPr>
          <w:rFonts w:ascii="Calibri" w:hAnsi="Calibri" w:cs="Calibri"/>
          <w:sz w:val="24"/>
          <w:szCs w:val="24"/>
        </w:rPr>
        <w:t>evaluation of criteria to measure the effectiveness of Questions, both in qualitative and quantitative terms, including a periodical review based on the ITU-D strategic plan with a view to further exploring performance measures in order to more effectively implement actions referred to in v) above;</w:t>
      </w:r>
    </w:p>
    <w:p w14:paraId="73809118" w14:textId="43AEC5F3" w:rsidR="00565EBE" w:rsidRPr="0071512D" w:rsidRDefault="00565EBE" w:rsidP="005E5E51">
      <w:pPr>
        <w:pStyle w:val="CEONormal"/>
        <w:tabs>
          <w:tab w:val="left" w:pos="567"/>
        </w:tabs>
        <w:spacing w:after="120"/>
        <w:rPr>
          <w:rFonts w:ascii="Calibri" w:hAnsi="Calibri" w:cs="Calibri"/>
          <w:sz w:val="24"/>
          <w:szCs w:val="24"/>
        </w:rPr>
      </w:pPr>
      <w:r w:rsidRPr="0071512D">
        <w:rPr>
          <w:rFonts w:ascii="Calibri" w:hAnsi="Calibri" w:cs="Calibri"/>
          <w:sz w:val="24"/>
          <w:szCs w:val="24"/>
        </w:rPr>
        <w:t xml:space="preserve">vii) </w:t>
      </w:r>
      <w:r w:rsidR="005E5E51">
        <w:rPr>
          <w:rFonts w:ascii="Calibri" w:hAnsi="Calibri" w:cs="Calibri"/>
          <w:sz w:val="24"/>
          <w:szCs w:val="24"/>
        </w:rPr>
        <w:tab/>
      </w:r>
      <w:proofErr w:type="gramStart"/>
      <w:r w:rsidRPr="0071512D">
        <w:rPr>
          <w:rFonts w:ascii="Calibri" w:hAnsi="Calibri" w:cs="Calibri"/>
          <w:sz w:val="24"/>
          <w:szCs w:val="24"/>
        </w:rPr>
        <w:t>restructure</w:t>
      </w:r>
      <w:proofErr w:type="gramEnd"/>
      <w:r w:rsidRPr="0071512D">
        <w:rPr>
          <w:rFonts w:ascii="Calibri" w:hAnsi="Calibri" w:cs="Calibri"/>
          <w:sz w:val="24"/>
          <w:szCs w:val="24"/>
        </w:rPr>
        <w:t xml:space="preserve"> ITU-D study groups, if required, and, as a result of a restructuring or creation of ITU-D study groups, appoint chairmen and vice-chairmen to act until the next WTDC in </w:t>
      </w:r>
      <w:r w:rsidRPr="0071512D">
        <w:rPr>
          <w:rFonts w:ascii="Calibri" w:hAnsi="Calibri" w:cs="Calibri"/>
          <w:sz w:val="24"/>
          <w:szCs w:val="24"/>
        </w:rPr>
        <w:lastRenderedPageBreak/>
        <w:t>response to the needs and concerns of the Member States, within the agreed budgetary limits;</w:t>
      </w:r>
    </w:p>
    <w:p w14:paraId="264B3789" w14:textId="7E88082E" w:rsidR="00565EBE" w:rsidRPr="0071512D" w:rsidRDefault="00565EBE" w:rsidP="005E5E51">
      <w:pPr>
        <w:pStyle w:val="CEONormal"/>
        <w:tabs>
          <w:tab w:val="left" w:pos="567"/>
        </w:tabs>
        <w:spacing w:after="120"/>
        <w:rPr>
          <w:rFonts w:ascii="Calibri" w:hAnsi="Calibri" w:cs="Calibri"/>
          <w:sz w:val="24"/>
          <w:szCs w:val="24"/>
        </w:rPr>
      </w:pPr>
      <w:r w:rsidRPr="0071512D">
        <w:rPr>
          <w:rFonts w:ascii="Calibri" w:hAnsi="Calibri" w:cs="Calibri"/>
          <w:sz w:val="24"/>
          <w:szCs w:val="24"/>
        </w:rPr>
        <w:t xml:space="preserve">viii) </w:t>
      </w:r>
      <w:r w:rsidR="005E5E51">
        <w:rPr>
          <w:rFonts w:ascii="Calibri" w:hAnsi="Calibri" w:cs="Calibri"/>
          <w:sz w:val="24"/>
          <w:szCs w:val="24"/>
        </w:rPr>
        <w:tab/>
      </w:r>
      <w:proofErr w:type="gramStart"/>
      <w:r w:rsidRPr="0071512D">
        <w:rPr>
          <w:rFonts w:ascii="Calibri" w:hAnsi="Calibri" w:cs="Calibri"/>
          <w:sz w:val="24"/>
          <w:szCs w:val="24"/>
        </w:rPr>
        <w:t>issue</w:t>
      </w:r>
      <w:proofErr w:type="gramEnd"/>
      <w:r w:rsidRPr="0071512D">
        <w:rPr>
          <w:rFonts w:ascii="Calibri" w:hAnsi="Calibri" w:cs="Calibri"/>
          <w:sz w:val="24"/>
          <w:szCs w:val="24"/>
        </w:rPr>
        <w:t xml:space="preserve"> advice on study group schedules that meet development priorities;</w:t>
      </w:r>
    </w:p>
    <w:p w14:paraId="2E9E5950" w14:textId="1B14E088" w:rsidR="00565EBE" w:rsidRPr="0071512D" w:rsidRDefault="00565EBE" w:rsidP="005E5E51">
      <w:pPr>
        <w:pStyle w:val="CEONormal"/>
        <w:tabs>
          <w:tab w:val="left" w:pos="567"/>
        </w:tabs>
        <w:spacing w:after="120"/>
        <w:rPr>
          <w:rFonts w:ascii="Calibri" w:hAnsi="Calibri" w:cs="Calibri"/>
          <w:sz w:val="24"/>
          <w:szCs w:val="24"/>
        </w:rPr>
      </w:pPr>
      <w:r w:rsidRPr="0071512D">
        <w:rPr>
          <w:rFonts w:ascii="Calibri" w:hAnsi="Calibri" w:cs="Calibri"/>
          <w:sz w:val="24"/>
          <w:szCs w:val="24"/>
        </w:rPr>
        <w:t xml:space="preserve">ix) </w:t>
      </w:r>
      <w:r w:rsidR="005E5E51">
        <w:rPr>
          <w:rFonts w:ascii="Calibri" w:hAnsi="Calibri" w:cs="Calibri"/>
          <w:sz w:val="24"/>
          <w:szCs w:val="24"/>
        </w:rPr>
        <w:tab/>
      </w:r>
      <w:proofErr w:type="gramStart"/>
      <w:r w:rsidRPr="0071512D">
        <w:rPr>
          <w:rFonts w:ascii="Calibri" w:hAnsi="Calibri" w:cs="Calibri"/>
          <w:sz w:val="24"/>
          <w:szCs w:val="24"/>
        </w:rPr>
        <w:t>advise</w:t>
      </w:r>
      <w:proofErr w:type="gramEnd"/>
      <w:r w:rsidRPr="0071512D">
        <w:rPr>
          <w:rFonts w:ascii="Calibri" w:hAnsi="Calibri" w:cs="Calibri"/>
          <w:sz w:val="24"/>
          <w:szCs w:val="24"/>
        </w:rPr>
        <w:t xml:space="preserve"> the Director of BDT on relevant financial and other matters;</w:t>
      </w:r>
    </w:p>
    <w:p w14:paraId="0BD5240A" w14:textId="01DC6129" w:rsidR="00565EBE" w:rsidRPr="0071512D" w:rsidRDefault="00565EBE" w:rsidP="005E5E51">
      <w:pPr>
        <w:pStyle w:val="CEONormal"/>
        <w:tabs>
          <w:tab w:val="left" w:pos="567"/>
        </w:tabs>
        <w:spacing w:after="120"/>
        <w:rPr>
          <w:rFonts w:ascii="Calibri" w:hAnsi="Calibri" w:cs="Calibri"/>
          <w:sz w:val="24"/>
          <w:szCs w:val="24"/>
        </w:rPr>
      </w:pPr>
      <w:r w:rsidRPr="0071512D">
        <w:rPr>
          <w:rFonts w:ascii="Calibri" w:hAnsi="Calibri" w:cs="Calibri"/>
          <w:sz w:val="24"/>
          <w:szCs w:val="24"/>
        </w:rPr>
        <w:t xml:space="preserve">x) </w:t>
      </w:r>
      <w:r w:rsidR="005E5E51">
        <w:rPr>
          <w:rFonts w:ascii="Calibri" w:hAnsi="Calibri" w:cs="Calibri"/>
          <w:sz w:val="24"/>
          <w:szCs w:val="24"/>
        </w:rPr>
        <w:tab/>
      </w:r>
      <w:proofErr w:type="gramStart"/>
      <w:r w:rsidRPr="0071512D">
        <w:rPr>
          <w:rFonts w:ascii="Calibri" w:hAnsi="Calibri" w:cs="Calibri"/>
          <w:sz w:val="24"/>
          <w:szCs w:val="24"/>
        </w:rPr>
        <w:t>approve</w:t>
      </w:r>
      <w:proofErr w:type="gramEnd"/>
      <w:r w:rsidRPr="0071512D">
        <w:rPr>
          <w:rFonts w:ascii="Calibri" w:hAnsi="Calibri" w:cs="Calibri"/>
          <w:sz w:val="24"/>
          <w:szCs w:val="24"/>
        </w:rPr>
        <w:t xml:space="preserve"> the programme of work arising from the review of existing and new Questions and determine the priority, urgency, estimated financial implications and time-scale for the completion of their study;</w:t>
      </w:r>
    </w:p>
    <w:p w14:paraId="0AD43C2C" w14:textId="09A45EFA" w:rsidR="00565EBE" w:rsidRPr="0071512D" w:rsidRDefault="00565EBE" w:rsidP="005E5E51">
      <w:pPr>
        <w:pStyle w:val="CEONormal"/>
        <w:tabs>
          <w:tab w:val="left" w:pos="567"/>
        </w:tabs>
        <w:spacing w:after="120"/>
        <w:rPr>
          <w:rFonts w:ascii="Calibri" w:hAnsi="Calibri" w:cs="Calibri"/>
          <w:sz w:val="24"/>
          <w:szCs w:val="24"/>
        </w:rPr>
      </w:pPr>
      <w:r w:rsidRPr="0071512D">
        <w:rPr>
          <w:rFonts w:ascii="Calibri" w:hAnsi="Calibri" w:cs="Calibri"/>
          <w:sz w:val="24"/>
          <w:szCs w:val="24"/>
        </w:rPr>
        <w:t xml:space="preserve">xi) </w:t>
      </w:r>
      <w:r w:rsidR="005E5E51">
        <w:rPr>
          <w:rFonts w:ascii="Calibri" w:hAnsi="Calibri" w:cs="Calibri"/>
          <w:sz w:val="24"/>
          <w:szCs w:val="24"/>
        </w:rPr>
        <w:tab/>
      </w:r>
      <w:r w:rsidRPr="0071512D">
        <w:rPr>
          <w:rFonts w:ascii="Calibri" w:hAnsi="Calibri" w:cs="Calibri"/>
          <w:sz w:val="24"/>
          <w:szCs w:val="24"/>
        </w:rPr>
        <w:t>in order to promote flexibility in responding rapidly to high-priority matters, if required, create, terminate or maintain other groups, appoint their chairmen and vice-chairmen, and establish their terms of reference with a defined duration, in accordance with Nos 209A and 209B of the Convention and taking into account the leading role of the study groups in carrying out the studies on such matters; such other groups shall not adopt Questions or Recommendations;</w:t>
      </w:r>
    </w:p>
    <w:p w14:paraId="0B1521BB" w14:textId="0E8B1B56" w:rsidR="00565EBE" w:rsidRDefault="00565EBE" w:rsidP="005E5E51">
      <w:pPr>
        <w:pStyle w:val="CEONormal"/>
        <w:tabs>
          <w:tab w:val="left" w:pos="567"/>
        </w:tabs>
        <w:spacing w:after="120"/>
        <w:rPr>
          <w:rFonts w:ascii="Calibri" w:hAnsi="Calibri" w:cs="Calibri"/>
          <w:sz w:val="24"/>
          <w:szCs w:val="24"/>
        </w:rPr>
      </w:pPr>
      <w:r w:rsidRPr="0071512D">
        <w:rPr>
          <w:rFonts w:ascii="Calibri" w:hAnsi="Calibri" w:cs="Calibri"/>
          <w:sz w:val="24"/>
          <w:szCs w:val="24"/>
        </w:rPr>
        <w:t xml:space="preserve">xii) </w:t>
      </w:r>
      <w:r w:rsidR="005E5E51">
        <w:rPr>
          <w:rFonts w:ascii="Calibri" w:hAnsi="Calibri" w:cs="Calibri"/>
          <w:sz w:val="24"/>
          <w:szCs w:val="24"/>
        </w:rPr>
        <w:tab/>
      </w:r>
      <w:r w:rsidRPr="0071512D">
        <w:rPr>
          <w:rFonts w:ascii="Calibri" w:hAnsi="Calibri" w:cs="Calibri"/>
          <w:sz w:val="24"/>
          <w:szCs w:val="24"/>
        </w:rPr>
        <w:t xml:space="preserve">consult the Director of BDT on the development and implementation of an action plan on electronic working methods and, going forward, procedures and rules for electronic meetings, including legal aspects, taking into account the needs and the means of developing countries and in particular the least developed </w:t>
      </w:r>
      <w:proofErr w:type="spellStart"/>
      <w:r w:rsidRPr="0071512D">
        <w:rPr>
          <w:rFonts w:ascii="Calibri" w:hAnsi="Calibri" w:cs="Calibri"/>
          <w:sz w:val="24"/>
          <w:szCs w:val="24"/>
        </w:rPr>
        <w:t>countries</w:t>
      </w:r>
      <w:proofErr w:type="gramStart"/>
      <w:r w:rsidRPr="0071512D">
        <w:rPr>
          <w:rFonts w:ascii="Calibri" w:hAnsi="Calibri" w:cs="Calibri"/>
          <w:sz w:val="24"/>
          <w:szCs w:val="24"/>
        </w:rPr>
        <w:t>;The</w:t>
      </w:r>
      <w:proofErr w:type="spellEnd"/>
      <w:proofErr w:type="gramEnd"/>
      <w:r w:rsidRPr="0071512D">
        <w:rPr>
          <w:rFonts w:ascii="Calibri" w:hAnsi="Calibri" w:cs="Calibri"/>
          <w:sz w:val="24"/>
          <w:szCs w:val="24"/>
        </w:rPr>
        <w:t xml:space="preserve"> actions taken by TDAG between WTDC-10 and WTDC-14 in this regard are presented below.</w:t>
      </w:r>
    </w:p>
    <w:p w14:paraId="44BBA9D2" w14:textId="3BF3DC7D" w:rsidR="00565EBE" w:rsidRPr="008D5BC4" w:rsidRDefault="00565EBE" w:rsidP="00BC78ED">
      <w:pPr>
        <w:pStyle w:val="Heading2"/>
      </w:pPr>
      <w:bookmarkStart w:id="22" w:name="_Toc482300247"/>
      <w:r w:rsidRPr="008D5BC4">
        <w:t>Upkeep of up-to-date, efficient and flexible working guidelines</w:t>
      </w:r>
      <w:bookmarkEnd w:id="22"/>
    </w:p>
    <w:p w14:paraId="6E6EC18A" w14:textId="77777777" w:rsidR="00565EBE" w:rsidRPr="0071512D" w:rsidRDefault="00565EBE" w:rsidP="00565EBE">
      <w:pPr>
        <w:pStyle w:val="CEONormal"/>
        <w:spacing w:after="120"/>
        <w:rPr>
          <w:rFonts w:ascii="Calibri" w:hAnsi="Calibri" w:cs="Calibri"/>
          <w:sz w:val="24"/>
          <w:szCs w:val="24"/>
        </w:rPr>
      </w:pPr>
      <w:r w:rsidRPr="0071512D">
        <w:rPr>
          <w:rFonts w:ascii="Calibri" w:hAnsi="Calibri" w:cs="Calibri"/>
          <w:sz w:val="24"/>
          <w:szCs w:val="24"/>
        </w:rPr>
        <w:t>Electronic working methods, including remote participation, have been embedded in the work of the TDAG during the period under consideration.</w:t>
      </w:r>
    </w:p>
    <w:p w14:paraId="14985EC2" w14:textId="777C1E14" w:rsidR="00565EBE" w:rsidRDefault="00565EBE" w:rsidP="001E6206">
      <w:pPr>
        <w:pStyle w:val="CEONormal"/>
        <w:spacing w:after="120"/>
        <w:rPr>
          <w:rFonts w:ascii="Calibri" w:hAnsi="Calibri" w:cs="Calibri"/>
          <w:sz w:val="24"/>
          <w:szCs w:val="24"/>
        </w:rPr>
      </w:pPr>
      <w:r w:rsidRPr="0071512D">
        <w:rPr>
          <w:rFonts w:ascii="Calibri" w:hAnsi="Calibri" w:cs="Calibri"/>
          <w:sz w:val="24"/>
          <w:szCs w:val="24"/>
        </w:rPr>
        <w:t>TDAG created several correspondence groups</w:t>
      </w:r>
      <w:r>
        <w:rPr>
          <w:rFonts w:ascii="Calibri" w:hAnsi="Calibri" w:cs="Calibri"/>
          <w:sz w:val="24"/>
          <w:szCs w:val="24"/>
        </w:rPr>
        <w:t xml:space="preserve"> and coordination team</w:t>
      </w:r>
      <w:r w:rsidRPr="0071512D">
        <w:rPr>
          <w:rFonts w:ascii="Calibri" w:hAnsi="Calibri" w:cs="Calibri"/>
          <w:sz w:val="24"/>
          <w:szCs w:val="24"/>
        </w:rPr>
        <w:t xml:space="preserve"> to work electronically</w:t>
      </w:r>
      <w:r w:rsidR="00932065">
        <w:rPr>
          <w:rFonts w:ascii="Calibri" w:hAnsi="Calibri" w:cs="Calibri"/>
          <w:sz w:val="24"/>
          <w:szCs w:val="24"/>
        </w:rPr>
        <w:t xml:space="preserve"> (see </w:t>
      </w:r>
      <w:r w:rsidR="00A824A6">
        <w:rPr>
          <w:rFonts w:ascii="Calibri" w:hAnsi="Calibri" w:cs="Calibri"/>
          <w:sz w:val="24"/>
          <w:szCs w:val="24"/>
        </w:rPr>
        <w:t>section</w:t>
      </w:r>
      <w:r w:rsidR="00932065">
        <w:rPr>
          <w:rFonts w:ascii="Calibri" w:hAnsi="Calibri" w:cs="Calibri"/>
          <w:sz w:val="24"/>
          <w:szCs w:val="24"/>
        </w:rPr>
        <w:t xml:space="preserve"> 3)</w:t>
      </w:r>
      <w:r w:rsidR="00A824A6">
        <w:rPr>
          <w:rFonts w:ascii="Calibri" w:hAnsi="Calibri" w:cs="Calibri"/>
          <w:sz w:val="24"/>
          <w:szCs w:val="24"/>
        </w:rPr>
        <w:t>.</w:t>
      </w:r>
    </w:p>
    <w:p w14:paraId="3477E74F" w14:textId="77777777" w:rsidR="00565EBE" w:rsidRDefault="00565EBE" w:rsidP="00565EBE">
      <w:pPr>
        <w:pStyle w:val="CEONormal"/>
        <w:spacing w:after="120"/>
        <w:rPr>
          <w:rFonts w:ascii="Calibri" w:hAnsi="Calibri" w:cs="Calibri"/>
          <w:sz w:val="24"/>
          <w:szCs w:val="24"/>
        </w:rPr>
      </w:pPr>
      <w:r w:rsidRPr="0071512D">
        <w:rPr>
          <w:rFonts w:ascii="Calibri" w:hAnsi="Calibri" w:cs="Calibri"/>
          <w:sz w:val="24"/>
          <w:szCs w:val="24"/>
        </w:rPr>
        <w:t xml:space="preserve">TDAG noted with appreciation the innovative steps taken by the BDT to provide electronic working facilities for the use of the membership, in particular regarding remote participation, </w:t>
      </w:r>
      <w:r w:rsidRPr="005077CD">
        <w:rPr>
          <w:rFonts w:ascii="Calibri" w:hAnsi="Calibri" w:cs="Calibri"/>
          <w:sz w:val="24"/>
          <w:szCs w:val="24"/>
        </w:rPr>
        <w:t>the document management system (DMS) for the creation and publication of documents</w:t>
      </w:r>
      <w:r>
        <w:rPr>
          <w:rFonts w:ascii="Calibri" w:hAnsi="Calibri" w:cs="Calibri"/>
          <w:sz w:val="24"/>
          <w:szCs w:val="24"/>
        </w:rPr>
        <w:t xml:space="preserve"> and the</w:t>
      </w:r>
      <w:r w:rsidRPr="005077CD">
        <w:rPr>
          <w:rFonts w:ascii="Calibri" w:hAnsi="Calibri" w:cs="Calibri"/>
          <w:sz w:val="24"/>
          <w:szCs w:val="24"/>
        </w:rPr>
        <w:t xml:space="preserve"> Customer Relationship Management (CRM) project </w:t>
      </w:r>
      <w:r>
        <w:rPr>
          <w:rFonts w:ascii="Calibri" w:hAnsi="Calibri" w:cs="Calibri"/>
          <w:sz w:val="24"/>
          <w:szCs w:val="24"/>
        </w:rPr>
        <w:t xml:space="preserve">that </w:t>
      </w:r>
      <w:r w:rsidRPr="005077CD">
        <w:rPr>
          <w:rFonts w:ascii="Calibri" w:hAnsi="Calibri" w:cs="Calibri"/>
          <w:sz w:val="24"/>
          <w:szCs w:val="24"/>
        </w:rPr>
        <w:t>is progressively entering in pilot stage</w:t>
      </w:r>
      <w:r>
        <w:rPr>
          <w:rFonts w:ascii="Calibri" w:hAnsi="Calibri" w:cs="Calibri"/>
          <w:sz w:val="24"/>
          <w:szCs w:val="24"/>
        </w:rPr>
        <w:t>.</w:t>
      </w:r>
      <w:r w:rsidRPr="005077CD">
        <w:rPr>
          <w:rFonts w:ascii="Calibri" w:hAnsi="Calibri" w:cs="Calibri"/>
          <w:sz w:val="24"/>
          <w:szCs w:val="24"/>
        </w:rPr>
        <w:t xml:space="preserve"> </w:t>
      </w:r>
    </w:p>
    <w:p w14:paraId="76F18954" w14:textId="2D873662" w:rsidR="00565EBE" w:rsidRDefault="00565EBE" w:rsidP="008113AF">
      <w:pPr>
        <w:rPr>
          <w:rFonts w:cstheme="minorHAnsi"/>
          <w:szCs w:val="24"/>
        </w:rPr>
      </w:pPr>
      <w:r w:rsidRPr="00A824A6">
        <w:rPr>
          <w:rFonts w:cstheme="minorHAnsi"/>
          <w:szCs w:val="24"/>
        </w:rPr>
        <w:t>TDAG Correspondence Group on Rules of Procedure of ITU-D (</w:t>
      </w:r>
      <w:r w:rsidR="008113AF">
        <w:rPr>
          <w:rFonts w:cstheme="minorHAnsi"/>
          <w:szCs w:val="24"/>
        </w:rPr>
        <w:t>CG-Res.1</w:t>
      </w:r>
      <w:r w:rsidRPr="00A824A6">
        <w:rPr>
          <w:rFonts w:cstheme="minorHAnsi"/>
          <w:szCs w:val="24"/>
        </w:rPr>
        <w:t>) review</w:t>
      </w:r>
      <w:r w:rsidR="00A824A6">
        <w:rPr>
          <w:rFonts w:cstheme="minorHAnsi"/>
          <w:szCs w:val="24"/>
        </w:rPr>
        <w:t>ed</w:t>
      </w:r>
      <w:r w:rsidRPr="00A824A6">
        <w:rPr>
          <w:rFonts w:cstheme="minorHAnsi"/>
          <w:szCs w:val="24"/>
        </w:rPr>
        <w:t xml:space="preserve"> the existing text in Resolution 1 (Rev. Dubai, 2014) to give practical interpretation of the working methods and prepare proposals for further consideration at WTDC-17</w:t>
      </w:r>
      <w:r w:rsidR="00A824A6">
        <w:rPr>
          <w:rFonts w:cstheme="minorHAnsi"/>
          <w:szCs w:val="24"/>
        </w:rPr>
        <w:t xml:space="preserve"> </w:t>
      </w:r>
      <w:r w:rsidR="00A824A6">
        <w:rPr>
          <w:rFonts w:ascii="Calibri" w:hAnsi="Calibri" w:cs="Calibri"/>
          <w:szCs w:val="24"/>
        </w:rPr>
        <w:t>(see section 3.1)</w:t>
      </w:r>
      <w:r w:rsidRPr="00A824A6">
        <w:rPr>
          <w:rFonts w:cstheme="minorHAnsi"/>
          <w:szCs w:val="24"/>
        </w:rPr>
        <w:t xml:space="preserve">. </w:t>
      </w:r>
    </w:p>
    <w:p w14:paraId="2B2E4E3C" w14:textId="77777777" w:rsidR="00565EBE" w:rsidRDefault="00565EBE" w:rsidP="00565EBE">
      <w:pPr>
        <w:rPr>
          <w:rFonts w:cstheme="minorHAnsi"/>
          <w:color w:val="000000"/>
          <w:szCs w:val="24"/>
          <w:shd w:val="clear" w:color="auto" w:fill="FFFFFF"/>
        </w:rPr>
      </w:pPr>
      <w:r w:rsidRPr="00C403DF">
        <w:rPr>
          <w:rFonts w:cstheme="minorHAnsi"/>
          <w:color w:val="000000"/>
          <w:szCs w:val="24"/>
          <w:shd w:val="clear" w:color="auto" w:fill="FFFFFF"/>
        </w:rPr>
        <w:t>The cost of providing interpretation and translation services was also noted. In the other Sectors, the focus groups use one working language only, English. This may exclude some participants from the work of the focus groups. On the other hand, it was noted that existing mechanisms in ITU-D with rapporteur groups and study groups may already be sufficient and provide the necessary flexibility in conducting the work.</w:t>
      </w:r>
    </w:p>
    <w:p w14:paraId="2A7C0ADF" w14:textId="665BE848" w:rsidR="00565EBE" w:rsidRPr="009C623E" w:rsidRDefault="00565EBE">
      <w:pPr>
        <w:rPr>
          <w:rFonts w:cstheme="minorHAnsi"/>
          <w:szCs w:val="24"/>
        </w:rPr>
      </w:pPr>
      <w:r w:rsidRPr="00C403DF">
        <w:rPr>
          <w:rFonts w:cstheme="minorHAnsi"/>
          <w:szCs w:val="24"/>
        </w:rPr>
        <w:t xml:space="preserve">To further the work of </w:t>
      </w:r>
      <w:r w:rsidR="008113AF">
        <w:rPr>
          <w:rFonts w:cstheme="minorHAnsi"/>
          <w:szCs w:val="24"/>
        </w:rPr>
        <w:t>CG-Res.1</w:t>
      </w:r>
      <w:r w:rsidRPr="00C403DF">
        <w:rPr>
          <w:rFonts w:cstheme="minorHAnsi"/>
          <w:szCs w:val="24"/>
        </w:rPr>
        <w:t xml:space="preserve">, the Chairman highlighted some steps that could be considered: given that amending resolutions should be done on the basis of written contributions, it was asked that for the new revision of the Resolution 1 text, the mention of focus groups could be removed, unless a written justification agreeable to all can be adopted. Whenever new concepts are introduced in the text, they need to be justified and validated. </w:t>
      </w:r>
    </w:p>
    <w:p w14:paraId="73B9D3E4" w14:textId="2FE2B75B" w:rsidR="00565EBE" w:rsidRPr="008D5BC4" w:rsidRDefault="00565EBE" w:rsidP="00BC78ED">
      <w:pPr>
        <w:pStyle w:val="Heading2"/>
        <w:rPr>
          <w:rFonts w:eastAsia="SimSun"/>
          <w:bCs/>
        </w:rPr>
      </w:pPr>
      <w:bookmarkStart w:id="23" w:name="_Toc482300248"/>
      <w:r w:rsidRPr="008D5BC4">
        <w:rPr>
          <w:rFonts w:eastAsia="SimSun"/>
        </w:rPr>
        <w:lastRenderedPageBreak/>
        <w:t>Evaluation of the working methods and functioning of the ITU-D study groups, and approval of changes to improve efficiency and maximize programme delivery</w:t>
      </w:r>
      <w:bookmarkEnd w:id="23"/>
    </w:p>
    <w:p w14:paraId="3B02CB96" w14:textId="19078231" w:rsidR="00565EBE" w:rsidRDefault="00565EBE" w:rsidP="00565EBE">
      <w:pPr>
        <w:pStyle w:val="CEONormal"/>
        <w:tabs>
          <w:tab w:val="left" w:pos="794"/>
          <w:tab w:val="left" w:pos="1191"/>
          <w:tab w:val="left" w:pos="1588"/>
          <w:tab w:val="left" w:pos="1985"/>
        </w:tabs>
        <w:overflowPunct w:val="0"/>
        <w:autoSpaceDE w:val="0"/>
        <w:autoSpaceDN w:val="0"/>
        <w:adjustRightInd w:val="0"/>
        <w:textAlignment w:val="baseline"/>
        <w:rPr>
          <w:rFonts w:ascii="Calibri" w:hAnsi="Calibri" w:cs="Calibri"/>
          <w:sz w:val="24"/>
          <w:szCs w:val="24"/>
        </w:rPr>
      </w:pPr>
      <w:r w:rsidRPr="008D5BC4">
        <w:rPr>
          <w:rFonts w:ascii="Calibri" w:hAnsi="Calibri" w:cs="Calibri"/>
          <w:sz w:val="24"/>
          <w:szCs w:val="24"/>
        </w:rPr>
        <w:t>Throughout the study period the Chairmen of the two ITU-</w:t>
      </w:r>
      <w:r w:rsidR="003B3F7C">
        <w:rPr>
          <w:rFonts w:ascii="Calibri" w:hAnsi="Calibri" w:cs="Calibri"/>
          <w:sz w:val="24"/>
          <w:szCs w:val="24"/>
        </w:rPr>
        <w:t xml:space="preserve">D </w:t>
      </w:r>
      <w:r w:rsidRPr="008D5BC4">
        <w:rPr>
          <w:rFonts w:ascii="Calibri" w:hAnsi="Calibri" w:cs="Calibri"/>
          <w:sz w:val="24"/>
          <w:szCs w:val="24"/>
        </w:rPr>
        <w:t>Study Groups reported systematically to TDAG on the progress made by their respective Study Group and any challenges encountered that may have prevented the Groups from finalizing their work. Items discussed during the Management Team meetings, including the Joint Management Team meeting of the two Study Groups, have been included in these reports and brought to the attention of TDAG.</w:t>
      </w:r>
    </w:p>
    <w:p w14:paraId="106EAA6F" w14:textId="77777777" w:rsidR="00565EBE" w:rsidRPr="005B7671" w:rsidRDefault="00565EBE" w:rsidP="00165778">
      <w:pPr>
        <w:pStyle w:val="CEONormal"/>
        <w:tabs>
          <w:tab w:val="left" w:pos="794"/>
          <w:tab w:val="left" w:pos="1191"/>
          <w:tab w:val="left" w:pos="1588"/>
          <w:tab w:val="left" w:pos="1985"/>
        </w:tabs>
        <w:spacing w:before="120"/>
        <w:rPr>
          <w:rFonts w:ascii="Calibri" w:hAnsi="Calibri" w:cs="Calibri"/>
          <w:sz w:val="24"/>
          <w:szCs w:val="24"/>
        </w:rPr>
      </w:pPr>
      <w:r w:rsidRPr="005B7671">
        <w:rPr>
          <w:rFonts w:ascii="Calibri" w:hAnsi="Calibri" w:cs="Calibri"/>
          <w:sz w:val="24"/>
          <w:szCs w:val="24"/>
        </w:rPr>
        <w:t>TDAG</w:t>
      </w:r>
      <w:r>
        <w:rPr>
          <w:rFonts w:ascii="Calibri" w:hAnsi="Calibri" w:cs="Calibri"/>
          <w:sz w:val="24"/>
          <w:szCs w:val="24"/>
        </w:rPr>
        <w:t xml:space="preserve"> during its 2016 meeting </w:t>
      </w:r>
      <w:r w:rsidRPr="005B7671">
        <w:rPr>
          <w:rFonts w:ascii="Calibri" w:hAnsi="Calibri" w:cs="Calibri"/>
          <w:sz w:val="24"/>
          <w:szCs w:val="24"/>
        </w:rPr>
        <w:t xml:space="preserve">provided positive feedback to the chairmen of ITU-D Study Groups 1 and 2 regarding the current status of the groups’ work. </w:t>
      </w:r>
    </w:p>
    <w:p w14:paraId="3E66F5B3" w14:textId="77777777" w:rsidR="00565EBE" w:rsidRPr="005B7671" w:rsidRDefault="00565EBE" w:rsidP="00165778">
      <w:pPr>
        <w:pStyle w:val="CEONormal"/>
        <w:tabs>
          <w:tab w:val="left" w:pos="794"/>
          <w:tab w:val="left" w:pos="1191"/>
          <w:tab w:val="left" w:pos="1588"/>
          <w:tab w:val="left" w:pos="1985"/>
        </w:tabs>
        <w:spacing w:before="120"/>
        <w:rPr>
          <w:rFonts w:ascii="Calibri" w:hAnsi="Calibri" w:cs="Calibri"/>
          <w:sz w:val="24"/>
          <w:szCs w:val="24"/>
        </w:rPr>
      </w:pPr>
      <w:r w:rsidRPr="005B7671">
        <w:rPr>
          <w:rFonts w:ascii="Calibri" w:hAnsi="Calibri" w:cs="Calibri"/>
          <w:sz w:val="24"/>
          <w:szCs w:val="24"/>
        </w:rPr>
        <w:t xml:space="preserve">TDAG called upon ITU-D and in particular the ITU-D study group chairmen to coordinate work between ITU-D and ITU-T study groups. A number of participants as well as the TDAG Chairman suggested that greater use of personal contacts could contribute to closer coordination between the two Sectors. They proposed that rapporteurs of the ITU-D Questions should carefully study the information provided by ITU-T on the mapping of Questions and identify any overlapping topics between the two Sectors to be able to send feedback to ITU-T. </w:t>
      </w:r>
    </w:p>
    <w:p w14:paraId="2755CC1E" w14:textId="77777777" w:rsidR="00565EBE" w:rsidRPr="005B7671" w:rsidRDefault="00565EBE" w:rsidP="00165778">
      <w:pPr>
        <w:pStyle w:val="CEONormal"/>
        <w:tabs>
          <w:tab w:val="left" w:pos="794"/>
          <w:tab w:val="left" w:pos="1191"/>
          <w:tab w:val="left" w:pos="1588"/>
          <w:tab w:val="left" w:pos="1985"/>
        </w:tabs>
        <w:spacing w:before="120"/>
        <w:rPr>
          <w:rFonts w:ascii="Calibri" w:hAnsi="Calibri" w:cs="Calibri"/>
          <w:sz w:val="24"/>
          <w:szCs w:val="24"/>
        </w:rPr>
      </w:pPr>
      <w:r w:rsidRPr="005B7671">
        <w:rPr>
          <w:rFonts w:ascii="Calibri" w:hAnsi="Calibri" w:cs="Calibri"/>
          <w:sz w:val="24"/>
          <w:szCs w:val="24"/>
        </w:rPr>
        <w:t>TDAG pointed out the importance of collaboration between the study groups in the different Sectors. TDAG encouraged study group chairmen to enhance collaboration and a correct understanding of the work undertaken in the Sectors, the aim being to ensure complementarity.</w:t>
      </w:r>
    </w:p>
    <w:p w14:paraId="2184550C" w14:textId="77777777" w:rsidR="00565EBE" w:rsidRPr="005B7671" w:rsidRDefault="00565EBE" w:rsidP="00165778">
      <w:pPr>
        <w:pStyle w:val="CEONormal"/>
        <w:tabs>
          <w:tab w:val="left" w:pos="794"/>
          <w:tab w:val="left" w:pos="1191"/>
          <w:tab w:val="left" w:pos="1588"/>
          <w:tab w:val="left" w:pos="1985"/>
        </w:tabs>
        <w:spacing w:before="120"/>
        <w:rPr>
          <w:rFonts w:ascii="Calibri" w:hAnsi="Calibri" w:cs="Calibri"/>
          <w:sz w:val="24"/>
          <w:szCs w:val="24"/>
        </w:rPr>
      </w:pPr>
      <w:r w:rsidRPr="005B7671">
        <w:rPr>
          <w:rFonts w:ascii="Calibri" w:hAnsi="Calibri" w:cs="Calibri"/>
          <w:sz w:val="24"/>
          <w:szCs w:val="24"/>
        </w:rPr>
        <w:t xml:space="preserve">TDAG noted the relationship between Questions in Study Group 2 and those of Study Group 1, as well as with Questions in ITU-T and ITU-R study groups and provided positive feedback that measures have been initiated by way of information exchange and liaison statements to start and maintain cooperation. </w:t>
      </w:r>
    </w:p>
    <w:p w14:paraId="04ADC686" w14:textId="77777777" w:rsidR="00565EBE" w:rsidRDefault="00565EBE" w:rsidP="00165778">
      <w:pPr>
        <w:pStyle w:val="CEONormal"/>
        <w:tabs>
          <w:tab w:val="left" w:pos="794"/>
          <w:tab w:val="left" w:pos="1191"/>
          <w:tab w:val="left" w:pos="1588"/>
          <w:tab w:val="left" w:pos="1985"/>
        </w:tabs>
        <w:overflowPunct w:val="0"/>
        <w:autoSpaceDE w:val="0"/>
        <w:autoSpaceDN w:val="0"/>
        <w:adjustRightInd w:val="0"/>
        <w:spacing w:before="120"/>
        <w:textAlignment w:val="baseline"/>
        <w:rPr>
          <w:rFonts w:ascii="Calibri" w:hAnsi="Calibri" w:cs="Calibri"/>
          <w:sz w:val="24"/>
          <w:szCs w:val="24"/>
        </w:rPr>
      </w:pPr>
      <w:r w:rsidRPr="005B7671">
        <w:rPr>
          <w:rFonts w:ascii="Calibri" w:hAnsi="Calibri" w:cs="Calibri"/>
          <w:sz w:val="24"/>
          <w:szCs w:val="24"/>
        </w:rPr>
        <w:t>Being able to send feedback to ITU-T and ITU-R is of prime importance and TDAG encouraged rapporteurs of the ITU-D study groups to carefully examine input provided by the other Sectors and to provide ITU-D’s position, including through liaison statements.</w:t>
      </w:r>
    </w:p>
    <w:p w14:paraId="02D18AA9" w14:textId="5DC137BA" w:rsidR="00565EBE" w:rsidRPr="005E51A3" w:rsidRDefault="00565EBE" w:rsidP="00BC78ED">
      <w:pPr>
        <w:pStyle w:val="Heading2"/>
        <w:rPr>
          <w:rFonts w:eastAsia="SimSun"/>
          <w:bCs/>
        </w:rPr>
      </w:pPr>
      <w:bookmarkStart w:id="24" w:name="_Toc482300249"/>
      <w:r w:rsidRPr="00D0060E">
        <w:rPr>
          <w:rFonts w:eastAsia="SimSun"/>
        </w:rPr>
        <w:t>Provision of advice to the Director of BDT on relev</w:t>
      </w:r>
      <w:r>
        <w:rPr>
          <w:rFonts w:eastAsia="SimSun"/>
        </w:rPr>
        <w:t>ant financial and other matters</w:t>
      </w:r>
      <w:bookmarkEnd w:id="24"/>
    </w:p>
    <w:p w14:paraId="3BC11A56" w14:textId="77777777" w:rsidR="00565EBE" w:rsidRDefault="00565EBE" w:rsidP="00565EBE">
      <w:pPr>
        <w:pStyle w:val="CEONormal"/>
        <w:rPr>
          <w:rFonts w:ascii="Calibri" w:hAnsi="Calibri" w:cs="Calibri"/>
          <w:sz w:val="24"/>
          <w:szCs w:val="24"/>
        </w:rPr>
      </w:pPr>
      <w:r w:rsidRPr="00D0060E">
        <w:rPr>
          <w:rFonts w:ascii="Calibri" w:hAnsi="Calibri" w:cs="Calibri"/>
          <w:sz w:val="24"/>
          <w:szCs w:val="24"/>
        </w:rPr>
        <w:t xml:space="preserve">In considering the implementation of the </w:t>
      </w:r>
      <w:r>
        <w:rPr>
          <w:rFonts w:ascii="Calibri" w:hAnsi="Calibri" w:cs="Calibri"/>
          <w:sz w:val="24"/>
          <w:szCs w:val="24"/>
        </w:rPr>
        <w:t>Dubai</w:t>
      </w:r>
      <w:r w:rsidRPr="00D0060E">
        <w:rPr>
          <w:rFonts w:ascii="Calibri" w:hAnsi="Calibri" w:cs="Calibri"/>
          <w:sz w:val="24"/>
          <w:szCs w:val="24"/>
        </w:rPr>
        <w:t xml:space="preserve"> Action Plan (</w:t>
      </w:r>
      <w:proofErr w:type="spellStart"/>
      <w:r>
        <w:rPr>
          <w:rFonts w:ascii="Calibri" w:hAnsi="Calibri" w:cs="Calibri"/>
          <w:sz w:val="24"/>
          <w:szCs w:val="24"/>
        </w:rPr>
        <w:t>Du</w:t>
      </w:r>
      <w:r w:rsidRPr="00D0060E">
        <w:rPr>
          <w:rFonts w:ascii="Calibri" w:hAnsi="Calibri" w:cs="Calibri"/>
          <w:sz w:val="24"/>
          <w:szCs w:val="24"/>
        </w:rPr>
        <w:t>AP</w:t>
      </w:r>
      <w:proofErr w:type="spellEnd"/>
      <w:r w:rsidRPr="00D0060E">
        <w:rPr>
          <w:rFonts w:ascii="Calibri" w:hAnsi="Calibri" w:cs="Calibri"/>
          <w:sz w:val="24"/>
          <w:szCs w:val="24"/>
        </w:rPr>
        <w:t>)</w:t>
      </w:r>
      <w:r>
        <w:rPr>
          <w:rFonts w:ascii="Calibri" w:hAnsi="Calibri" w:cs="Calibri"/>
          <w:sz w:val="24"/>
          <w:szCs w:val="24"/>
        </w:rPr>
        <w:t xml:space="preserve"> (Performance Reports)</w:t>
      </w:r>
      <w:r w:rsidRPr="00D0060E">
        <w:rPr>
          <w:rFonts w:ascii="Calibri" w:hAnsi="Calibri" w:cs="Calibri"/>
          <w:sz w:val="24"/>
          <w:szCs w:val="24"/>
        </w:rPr>
        <w:t xml:space="preserve">, TDAG expressed its support </w:t>
      </w:r>
      <w:r>
        <w:rPr>
          <w:rFonts w:ascii="Calibri" w:hAnsi="Calibri" w:cs="Calibri"/>
          <w:sz w:val="24"/>
          <w:szCs w:val="24"/>
        </w:rPr>
        <w:t xml:space="preserve">and appreciation </w:t>
      </w:r>
      <w:r w:rsidRPr="00D0060E">
        <w:rPr>
          <w:rFonts w:ascii="Calibri" w:hAnsi="Calibri" w:cs="Calibri"/>
          <w:sz w:val="24"/>
          <w:szCs w:val="24"/>
        </w:rPr>
        <w:t>for the results-based approach focusing on outcomes</w:t>
      </w:r>
      <w:r>
        <w:rPr>
          <w:rFonts w:ascii="Calibri" w:hAnsi="Calibri" w:cs="Calibri"/>
          <w:sz w:val="24"/>
          <w:szCs w:val="24"/>
        </w:rPr>
        <w:t xml:space="preserve"> and achieved results</w:t>
      </w:r>
      <w:r w:rsidRPr="00D0060E">
        <w:rPr>
          <w:rFonts w:ascii="Calibri" w:hAnsi="Calibri" w:cs="Calibri"/>
          <w:sz w:val="24"/>
          <w:szCs w:val="24"/>
        </w:rPr>
        <w:t xml:space="preserve">. </w:t>
      </w:r>
      <w:r>
        <w:rPr>
          <w:rFonts w:ascii="Calibri" w:hAnsi="Calibri" w:cs="Calibri"/>
          <w:sz w:val="24"/>
          <w:szCs w:val="24"/>
        </w:rPr>
        <w:t>TDAG acknowledges the improvement in the monitoring and reporting related to the implementation of the strategic and operational plans through the preparation of the operational plans, performance reports and quarterly reports.</w:t>
      </w:r>
    </w:p>
    <w:p w14:paraId="23AF1F2E" w14:textId="77777777" w:rsidR="00565EBE" w:rsidRPr="00D0060E" w:rsidRDefault="00565EBE" w:rsidP="00165778">
      <w:pPr>
        <w:pStyle w:val="CEONormal"/>
        <w:spacing w:before="120"/>
        <w:rPr>
          <w:rFonts w:ascii="Calibri" w:hAnsi="Calibri" w:cs="Calibri"/>
          <w:sz w:val="24"/>
          <w:szCs w:val="24"/>
        </w:rPr>
      </w:pPr>
      <w:r w:rsidRPr="00D0060E">
        <w:rPr>
          <w:rFonts w:ascii="Calibri" w:hAnsi="Calibri" w:cs="Calibri"/>
          <w:sz w:val="24"/>
          <w:szCs w:val="24"/>
        </w:rPr>
        <w:t xml:space="preserve">In relation to project implementation, TDAG expressed its support </w:t>
      </w:r>
      <w:r>
        <w:rPr>
          <w:rFonts w:ascii="Calibri" w:hAnsi="Calibri" w:cs="Calibri"/>
          <w:sz w:val="24"/>
          <w:szCs w:val="24"/>
        </w:rPr>
        <w:t xml:space="preserve">and appreciation </w:t>
      </w:r>
      <w:r w:rsidRPr="00D0060E">
        <w:rPr>
          <w:rFonts w:ascii="Calibri" w:hAnsi="Calibri" w:cs="Calibri"/>
          <w:sz w:val="24"/>
          <w:szCs w:val="24"/>
        </w:rPr>
        <w:t xml:space="preserve">for the </w:t>
      </w:r>
      <w:r>
        <w:rPr>
          <w:rFonts w:ascii="Calibri" w:hAnsi="Calibri" w:cs="Calibri"/>
          <w:sz w:val="24"/>
          <w:szCs w:val="24"/>
        </w:rPr>
        <w:t xml:space="preserve">significant progresses made in the monitoring and reporting of ITU projects through </w:t>
      </w:r>
      <w:proofErr w:type="spellStart"/>
      <w:proofErr w:type="gramStart"/>
      <w:r>
        <w:rPr>
          <w:rFonts w:ascii="Calibri" w:hAnsi="Calibri" w:cs="Calibri"/>
          <w:sz w:val="24"/>
          <w:szCs w:val="24"/>
        </w:rPr>
        <w:t>he</w:t>
      </w:r>
      <w:proofErr w:type="spellEnd"/>
      <w:proofErr w:type="gramEnd"/>
      <w:r>
        <w:rPr>
          <w:rFonts w:ascii="Calibri" w:hAnsi="Calibri" w:cs="Calibri"/>
          <w:sz w:val="24"/>
          <w:szCs w:val="24"/>
        </w:rPr>
        <w:t xml:space="preserve"> development of the </w:t>
      </w:r>
      <w:hyperlink r:id="rId42" w:history="1">
        <w:r w:rsidRPr="00F5466B">
          <w:rPr>
            <w:rStyle w:val="Hyperlink"/>
            <w:rFonts w:ascii="Calibri" w:hAnsi="Calibri" w:cs="Calibri"/>
            <w:sz w:val="24"/>
            <w:szCs w:val="24"/>
          </w:rPr>
          <w:t>ITU Projects Portfolio</w:t>
        </w:r>
      </w:hyperlink>
      <w:r>
        <w:rPr>
          <w:rFonts w:ascii="Calibri" w:hAnsi="Calibri" w:cs="Calibri"/>
          <w:sz w:val="24"/>
          <w:szCs w:val="24"/>
        </w:rPr>
        <w:t xml:space="preserve"> and the </w:t>
      </w:r>
      <w:hyperlink r:id="rId43" w:history="1">
        <w:r w:rsidRPr="00F5466B">
          <w:rPr>
            <w:rStyle w:val="Hyperlink"/>
            <w:rFonts w:ascii="Calibri" w:hAnsi="Calibri" w:cs="Calibri"/>
            <w:sz w:val="24"/>
            <w:szCs w:val="24"/>
          </w:rPr>
          <w:t>ITU Projects in Figures</w:t>
        </w:r>
      </w:hyperlink>
      <w:r>
        <w:rPr>
          <w:rFonts w:ascii="Calibri" w:hAnsi="Calibri" w:cs="Calibri"/>
          <w:sz w:val="24"/>
          <w:szCs w:val="24"/>
        </w:rPr>
        <w:t xml:space="preserve"> webpages</w:t>
      </w:r>
      <w:r w:rsidRPr="00D0060E">
        <w:rPr>
          <w:rFonts w:ascii="Calibri" w:hAnsi="Calibri" w:cs="Calibri"/>
          <w:sz w:val="24"/>
          <w:szCs w:val="24"/>
        </w:rPr>
        <w:t xml:space="preserve">. </w:t>
      </w:r>
    </w:p>
    <w:p w14:paraId="4C6BEC59" w14:textId="77777777" w:rsidR="00565EBE" w:rsidRDefault="00565EBE" w:rsidP="00165778">
      <w:pPr>
        <w:pStyle w:val="CEONormal"/>
        <w:spacing w:before="120"/>
        <w:rPr>
          <w:rFonts w:ascii="Calibri" w:hAnsi="Calibri" w:cs="Calibri"/>
          <w:sz w:val="24"/>
          <w:szCs w:val="24"/>
        </w:rPr>
      </w:pPr>
      <w:r w:rsidRPr="00D0060E">
        <w:rPr>
          <w:rFonts w:ascii="Calibri" w:hAnsi="Calibri" w:cs="Calibri"/>
          <w:sz w:val="24"/>
          <w:szCs w:val="24"/>
        </w:rPr>
        <w:t xml:space="preserve">Throughout its various meetings, TDAG stressed the important role of the private sector in the work of ITU-D and highlighted the </w:t>
      </w:r>
      <w:r>
        <w:rPr>
          <w:rFonts w:ascii="Calibri" w:hAnsi="Calibri" w:cs="Calibri"/>
          <w:sz w:val="24"/>
          <w:szCs w:val="24"/>
        </w:rPr>
        <w:t xml:space="preserve">progresses achieved </w:t>
      </w:r>
      <w:r w:rsidRPr="00D0060E">
        <w:rPr>
          <w:rFonts w:ascii="Calibri" w:hAnsi="Calibri" w:cs="Calibri"/>
          <w:sz w:val="24"/>
          <w:szCs w:val="24"/>
        </w:rPr>
        <w:t xml:space="preserve">to further foster collaboration with the private sector. It recommended that the BDT Director continue thinking about innovative ways of attracting new members as well as retaining the existing ones. TDAG further noted that the resources and expertise of the private sector can greatly contribute to all BDT </w:t>
      </w:r>
      <w:r w:rsidRPr="00D0060E">
        <w:rPr>
          <w:rFonts w:ascii="Calibri" w:hAnsi="Calibri" w:cs="Calibri"/>
          <w:sz w:val="24"/>
          <w:szCs w:val="24"/>
        </w:rPr>
        <w:lastRenderedPageBreak/>
        <w:t>activities and therefore the private sector should have access to more information and</w:t>
      </w:r>
      <w:r>
        <w:rPr>
          <w:rFonts w:ascii="Calibri" w:hAnsi="Calibri" w:cs="Calibri"/>
          <w:sz w:val="24"/>
          <w:szCs w:val="24"/>
        </w:rPr>
        <w:t xml:space="preserve"> opportunities regarding these.</w:t>
      </w:r>
    </w:p>
    <w:p w14:paraId="16817EC0" w14:textId="77777777" w:rsidR="00565EBE" w:rsidRDefault="00565EBE" w:rsidP="00165778">
      <w:pPr>
        <w:pStyle w:val="CEONormal"/>
        <w:spacing w:before="120"/>
        <w:rPr>
          <w:rFonts w:ascii="Calibri" w:hAnsi="Calibri" w:cs="Calibri"/>
          <w:sz w:val="24"/>
          <w:szCs w:val="24"/>
        </w:rPr>
      </w:pPr>
      <w:r w:rsidRPr="00005A94">
        <w:rPr>
          <w:rFonts w:ascii="Calibri" w:hAnsi="Calibri" w:cs="Calibri"/>
          <w:sz w:val="24"/>
          <w:szCs w:val="24"/>
        </w:rPr>
        <w:t xml:space="preserve">TDAG noted </w:t>
      </w:r>
      <w:r>
        <w:rPr>
          <w:rFonts w:ascii="Calibri" w:hAnsi="Calibri" w:cs="Calibri"/>
          <w:sz w:val="24"/>
          <w:szCs w:val="24"/>
        </w:rPr>
        <w:t xml:space="preserve">with appreciations </w:t>
      </w:r>
      <w:r w:rsidRPr="00005A94">
        <w:rPr>
          <w:rFonts w:ascii="Calibri" w:hAnsi="Calibri" w:cs="Calibri"/>
          <w:sz w:val="24"/>
          <w:szCs w:val="24"/>
        </w:rPr>
        <w:t xml:space="preserve">the actions carried out at global and regional levels to encourage partnerships, including public-private partnerships. Resource mobilization efforts to identify potential partners to implement ITU-D projects and initiatives include: the databases on funding partners and on partnership agreements, the websites dedicated to partnership and sponsorship opportunities, the work of the </w:t>
      </w:r>
      <w:proofErr w:type="spellStart"/>
      <w:r w:rsidRPr="00005A94">
        <w:rPr>
          <w:rFonts w:ascii="Calibri" w:hAnsi="Calibri" w:cs="Calibri"/>
          <w:sz w:val="24"/>
          <w:szCs w:val="24"/>
        </w:rPr>
        <w:t>Intersectoral</w:t>
      </w:r>
      <w:proofErr w:type="spellEnd"/>
      <w:r w:rsidRPr="00005A94">
        <w:rPr>
          <w:rFonts w:ascii="Calibri" w:hAnsi="Calibri" w:cs="Calibri"/>
          <w:sz w:val="24"/>
          <w:szCs w:val="24"/>
        </w:rPr>
        <w:t xml:space="preserve"> Resource Mobilization Group as well as a study on innovative partner</w:t>
      </w:r>
      <w:r>
        <w:rPr>
          <w:rFonts w:ascii="Calibri" w:hAnsi="Calibri" w:cs="Calibri"/>
          <w:sz w:val="24"/>
          <w:szCs w:val="24"/>
        </w:rPr>
        <w:t>ship and resource mobilization</w:t>
      </w:r>
      <w:r w:rsidRPr="00005A94">
        <w:rPr>
          <w:rFonts w:ascii="Calibri" w:hAnsi="Calibri" w:cs="Calibri"/>
          <w:sz w:val="24"/>
          <w:szCs w:val="24"/>
        </w:rPr>
        <w:t>.</w:t>
      </w:r>
    </w:p>
    <w:p w14:paraId="00E838A3" w14:textId="6EEB0B3D" w:rsidR="00565EBE" w:rsidRPr="00986586" w:rsidRDefault="00565EBE" w:rsidP="00565EBE">
      <w:pPr>
        <w:tabs>
          <w:tab w:val="left" w:pos="567"/>
          <w:tab w:val="left" w:pos="851"/>
          <w:tab w:val="left" w:pos="1418"/>
        </w:tabs>
        <w:jc w:val="both"/>
        <w:rPr>
          <w:rFonts w:ascii="Calibri" w:hAnsi="Calibri" w:cs="Calibri"/>
          <w:szCs w:val="24"/>
        </w:rPr>
      </w:pPr>
      <w:r>
        <w:rPr>
          <w:rFonts w:ascii="Calibri" w:hAnsi="Calibri" w:cs="Calibri"/>
          <w:szCs w:val="24"/>
        </w:rPr>
        <w:t>In the framework of</w:t>
      </w:r>
      <w:r w:rsidRPr="00986586">
        <w:rPr>
          <w:rFonts w:ascii="Calibri" w:hAnsi="Calibri" w:cs="Calibri"/>
          <w:szCs w:val="24"/>
        </w:rPr>
        <w:t xml:space="preserve"> the electronic working met</w:t>
      </w:r>
      <w:r>
        <w:rPr>
          <w:rFonts w:ascii="Calibri" w:hAnsi="Calibri" w:cs="Calibri"/>
          <w:szCs w:val="24"/>
        </w:rPr>
        <w:t xml:space="preserve">hods available for ITU-D events, BDT reported on the </w:t>
      </w:r>
      <w:proofErr w:type="spellStart"/>
      <w:r>
        <w:rPr>
          <w:rFonts w:ascii="Calibri" w:hAnsi="Calibri" w:cs="Calibri"/>
          <w:szCs w:val="24"/>
        </w:rPr>
        <w:t>acheviements</w:t>
      </w:r>
      <w:proofErr w:type="spellEnd"/>
      <w:r>
        <w:rPr>
          <w:rFonts w:ascii="Calibri" w:hAnsi="Calibri" w:cs="Calibri"/>
          <w:szCs w:val="24"/>
        </w:rPr>
        <w:t xml:space="preserve"> made in relation to the implementation of </w:t>
      </w:r>
      <w:r w:rsidRPr="00986586">
        <w:rPr>
          <w:rFonts w:ascii="Calibri" w:hAnsi="Calibri" w:cs="Calibri"/>
          <w:szCs w:val="24"/>
        </w:rPr>
        <w:t xml:space="preserve">Resolution 167 (Guadalajara, 2010) on Strengthening ITU capabilities for electronic meetings and means to advance the work of the Union, namely, multilingual remote participation, ITU-D events mobile app, contribution submission, document synchronization and mailing lists. The </w:t>
      </w:r>
      <w:r>
        <w:rPr>
          <w:rFonts w:ascii="Calibri" w:hAnsi="Calibri" w:cs="Calibri"/>
          <w:szCs w:val="24"/>
        </w:rPr>
        <w:t>report</w:t>
      </w:r>
      <w:r w:rsidRPr="00986586">
        <w:rPr>
          <w:rFonts w:ascii="Calibri" w:hAnsi="Calibri" w:cs="Calibri"/>
          <w:szCs w:val="24"/>
        </w:rPr>
        <w:t xml:space="preserve"> focuses on the newer tools made available for TDAG, namely multilingual remote participation which has been available since TDAG 2012 and the ITU-D events mobile app which is being made available for the first time at this year’s TDAG. </w:t>
      </w:r>
    </w:p>
    <w:p w14:paraId="68ED9D09" w14:textId="77777777" w:rsidR="00565EBE" w:rsidRPr="00D0060E" w:rsidRDefault="00565EBE" w:rsidP="00165778">
      <w:pPr>
        <w:pStyle w:val="CEONormal"/>
        <w:spacing w:before="120"/>
        <w:rPr>
          <w:rFonts w:ascii="Calibri" w:hAnsi="Calibri" w:cs="Calibri"/>
          <w:sz w:val="24"/>
          <w:szCs w:val="24"/>
        </w:rPr>
      </w:pPr>
      <w:r>
        <w:rPr>
          <w:rFonts w:ascii="Calibri" w:hAnsi="Calibri" w:cs="Calibri"/>
          <w:sz w:val="24"/>
          <w:szCs w:val="24"/>
        </w:rPr>
        <w:t xml:space="preserve">TDAG </w:t>
      </w:r>
      <w:r w:rsidRPr="00D0060E">
        <w:rPr>
          <w:rFonts w:ascii="Calibri" w:hAnsi="Calibri" w:cs="Calibri"/>
          <w:sz w:val="24"/>
          <w:szCs w:val="24"/>
        </w:rPr>
        <w:t xml:space="preserve">also expressed its support </w:t>
      </w:r>
      <w:r>
        <w:rPr>
          <w:rFonts w:ascii="Calibri" w:hAnsi="Calibri" w:cs="Calibri"/>
          <w:sz w:val="24"/>
          <w:szCs w:val="24"/>
        </w:rPr>
        <w:t xml:space="preserve">and appreciation </w:t>
      </w:r>
      <w:r w:rsidRPr="00D0060E">
        <w:rPr>
          <w:rFonts w:ascii="Calibri" w:hAnsi="Calibri" w:cs="Calibri"/>
          <w:sz w:val="24"/>
          <w:szCs w:val="24"/>
        </w:rPr>
        <w:t>for the</w:t>
      </w:r>
      <w:r>
        <w:rPr>
          <w:rFonts w:ascii="Calibri" w:hAnsi="Calibri" w:cs="Calibri"/>
          <w:sz w:val="24"/>
          <w:szCs w:val="24"/>
        </w:rPr>
        <w:t xml:space="preserve"> BDT achievements </w:t>
      </w:r>
      <w:r w:rsidRPr="00D0060E">
        <w:rPr>
          <w:rFonts w:ascii="Calibri" w:hAnsi="Calibri" w:cs="Calibri"/>
          <w:sz w:val="24"/>
          <w:szCs w:val="24"/>
        </w:rPr>
        <w:t xml:space="preserve">on the new electronic means, such as online portals and remote </w:t>
      </w:r>
      <w:proofErr w:type="gramStart"/>
      <w:r w:rsidRPr="00D0060E">
        <w:rPr>
          <w:rFonts w:ascii="Calibri" w:hAnsi="Calibri" w:cs="Calibri"/>
          <w:sz w:val="24"/>
          <w:szCs w:val="24"/>
        </w:rPr>
        <w:t xml:space="preserve">participation, </w:t>
      </w:r>
      <w:r>
        <w:rPr>
          <w:rFonts w:ascii="Calibri" w:hAnsi="Calibri" w:cs="Calibri"/>
          <w:sz w:val="24"/>
          <w:szCs w:val="24"/>
        </w:rPr>
        <w:t>that</w:t>
      </w:r>
      <w:proofErr w:type="gramEnd"/>
      <w:r>
        <w:rPr>
          <w:rFonts w:ascii="Calibri" w:hAnsi="Calibri" w:cs="Calibri"/>
          <w:sz w:val="24"/>
          <w:szCs w:val="24"/>
        </w:rPr>
        <w:t xml:space="preserve"> contributed to</w:t>
      </w:r>
      <w:r w:rsidRPr="00D0060E">
        <w:rPr>
          <w:rFonts w:ascii="Calibri" w:hAnsi="Calibri" w:cs="Calibri"/>
          <w:sz w:val="24"/>
          <w:szCs w:val="24"/>
        </w:rPr>
        <w:t xml:space="preserve"> enhance the communication channels not only with the private sector but with all members. </w:t>
      </w:r>
    </w:p>
    <w:p w14:paraId="7EAE415A" w14:textId="77777777" w:rsidR="00565EBE" w:rsidRDefault="00565EBE" w:rsidP="00565EBE">
      <w:pPr>
        <w:tabs>
          <w:tab w:val="left" w:pos="567"/>
          <w:tab w:val="left" w:pos="851"/>
          <w:tab w:val="left" w:pos="1418"/>
        </w:tabs>
        <w:jc w:val="both"/>
        <w:rPr>
          <w:rFonts w:ascii="Calibri" w:hAnsi="Calibri" w:cs="Calibri"/>
          <w:szCs w:val="24"/>
        </w:rPr>
      </w:pPr>
      <w:r w:rsidRPr="00986586">
        <w:rPr>
          <w:rFonts w:ascii="Calibri" w:hAnsi="Calibri" w:cs="Calibri"/>
          <w:szCs w:val="24"/>
        </w:rPr>
        <w:t xml:space="preserve">TDAG noted that electronic working methods have been effective in saving costs, reducing the carbon footprint and broadening participation. TDAG is grateful for the advancements made in remote participation and encourages ITU to continue improving this service, especially through the use of new technologies. TDAG also expressed its gratitude for the mobile application on ITU-D events </w:t>
      </w:r>
      <w:proofErr w:type="spellStart"/>
      <w:r>
        <w:rPr>
          <w:rFonts w:ascii="Calibri" w:hAnsi="Calibri" w:cs="Calibri"/>
          <w:szCs w:val="24"/>
        </w:rPr>
        <w:t>andrecommended</w:t>
      </w:r>
      <w:proofErr w:type="spellEnd"/>
      <w:r w:rsidRPr="00986586">
        <w:rPr>
          <w:rFonts w:ascii="Calibri" w:hAnsi="Calibri" w:cs="Calibri"/>
          <w:szCs w:val="24"/>
        </w:rPr>
        <w:t xml:space="preserve"> its use will be extended to other Sectors.</w:t>
      </w:r>
    </w:p>
    <w:p w14:paraId="25E71FBF" w14:textId="77777777" w:rsidR="00932065" w:rsidRPr="00BD3713" w:rsidRDefault="00932065" w:rsidP="00932065">
      <w:pPr>
        <w:pStyle w:val="Heading1"/>
      </w:pPr>
      <w:bookmarkStart w:id="25" w:name="_Toc460838088"/>
      <w:r w:rsidRPr="00B34555">
        <w:t>Cooperation and Collaboration</w:t>
      </w:r>
      <w:bookmarkEnd w:id="25"/>
      <w:r w:rsidRPr="00B34555">
        <w:t xml:space="preserve"> </w:t>
      </w:r>
    </w:p>
    <w:p w14:paraId="493B0503" w14:textId="1E7363E2" w:rsidR="002F10B6" w:rsidRPr="002F10B6" w:rsidRDefault="002F10B6" w:rsidP="002F10B6">
      <w:pPr>
        <w:tabs>
          <w:tab w:val="clear" w:pos="1134"/>
          <w:tab w:val="clear" w:pos="1871"/>
          <w:tab w:val="left" w:pos="426"/>
        </w:tabs>
        <w:rPr>
          <w:b/>
          <w:bCs/>
        </w:rPr>
      </w:pPr>
      <w:r w:rsidRPr="002F10B6">
        <w:rPr>
          <w:b/>
          <w:bCs/>
        </w:rPr>
        <w:t>Inter-Sector Coordination Team on Issues of Mutual Interest</w:t>
      </w:r>
      <w:r>
        <w:rPr>
          <w:b/>
          <w:bCs/>
        </w:rPr>
        <w:t xml:space="preserve"> (ISCT)</w:t>
      </w:r>
    </w:p>
    <w:p w14:paraId="1212B2B7" w14:textId="376C89DC" w:rsidR="002F10B6" w:rsidRPr="005E5E51" w:rsidRDefault="002F10B6" w:rsidP="002F10B6">
      <w:pPr>
        <w:tabs>
          <w:tab w:val="clear" w:pos="1134"/>
          <w:tab w:val="clear" w:pos="1871"/>
          <w:tab w:val="left" w:pos="426"/>
        </w:tabs>
        <w:rPr>
          <w:szCs w:val="24"/>
        </w:rPr>
      </w:pPr>
      <w:r w:rsidRPr="005E5E51">
        <w:rPr>
          <w:szCs w:val="24"/>
        </w:rPr>
        <w:t>The ISCT held four meetings since its creation at WTDC-</w:t>
      </w:r>
      <w:r w:rsidR="005E5E51">
        <w:rPr>
          <w:szCs w:val="24"/>
        </w:rPr>
        <w:t>14: 28 September 2014, 27 April </w:t>
      </w:r>
      <w:r w:rsidRPr="005E5E51">
        <w:rPr>
          <w:szCs w:val="24"/>
        </w:rPr>
        <w:t>2015, 15 March 2016, and 10 May 2017.</w:t>
      </w:r>
    </w:p>
    <w:p w14:paraId="725EE30E" w14:textId="55782A2A" w:rsidR="002F10B6" w:rsidRPr="005E5E51" w:rsidRDefault="002F10B6">
      <w:pPr>
        <w:tabs>
          <w:tab w:val="clear" w:pos="1134"/>
          <w:tab w:val="clear" w:pos="1871"/>
          <w:tab w:val="left" w:pos="426"/>
        </w:tabs>
        <w:rPr>
          <w:szCs w:val="24"/>
        </w:rPr>
      </w:pPr>
      <w:r w:rsidRPr="005E5E51">
        <w:rPr>
          <w:szCs w:val="24"/>
        </w:rPr>
        <w:t xml:space="preserve">In March 2016, the Team met and approved its terms of reference as revised by all three Sector advisory groups – </w:t>
      </w:r>
      <w:proofErr w:type="spellStart"/>
      <w:r w:rsidRPr="005E5E51">
        <w:rPr>
          <w:szCs w:val="24"/>
        </w:rPr>
        <w:t>Radiocommunication</w:t>
      </w:r>
      <w:proofErr w:type="spellEnd"/>
      <w:r w:rsidRPr="005E5E51">
        <w:rPr>
          <w:szCs w:val="24"/>
        </w:rPr>
        <w:t xml:space="preserve"> Advisory Group (RAG), Telecommunication Standardization Advisory Group (TSAG) and Telecommunication Development Advisory Group (TDAG).  The Team appointed Mr Fabio </w:t>
      </w:r>
      <w:proofErr w:type="spellStart"/>
      <w:r w:rsidRPr="005E5E51">
        <w:rPr>
          <w:szCs w:val="24"/>
        </w:rPr>
        <w:t>Bigi</w:t>
      </w:r>
      <w:proofErr w:type="spellEnd"/>
      <w:r w:rsidRPr="005E5E51">
        <w:rPr>
          <w:szCs w:val="24"/>
        </w:rPr>
        <w:t xml:space="preserve"> (Italy) as its Chairman, developed a list of proposed areas of mutual interest based on input from the three advisory groups and nominated TSAG representatives. The Team also welcomed a new electronic calendar covering the years 2016, 2017, 2018 and 2019 developed by BDT to facilitate collaboration and coordination of various meetings and events of the ITU Sectors.</w:t>
      </w:r>
    </w:p>
    <w:p w14:paraId="3D39825A" w14:textId="7DF669A4" w:rsidR="002F10B6" w:rsidRDefault="002F10B6">
      <w:pPr>
        <w:overflowPunct/>
        <w:autoSpaceDE/>
        <w:autoSpaceDN/>
        <w:adjustRightInd/>
        <w:spacing w:line="259" w:lineRule="auto"/>
        <w:textAlignment w:val="auto"/>
      </w:pPr>
      <w:r w:rsidRPr="005E5E51">
        <w:rPr>
          <w:szCs w:val="24"/>
        </w:rPr>
        <w:t>On 10 May 2017</w:t>
      </w:r>
      <w:r>
        <w:t xml:space="preserve">, the Team met </w:t>
      </w:r>
      <w:r w:rsidR="001E1D83">
        <w:t xml:space="preserve">and </w:t>
      </w:r>
      <w:r>
        <w:t>review</w:t>
      </w:r>
      <w:r w:rsidR="001E1D83">
        <w:t>ed</w:t>
      </w:r>
      <w:r>
        <w:t xml:space="preserve"> progress made since its March 2016 meeting. </w:t>
      </w:r>
    </w:p>
    <w:p w14:paraId="624A90AF" w14:textId="346A04C9" w:rsidR="002F10B6" w:rsidRDefault="002F10B6" w:rsidP="009C641B">
      <w:pPr>
        <w:tabs>
          <w:tab w:val="left" w:pos="0"/>
        </w:tabs>
      </w:pPr>
      <w:r w:rsidRPr="000F31CD">
        <w:rPr>
          <w:bCs/>
          <w:szCs w:val="24"/>
          <w:lang w:val="en-US"/>
        </w:rPr>
        <w:t>The</w:t>
      </w:r>
      <w:r>
        <w:rPr>
          <w:bCs/>
          <w:szCs w:val="24"/>
          <w:lang w:val="en-US"/>
        </w:rPr>
        <w:t xml:space="preserve"> Team </w:t>
      </w:r>
      <w:r>
        <w:t>reviewed all documents on its agenda, approved “Matching of ITU-D Study Group 1 and 2 Questions of interest to ITU-T study groups” and “M</w:t>
      </w:r>
      <w:r w:rsidRPr="00146077">
        <w:rPr>
          <w:bCs/>
          <w:szCs w:val="24"/>
        </w:rPr>
        <w:t>atching of ITU-R WPs of interest to ITU-T study groups</w:t>
      </w:r>
      <w:r>
        <w:rPr>
          <w:bCs/>
          <w:szCs w:val="24"/>
        </w:rPr>
        <w:t>”</w:t>
      </w:r>
      <w:r w:rsidR="009C641B">
        <w:rPr>
          <w:bCs/>
          <w:szCs w:val="24"/>
        </w:rPr>
        <w:t xml:space="preserve"> (</w:t>
      </w:r>
      <w:hyperlink r:id="rId44" w:history="1">
        <w:r w:rsidR="009C641B" w:rsidRPr="00C60EF9">
          <w:rPr>
            <w:rStyle w:val="Hyperlink"/>
            <w:bCs/>
            <w:szCs w:val="24"/>
          </w:rPr>
          <w:t>TDAG17-22/21</w:t>
        </w:r>
      </w:hyperlink>
      <w:r w:rsidR="009C641B">
        <w:rPr>
          <w:bCs/>
          <w:szCs w:val="24"/>
        </w:rPr>
        <w:t xml:space="preserve"> </w:t>
      </w:r>
      <w:r w:rsidR="009C641B">
        <w:t>Attachments 1 and 2</w:t>
      </w:r>
      <w:r>
        <w:rPr>
          <w:bCs/>
          <w:szCs w:val="24"/>
        </w:rPr>
        <w:t xml:space="preserve"> respectively)</w:t>
      </w:r>
      <w:r>
        <w:t>, and also updated the following list of areas of mutual interest to include candidate topics on working methods for ITU inter-Sector coordination:</w:t>
      </w:r>
    </w:p>
    <w:p w14:paraId="619D692E" w14:textId="77777777" w:rsidR="002F10B6" w:rsidRDefault="002F10B6" w:rsidP="005E5E51">
      <w:pPr>
        <w:keepNext/>
        <w:tabs>
          <w:tab w:val="clear" w:pos="1871"/>
          <w:tab w:val="clear" w:pos="2268"/>
          <w:tab w:val="left" w:pos="567"/>
          <w:tab w:val="left" w:pos="1701"/>
        </w:tabs>
        <w:overflowPunct/>
        <w:autoSpaceDE/>
        <w:autoSpaceDN/>
        <w:adjustRightInd/>
        <w:textAlignment w:val="auto"/>
        <w:rPr>
          <w:rFonts w:cstheme="majorBidi"/>
          <w:lang w:eastAsia="zh-CN"/>
        </w:rPr>
      </w:pPr>
      <w:r w:rsidRPr="00A97856">
        <w:rPr>
          <w:szCs w:val="24"/>
        </w:rPr>
        <w:lastRenderedPageBreak/>
        <w:t>1</w:t>
      </w:r>
      <w:r>
        <w:rPr>
          <w:szCs w:val="24"/>
        </w:rPr>
        <w:t>.</w:t>
      </w:r>
      <w:r w:rsidRPr="00A97856">
        <w:rPr>
          <w:rFonts w:cstheme="majorBidi"/>
          <w:lang w:eastAsia="zh-CN"/>
        </w:rPr>
        <w:tab/>
      </w:r>
      <w:r>
        <w:rPr>
          <w:rFonts w:cstheme="majorBidi"/>
          <w:lang w:eastAsia="zh-CN"/>
        </w:rPr>
        <w:t>Participation</w:t>
      </w:r>
    </w:p>
    <w:p w14:paraId="6ED90138" w14:textId="77777777" w:rsidR="002F10B6" w:rsidRDefault="002F10B6" w:rsidP="005E5E51">
      <w:pPr>
        <w:tabs>
          <w:tab w:val="clear" w:pos="1871"/>
          <w:tab w:val="clear" w:pos="2268"/>
          <w:tab w:val="left" w:pos="567"/>
          <w:tab w:val="left" w:pos="1701"/>
        </w:tabs>
        <w:spacing w:before="80"/>
        <w:ind w:left="1134" w:hanging="567"/>
        <w:rPr>
          <w:rFonts w:cstheme="majorBidi"/>
          <w:lang w:eastAsia="zh-CN"/>
        </w:rPr>
      </w:pPr>
      <w:r>
        <w:rPr>
          <w:rFonts w:cstheme="majorBidi"/>
          <w:lang w:eastAsia="zh-CN"/>
        </w:rPr>
        <w:t>1.1</w:t>
      </w:r>
      <w:r>
        <w:rPr>
          <w:rFonts w:cstheme="majorBidi"/>
          <w:lang w:eastAsia="zh-CN"/>
        </w:rPr>
        <w:tab/>
        <w:t>R</w:t>
      </w:r>
      <w:r w:rsidRPr="00A97856">
        <w:rPr>
          <w:rFonts w:cstheme="majorBidi"/>
          <w:lang w:eastAsia="zh-CN"/>
        </w:rPr>
        <w:t>emote participation</w:t>
      </w:r>
      <w:r>
        <w:rPr>
          <w:rFonts w:cstheme="majorBidi"/>
          <w:lang w:eastAsia="zh-CN"/>
        </w:rPr>
        <w:t>.</w:t>
      </w:r>
    </w:p>
    <w:p w14:paraId="1610B6AF" w14:textId="77777777" w:rsidR="002F10B6" w:rsidRDefault="002F10B6" w:rsidP="005E5E51">
      <w:pPr>
        <w:tabs>
          <w:tab w:val="clear" w:pos="1871"/>
          <w:tab w:val="clear" w:pos="2268"/>
          <w:tab w:val="left" w:pos="567"/>
          <w:tab w:val="left" w:pos="1701"/>
        </w:tabs>
        <w:spacing w:before="80"/>
        <w:ind w:left="1134" w:hanging="567"/>
        <w:rPr>
          <w:rFonts w:cstheme="majorBidi"/>
          <w:lang w:eastAsia="zh-CN"/>
        </w:rPr>
      </w:pPr>
      <w:r>
        <w:rPr>
          <w:rFonts w:cstheme="majorBidi"/>
          <w:lang w:eastAsia="zh-CN"/>
        </w:rPr>
        <w:t>1.2</w:t>
      </w:r>
      <w:r>
        <w:rPr>
          <w:rFonts w:cstheme="majorBidi"/>
          <w:lang w:eastAsia="zh-CN"/>
        </w:rPr>
        <w:tab/>
        <w:t>E-meetings, e-correspondence groups.</w:t>
      </w:r>
    </w:p>
    <w:p w14:paraId="1A3D1C70" w14:textId="77777777" w:rsidR="002F10B6" w:rsidRDefault="002F10B6" w:rsidP="005E5E51">
      <w:pPr>
        <w:tabs>
          <w:tab w:val="clear" w:pos="1871"/>
          <w:tab w:val="clear" w:pos="2268"/>
          <w:tab w:val="left" w:pos="567"/>
          <w:tab w:val="left" w:pos="1701"/>
        </w:tabs>
        <w:spacing w:before="80"/>
        <w:ind w:left="1134" w:hanging="567"/>
        <w:rPr>
          <w:rFonts w:cstheme="majorBidi"/>
          <w:lang w:eastAsia="zh-CN"/>
        </w:rPr>
      </w:pPr>
      <w:r>
        <w:rPr>
          <w:rFonts w:cstheme="majorBidi"/>
          <w:lang w:eastAsia="zh-CN"/>
        </w:rPr>
        <w:t>1.3</w:t>
      </w:r>
      <w:r>
        <w:rPr>
          <w:rFonts w:cstheme="majorBidi"/>
          <w:lang w:eastAsia="zh-CN"/>
        </w:rPr>
        <w:tab/>
        <w:t xml:space="preserve">Increasing involvement of </w:t>
      </w:r>
      <w:r w:rsidRPr="00A97856">
        <w:rPr>
          <w:rFonts w:cstheme="majorBidi"/>
          <w:lang w:eastAsia="zh-CN"/>
        </w:rPr>
        <w:t>developing countries</w:t>
      </w:r>
      <w:r>
        <w:rPr>
          <w:rFonts w:cstheme="majorBidi"/>
          <w:lang w:eastAsia="zh-CN"/>
        </w:rPr>
        <w:t>.</w:t>
      </w:r>
    </w:p>
    <w:p w14:paraId="3578A564" w14:textId="77777777" w:rsidR="002F10B6" w:rsidRDefault="002F10B6" w:rsidP="005E5E51">
      <w:pPr>
        <w:tabs>
          <w:tab w:val="clear" w:pos="1871"/>
          <w:tab w:val="clear" w:pos="2268"/>
          <w:tab w:val="left" w:pos="567"/>
          <w:tab w:val="left" w:pos="1701"/>
        </w:tabs>
        <w:spacing w:before="80"/>
        <w:ind w:left="1134" w:hanging="567"/>
        <w:rPr>
          <w:szCs w:val="24"/>
        </w:rPr>
      </w:pPr>
      <w:r>
        <w:rPr>
          <w:szCs w:val="24"/>
        </w:rPr>
        <w:t xml:space="preserve">1.4 </w:t>
      </w:r>
      <w:r>
        <w:rPr>
          <w:szCs w:val="24"/>
        </w:rPr>
        <w:tab/>
        <w:t xml:space="preserve">Participation </w:t>
      </w:r>
      <w:r w:rsidRPr="000A37BB">
        <w:rPr>
          <w:szCs w:val="24"/>
        </w:rPr>
        <w:t>issues</w:t>
      </w:r>
      <w:r>
        <w:rPr>
          <w:szCs w:val="24"/>
        </w:rPr>
        <w:t>, including</w:t>
      </w:r>
      <w:r w:rsidRPr="00AA641E">
        <w:rPr>
          <w:szCs w:val="24"/>
        </w:rPr>
        <w:t xml:space="preserve"> </w:t>
      </w:r>
      <w:r>
        <w:rPr>
          <w:szCs w:val="24"/>
        </w:rPr>
        <w:t>v</w:t>
      </w:r>
      <w:r w:rsidRPr="000A37BB">
        <w:rPr>
          <w:szCs w:val="24"/>
        </w:rPr>
        <w:t>ice-chairmen</w:t>
      </w:r>
      <w:r>
        <w:rPr>
          <w:szCs w:val="24"/>
        </w:rPr>
        <w:t xml:space="preserve"> tasks.</w:t>
      </w:r>
    </w:p>
    <w:p w14:paraId="706DC9B6" w14:textId="77777777" w:rsidR="002F10B6" w:rsidRDefault="002F10B6" w:rsidP="005E5E51">
      <w:pPr>
        <w:tabs>
          <w:tab w:val="clear" w:pos="1871"/>
          <w:tab w:val="clear" w:pos="2268"/>
          <w:tab w:val="left" w:pos="567"/>
          <w:tab w:val="left" w:pos="1701"/>
        </w:tabs>
        <w:spacing w:before="80"/>
        <w:ind w:left="1134" w:hanging="567"/>
        <w:rPr>
          <w:rFonts w:cstheme="majorBidi"/>
          <w:lang w:eastAsia="zh-CN"/>
        </w:rPr>
      </w:pPr>
      <w:r w:rsidRPr="00E50E0E">
        <w:rPr>
          <w:szCs w:val="24"/>
          <w:lang w:val="en-US"/>
        </w:rPr>
        <w:t>1.5</w:t>
      </w:r>
      <w:r w:rsidRPr="00E50E0E">
        <w:rPr>
          <w:szCs w:val="24"/>
          <w:lang w:val="en-US"/>
        </w:rPr>
        <w:tab/>
        <w:t>Non-member participation</w:t>
      </w:r>
      <w:r>
        <w:rPr>
          <w:szCs w:val="24"/>
          <w:lang w:val="en-US"/>
        </w:rPr>
        <w:t>.</w:t>
      </w:r>
    </w:p>
    <w:p w14:paraId="3EE049E5" w14:textId="77777777" w:rsidR="002F10B6" w:rsidRDefault="002F10B6" w:rsidP="005E5E51">
      <w:pPr>
        <w:keepNext/>
        <w:tabs>
          <w:tab w:val="clear" w:pos="1871"/>
          <w:tab w:val="clear" w:pos="2268"/>
          <w:tab w:val="left" w:pos="567"/>
          <w:tab w:val="left" w:pos="1701"/>
        </w:tabs>
        <w:overflowPunct/>
        <w:autoSpaceDE/>
        <w:autoSpaceDN/>
        <w:adjustRightInd/>
        <w:textAlignment w:val="auto"/>
        <w:rPr>
          <w:rFonts w:cstheme="majorBidi"/>
          <w:lang w:eastAsia="zh-CN"/>
        </w:rPr>
      </w:pPr>
      <w:r>
        <w:rPr>
          <w:rFonts w:cstheme="majorBidi"/>
          <w:lang w:eastAsia="zh-CN"/>
        </w:rPr>
        <w:t>2.</w:t>
      </w:r>
      <w:r w:rsidRPr="00A97856">
        <w:rPr>
          <w:rFonts w:cstheme="majorBidi"/>
          <w:lang w:eastAsia="zh-CN"/>
        </w:rPr>
        <w:tab/>
      </w:r>
      <w:r>
        <w:rPr>
          <w:rFonts w:cstheme="majorBidi"/>
          <w:lang w:eastAsia="zh-CN"/>
        </w:rPr>
        <w:t>Document handling</w:t>
      </w:r>
    </w:p>
    <w:p w14:paraId="3D7FBCEB" w14:textId="77777777" w:rsidR="002F10B6" w:rsidRDefault="002F10B6" w:rsidP="005E5E51">
      <w:pPr>
        <w:tabs>
          <w:tab w:val="clear" w:pos="1871"/>
          <w:tab w:val="clear" w:pos="2268"/>
          <w:tab w:val="left" w:pos="567"/>
          <w:tab w:val="left" w:pos="1701"/>
        </w:tabs>
        <w:spacing w:before="80"/>
        <w:ind w:left="1134" w:hanging="567"/>
        <w:rPr>
          <w:rFonts w:cstheme="majorBidi"/>
          <w:lang w:eastAsia="zh-CN"/>
        </w:rPr>
      </w:pPr>
      <w:r>
        <w:rPr>
          <w:rFonts w:cstheme="majorBidi"/>
          <w:lang w:eastAsia="zh-CN"/>
        </w:rPr>
        <w:tab/>
        <w:t>2.1</w:t>
      </w:r>
      <w:r>
        <w:rPr>
          <w:rFonts w:cstheme="majorBidi"/>
          <w:lang w:eastAsia="zh-CN"/>
        </w:rPr>
        <w:tab/>
      </w:r>
      <w:r w:rsidRPr="00A97856">
        <w:rPr>
          <w:rFonts w:cstheme="majorBidi"/>
          <w:lang w:eastAsia="zh-CN"/>
        </w:rPr>
        <w:t>Electronic document</w:t>
      </w:r>
      <w:r>
        <w:rPr>
          <w:rFonts w:cstheme="majorBidi"/>
          <w:lang w:eastAsia="zh-CN"/>
        </w:rPr>
        <w:t xml:space="preserve"> handling.</w:t>
      </w:r>
    </w:p>
    <w:p w14:paraId="687F5E55" w14:textId="77777777" w:rsidR="002F10B6" w:rsidRDefault="002F10B6" w:rsidP="005E5E51">
      <w:pPr>
        <w:tabs>
          <w:tab w:val="clear" w:pos="1871"/>
          <w:tab w:val="clear" w:pos="2268"/>
          <w:tab w:val="left" w:pos="567"/>
          <w:tab w:val="left" w:pos="1701"/>
        </w:tabs>
        <w:spacing w:before="80"/>
        <w:ind w:left="1134" w:hanging="567"/>
        <w:rPr>
          <w:rFonts w:cstheme="majorBidi"/>
          <w:lang w:eastAsia="zh-CN"/>
        </w:rPr>
      </w:pPr>
      <w:r>
        <w:rPr>
          <w:rFonts w:cstheme="majorBidi"/>
          <w:lang w:eastAsia="zh-CN"/>
        </w:rPr>
        <w:tab/>
        <w:t>2.2</w:t>
      </w:r>
      <w:r>
        <w:rPr>
          <w:rFonts w:cstheme="majorBidi"/>
          <w:lang w:eastAsia="zh-CN"/>
        </w:rPr>
        <w:tab/>
        <w:t>Deadline for submission of secretariat contributions for action.</w:t>
      </w:r>
    </w:p>
    <w:p w14:paraId="7952D059" w14:textId="77777777" w:rsidR="002F10B6" w:rsidRPr="00A97856" w:rsidRDefault="002F10B6" w:rsidP="005E5E51">
      <w:pPr>
        <w:tabs>
          <w:tab w:val="clear" w:pos="1871"/>
          <w:tab w:val="clear" w:pos="2268"/>
          <w:tab w:val="left" w:pos="567"/>
          <w:tab w:val="left" w:pos="1701"/>
        </w:tabs>
        <w:spacing w:before="80"/>
        <w:ind w:left="1134" w:hanging="567"/>
        <w:rPr>
          <w:rFonts w:cstheme="majorBidi"/>
          <w:lang w:eastAsia="zh-CN"/>
        </w:rPr>
      </w:pPr>
      <w:r>
        <w:rPr>
          <w:rFonts w:cstheme="majorBidi"/>
          <w:lang w:eastAsia="zh-CN"/>
        </w:rPr>
        <w:tab/>
        <w:t>2.3</w:t>
      </w:r>
      <w:r>
        <w:rPr>
          <w:rFonts w:cstheme="majorBidi"/>
          <w:lang w:eastAsia="zh-CN"/>
        </w:rPr>
        <w:tab/>
        <w:t>Electronic access to documents, including the application of the access policy of the documents decided by Council.</w:t>
      </w:r>
    </w:p>
    <w:p w14:paraId="790FCEA1" w14:textId="77777777" w:rsidR="002F10B6" w:rsidRDefault="002F10B6" w:rsidP="005E5E51">
      <w:pPr>
        <w:keepNext/>
        <w:tabs>
          <w:tab w:val="clear" w:pos="1871"/>
          <w:tab w:val="clear" w:pos="2268"/>
          <w:tab w:val="left" w:pos="567"/>
          <w:tab w:val="left" w:pos="1701"/>
        </w:tabs>
        <w:overflowPunct/>
        <w:autoSpaceDE/>
        <w:autoSpaceDN/>
        <w:adjustRightInd/>
        <w:textAlignment w:val="auto"/>
        <w:rPr>
          <w:rFonts w:cstheme="majorBidi"/>
          <w:lang w:eastAsia="zh-CN"/>
        </w:rPr>
      </w:pPr>
      <w:r>
        <w:rPr>
          <w:rFonts w:cstheme="majorBidi"/>
          <w:lang w:eastAsia="zh-CN"/>
        </w:rPr>
        <w:t>3.</w:t>
      </w:r>
      <w:r w:rsidRPr="00A97856">
        <w:rPr>
          <w:rFonts w:cstheme="majorBidi"/>
          <w:lang w:eastAsia="zh-CN"/>
        </w:rPr>
        <w:tab/>
      </w:r>
      <w:r>
        <w:rPr>
          <w:rFonts w:cstheme="majorBidi"/>
          <w:lang w:eastAsia="zh-CN"/>
        </w:rPr>
        <w:t>Registration</w:t>
      </w:r>
    </w:p>
    <w:p w14:paraId="6E76F0B2" w14:textId="77777777" w:rsidR="002F10B6" w:rsidRDefault="002F10B6" w:rsidP="005E5E51">
      <w:pPr>
        <w:tabs>
          <w:tab w:val="clear" w:pos="1871"/>
          <w:tab w:val="clear" w:pos="2268"/>
          <w:tab w:val="left" w:pos="567"/>
          <w:tab w:val="left" w:pos="1701"/>
        </w:tabs>
        <w:spacing w:before="80"/>
        <w:ind w:left="1134" w:hanging="567"/>
        <w:rPr>
          <w:rFonts w:cstheme="majorBidi"/>
          <w:lang w:eastAsia="zh-CN"/>
        </w:rPr>
      </w:pPr>
      <w:r>
        <w:rPr>
          <w:rFonts w:cstheme="majorBidi"/>
          <w:lang w:eastAsia="zh-CN"/>
        </w:rPr>
        <w:tab/>
        <w:t>3.1</w:t>
      </w:r>
      <w:r>
        <w:rPr>
          <w:rFonts w:cstheme="majorBidi"/>
          <w:lang w:eastAsia="zh-CN"/>
        </w:rPr>
        <w:tab/>
        <w:t>Harmonization of registration.</w:t>
      </w:r>
    </w:p>
    <w:p w14:paraId="63FCC064" w14:textId="77777777" w:rsidR="002F10B6" w:rsidRDefault="002F10B6" w:rsidP="005E5E51">
      <w:pPr>
        <w:tabs>
          <w:tab w:val="clear" w:pos="1871"/>
          <w:tab w:val="clear" w:pos="2268"/>
          <w:tab w:val="left" w:pos="567"/>
          <w:tab w:val="left" w:pos="1701"/>
        </w:tabs>
        <w:spacing w:before="80"/>
        <w:ind w:left="1134" w:hanging="567"/>
        <w:rPr>
          <w:rFonts w:cstheme="majorBidi"/>
          <w:lang w:eastAsia="zh-CN"/>
        </w:rPr>
      </w:pPr>
      <w:r>
        <w:rPr>
          <w:rFonts w:cstheme="majorBidi"/>
          <w:lang w:eastAsia="zh-CN"/>
        </w:rPr>
        <w:tab/>
        <w:t>3.2</w:t>
      </w:r>
      <w:r>
        <w:rPr>
          <w:rFonts w:cstheme="majorBidi"/>
          <w:lang w:eastAsia="zh-CN"/>
        </w:rPr>
        <w:tab/>
      </w:r>
      <w:r w:rsidRPr="00A97856">
        <w:rPr>
          <w:rFonts w:cstheme="majorBidi"/>
          <w:lang w:eastAsia="zh-CN"/>
        </w:rPr>
        <w:t>Registration</w:t>
      </w:r>
      <w:r>
        <w:rPr>
          <w:rFonts w:cstheme="majorBidi"/>
          <w:lang w:eastAsia="zh-CN"/>
        </w:rPr>
        <w:t xml:space="preserve"> for participation in meetings, including for remote participants.</w:t>
      </w:r>
    </w:p>
    <w:p w14:paraId="726DB389" w14:textId="77777777" w:rsidR="002F10B6" w:rsidRDefault="002F10B6" w:rsidP="005E5E51">
      <w:pPr>
        <w:tabs>
          <w:tab w:val="clear" w:pos="1871"/>
          <w:tab w:val="clear" w:pos="2268"/>
          <w:tab w:val="left" w:pos="567"/>
          <w:tab w:val="left" w:pos="1701"/>
        </w:tabs>
        <w:spacing w:before="80"/>
        <w:ind w:left="794" w:hanging="794"/>
        <w:rPr>
          <w:rFonts w:eastAsia="SimSun" w:cstheme="majorBidi"/>
          <w:szCs w:val="24"/>
          <w:lang w:eastAsia="zh-CN"/>
        </w:rPr>
      </w:pPr>
      <w:r>
        <w:rPr>
          <w:rFonts w:cstheme="majorBidi"/>
          <w:lang w:eastAsia="zh-CN"/>
        </w:rPr>
        <w:t>4.</w:t>
      </w:r>
      <w:r w:rsidRPr="00A97856">
        <w:rPr>
          <w:rFonts w:cstheme="majorBidi"/>
          <w:lang w:eastAsia="zh-CN"/>
        </w:rPr>
        <w:tab/>
      </w:r>
      <w:r w:rsidRPr="00A97856">
        <w:rPr>
          <w:rFonts w:eastAsia="SimSun" w:cstheme="majorBidi"/>
          <w:szCs w:val="24"/>
          <w:lang w:eastAsia="zh-CN"/>
        </w:rPr>
        <w:t xml:space="preserve">Improvement of the ITU webpages </w:t>
      </w:r>
      <w:r>
        <w:rPr>
          <w:rFonts w:eastAsia="SimSun" w:cstheme="majorBidi"/>
          <w:szCs w:val="24"/>
          <w:lang w:eastAsia="zh-CN"/>
        </w:rPr>
        <w:t xml:space="preserve">in official ITU languages </w:t>
      </w:r>
      <w:r w:rsidRPr="00A97856">
        <w:rPr>
          <w:rFonts w:eastAsia="SimSun" w:cstheme="majorBidi"/>
          <w:szCs w:val="24"/>
          <w:lang w:eastAsia="zh-CN"/>
        </w:rPr>
        <w:t>taking into account best practices</w:t>
      </w:r>
      <w:r>
        <w:rPr>
          <w:rFonts w:eastAsia="SimSun" w:cstheme="majorBidi"/>
          <w:szCs w:val="24"/>
          <w:lang w:eastAsia="zh-CN"/>
        </w:rPr>
        <w:t>.</w:t>
      </w:r>
    </w:p>
    <w:p w14:paraId="758D8E98" w14:textId="77777777" w:rsidR="002F10B6" w:rsidRPr="00A97856" w:rsidRDefault="002F10B6" w:rsidP="005E5E51">
      <w:pPr>
        <w:tabs>
          <w:tab w:val="clear" w:pos="1871"/>
          <w:tab w:val="clear" w:pos="2268"/>
          <w:tab w:val="left" w:pos="567"/>
          <w:tab w:val="left" w:pos="1701"/>
        </w:tabs>
        <w:spacing w:before="80"/>
        <w:ind w:left="1134" w:hanging="567"/>
        <w:rPr>
          <w:rFonts w:eastAsia="SimSun" w:cstheme="majorBidi"/>
          <w:szCs w:val="24"/>
          <w:lang w:eastAsia="zh-CN"/>
        </w:rPr>
      </w:pPr>
      <w:r>
        <w:rPr>
          <w:szCs w:val="24"/>
          <w:lang w:val="en-US"/>
        </w:rPr>
        <w:tab/>
      </w:r>
      <w:r w:rsidRPr="00A07A53">
        <w:rPr>
          <w:szCs w:val="24"/>
          <w:lang w:val="en-US"/>
        </w:rPr>
        <w:t>4.1</w:t>
      </w:r>
      <w:r w:rsidRPr="00A07A53">
        <w:rPr>
          <w:szCs w:val="24"/>
          <w:lang w:val="en-US"/>
        </w:rPr>
        <w:tab/>
        <w:t>Language</w:t>
      </w:r>
      <w:r w:rsidRPr="00E50E0E">
        <w:rPr>
          <w:szCs w:val="24"/>
          <w:lang w:val="en-US"/>
        </w:rPr>
        <w:t xml:space="preserve"> issues</w:t>
      </w:r>
    </w:p>
    <w:p w14:paraId="52A458ED" w14:textId="77777777" w:rsidR="002F10B6" w:rsidRDefault="002F10B6" w:rsidP="005E5E51">
      <w:pPr>
        <w:pStyle w:val="PlainText"/>
        <w:tabs>
          <w:tab w:val="left" w:pos="567"/>
          <w:tab w:val="left" w:pos="1134"/>
          <w:tab w:val="left" w:pos="1701"/>
        </w:tabs>
        <w:spacing w:before="120"/>
        <w:ind w:left="794" w:hanging="794"/>
        <w:rPr>
          <w:rFonts w:cs="Times New Roman"/>
          <w:sz w:val="24"/>
          <w:szCs w:val="24"/>
          <w:lang w:val="en-GB"/>
        </w:rPr>
      </w:pPr>
      <w:r w:rsidRPr="00BB51A8">
        <w:rPr>
          <w:sz w:val="24"/>
          <w:szCs w:val="24"/>
          <w:lang w:val="en-GB"/>
        </w:rPr>
        <w:t>5</w:t>
      </w:r>
      <w:r w:rsidRPr="001259A9">
        <w:rPr>
          <w:rFonts w:cs="Times New Roman"/>
          <w:sz w:val="24"/>
          <w:szCs w:val="24"/>
          <w:lang w:val="en-GB"/>
        </w:rPr>
        <w:t>.</w:t>
      </w:r>
      <w:r>
        <w:rPr>
          <w:rFonts w:cs="Times New Roman"/>
          <w:sz w:val="24"/>
          <w:szCs w:val="24"/>
          <w:lang w:val="en-GB"/>
        </w:rPr>
        <w:tab/>
      </w:r>
      <w:r w:rsidRPr="000A37BB">
        <w:rPr>
          <w:rFonts w:cs="Times New Roman"/>
          <w:sz w:val="24"/>
          <w:szCs w:val="24"/>
          <w:lang w:eastAsia="ja-JP"/>
        </w:rPr>
        <w:t>Meeting planning</w:t>
      </w:r>
      <w:r>
        <w:rPr>
          <w:rFonts w:cs="Times New Roman"/>
          <w:sz w:val="24"/>
          <w:szCs w:val="24"/>
          <w:lang w:eastAsia="ja-JP"/>
        </w:rPr>
        <w:t>.</w:t>
      </w:r>
    </w:p>
    <w:p w14:paraId="05F451BF" w14:textId="77777777" w:rsidR="002F10B6" w:rsidRPr="000A37BB" w:rsidRDefault="002F10B6" w:rsidP="005E5E51">
      <w:pPr>
        <w:pStyle w:val="PlainText"/>
        <w:tabs>
          <w:tab w:val="left" w:pos="567"/>
          <w:tab w:val="left" w:pos="1134"/>
          <w:tab w:val="left" w:pos="1701"/>
        </w:tabs>
        <w:overflowPunct w:val="0"/>
        <w:autoSpaceDE w:val="0"/>
        <w:autoSpaceDN w:val="0"/>
        <w:adjustRightInd w:val="0"/>
        <w:spacing w:before="80"/>
        <w:ind w:left="1134" w:hanging="567"/>
        <w:textAlignment w:val="baseline"/>
        <w:rPr>
          <w:szCs w:val="24"/>
        </w:rPr>
      </w:pPr>
      <w:r>
        <w:rPr>
          <w:rFonts w:cs="Times New Roman"/>
          <w:sz w:val="24"/>
          <w:szCs w:val="24"/>
          <w:lang w:val="en-GB"/>
        </w:rPr>
        <w:t>5.1</w:t>
      </w:r>
      <w:r>
        <w:rPr>
          <w:rFonts w:cs="Times New Roman"/>
          <w:sz w:val="24"/>
          <w:szCs w:val="24"/>
          <w:lang w:val="en-GB"/>
        </w:rPr>
        <w:tab/>
      </w:r>
      <w:r w:rsidRPr="000A37BB">
        <w:rPr>
          <w:rFonts w:cs="Times New Roman"/>
          <w:sz w:val="24"/>
          <w:szCs w:val="24"/>
          <w:lang w:val="en-GB"/>
        </w:rPr>
        <w:t>Preparation to conferences and meetings.</w:t>
      </w:r>
    </w:p>
    <w:p w14:paraId="08F0B11B" w14:textId="77777777" w:rsidR="002F10B6" w:rsidRDefault="002F10B6" w:rsidP="005E5E51">
      <w:pPr>
        <w:tabs>
          <w:tab w:val="clear" w:pos="1871"/>
          <w:tab w:val="clear" w:pos="2268"/>
          <w:tab w:val="left" w:pos="567"/>
          <w:tab w:val="left" w:pos="1701"/>
        </w:tabs>
        <w:spacing w:before="80"/>
        <w:ind w:left="1134" w:hanging="567"/>
        <w:rPr>
          <w:rFonts w:cstheme="majorBidi"/>
          <w:lang w:eastAsia="zh-CN"/>
        </w:rPr>
      </w:pPr>
      <w:r>
        <w:rPr>
          <w:rFonts w:cstheme="majorBidi"/>
          <w:lang w:eastAsia="zh-CN"/>
        </w:rPr>
        <w:t>5.2</w:t>
      </w:r>
      <w:r>
        <w:rPr>
          <w:rFonts w:cstheme="majorBidi"/>
          <w:lang w:eastAsia="zh-CN"/>
        </w:rPr>
        <w:tab/>
      </w:r>
      <w:r w:rsidRPr="00A97856">
        <w:rPr>
          <w:rFonts w:cstheme="majorBidi"/>
          <w:lang w:eastAsia="zh-CN"/>
        </w:rPr>
        <w:t>Further enhancement and optimization of seminars/symposia/workshops</w:t>
      </w:r>
      <w:r>
        <w:rPr>
          <w:rFonts w:cstheme="majorBidi"/>
          <w:lang w:eastAsia="zh-CN"/>
        </w:rPr>
        <w:t>/capacity building.</w:t>
      </w:r>
    </w:p>
    <w:p w14:paraId="14C70C70" w14:textId="77777777" w:rsidR="002F10B6" w:rsidRPr="00A97856" w:rsidRDefault="002F10B6" w:rsidP="005E5E51">
      <w:pPr>
        <w:tabs>
          <w:tab w:val="clear" w:pos="1871"/>
          <w:tab w:val="clear" w:pos="2268"/>
          <w:tab w:val="left" w:pos="567"/>
          <w:tab w:val="left" w:pos="1701"/>
        </w:tabs>
        <w:spacing w:before="80"/>
        <w:ind w:left="1134" w:hanging="567"/>
        <w:rPr>
          <w:rFonts w:cstheme="majorBidi"/>
          <w:lang w:eastAsia="zh-CN"/>
        </w:rPr>
      </w:pPr>
      <w:r>
        <w:rPr>
          <w:rFonts w:cstheme="majorBidi"/>
          <w:lang w:eastAsia="zh-CN"/>
        </w:rPr>
        <w:t xml:space="preserve">5.3 </w:t>
      </w:r>
      <w:r w:rsidRPr="008E6E50">
        <w:rPr>
          <w:szCs w:val="24"/>
          <w:lang w:eastAsia="ja-JP"/>
        </w:rPr>
        <w:t>Collaboration and cooperation on events</w:t>
      </w:r>
      <w:r>
        <w:rPr>
          <w:szCs w:val="24"/>
          <w:lang w:eastAsia="ja-JP"/>
        </w:rPr>
        <w:t>.</w:t>
      </w:r>
    </w:p>
    <w:p w14:paraId="3334DDEF" w14:textId="77777777" w:rsidR="002F10B6" w:rsidRDefault="002F10B6" w:rsidP="005E5E51">
      <w:pPr>
        <w:pStyle w:val="PlainText"/>
        <w:tabs>
          <w:tab w:val="left" w:pos="567"/>
          <w:tab w:val="left" w:pos="1134"/>
          <w:tab w:val="left" w:pos="1701"/>
        </w:tabs>
        <w:spacing w:before="120"/>
        <w:ind w:left="794" w:hanging="794"/>
        <w:rPr>
          <w:rFonts w:cs="Times New Roman"/>
          <w:sz w:val="24"/>
          <w:szCs w:val="24"/>
          <w:lang w:eastAsia="ja-JP"/>
        </w:rPr>
      </w:pPr>
      <w:r>
        <w:rPr>
          <w:rFonts w:cs="Times New Roman"/>
          <w:sz w:val="24"/>
          <w:szCs w:val="24"/>
          <w:lang w:val="en-GB" w:eastAsia="ja-JP"/>
        </w:rPr>
        <w:t>6</w:t>
      </w:r>
      <w:r>
        <w:rPr>
          <w:rFonts w:cs="Times New Roman"/>
          <w:sz w:val="24"/>
          <w:szCs w:val="24"/>
          <w:lang w:eastAsia="ja-JP"/>
        </w:rPr>
        <w:t>.</w:t>
      </w:r>
      <w:r>
        <w:rPr>
          <w:rFonts w:cs="Times New Roman"/>
          <w:sz w:val="24"/>
          <w:szCs w:val="24"/>
          <w:lang w:eastAsia="ja-JP"/>
        </w:rPr>
        <w:tab/>
      </w:r>
      <w:r w:rsidRPr="000A37BB">
        <w:rPr>
          <w:rFonts w:cs="Times New Roman"/>
          <w:sz w:val="24"/>
          <w:szCs w:val="24"/>
          <w:lang w:eastAsia="ja-JP"/>
        </w:rPr>
        <w:t>Streamlined establishment procedures of inter-Sector Rapporteur group (IRG).</w:t>
      </w:r>
    </w:p>
    <w:p w14:paraId="0E32EAFA" w14:textId="77777777" w:rsidR="002F10B6" w:rsidRPr="00146077" w:rsidRDefault="002F10B6" w:rsidP="005E5E51">
      <w:pPr>
        <w:tabs>
          <w:tab w:val="clear" w:pos="1871"/>
          <w:tab w:val="clear" w:pos="2268"/>
          <w:tab w:val="left" w:pos="567"/>
          <w:tab w:val="left" w:pos="1701"/>
        </w:tabs>
        <w:spacing w:before="80"/>
        <w:ind w:left="1134" w:hanging="567"/>
        <w:rPr>
          <w:rFonts w:cstheme="majorBidi"/>
          <w:lang w:eastAsia="zh-CN"/>
        </w:rPr>
      </w:pPr>
      <w:r w:rsidRPr="00496036">
        <w:rPr>
          <w:rFonts w:cstheme="majorBidi"/>
          <w:lang w:eastAsia="zh-CN"/>
        </w:rPr>
        <w:t>6.1</w:t>
      </w:r>
      <w:r w:rsidRPr="00496036">
        <w:rPr>
          <w:rFonts w:cstheme="majorBidi"/>
          <w:lang w:eastAsia="zh-CN"/>
        </w:rPr>
        <w:tab/>
        <w:t>Liaison statement handling of Inter-Sector Rapporteur Groups</w:t>
      </w:r>
    </w:p>
    <w:p w14:paraId="526D216E" w14:textId="77777777" w:rsidR="002F10B6" w:rsidRDefault="002F10B6" w:rsidP="005E5E51">
      <w:pPr>
        <w:pStyle w:val="PlainText"/>
        <w:keepNext/>
        <w:tabs>
          <w:tab w:val="left" w:pos="567"/>
          <w:tab w:val="left" w:pos="1134"/>
          <w:tab w:val="left" w:pos="1701"/>
        </w:tabs>
        <w:spacing w:before="120"/>
        <w:ind w:left="794" w:hanging="794"/>
        <w:rPr>
          <w:rFonts w:cstheme="majorBidi"/>
        </w:rPr>
      </w:pPr>
      <w:r>
        <w:rPr>
          <w:rFonts w:cs="Times New Roman"/>
          <w:sz w:val="24"/>
          <w:szCs w:val="24"/>
          <w:lang w:eastAsia="ja-JP"/>
        </w:rPr>
        <w:t>7.</w:t>
      </w:r>
      <w:r>
        <w:rPr>
          <w:rFonts w:cs="Times New Roman"/>
          <w:sz w:val="24"/>
          <w:szCs w:val="24"/>
          <w:lang w:eastAsia="ja-JP"/>
        </w:rPr>
        <w:tab/>
        <w:t xml:space="preserve">Identification of </w:t>
      </w:r>
      <w:r w:rsidRPr="00722B88">
        <w:rPr>
          <w:rFonts w:cs="Times New Roman"/>
          <w:sz w:val="24"/>
          <w:szCs w:val="24"/>
          <w:lang w:eastAsia="ja-JP"/>
        </w:rPr>
        <w:t>technical issues with comm</w:t>
      </w:r>
      <w:r>
        <w:rPr>
          <w:rFonts w:cs="Times New Roman"/>
          <w:sz w:val="24"/>
          <w:szCs w:val="24"/>
          <w:lang w:eastAsia="ja-JP"/>
        </w:rPr>
        <w:t xml:space="preserve">on interests. </w:t>
      </w:r>
    </w:p>
    <w:p w14:paraId="3FA86409" w14:textId="77777777" w:rsidR="002F10B6" w:rsidRDefault="002F10B6" w:rsidP="005E5E51">
      <w:pPr>
        <w:pStyle w:val="PlainText"/>
        <w:tabs>
          <w:tab w:val="left" w:pos="567"/>
          <w:tab w:val="left" w:pos="1134"/>
          <w:tab w:val="left" w:pos="1701"/>
        </w:tabs>
        <w:spacing w:before="120"/>
        <w:ind w:left="794" w:hanging="794"/>
        <w:rPr>
          <w:rFonts w:cs="Times New Roman"/>
          <w:sz w:val="24"/>
          <w:szCs w:val="24"/>
          <w:lang w:eastAsia="ja-JP"/>
        </w:rPr>
      </w:pPr>
      <w:r w:rsidRPr="005343AA">
        <w:rPr>
          <w:rFonts w:cs="Times New Roman"/>
          <w:sz w:val="24"/>
          <w:szCs w:val="24"/>
          <w:lang w:eastAsia="ja-JP"/>
        </w:rPr>
        <w:t>8.</w:t>
      </w:r>
      <w:r w:rsidRPr="00B42B6D">
        <w:rPr>
          <w:rFonts w:cs="Times New Roman"/>
          <w:sz w:val="24"/>
          <w:szCs w:val="24"/>
          <w:lang w:eastAsia="ja-JP"/>
        </w:rPr>
        <w:tab/>
        <w:t>Exchange of information on related study activities</w:t>
      </w:r>
    </w:p>
    <w:p w14:paraId="3A127666" w14:textId="77777777" w:rsidR="002F10B6" w:rsidRPr="00146077" w:rsidRDefault="002F10B6" w:rsidP="005E5E51">
      <w:pPr>
        <w:tabs>
          <w:tab w:val="clear" w:pos="1871"/>
          <w:tab w:val="clear" w:pos="2268"/>
          <w:tab w:val="left" w:pos="567"/>
          <w:tab w:val="left" w:pos="1701"/>
        </w:tabs>
        <w:spacing w:before="80"/>
        <w:ind w:left="1134" w:hanging="567"/>
        <w:rPr>
          <w:rFonts w:cstheme="majorBidi"/>
          <w:lang w:eastAsia="zh-CN"/>
        </w:rPr>
      </w:pPr>
      <w:r w:rsidRPr="00496036">
        <w:rPr>
          <w:rFonts w:cstheme="majorBidi"/>
          <w:lang w:eastAsia="zh-CN"/>
        </w:rPr>
        <w:t>8.1</w:t>
      </w:r>
      <w:r w:rsidRPr="00496036">
        <w:rPr>
          <w:rFonts w:cstheme="majorBidi"/>
          <w:lang w:eastAsia="zh-CN"/>
        </w:rPr>
        <w:tab/>
        <w:t>Improvement of interaction between working parties and study groups of different Sectors.</w:t>
      </w:r>
    </w:p>
    <w:p w14:paraId="71550BAE" w14:textId="77777777" w:rsidR="002F10B6" w:rsidRDefault="002F10B6" w:rsidP="005E5E51">
      <w:pPr>
        <w:pStyle w:val="PlainText"/>
        <w:tabs>
          <w:tab w:val="left" w:pos="567"/>
          <w:tab w:val="left" w:pos="1134"/>
          <w:tab w:val="left" w:pos="1701"/>
        </w:tabs>
        <w:spacing w:before="120"/>
        <w:rPr>
          <w:rFonts w:asciiTheme="minorHAnsi" w:hAnsiTheme="minorHAnsi" w:cs="Times New Roman"/>
          <w:sz w:val="24"/>
          <w:szCs w:val="24"/>
          <w:lang w:val="en-GB"/>
        </w:rPr>
      </w:pPr>
      <w:r>
        <w:rPr>
          <w:rFonts w:cs="Times New Roman"/>
          <w:sz w:val="24"/>
          <w:szCs w:val="24"/>
          <w:lang w:eastAsia="ja-JP"/>
        </w:rPr>
        <w:t>9.</w:t>
      </w:r>
      <w:r>
        <w:rPr>
          <w:rFonts w:cs="Times New Roman"/>
          <w:sz w:val="24"/>
          <w:szCs w:val="24"/>
          <w:lang w:eastAsia="ja-JP"/>
        </w:rPr>
        <w:tab/>
      </w:r>
      <w:r>
        <w:rPr>
          <w:rFonts w:asciiTheme="minorHAnsi" w:hAnsiTheme="minorHAnsi" w:cs="Times New Roman"/>
          <w:sz w:val="24"/>
          <w:szCs w:val="24"/>
          <w:lang w:val="en-GB"/>
        </w:rPr>
        <w:t>Working methods (Resolution 1) of the three Sectors and application of best practices</w:t>
      </w:r>
      <w:r w:rsidRPr="009569AB">
        <w:rPr>
          <w:rFonts w:asciiTheme="minorHAnsi" w:hAnsiTheme="minorHAnsi" w:cs="Times New Roman"/>
          <w:sz w:val="24"/>
          <w:szCs w:val="24"/>
          <w:lang w:val="en-GB"/>
        </w:rPr>
        <w:t>.</w:t>
      </w:r>
    </w:p>
    <w:p w14:paraId="66AE103D" w14:textId="77777777" w:rsidR="002F10B6" w:rsidRPr="009569AB" w:rsidRDefault="002F10B6" w:rsidP="005E5E51">
      <w:pPr>
        <w:pStyle w:val="PlainText"/>
        <w:tabs>
          <w:tab w:val="left" w:pos="567"/>
          <w:tab w:val="left" w:pos="1134"/>
          <w:tab w:val="left" w:pos="1701"/>
        </w:tabs>
        <w:spacing w:before="120"/>
        <w:rPr>
          <w:rFonts w:asciiTheme="minorHAnsi" w:hAnsiTheme="minorHAnsi" w:cs="Times New Roman"/>
          <w:sz w:val="24"/>
          <w:szCs w:val="24"/>
          <w:lang w:val="en-GB"/>
        </w:rPr>
      </w:pPr>
      <w:r>
        <w:rPr>
          <w:rFonts w:asciiTheme="minorHAnsi" w:hAnsiTheme="minorHAnsi" w:cs="Times New Roman"/>
          <w:sz w:val="24"/>
          <w:szCs w:val="24"/>
          <w:lang w:val="en-GB"/>
        </w:rPr>
        <w:t>10.</w:t>
      </w:r>
      <w:r>
        <w:rPr>
          <w:rFonts w:asciiTheme="minorHAnsi" w:hAnsiTheme="minorHAnsi" w:cs="Times New Roman"/>
          <w:sz w:val="24"/>
          <w:szCs w:val="24"/>
          <w:lang w:val="en-GB"/>
        </w:rPr>
        <w:tab/>
      </w:r>
      <w:r w:rsidRPr="009569AB">
        <w:rPr>
          <w:rFonts w:asciiTheme="minorHAnsi" w:hAnsiTheme="minorHAnsi" w:cs="Times New Roman"/>
          <w:sz w:val="24"/>
          <w:szCs w:val="24"/>
          <w:lang w:val="en-GB"/>
        </w:rPr>
        <w:t>Sector membership.</w:t>
      </w:r>
    </w:p>
    <w:p w14:paraId="13D322B4" w14:textId="62466E0E" w:rsidR="00932065" w:rsidRDefault="009C641B" w:rsidP="009C641B">
      <w:pPr>
        <w:tabs>
          <w:tab w:val="left" w:pos="567"/>
          <w:tab w:val="left" w:pos="851"/>
          <w:tab w:val="left" w:pos="1418"/>
        </w:tabs>
        <w:jc w:val="both"/>
        <w:rPr>
          <w:rFonts w:ascii="Calibri" w:hAnsi="Calibri" w:cs="Calibri"/>
          <w:szCs w:val="24"/>
        </w:rPr>
      </w:pPr>
      <w:r>
        <w:rPr>
          <w:bCs/>
          <w:szCs w:val="24"/>
          <w:lang w:val="en-US"/>
        </w:rPr>
        <w:t xml:space="preserve">The Team noted the </w:t>
      </w:r>
      <w:r w:rsidRPr="000F31CD">
        <w:rPr>
          <w:bCs/>
          <w:szCs w:val="24"/>
          <w:lang w:val="en-US"/>
        </w:rPr>
        <w:t xml:space="preserve">liaison statement from RAG to TDAG on </w:t>
      </w:r>
      <w:r>
        <w:rPr>
          <w:bCs/>
          <w:szCs w:val="24"/>
          <w:lang w:val="en-US"/>
        </w:rPr>
        <w:t>c</w:t>
      </w:r>
      <w:r w:rsidRPr="000F31CD">
        <w:rPr>
          <w:lang w:val="en-US" w:eastAsia="ja-JP"/>
        </w:rPr>
        <w:t xml:space="preserve">ooperation and coordination between ITU-R and ITU-D on WTDC </w:t>
      </w:r>
      <w:r>
        <w:rPr>
          <w:lang w:val="en-US" w:eastAsia="ja-JP"/>
        </w:rPr>
        <w:t>Resolution 9 (Rev. Dubai, 2014) and the measures and course of action proposed</w:t>
      </w:r>
      <w:r w:rsidRPr="000F31CD">
        <w:t>.</w:t>
      </w:r>
    </w:p>
    <w:p w14:paraId="3D30231B" w14:textId="77777777" w:rsidR="00DC11AA" w:rsidRDefault="00DC11AA" w:rsidP="00565EBE">
      <w:pPr>
        <w:tabs>
          <w:tab w:val="left" w:pos="567"/>
          <w:tab w:val="left" w:pos="851"/>
          <w:tab w:val="left" w:pos="1418"/>
        </w:tabs>
        <w:jc w:val="both"/>
        <w:rPr>
          <w:rFonts w:ascii="Calibri" w:hAnsi="Calibri" w:cs="Calibri"/>
          <w:szCs w:val="24"/>
        </w:rPr>
      </w:pPr>
    </w:p>
    <w:p w14:paraId="40E74231" w14:textId="4B314BA7" w:rsidR="00AF3BD4" w:rsidRDefault="00565EBE" w:rsidP="00DC11AA">
      <w:pPr>
        <w:spacing w:after="120"/>
        <w:jc w:val="center"/>
      </w:pPr>
      <w:r w:rsidRPr="00F82176">
        <w:rPr>
          <w:szCs w:val="24"/>
        </w:rPr>
        <w:t>_______________</w:t>
      </w:r>
    </w:p>
    <w:sectPr w:rsidR="00AF3BD4" w:rsidSect="007A5D37">
      <w:type w:val="continuous"/>
      <w:pgSz w:w="11907" w:h="16840" w:code="9"/>
      <w:pgMar w:top="1418" w:right="1559" w:bottom="1418" w:left="1134"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8924B3" w14:textId="77777777" w:rsidR="00011727" w:rsidRDefault="00011727">
      <w:r>
        <w:separator/>
      </w:r>
    </w:p>
  </w:endnote>
  <w:endnote w:type="continuationSeparator" w:id="0">
    <w:p w14:paraId="27304F8A" w14:textId="77777777" w:rsidR="00011727" w:rsidRDefault="00011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B932F" w14:textId="77777777" w:rsidR="00C60EF9" w:rsidRDefault="00C60EF9">
    <w:pPr>
      <w:framePr w:wrap="around" w:vAnchor="text" w:hAnchor="margin" w:xAlign="right" w:y="1"/>
    </w:pPr>
    <w:r>
      <w:fldChar w:fldCharType="begin"/>
    </w:r>
    <w:r>
      <w:instrText xml:space="preserve">PAGE  </w:instrText>
    </w:r>
    <w:r>
      <w:fldChar w:fldCharType="end"/>
    </w:r>
  </w:p>
  <w:p w14:paraId="463A7BB8" w14:textId="452D2836" w:rsidR="00C60EF9" w:rsidRPr="00BF0BF0" w:rsidRDefault="00C60EF9">
    <w:pPr>
      <w:ind w:right="360"/>
      <w:rPr>
        <w:lang w:val="fr-CH"/>
      </w:rPr>
    </w:pPr>
    <w:r>
      <w:fldChar w:fldCharType="begin"/>
    </w:r>
    <w:r w:rsidRPr="00BF0BF0">
      <w:rPr>
        <w:lang w:val="fr-CH"/>
      </w:rPr>
      <w:instrText xml:space="preserve"> FILENAME \p  \* MERGEFORMAT </w:instrText>
    </w:r>
    <w:r>
      <w:fldChar w:fldCharType="separate"/>
    </w:r>
    <w:r w:rsidRPr="00BF0BF0">
      <w:rPr>
        <w:noProof/>
        <w:lang w:val="fr-CH"/>
      </w:rPr>
      <w:t>C:\Users\torigoe\Documents\01 TDAG-17\Documents\D14-TDAG22-170509-TD-0009!R1 v6.docx</w:t>
    </w:r>
    <w:r>
      <w:fldChar w:fldCharType="end"/>
    </w:r>
    <w:r w:rsidRPr="00BF0BF0">
      <w:rPr>
        <w:lang w:val="fr-CH"/>
      </w:rPr>
      <w:tab/>
    </w:r>
    <w:r>
      <w:fldChar w:fldCharType="begin"/>
    </w:r>
    <w:r>
      <w:instrText xml:space="preserve"> SAVEDATE \@ DD.MM.YY </w:instrText>
    </w:r>
    <w:r>
      <w:fldChar w:fldCharType="separate"/>
    </w:r>
    <w:r w:rsidR="00C10A8E">
      <w:rPr>
        <w:noProof/>
      </w:rPr>
      <w:t>07.07.17</w:t>
    </w:r>
    <w:r>
      <w:fldChar w:fldCharType="end"/>
    </w:r>
    <w:r w:rsidRPr="00BF0BF0">
      <w:rPr>
        <w:lang w:val="fr-CH"/>
      </w:rPr>
      <w:tab/>
    </w:r>
    <w:r>
      <w:fldChar w:fldCharType="begin"/>
    </w:r>
    <w:r>
      <w:instrText xml:space="preserve"> PRINTDATE \@ DD.MM.YY </w:instrText>
    </w:r>
    <w:r>
      <w:fldChar w:fldCharType="separate"/>
    </w:r>
    <w:r>
      <w:rPr>
        <w:noProof/>
      </w:rPr>
      <w:t>11.05.17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AAFB8" w14:textId="77777777" w:rsidR="00C60EF9" w:rsidRPr="00D83BF5" w:rsidRDefault="00C10A8E" w:rsidP="002757E9">
    <w:pPr>
      <w:jc w:val="center"/>
    </w:pPr>
    <w:hyperlink r:id="rId1" w:history="1">
      <w:r w:rsidR="00C60EF9" w:rsidRPr="00013E46">
        <w:rPr>
          <w:rStyle w:val="Hyperlink"/>
          <w:sz w:val="20"/>
        </w:rPr>
        <w:t>www.itu.int/ITU-D/TDAG</w:t>
      </w:r>
    </w:hyperlink>
    <w:r w:rsidR="00C60EF9">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A3F47A" w14:textId="77777777" w:rsidR="00011727" w:rsidRDefault="00011727">
      <w:r>
        <w:rPr>
          <w:b/>
        </w:rPr>
        <w:t>_______________</w:t>
      </w:r>
    </w:p>
  </w:footnote>
  <w:footnote w:type="continuationSeparator" w:id="0">
    <w:p w14:paraId="32322C42" w14:textId="77777777" w:rsidR="00011727" w:rsidRDefault="000117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A0298" w14:textId="04B23F25" w:rsidR="00C60EF9" w:rsidRPr="00BF0BF0" w:rsidRDefault="00C60EF9" w:rsidP="009A37D0">
    <w:pPr>
      <w:tabs>
        <w:tab w:val="clear" w:pos="1134"/>
        <w:tab w:val="clear" w:pos="1871"/>
        <w:tab w:val="clear" w:pos="2268"/>
        <w:tab w:val="center" w:pos="4678"/>
        <w:tab w:val="right" w:pos="10206"/>
      </w:tabs>
      <w:ind w:right="1"/>
      <w:rPr>
        <w:sz w:val="22"/>
        <w:szCs w:val="22"/>
        <w:lang w:val="fr-CH"/>
      </w:rPr>
    </w:pPr>
    <w:r w:rsidRPr="004D495C">
      <w:rPr>
        <w:sz w:val="22"/>
        <w:szCs w:val="22"/>
      </w:rPr>
      <w:tab/>
    </w:r>
    <w:r w:rsidRPr="00BF0BF0">
      <w:rPr>
        <w:sz w:val="22"/>
        <w:szCs w:val="22"/>
        <w:lang w:val="fr-CH"/>
      </w:rPr>
      <w:t>ITU-D/</w:t>
    </w:r>
    <w:bookmarkStart w:id="5" w:name="DocRef2"/>
    <w:bookmarkEnd w:id="5"/>
    <w:r w:rsidRPr="00BF0BF0">
      <w:rPr>
        <w:sz w:val="22"/>
        <w:szCs w:val="22"/>
        <w:lang w:val="fr-CH"/>
      </w:rPr>
      <w:t>TDAG17-22/</w:t>
    </w:r>
    <w:r w:rsidR="009A37D0">
      <w:rPr>
        <w:sz w:val="22"/>
        <w:szCs w:val="22"/>
        <w:lang w:val="fr-CH"/>
      </w:rPr>
      <w:t>15</w:t>
    </w:r>
    <w:r w:rsidRPr="00BF0BF0">
      <w:rPr>
        <w:sz w:val="22"/>
        <w:szCs w:val="22"/>
        <w:lang w:val="fr-CH"/>
      </w:rPr>
      <w:t>-E</w:t>
    </w:r>
    <w:r w:rsidRPr="00BF0BF0">
      <w:rPr>
        <w:sz w:val="22"/>
        <w:szCs w:val="22"/>
        <w:lang w:val="fr-CH"/>
      </w:rPr>
      <w:tab/>
      <w:t xml:space="preserve">Page </w:t>
    </w:r>
    <w:r w:rsidRPr="004D495C">
      <w:rPr>
        <w:sz w:val="22"/>
        <w:szCs w:val="22"/>
      </w:rPr>
      <w:fldChar w:fldCharType="begin"/>
    </w:r>
    <w:r w:rsidRPr="00BF0BF0">
      <w:rPr>
        <w:sz w:val="22"/>
        <w:szCs w:val="22"/>
        <w:lang w:val="fr-CH"/>
      </w:rPr>
      <w:instrText xml:space="preserve"> PAGE </w:instrText>
    </w:r>
    <w:r w:rsidRPr="004D495C">
      <w:rPr>
        <w:sz w:val="22"/>
        <w:szCs w:val="22"/>
      </w:rPr>
      <w:fldChar w:fldCharType="separate"/>
    </w:r>
    <w:r w:rsidR="00C10A8E">
      <w:rPr>
        <w:noProof/>
        <w:sz w:val="22"/>
        <w:szCs w:val="22"/>
        <w:lang w:val="fr-CH"/>
      </w:rPr>
      <w:t>24</w:t>
    </w:r>
    <w:r w:rsidRPr="004D495C">
      <w:rP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68A0544"/>
    <w:multiLevelType w:val="hybridMultilevel"/>
    <w:tmpl w:val="2B884D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0547B9"/>
    <w:multiLevelType w:val="multilevel"/>
    <w:tmpl w:val="A6348800"/>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801042"/>
    <w:multiLevelType w:val="multilevel"/>
    <w:tmpl w:val="6BB433D4"/>
    <w:lvl w:ilvl="0">
      <w:start w:val="1"/>
      <w:numFmt w:val="decimal"/>
      <w:lvlText w:val="%1."/>
      <w:lvlJc w:val="left"/>
      <w:pPr>
        <w:ind w:left="720" w:hanging="360"/>
      </w:pPr>
      <w:rPr>
        <w:rFonts w:hint="default"/>
        <w:b/>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17BF345A"/>
    <w:multiLevelType w:val="multilevel"/>
    <w:tmpl w:val="6B2284E2"/>
    <w:lvl w:ilvl="0">
      <w:start w:val="1"/>
      <w:numFmt w:val="decimal"/>
      <w:pStyle w:val="Heading1"/>
      <w:lvlText w:val="%1."/>
      <w:lvlJc w:val="left"/>
      <w:pPr>
        <w:ind w:left="360" w:hanging="360"/>
      </w:pPr>
      <w:rPr>
        <w:rFonts w:hint="default"/>
      </w:rPr>
    </w:lvl>
    <w:lvl w:ilvl="1">
      <w:start w:val="1"/>
      <w:numFmt w:val="decimal"/>
      <w:pStyle w:val="Heading2"/>
      <w:isLgl/>
      <w:lvlText w:val="%1.%2"/>
      <w:lvlJc w:val="left"/>
      <w:pPr>
        <w:ind w:left="1140" w:hanging="1140"/>
      </w:pPr>
      <w:rPr>
        <w:rFonts w:hint="default"/>
      </w:rPr>
    </w:lvl>
    <w:lvl w:ilvl="2">
      <w:start w:val="1"/>
      <w:numFmt w:val="decimal"/>
      <w:isLgl/>
      <w:lvlText w:val="%1.%2.%3"/>
      <w:lvlJc w:val="left"/>
      <w:pPr>
        <w:ind w:left="1140" w:hanging="1140"/>
      </w:pPr>
      <w:rPr>
        <w:rFonts w:hint="default"/>
      </w:rPr>
    </w:lvl>
    <w:lvl w:ilvl="3">
      <w:start w:val="1"/>
      <w:numFmt w:val="decimal"/>
      <w:isLgl/>
      <w:lvlText w:val="%1.%2.%3.%4"/>
      <w:lvlJc w:val="left"/>
      <w:pPr>
        <w:ind w:left="1140" w:hanging="1140"/>
      </w:pPr>
      <w:rPr>
        <w:rFonts w:hint="default"/>
      </w:rPr>
    </w:lvl>
    <w:lvl w:ilvl="4">
      <w:start w:val="1"/>
      <w:numFmt w:val="decimal"/>
      <w:isLgl/>
      <w:lvlText w:val="%1.%2.%3.%4.%5"/>
      <w:lvlJc w:val="left"/>
      <w:pPr>
        <w:ind w:left="1140" w:hanging="1140"/>
      </w:pPr>
      <w:rPr>
        <w:rFonts w:hint="default"/>
      </w:rPr>
    </w:lvl>
    <w:lvl w:ilvl="5">
      <w:start w:val="1"/>
      <w:numFmt w:val="decimal"/>
      <w:isLgl/>
      <w:lvlText w:val="%1.%2.%3.%4.%5.%6"/>
      <w:lvlJc w:val="left"/>
      <w:pPr>
        <w:ind w:left="1140" w:hanging="11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8613C16"/>
    <w:multiLevelType w:val="hybridMultilevel"/>
    <w:tmpl w:val="BC687030"/>
    <w:lvl w:ilvl="0" w:tplc="B072979C">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EA4107"/>
    <w:multiLevelType w:val="hybridMultilevel"/>
    <w:tmpl w:val="E8D24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D71C1B"/>
    <w:multiLevelType w:val="hybridMultilevel"/>
    <w:tmpl w:val="47342D86"/>
    <w:lvl w:ilvl="0" w:tplc="9CC004F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6A254E"/>
    <w:multiLevelType w:val="hybridMultilevel"/>
    <w:tmpl w:val="104CB91A"/>
    <w:lvl w:ilvl="0" w:tplc="13FC335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106167"/>
    <w:multiLevelType w:val="hybridMultilevel"/>
    <w:tmpl w:val="D45A0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0369DF"/>
    <w:multiLevelType w:val="hybridMultilevel"/>
    <w:tmpl w:val="E9CE06A6"/>
    <w:lvl w:ilvl="0" w:tplc="003A283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4A5E09"/>
    <w:multiLevelType w:val="multilevel"/>
    <w:tmpl w:val="4BC65010"/>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58FC7ACB"/>
    <w:multiLevelType w:val="hybridMultilevel"/>
    <w:tmpl w:val="FEDAA7F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9BF3104"/>
    <w:multiLevelType w:val="hybridMultilevel"/>
    <w:tmpl w:val="80001736"/>
    <w:lvl w:ilvl="0" w:tplc="99802DA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4679EB"/>
    <w:multiLevelType w:val="multilevel"/>
    <w:tmpl w:val="FF2A8BD8"/>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D1C384E"/>
    <w:multiLevelType w:val="hybridMultilevel"/>
    <w:tmpl w:val="B1E65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1B0599"/>
    <w:multiLevelType w:val="hybridMultilevel"/>
    <w:tmpl w:val="BE649FEE"/>
    <w:lvl w:ilvl="0" w:tplc="D6B2E8F0">
      <w:start w:val="1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1A266A"/>
    <w:multiLevelType w:val="hybridMultilevel"/>
    <w:tmpl w:val="B2420CC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6495A00"/>
    <w:multiLevelType w:val="hybridMultilevel"/>
    <w:tmpl w:val="E050EF24"/>
    <w:lvl w:ilvl="0" w:tplc="1286ED30">
      <w:start w:val="1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0A7E5A"/>
    <w:multiLevelType w:val="hybridMultilevel"/>
    <w:tmpl w:val="77603DD8"/>
    <w:lvl w:ilvl="0" w:tplc="174ACDA2">
      <w:start w:val="1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0801C7"/>
    <w:multiLevelType w:val="hybridMultilevel"/>
    <w:tmpl w:val="C33A25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8D3E75"/>
    <w:multiLevelType w:val="hybridMultilevel"/>
    <w:tmpl w:val="A8C0448A"/>
    <w:lvl w:ilvl="0" w:tplc="4924396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FD57C8E"/>
    <w:multiLevelType w:val="hybridMultilevel"/>
    <w:tmpl w:val="0DEA2AE8"/>
    <w:lvl w:ilvl="0" w:tplc="D10E8EF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FC08F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DD24548"/>
    <w:multiLevelType w:val="hybridMultilevel"/>
    <w:tmpl w:val="2570C3E8"/>
    <w:lvl w:ilvl="0" w:tplc="F4A2826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5"/>
  </w:num>
  <w:num w:numId="4">
    <w:abstractNumId w:val="5"/>
  </w:num>
  <w:num w:numId="5">
    <w:abstractNumId w:val="17"/>
  </w:num>
  <w:num w:numId="6">
    <w:abstractNumId w:val="22"/>
  </w:num>
  <w:num w:numId="7">
    <w:abstractNumId w:val="9"/>
  </w:num>
  <w:num w:numId="8">
    <w:abstractNumId w:val="26"/>
  </w:num>
  <w:num w:numId="9">
    <w:abstractNumId w:val="3"/>
  </w:num>
  <w:num w:numId="10">
    <w:abstractNumId w:val="20"/>
  </w:num>
  <w:num w:numId="11">
    <w:abstractNumId w:val="8"/>
  </w:num>
  <w:num w:numId="12">
    <w:abstractNumId w:val="12"/>
  </w:num>
  <w:num w:numId="13">
    <w:abstractNumId w:val="11"/>
  </w:num>
  <w:num w:numId="14">
    <w:abstractNumId w:val="2"/>
  </w:num>
  <w:num w:numId="15">
    <w:abstractNumId w:val="24"/>
  </w:num>
  <w:num w:numId="16">
    <w:abstractNumId w:val="27"/>
  </w:num>
  <w:num w:numId="17">
    <w:abstractNumId w:val="7"/>
  </w:num>
  <w:num w:numId="18">
    <w:abstractNumId w:val="18"/>
  </w:num>
  <w:num w:numId="19">
    <w:abstractNumId w:val="10"/>
  </w:num>
  <w:num w:numId="20">
    <w:abstractNumId w:val="4"/>
  </w:num>
  <w:num w:numId="21">
    <w:abstractNumId w:val="23"/>
  </w:num>
  <w:num w:numId="22">
    <w:abstractNumId w:val="13"/>
  </w:num>
  <w:num w:numId="23">
    <w:abstractNumId w:val="16"/>
  </w:num>
  <w:num w:numId="24">
    <w:abstractNumId w:val="6"/>
  </w:num>
  <w:num w:numId="25">
    <w:abstractNumId w:val="15"/>
  </w:num>
  <w:num w:numId="26">
    <w:abstractNumId w:val="14"/>
  </w:num>
  <w:num w:numId="27">
    <w:abstractNumId w:val="19"/>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0A49"/>
    <w:rsid w:val="00002006"/>
    <w:rsid w:val="000041EA"/>
    <w:rsid w:val="00011727"/>
    <w:rsid w:val="000157D7"/>
    <w:rsid w:val="00016130"/>
    <w:rsid w:val="000174DD"/>
    <w:rsid w:val="00022A29"/>
    <w:rsid w:val="000270B1"/>
    <w:rsid w:val="00027B40"/>
    <w:rsid w:val="00031AF7"/>
    <w:rsid w:val="000355FD"/>
    <w:rsid w:val="000360B5"/>
    <w:rsid w:val="00037541"/>
    <w:rsid w:val="000414E8"/>
    <w:rsid w:val="000479F2"/>
    <w:rsid w:val="00051E39"/>
    <w:rsid w:val="000554DD"/>
    <w:rsid w:val="00055BE4"/>
    <w:rsid w:val="00056800"/>
    <w:rsid w:val="000712B9"/>
    <w:rsid w:val="00077048"/>
    <w:rsid w:val="00077239"/>
    <w:rsid w:val="00080DC0"/>
    <w:rsid w:val="000822BE"/>
    <w:rsid w:val="00086491"/>
    <w:rsid w:val="00091346"/>
    <w:rsid w:val="00094795"/>
    <w:rsid w:val="000A23E7"/>
    <w:rsid w:val="000A462D"/>
    <w:rsid w:val="000B0739"/>
    <w:rsid w:val="000B1CBA"/>
    <w:rsid w:val="000C38F9"/>
    <w:rsid w:val="000D6D4F"/>
    <w:rsid w:val="000E65C7"/>
    <w:rsid w:val="000F407E"/>
    <w:rsid w:val="000F73FF"/>
    <w:rsid w:val="00114CF7"/>
    <w:rsid w:val="00123B68"/>
    <w:rsid w:val="00126F2E"/>
    <w:rsid w:val="00127F16"/>
    <w:rsid w:val="001322F0"/>
    <w:rsid w:val="00135CB8"/>
    <w:rsid w:val="0014235A"/>
    <w:rsid w:val="00145718"/>
    <w:rsid w:val="00146F6F"/>
    <w:rsid w:val="0015250D"/>
    <w:rsid w:val="00152957"/>
    <w:rsid w:val="00156ACB"/>
    <w:rsid w:val="00160438"/>
    <w:rsid w:val="00164FED"/>
    <w:rsid w:val="00165778"/>
    <w:rsid w:val="00166AA6"/>
    <w:rsid w:val="00176EF6"/>
    <w:rsid w:val="0017731A"/>
    <w:rsid w:val="00186F02"/>
    <w:rsid w:val="00187BD9"/>
    <w:rsid w:val="00190B55"/>
    <w:rsid w:val="00194CFB"/>
    <w:rsid w:val="001A057F"/>
    <w:rsid w:val="001B0402"/>
    <w:rsid w:val="001B2ED3"/>
    <w:rsid w:val="001C3B5F"/>
    <w:rsid w:val="001C55C7"/>
    <w:rsid w:val="001C5680"/>
    <w:rsid w:val="001D058F"/>
    <w:rsid w:val="001D28EF"/>
    <w:rsid w:val="001D723A"/>
    <w:rsid w:val="001E0FAD"/>
    <w:rsid w:val="001E1D83"/>
    <w:rsid w:val="001E6206"/>
    <w:rsid w:val="001F6027"/>
    <w:rsid w:val="001F6110"/>
    <w:rsid w:val="002009EA"/>
    <w:rsid w:val="00202CA0"/>
    <w:rsid w:val="002154A6"/>
    <w:rsid w:val="00217665"/>
    <w:rsid w:val="002255B3"/>
    <w:rsid w:val="002357B1"/>
    <w:rsid w:val="00242B71"/>
    <w:rsid w:val="00246753"/>
    <w:rsid w:val="0024782C"/>
    <w:rsid w:val="002605C4"/>
    <w:rsid w:val="002679DC"/>
    <w:rsid w:val="00271316"/>
    <w:rsid w:val="00271920"/>
    <w:rsid w:val="002757E9"/>
    <w:rsid w:val="0028278C"/>
    <w:rsid w:val="002A01D4"/>
    <w:rsid w:val="002A731B"/>
    <w:rsid w:val="002D58BE"/>
    <w:rsid w:val="002D6E0B"/>
    <w:rsid w:val="002D72C2"/>
    <w:rsid w:val="002D76BE"/>
    <w:rsid w:val="002E0223"/>
    <w:rsid w:val="002F10B6"/>
    <w:rsid w:val="002F1D8E"/>
    <w:rsid w:val="002F32C5"/>
    <w:rsid w:val="003013EE"/>
    <w:rsid w:val="00307017"/>
    <w:rsid w:val="00317F6C"/>
    <w:rsid w:val="003209F2"/>
    <w:rsid w:val="00340116"/>
    <w:rsid w:val="003401C0"/>
    <w:rsid w:val="00346D34"/>
    <w:rsid w:val="0035260B"/>
    <w:rsid w:val="00353963"/>
    <w:rsid w:val="00363DA9"/>
    <w:rsid w:val="003717C0"/>
    <w:rsid w:val="00376851"/>
    <w:rsid w:val="00377BD3"/>
    <w:rsid w:val="00384088"/>
    <w:rsid w:val="00384C71"/>
    <w:rsid w:val="0039169B"/>
    <w:rsid w:val="00397E59"/>
    <w:rsid w:val="003A2FC7"/>
    <w:rsid w:val="003A7F8C"/>
    <w:rsid w:val="003B3F7C"/>
    <w:rsid w:val="003B532E"/>
    <w:rsid w:val="003B6F14"/>
    <w:rsid w:val="003C6404"/>
    <w:rsid w:val="003D0F8B"/>
    <w:rsid w:val="003D2194"/>
    <w:rsid w:val="003D29E5"/>
    <w:rsid w:val="003D2C25"/>
    <w:rsid w:val="003D2DA6"/>
    <w:rsid w:val="003E489B"/>
    <w:rsid w:val="003F0F96"/>
    <w:rsid w:val="0041010E"/>
    <w:rsid w:val="004131D4"/>
    <w:rsid w:val="0041348E"/>
    <w:rsid w:val="0043709C"/>
    <w:rsid w:val="00444EF9"/>
    <w:rsid w:val="00447308"/>
    <w:rsid w:val="0045059F"/>
    <w:rsid w:val="004765FF"/>
    <w:rsid w:val="00492075"/>
    <w:rsid w:val="004969AD"/>
    <w:rsid w:val="004A134C"/>
    <w:rsid w:val="004A602D"/>
    <w:rsid w:val="004B1240"/>
    <w:rsid w:val="004B13CB"/>
    <w:rsid w:val="004B3144"/>
    <w:rsid w:val="004B4FDF"/>
    <w:rsid w:val="004D2C5C"/>
    <w:rsid w:val="004D4D46"/>
    <w:rsid w:val="004D5D5C"/>
    <w:rsid w:val="004D7AF5"/>
    <w:rsid w:val="004E3238"/>
    <w:rsid w:val="004F0EF4"/>
    <w:rsid w:val="0050091B"/>
    <w:rsid w:val="0050139F"/>
    <w:rsid w:val="00505597"/>
    <w:rsid w:val="00512186"/>
    <w:rsid w:val="00521223"/>
    <w:rsid w:val="005431E8"/>
    <w:rsid w:val="0055140B"/>
    <w:rsid w:val="0055559B"/>
    <w:rsid w:val="00555DB2"/>
    <w:rsid w:val="00555E25"/>
    <w:rsid w:val="0055628F"/>
    <w:rsid w:val="00560FC9"/>
    <w:rsid w:val="00565EBE"/>
    <w:rsid w:val="00584C38"/>
    <w:rsid w:val="00594304"/>
    <w:rsid w:val="00594A85"/>
    <w:rsid w:val="005964AB"/>
    <w:rsid w:val="005A06C3"/>
    <w:rsid w:val="005A4086"/>
    <w:rsid w:val="005B3126"/>
    <w:rsid w:val="005C099A"/>
    <w:rsid w:val="005C31A5"/>
    <w:rsid w:val="005D571B"/>
    <w:rsid w:val="005E10C9"/>
    <w:rsid w:val="005E154B"/>
    <w:rsid w:val="005E5E51"/>
    <w:rsid w:val="005E61DD"/>
    <w:rsid w:val="005E6321"/>
    <w:rsid w:val="006005A3"/>
    <w:rsid w:val="00601473"/>
    <w:rsid w:val="006023DF"/>
    <w:rsid w:val="00607350"/>
    <w:rsid w:val="00607A26"/>
    <w:rsid w:val="00611CCE"/>
    <w:rsid w:val="006125FC"/>
    <w:rsid w:val="006263F4"/>
    <w:rsid w:val="006443C9"/>
    <w:rsid w:val="0064625C"/>
    <w:rsid w:val="00647BF7"/>
    <w:rsid w:val="00657573"/>
    <w:rsid w:val="00657DE0"/>
    <w:rsid w:val="006610FA"/>
    <w:rsid w:val="0067199F"/>
    <w:rsid w:val="00680859"/>
    <w:rsid w:val="00683AC7"/>
    <w:rsid w:val="00685313"/>
    <w:rsid w:val="00692AE2"/>
    <w:rsid w:val="006A6E9B"/>
    <w:rsid w:val="006B7C2A"/>
    <w:rsid w:val="006C23DA"/>
    <w:rsid w:val="006D3756"/>
    <w:rsid w:val="006D38CA"/>
    <w:rsid w:val="006D4678"/>
    <w:rsid w:val="006E1BB3"/>
    <w:rsid w:val="006E3D45"/>
    <w:rsid w:val="006E4BFA"/>
    <w:rsid w:val="006E7EEB"/>
    <w:rsid w:val="006F3E19"/>
    <w:rsid w:val="0071145F"/>
    <w:rsid w:val="00712253"/>
    <w:rsid w:val="007149F9"/>
    <w:rsid w:val="00723EF0"/>
    <w:rsid w:val="00733A30"/>
    <w:rsid w:val="00741AED"/>
    <w:rsid w:val="00745AEE"/>
    <w:rsid w:val="007479EA"/>
    <w:rsid w:val="00750F10"/>
    <w:rsid w:val="00763E92"/>
    <w:rsid w:val="00764AE0"/>
    <w:rsid w:val="00766F61"/>
    <w:rsid w:val="007742CA"/>
    <w:rsid w:val="007A13CD"/>
    <w:rsid w:val="007A48F8"/>
    <w:rsid w:val="007A5D37"/>
    <w:rsid w:val="007C632F"/>
    <w:rsid w:val="007C63EE"/>
    <w:rsid w:val="007D02C6"/>
    <w:rsid w:val="007D06F0"/>
    <w:rsid w:val="007D35A2"/>
    <w:rsid w:val="007D45E3"/>
    <w:rsid w:val="007D5320"/>
    <w:rsid w:val="007E78B4"/>
    <w:rsid w:val="007F599D"/>
    <w:rsid w:val="007F6D43"/>
    <w:rsid w:val="00800972"/>
    <w:rsid w:val="008017F2"/>
    <w:rsid w:val="00804475"/>
    <w:rsid w:val="00805A54"/>
    <w:rsid w:val="0080697E"/>
    <w:rsid w:val="008113AF"/>
    <w:rsid w:val="00811633"/>
    <w:rsid w:val="00821CEF"/>
    <w:rsid w:val="00831906"/>
    <w:rsid w:val="00832828"/>
    <w:rsid w:val="00833E61"/>
    <w:rsid w:val="0083645A"/>
    <w:rsid w:val="008442E2"/>
    <w:rsid w:val="008473C5"/>
    <w:rsid w:val="0085151B"/>
    <w:rsid w:val="00851AF4"/>
    <w:rsid w:val="00864B44"/>
    <w:rsid w:val="00872FC8"/>
    <w:rsid w:val="008742DC"/>
    <w:rsid w:val="008801D3"/>
    <w:rsid w:val="008845D0"/>
    <w:rsid w:val="008934DB"/>
    <w:rsid w:val="008946ED"/>
    <w:rsid w:val="008A3A62"/>
    <w:rsid w:val="008A49F0"/>
    <w:rsid w:val="008B43F2"/>
    <w:rsid w:val="008B6CFF"/>
    <w:rsid w:val="008C042E"/>
    <w:rsid w:val="008C0776"/>
    <w:rsid w:val="008D76D2"/>
    <w:rsid w:val="008E396A"/>
    <w:rsid w:val="00900686"/>
    <w:rsid w:val="00903FFC"/>
    <w:rsid w:val="00910B26"/>
    <w:rsid w:val="00916EA7"/>
    <w:rsid w:val="00924235"/>
    <w:rsid w:val="009253AE"/>
    <w:rsid w:val="009274B4"/>
    <w:rsid w:val="00932065"/>
    <w:rsid w:val="009321D9"/>
    <w:rsid w:val="00934EA2"/>
    <w:rsid w:val="0093546F"/>
    <w:rsid w:val="009415C5"/>
    <w:rsid w:val="00944A5C"/>
    <w:rsid w:val="00950EE4"/>
    <w:rsid w:val="009521AC"/>
    <w:rsid w:val="00952A66"/>
    <w:rsid w:val="009574D6"/>
    <w:rsid w:val="00970234"/>
    <w:rsid w:val="00971196"/>
    <w:rsid w:val="00986BE7"/>
    <w:rsid w:val="00997728"/>
    <w:rsid w:val="00997CF3"/>
    <w:rsid w:val="009A37D0"/>
    <w:rsid w:val="009B3475"/>
    <w:rsid w:val="009B41AB"/>
    <w:rsid w:val="009B4C57"/>
    <w:rsid w:val="009C56E5"/>
    <w:rsid w:val="009C641B"/>
    <w:rsid w:val="009D1420"/>
    <w:rsid w:val="009D615C"/>
    <w:rsid w:val="009E4E85"/>
    <w:rsid w:val="009E5FC8"/>
    <w:rsid w:val="009E687A"/>
    <w:rsid w:val="009F558F"/>
    <w:rsid w:val="009F7326"/>
    <w:rsid w:val="00A03C5C"/>
    <w:rsid w:val="00A066F1"/>
    <w:rsid w:val="00A06EE0"/>
    <w:rsid w:val="00A141AF"/>
    <w:rsid w:val="00A15B02"/>
    <w:rsid w:val="00A16D29"/>
    <w:rsid w:val="00A20E5E"/>
    <w:rsid w:val="00A30305"/>
    <w:rsid w:val="00A31ACB"/>
    <w:rsid w:val="00A31D2D"/>
    <w:rsid w:val="00A4600A"/>
    <w:rsid w:val="00A46511"/>
    <w:rsid w:val="00A513BE"/>
    <w:rsid w:val="00A538A6"/>
    <w:rsid w:val="00A54C25"/>
    <w:rsid w:val="00A710E7"/>
    <w:rsid w:val="00A7372E"/>
    <w:rsid w:val="00A75306"/>
    <w:rsid w:val="00A824A6"/>
    <w:rsid w:val="00A93B85"/>
    <w:rsid w:val="00A978ED"/>
    <w:rsid w:val="00AA0B18"/>
    <w:rsid w:val="00AA4B2C"/>
    <w:rsid w:val="00AA666F"/>
    <w:rsid w:val="00AB3E4B"/>
    <w:rsid w:val="00AC35F7"/>
    <w:rsid w:val="00AC5B9B"/>
    <w:rsid w:val="00AD6650"/>
    <w:rsid w:val="00AE1A65"/>
    <w:rsid w:val="00AF3BD4"/>
    <w:rsid w:val="00AF5323"/>
    <w:rsid w:val="00B004E5"/>
    <w:rsid w:val="00B0215B"/>
    <w:rsid w:val="00B03303"/>
    <w:rsid w:val="00B11A3F"/>
    <w:rsid w:val="00B33CB7"/>
    <w:rsid w:val="00B60983"/>
    <w:rsid w:val="00B639E9"/>
    <w:rsid w:val="00B652BA"/>
    <w:rsid w:val="00B66F42"/>
    <w:rsid w:val="00B73328"/>
    <w:rsid w:val="00B817CD"/>
    <w:rsid w:val="00B9213D"/>
    <w:rsid w:val="00BA1A0D"/>
    <w:rsid w:val="00BA3C6B"/>
    <w:rsid w:val="00BB29C8"/>
    <w:rsid w:val="00BB3A95"/>
    <w:rsid w:val="00BC5302"/>
    <w:rsid w:val="00BC78ED"/>
    <w:rsid w:val="00BD257F"/>
    <w:rsid w:val="00BD6662"/>
    <w:rsid w:val="00BF0BF0"/>
    <w:rsid w:val="00BF20AD"/>
    <w:rsid w:val="00BF6753"/>
    <w:rsid w:val="00C0018F"/>
    <w:rsid w:val="00C00D53"/>
    <w:rsid w:val="00C06334"/>
    <w:rsid w:val="00C07B86"/>
    <w:rsid w:val="00C10A8E"/>
    <w:rsid w:val="00C20466"/>
    <w:rsid w:val="00C214ED"/>
    <w:rsid w:val="00C2187E"/>
    <w:rsid w:val="00C234E6"/>
    <w:rsid w:val="00C324A8"/>
    <w:rsid w:val="00C52050"/>
    <w:rsid w:val="00C54517"/>
    <w:rsid w:val="00C54C81"/>
    <w:rsid w:val="00C6063B"/>
    <w:rsid w:val="00C60EF9"/>
    <w:rsid w:val="00C61DF7"/>
    <w:rsid w:val="00C64CD8"/>
    <w:rsid w:val="00C7565B"/>
    <w:rsid w:val="00C820E7"/>
    <w:rsid w:val="00C9751D"/>
    <w:rsid w:val="00C97C68"/>
    <w:rsid w:val="00CA1A47"/>
    <w:rsid w:val="00CC247A"/>
    <w:rsid w:val="00CC5162"/>
    <w:rsid w:val="00CD4906"/>
    <w:rsid w:val="00CD4EB2"/>
    <w:rsid w:val="00CE5E47"/>
    <w:rsid w:val="00CE605D"/>
    <w:rsid w:val="00CE6ACC"/>
    <w:rsid w:val="00CF020F"/>
    <w:rsid w:val="00CF2B5B"/>
    <w:rsid w:val="00D03E34"/>
    <w:rsid w:val="00D06121"/>
    <w:rsid w:val="00D07F6F"/>
    <w:rsid w:val="00D13D94"/>
    <w:rsid w:val="00D14CE0"/>
    <w:rsid w:val="00D23A95"/>
    <w:rsid w:val="00D5474F"/>
    <w:rsid w:val="00D5651D"/>
    <w:rsid w:val="00D626EC"/>
    <w:rsid w:val="00D62D8E"/>
    <w:rsid w:val="00D74898"/>
    <w:rsid w:val="00D801ED"/>
    <w:rsid w:val="00D8377F"/>
    <w:rsid w:val="00D83BF5"/>
    <w:rsid w:val="00D91CE3"/>
    <w:rsid w:val="00D91E0B"/>
    <w:rsid w:val="00D925C2"/>
    <w:rsid w:val="00D936BC"/>
    <w:rsid w:val="00D94206"/>
    <w:rsid w:val="00D96530"/>
    <w:rsid w:val="00D96B4B"/>
    <w:rsid w:val="00DA7078"/>
    <w:rsid w:val="00DB286A"/>
    <w:rsid w:val="00DB3288"/>
    <w:rsid w:val="00DC11AA"/>
    <w:rsid w:val="00DD08B4"/>
    <w:rsid w:val="00DD44AF"/>
    <w:rsid w:val="00DE2AC3"/>
    <w:rsid w:val="00DE434C"/>
    <w:rsid w:val="00DE5692"/>
    <w:rsid w:val="00DE573D"/>
    <w:rsid w:val="00DF2236"/>
    <w:rsid w:val="00DF4AFD"/>
    <w:rsid w:val="00DF6F8E"/>
    <w:rsid w:val="00E01C64"/>
    <w:rsid w:val="00E03C94"/>
    <w:rsid w:val="00E05AF4"/>
    <w:rsid w:val="00E07105"/>
    <w:rsid w:val="00E26226"/>
    <w:rsid w:val="00E45D05"/>
    <w:rsid w:val="00E45DF3"/>
    <w:rsid w:val="00E52982"/>
    <w:rsid w:val="00E55816"/>
    <w:rsid w:val="00E55AEF"/>
    <w:rsid w:val="00E56545"/>
    <w:rsid w:val="00E64520"/>
    <w:rsid w:val="00E71756"/>
    <w:rsid w:val="00E73A6F"/>
    <w:rsid w:val="00E7630D"/>
    <w:rsid w:val="00E81CBA"/>
    <w:rsid w:val="00E976C1"/>
    <w:rsid w:val="00EA12E5"/>
    <w:rsid w:val="00EA34D0"/>
    <w:rsid w:val="00EA4F39"/>
    <w:rsid w:val="00EB0EDF"/>
    <w:rsid w:val="00EC0CB0"/>
    <w:rsid w:val="00EC3CED"/>
    <w:rsid w:val="00EC67EA"/>
    <w:rsid w:val="00EE54D2"/>
    <w:rsid w:val="00EF4460"/>
    <w:rsid w:val="00F02766"/>
    <w:rsid w:val="00F04067"/>
    <w:rsid w:val="00F05BD4"/>
    <w:rsid w:val="00F15B39"/>
    <w:rsid w:val="00F21A1D"/>
    <w:rsid w:val="00F27335"/>
    <w:rsid w:val="00F334A8"/>
    <w:rsid w:val="00F40A26"/>
    <w:rsid w:val="00F43327"/>
    <w:rsid w:val="00F4680D"/>
    <w:rsid w:val="00F56306"/>
    <w:rsid w:val="00F62EFF"/>
    <w:rsid w:val="00F64F56"/>
    <w:rsid w:val="00F651E5"/>
    <w:rsid w:val="00F65C19"/>
    <w:rsid w:val="00F7784C"/>
    <w:rsid w:val="00F81E87"/>
    <w:rsid w:val="00F834D4"/>
    <w:rsid w:val="00F83F38"/>
    <w:rsid w:val="00F91DAF"/>
    <w:rsid w:val="00F959FB"/>
    <w:rsid w:val="00FC65A8"/>
    <w:rsid w:val="00FD2546"/>
    <w:rsid w:val="00FD772E"/>
    <w:rsid w:val="00FE5E79"/>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E7774A"/>
  <w15:docId w15:val="{718E58E0-90DE-4BE7-B055-A9C70B98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ListParagraph"/>
    <w:next w:val="Normal"/>
    <w:link w:val="Heading1Char"/>
    <w:qFormat/>
    <w:rsid w:val="00BC78ED"/>
    <w:pPr>
      <w:numPr>
        <w:numId w:val="24"/>
      </w:numPr>
      <w:outlineLvl w:val="0"/>
    </w:pPr>
    <w:rPr>
      <w:b/>
      <w:bCs/>
      <w:sz w:val="28"/>
      <w:szCs w:val="28"/>
    </w:rPr>
  </w:style>
  <w:style w:type="paragraph" w:styleId="Heading2">
    <w:name w:val="heading 2"/>
    <w:basedOn w:val="ListParagraph"/>
    <w:next w:val="Normal"/>
    <w:qFormat/>
    <w:rsid w:val="0055628F"/>
    <w:pPr>
      <w:numPr>
        <w:ilvl w:val="1"/>
        <w:numId w:val="24"/>
      </w:numPr>
      <w:tabs>
        <w:tab w:val="clear" w:pos="1134"/>
        <w:tab w:val="left" w:pos="567"/>
      </w:tabs>
      <w:spacing w:after="120"/>
      <w:ind w:left="567" w:hanging="567"/>
      <w:outlineLvl w:val="1"/>
    </w:pPr>
    <w:rPr>
      <w:b/>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2154A6"/>
    <w:rPr>
      <w:rFonts w:asciiTheme="minorHAnsi" w:hAnsiTheme="minorHAnsi"/>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uiPriority w:val="39"/>
    <w:rsid w:val="001D058F"/>
    <w:pPr>
      <w:tabs>
        <w:tab w:val="clear" w:pos="1134"/>
        <w:tab w:val="clear" w:pos="1871"/>
        <w:tab w:val="clear" w:pos="2268"/>
      </w:tabs>
    </w:pPr>
    <w:rPr>
      <w:rFonts w:cstheme="minorHAnsi"/>
      <w:b/>
      <w:bCs/>
      <w:i/>
      <w:iCs/>
      <w:szCs w:val="24"/>
    </w:rPr>
  </w:style>
  <w:style w:type="paragraph" w:styleId="TOC2">
    <w:name w:val="toc 2"/>
    <w:basedOn w:val="TOC1"/>
    <w:uiPriority w:val="39"/>
    <w:rsid w:val="007F599D"/>
    <w:rPr>
      <w:i w:val="0"/>
      <w:iCs w:val="0"/>
      <w:sz w:val="22"/>
      <w:szCs w:val="22"/>
    </w:rPr>
  </w:style>
  <w:style w:type="paragraph" w:styleId="TOC3">
    <w:name w:val="toc 3"/>
    <w:basedOn w:val="TOC2"/>
    <w:rsid w:val="001D058F"/>
    <w:pPr>
      <w:spacing w:before="0"/>
      <w:ind w:left="480"/>
    </w:pPr>
    <w:rPr>
      <w:b w:val="0"/>
      <w:bCs w:val="0"/>
      <w:sz w:val="20"/>
      <w:szCs w:val="20"/>
    </w:rPr>
  </w:style>
  <w:style w:type="paragraph" w:styleId="TOC4">
    <w:name w:val="toc 4"/>
    <w:basedOn w:val="TOC3"/>
    <w:rsid w:val="001D058F"/>
    <w:pPr>
      <w:ind w:left="720"/>
    </w:pPr>
  </w:style>
  <w:style w:type="paragraph" w:styleId="TOC5">
    <w:name w:val="toc 5"/>
    <w:basedOn w:val="TOC4"/>
    <w:rsid w:val="001D058F"/>
    <w:pPr>
      <w:ind w:left="960"/>
    </w:pPr>
  </w:style>
  <w:style w:type="paragraph" w:styleId="TOC6">
    <w:name w:val="toc 6"/>
    <w:basedOn w:val="TOC4"/>
    <w:rsid w:val="001D058F"/>
    <w:pPr>
      <w:ind w:left="1200"/>
    </w:pPr>
  </w:style>
  <w:style w:type="paragraph" w:styleId="TOC7">
    <w:name w:val="toc 7"/>
    <w:basedOn w:val="TOC4"/>
    <w:rsid w:val="001D058F"/>
    <w:pPr>
      <w:ind w:left="1440"/>
    </w:pPr>
  </w:style>
  <w:style w:type="paragraph" w:styleId="TOC8">
    <w:name w:val="toc 8"/>
    <w:basedOn w:val="TOC4"/>
    <w:rsid w:val="001D058F"/>
    <w:pPr>
      <w:ind w:left="1680"/>
    </w:pPr>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
    <w:uiPriority w:val="99"/>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table" w:styleId="TableGrid">
    <w:name w:val="Table Grid"/>
    <w:basedOn w:val="TableNormal"/>
    <w:rsid w:val="000A2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C78ED"/>
    <w:rPr>
      <w:rFonts w:asciiTheme="minorHAnsi" w:hAnsiTheme="minorHAnsi"/>
      <w:b/>
      <w:bCs/>
      <w:sz w:val="28"/>
      <w:szCs w:val="28"/>
      <w:lang w:val="en-GB" w:eastAsia="en-US"/>
    </w:rPr>
  </w:style>
  <w:style w:type="table" w:customStyle="1" w:styleId="TableGrid1">
    <w:name w:val="Table Grid1"/>
    <w:basedOn w:val="TableNormal"/>
    <w:next w:val="TableGrid"/>
    <w:uiPriority w:val="59"/>
    <w:rsid w:val="00080DC0"/>
    <w:rPr>
      <w:rFonts w:ascii="CG Times" w:hAnsi="CG 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semiHidden/>
    <w:unhideWhenUsed/>
    <w:rsid w:val="00EA4F39"/>
    <w:rPr>
      <w:color w:val="800080" w:themeColor="followedHyperlink"/>
      <w:u w:val="single"/>
    </w:rPr>
  </w:style>
  <w:style w:type="paragraph" w:customStyle="1" w:styleId="CEOcontributionStart">
    <w:name w:val="CEO_contributionStart"/>
    <w:next w:val="Normal"/>
    <w:rsid w:val="00D62D8E"/>
    <w:pPr>
      <w:spacing w:before="360" w:after="120"/>
    </w:pPr>
    <w:rPr>
      <w:rFonts w:ascii="Verdana" w:eastAsia="SimHei" w:hAnsi="Verdana" w:cs="Simplified Arabic"/>
      <w:sz w:val="19"/>
      <w:szCs w:val="28"/>
      <w:lang w:val="en-GB" w:eastAsia="en-US"/>
    </w:rPr>
  </w:style>
  <w:style w:type="paragraph" w:customStyle="1" w:styleId="BDTNormal">
    <w:name w:val="BDT_Normal"/>
    <w:link w:val="BDTNormalChar"/>
    <w:uiPriority w:val="99"/>
    <w:rsid w:val="00A31ACB"/>
    <w:pPr>
      <w:spacing w:before="120" w:after="120"/>
    </w:pPr>
    <w:rPr>
      <w:rFonts w:ascii="Calibri" w:eastAsia="SimSun" w:hAnsi="Calibri" w:cs="Traditional Arabic"/>
      <w:sz w:val="22"/>
      <w:szCs w:val="30"/>
      <w:lang w:val="es-ES" w:eastAsia="en-US"/>
    </w:rPr>
  </w:style>
  <w:style w:type="character" w:customStyle="1" w:styleId="BDTNormalChar">
    <w:name w:val="BDT_Normal Char"/>
    <w:basedOn w:val="DefaultParagraphFont"/>
    <w:link w:val="BDTNormal"/>
    <w:uiPriority w:val="99"/>
    <w:locked/>
    <w:rsid w:val="00A31ACB"/>
    <w:rPr>
      <w:rFonts w:ascii="Calibri" w:eastAsia="SimSun" w:hAnsi="Calibri" w:cs="Traditional Arabic"/>
      <w:sz w:val="22"/>
      <w:szCs w:val="30"/>
      <w:lang w:val="es-ES" w:eastAsia="en-US"/>
    </w:rPr>
  </w:style>
  <w:style w:type="table" w:customStyle="1" w:styleId="TableGrid2">
    <w:name w:val="Table Grid2"/>
    <w:basedOn w:val="TableNormal"/>
    <w:next w:val="TableGrid"/>
    <w:locked/>
    <w:rsid w:val="00A31ACB"/>
    <w:rPr>
      <w:rFonts w:ascii="Calibri" w:eastAsia="MS Mincho" w:hAnsi="Calibri" w:cs="Calibri"/>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ONormal">
    <w:name w:val="CEO_Normal"/>
    <w:link w:val="CEONormalChar"/>
    <w:qFormat/>
    <w:rsid w:val="00565EBE"/>
    <w:rPr>
      <w:rFonts w:ascii="Verdana" w:eastAsia="SimSun" w:hAnsi="Verdana"/>
      <w:sz w:val="19"/>
      <w:szCs w:val="19"/>
      <w:lang w:val="en-GB" w:eastAsia="en-US"/>
    </w:rPr>
  </w:style>
  <w:style w:type="character" w:customStyle="1" w:styleId="CEONormalChar">
    <w:name w:val="CEO_Normal Char"/>
    <w:link w:val="CEONormal"/>
    <w:rsid w:val="00565EBE"/>
    <w:rPr>
      <w:rFonts w:ascii="Verdana" w:eastAsia="SimSun" w:hAnsi="Verdana"/>
      <w:sz w:val="19"/>
      <w:szCs w:val="19"/>
      <w:lang w:val="en-GB" w:eastAsia="en-US"/>
    </w:rPr>
  </w:style>
  <w:style w:type="paragraph" w:styleId="TOC9">
    <w:name w:val="toc 9"/>
    <w:basedOn w:val="Normal"/>
    <w:next w:val="Normal"/>
    <w:autoRedefine/>
    <w:unhideWhenUsed/>
    <w:rsid w:val="00027B40"/>
    <w:pPr>
      <w:tabs>
        <w:tab w:val="clear" w:pos="1134"/>
        <w:tab w:val="clear" w:pos="1871"/>
        <w:tab w:val="clear" w:pos="2268"/>
      </w:tabs>
      <w:spacing w:before="0"/>
      <w:ind w:left="1920"/>
    </w:pPr>
    <w:rPr>
      <w:rFonts w:cstheme="minorHAnsi"/>
      <w:sz w:val="20"/>
    </w:rPr>
  </w:style>
  <w:style w:type="paragraph" w:styleId="Revision">
    <w:name w:val="Revision"/>
    <w:hidden/>
    <w:uiPriority w:val="99"/>
    <w:semiHidden/>
    <w:rsid w:val="00127F16"/>
    <w:rPr>
      <w:rFonts w:asciiTheme="minorHAnsi" w:hAnsiTheme="minorHAnsi"/>
      <w:sz w:val="24"/>
      <w:lang w:val="en-GB" w:eastAsia="en-US"/>
    </w:rPr>
  </w:style>
  <w:style w:type="paragraph" w:customStyle="1" w:styleId="Default">
    <w:name w:val="Default"/>
    <w:rsid w:val="000D6D4F"/>
    <w:pPr>
      <w:autoSpaceDE w:val="0"/>
      <w:autoSpaceDN w:val="0"/>
      <w:adjustRightInd w:val="0"/>
    </w:pPr>
    <w:rPr>
      <w:rFonts w:ascii="Calibri" w:eastAsiaTheme="minorEastAsia" w:hAnsi="Calibri" w:cs="Calibri"/>
      <w:color w:val="000000"/>
      <w:sz w:val="24"/>
      <w:szCs w:val="24"/>
    </w:rPr>
  </w:style>
  <w:style w:type="paragraph" w:styleId="PlainText">
    <w:name w:val="Plain Text"/>
    <w:basedOn w:val="Normal"/>
    <w:link w:val="PlainTextChar"/>
    <w:uiPriority w:val="99"/>
    <w:unhideWhenUsed/>
    <w:rsid w:val="002F10B6"/>
    <w:pPr>
      <w:tabs>
        <w:tab w:val="clear" w:pos="1134"/>
        <w:tab w:val="clear" w:pos="1871"/>
        <w:tab w:val="clear" w:pos="2268"/>
      </w:tabs>
      <w:overflowPunct/>
      <w:autoSpaceDE/>
      <w:autoSpaceDN/>
      <w:adjustRightInd/>
      <w:spacing w:before="0"/>
      <w:textAlignment w:val="auto"/>
    </w:pPr>
    <w:rPr>
      <w:rFonts w:ascii="Calibri" w:eastAsia="SimSun" w:hAnsi="Calibri" w:cs="Arial"/>
      <w:sz w:val="22"/>
      <w:szCs w:val="21"/>
      <w:lang w:val="en-US" w:eastAsia="zh-CN"/>
    </w:rPr>
  </w:style>
  <w:style w:type="character" w:customStyle="1" w:styleId="PlainTextChar">
    <w:name w:val="Plain Text Char"/>
    <w:basedOn w:val="DefaultParagraphFont"/>
    <w:link w:val="PlainText"/>
    <w:uiPriority w:val="99"/>
    <w:rsid w:val="002F10B6"/>
    <w:rPr>
      <w:rFonts w:ascii="Calibri" w:eastAsia="SimSun" w:hAnsi="Calibri" w:cs="Arial"/>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393352478">
      <w:bodyDiv w:val="1"/>
      <w:marLeft w:val="0"/>
      <w:marRight w:val="0"/>
      <w:marTop w:val="0"/>
      <w:marBottom w:val="0"/>
      <w:divBdr>
        <w:top w:val="none" w:sz="0" w:space="0" w:color="auto"/>
        <w:left w:val="none" w:sz="0" w:space="0" w:color="auto"/>
        <w:bottom w:val="none" w:sz="0" w:space="0" w:color="auto"/>
        <w:right w:val="none" w:sz="0" w:space="0" w:color="auto"/>
      </w:divBdr>
    </w:div>
    <w:div w:id="577247862">
      <w:bodyDiv w:val="1"/>
      <w:marLeft w:val="0"/>
      <w:marRight w:val="0"/>
      <w:marTop w:val="0"/>
      <w:marBottom w:val="0"/>
      <w:divBdr>
        <w:top w:val="none" w:sz="0" w:space="0" w:color="auto"/>
        <w:left w:val="none" w:sz="0" w:space="0" w:color="auto"/>
        <w:bottom w:val="none" w:sz="0" w:space="0" w:color="auto"/>
        <w:right w:val="none" w:sz="0" w:space="0" w:color="auto"/>
      </w:divBdr>
    </w:div>
    <w:div w:id="862137550">
      <w:bodyDiv w:val="1"/>
      <w:marLeft w:val="0"/>
      <w:marRight w:val="0"/>
      <w:marTop w:val="0"/>
      <w:marBottom w:val="0"/>
      <w:divBdr>
        <w:top w:val="none" w:sz="0" w:space="0" w:color="auto"/>
        <w:left w:val="none" w:sz="0" w:space="0" w:color="auto"/>
        <w:bottom w:val="none" w:sz="0" w:space="0" w:color="auto"/>
        <w:right w:val="none" w:sz="0" w:space="0" w:color="auto"/>
      </w:divBdr>
    </w:div>
    <w:div w:id="1116826321">
      <w:bodyDiv w:val="1"/>
      <w:marLeft w:val="0"/>
      <w:marRight w:val="0"/>
      <w:marTop w:val="0"/>
      <w:marBottom w:val="0"/>
      <w:divBdr>
        <w:top w:val="none" w:sz="0" w:space="0" w:color="auto"/>
        <w:left w:val="none" w:sz="0" w:space="0" w:color="auto"/>
        <w:bottom w:val="none" w:sz="0" w:space="0" w:color="auto"/>
        <w:right w:val="none" w:sz="0" w:space="0" w:color="auto"/>
      </w:divBdr>
    </w:div>
    <w:div w:id="1129859751">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267926105">
      <w:bodyDiv w:val="1"/>
      <w:marLeft w:val="0"/>
      <w:marRight w:val="0"/>
      <w:marTop w:val="0"/>
      <w:marBottom w:val="0"/>
      <w:divBdr>
        <w:top w:val="none" w:sz="0" w:space="0" w:color="auto"/>
        <w:left w:val="none" w:sz="0" w:space="0" w:color="auto"/>
        <w:bottom w:val="none" w:sz="0" w:space="0" w:color="auto"/>
        <w:right w:val="none" w:sz="0" w:space="0" w:color="auto"/>
      </w:divBdr>
    </w:div>
    <w:div w:id="1528569016">
      <w:bodyDiv w:val="1"/>
      <w:marLeft w:val="0"/>
      <w:marRight w:val="0"/>
      <w:marTop w:val="0"/>
      <w:marBottom w:val="0"/>
      <w:divBdr>
        <w:top w:val="none" w:sz="0" w:space="0" w:color="auto"/>
        <w:left w:val="none" w:sz="0" w:space="0" w:color="auto"/>
        <w:bottom w:val="none" w:sz="0" w:space="0" w:color="auto"/>
        <w:right w:val="none" w:sz="0" w:space="0" w:color="auto"/>
      </w:divBdr>
    </w:div>
    <w:div w:id="1841506804">
      <w:bodyDiv w:val="1"/>
      <w:marLeft w:val="0"/>
      <w:marRight w:val="0"/>
      <w:marTop w:val="0"/>
      <w:marBottom w:val="0"/>
      <w:divBdr>
        <w:top w:val="none" w:sz="0" w:space="0" w:color="auto"/>
        <w:left w:val="none" w:sz="0" w:space="0" w:color="auto"/>
        <w:bottom w:val="none" w:sz="0" w:space="0" w:color="auto"/>
        <w:right w:val="none" w:sz="0" w:space="0" w:color="auto"/>
      </w:divBdr>
    </w:div>
    <w:div w:id="1847204769">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 w:id="196261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26" Type="http://schemas.openxmlformats.org/officeDocument/2006/relationships/chart" Target="charts/chart1.xml"/><Relationship Id="rId39" Type="http://schemas.openxmlformats.org/officeDocument/2006/relationships/hyperlink" Target="https://www.itu.int/md/D14-TDAG22-C-0016/" TargetMode="External"/><Relationship Id="rId3" Type="http://schemas.openxmlformats.org/officeDocument/2006/relationships/customXml" Target="../customXml/item3.xml"/><Relationship Id="rId21" Type="http://schemas.openxmlformats.org/officeDocument/2006/relationships/hyperlink" Target="http://www.itu.int/ITU-D/tdag/" TargetMode="External"/><Relationship Id="rId34" Type="http://schemas.openxmlformats.org/officeDocument/2006/relationships/chart" Target="charts/chart3.xml"/><Relationship Id="rId42" Type="http://schemas.openxmlformats.org/officeDocument/2006/relationships/hyperlink" Target="https://www.itu.int/en/ITU-D/Projects/Pages/Portfolio.aspx"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itu.int/md/D14-TDAG22-C-0076/en" TargetMode="External"/><Relationship Id="rId25" Type="http://schemas.openxmlformats.org/officeDocument/2006/relationships/image" Target="media/image4.png"/><Relationship Id="rId33" Type="http://schemas.openxmlformats.org/officeDocument/2006/relationships/image" Target="media/image8.png"/><Relationship Id="rId38" Type="http://schemas.openxmlformats.org/officeDocument/2006/relationships/chart" Target="charts/chart4.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tu.int/md/D14-TDAG21-C-0043/en" TargetMode="External"/><Relationship Id="rId20" Type="http://schemas.openxmlformats.org/officeDocument/2006/relationships/footer" Target="footer2.xml"/><Relationship Id="rId29" Type="http://schemas.openxmlformats.org/officeDocument/2006/relationships/image" Target="media/image6.png"/><Relationship Id="rId41" Type="http://schemas.openxmlformats.org/officeDocument/2006/relationships/hyperlink" Target="https://www.itu.int/md/D14-TDAG22-C-0016/"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image" Target="media/image7.png"/><Relationship Id="rId37" Type="http://schemas.openxmlformats.org/officeDocument/2006/relationships/image" Target="media/image10.png"/><Relationship Id="rId40" Type="http://schemas.openxmlformats.org/officeDocument/2006/relationships/hyperlink" Target="https://www.itu.int/md/D14-TDAG22-C-0069/"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itu.int/md/D14-TDAG20-C-0032/en" TargetMode="External"/><Relationship Id="rId23" Type="http://schemas.openxmlformats.org/officeDocument/2006/relationships/hyperlink" Target="https://www.itu.int/md/D14-TDAG19-C-0026/en" TargetMode="External"/><Relationship Id="rId28" Type="http://schemas.openxmlformats.org/officeDocument/2006/relationships/image" Target="media/image5.png"/><Relationship Id="rId36" Type="http://schemas.openxmlformats.org/officeDocument/2006/relationships/image" Target="media/image9.png"/><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yperlink" Target="https://www.itu.int/md/D14-TDAG21-C-0043/en" TargetMode="External"/><Relationship Id="rId44" Type="http://schemas.openxmlformats.org/officeDocument/2006/relationships/hyperlink" Target="https://www.itu.int/md/D14-TDAG22-C-002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md/D14-TDAG19-C-0026/en" TargetMode="External"/><Relationship Id="rId22" Type="http://schemas.openxmlformats.org/officeDocument/2006/relationships/hyperlink" Target="http://www.itu.int/ITU-D/tdag/" TargetMode="External"/><Relationship Id="rId27" Type="http://schemas.openxmlformats.org/officeDocument/2006/relationships/hyperlink" Target="https://www.itu.int/md/D14-TDAG20-C-0032/en" TargetMode="External"/><Relationship Id="rId30" Type="http://schemas.openxmlformats.org/officeDocument/2006/relationships/chart" Target="charts/chart2.xml"/><Relationship Id="rId35" Type="http://schemas.openxmlformats.org/officeDocument/2006/relationships/hyperlink" Target="https://www.itu.int/md/D14-TDAG22-C-0073/en" TargetMode="External"/><Relationship Id="rId43" Type="http://schemas.openxmlformats.org/officeDocument/2006/relationships/hyperlink" Target="https://www.itu.int/en/ITU-D/Projects/Pages/figures.asp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tu.int/ITU-D/TDAG"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cabra_000\Dropbox\_work\itu\meetings\3%20statutory%20meetings\tdag\2017\20170504%20report\documents_v8.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abra_000\Dropbox\_work\itu\meetings\3%20statutory%20meetings\tdag\2017\20170504%20report\documents_v8.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cabra_000\Dropbox\_work\itu\meetings\3%20statutory%20meetings\tdag\2017\20170504%20report\documents_v8.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Users\Cabral\Documents\Dropbox\_work\itu\meetings\3%20statutory%20meetings\tdag\2017\20170511%20dt9\20170526%20include%202017%20tdag\documents_v8.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1265160973367166E-2"/>
          <c:y val="2.0507799219398226E-3"/>
          <c:w val="0.41242138378953347"/>
          <c:h val="0.77774196619204983"/>
        </c:manualLayout>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tx>
                <c:rich>
                  <a:bodyPr/>
                  <a:lstStyle/>
                  <a:p>
                    <a:fld id="{0E521E84-D2FA-47DC-B8F8-80A1E69D0C9D}" type="CELLREF">
                      <a:rPr lang="en-US"/>
                      <a:pPr/>
                      <a:t>[CELLREF]</a:t>
                    </a:fld>
                    <a:endParaRPr lang="en-GB"/>
                  </a:p>
                </c:rich>
              </c:tx>
              <c:dLblPos val="bestFit"/>
              <c:showLegendKey val="0"/>
              <c:showVal val="1"/>
              <c:showCatName val="0"/>
              <c:showSerName val="0"/>
              <c:showPercent val="0"/>
              <c:showBubbleSize val="0"/>
              <c:extLst>
                <c:ext xmlns:c15="http://schemas.microsoft.com/office/drawing/2012/chart" uri="{CE6537A1-D6FC-4f65-9D91-7224C49458BB}">
                  <c15:layout/>
                  <c15:dlblFieldTable>
                    <c15:dlblFTEntry>
                      <c15:txfldGUID>{0E521E84-D2FA-47DC-B8F8-80A1E69D0C9D}</c15:txfldGUID>
                      <c15:f>'[documents_v8.xlsx]2014'!$C$2</c15:f>
                      <c15:dlblFieldTableCache>
                        <c:ptCount val="1"/>
                        <c:pt idx="0">
                          <c:v>63%</c:v>
                        </c:pt>
                      </c15:dlblFieldTableCache>
                    </c15:dlblFTEntry>
                  </c15:dlblFieldTable>
                  <c15:showDataLabelsRange val="0"/>
                </c:ext>
              </c:extLst>
            </c:dLbl>
            <c:dLbl>
              <c:idx val="1"/>
              <c:layout/>
              <c:tx>
                <c:rich>
                  <a:bodyPr/>
                  <a:lstStyle/>
                  <a:p>
                    <a:fld id="{4FD67DB6-8532-4FDA-AB76-1AE3FC33B329}" type="CELLREF">
                      <a:rPr lang="en-US"/>
                      <a:pPr/>
                      <a:t>[CELLREF]</a:t>
                    </a:fld>
                    <a:endParaRPr lang="en-GB"/>
                  </a:p>
                </c:rich>
              </c:tx>
              <c:dLblPos val="bestFit"/>
              <c:showLegendKey val="0"/>
              <c:showVal val="1"/>
              <c:showCatName val="0"/>
              <c:showSerName val="0"/>
              <c:showPercent val="0"/>
              <c:showBubbleSize val="0"/>
              <c:extLst>
                <c:ext xmlns:c15="http://schemas.microsoft.com/office/drawing/2012/chart" uri="{CE6537A1-D6FC-4f65-9D91-7224C49458BB}">
                  <c15:layout/>
                  <c15:dlblFieldTable>
                    <c15:dlblFTEntry>
                      <c15:txfldGUID>{4FD67DB6-8532-4FDA-AB76-1AE3FC33B329}</c15:txfldGUID>
                      <c15:f>'[documents_v8.xlsx]2014'!$C$3</c15:f>
                      <c15:dlblFieldTableCache>
                        <c:ptCount val="1"/>
                        <c:pt idx="0">
                          <c:v>22%</c:v>
                        </c:pt>
                      </c15:dlblFieldTableCache>
                    </c15:dlblFTEntry>
                  </c15:dlblFieldTable>
                  <c15:showDataLabelsRange val="0"/>
                </c:ext>
              </c:extLst>
            </c:dLbl>
            <c:dLbl>
              <c:idx val="2"/>
              <c:layout/>
              <c:tx>
                <c:rich>
                  <a:bodyPr/>
                  <a:lstStyle/>
                  <a:p>
                    <a:fld id="{B26B53C3-F4EF-4276-A66D-F26A237F461A}" type="CELLREF">
                      <a:rPr lang="en-US"/>
                      <a:pPr/>
                      <a:t>[CELLREF]</a:t>
                    </a:fld>
                    <a:endParaRPr lang="en-GB"/>
                  </a:p>
                </c:rich>
              </c:tx>
              <c:dLblPos val="bestFit"/>
              <c:showLegendKey val="0"/>
              <c:showVal val="1"/>
              <c:showCatName val="0"/>
              <c:showSerName val="0"/>
              <c:showPercent val="0"/>
              <c:showBubbleSize val="0"/>
              <c:extLst>
                <c:ext xmlns:c15="http://schemas.microsoft.com/office/drawing/2012/chart" uri="{CE6537A1-D6FC-4f65-9D91-7224C49458BB}">
                  <c15:layout/>
                  <c15:dlblFieldTable>
                    <c15:dlblFTEntry>
                      <c15:txfldGUID>{B26B53C3-F4EF-4276-A66D-F26A237F461A}</c15:txfldGUID>
                      <c15:f>'[documents_v8.xlsx]2014'!$C$4</c15:f>
                      <c15:dlblFieldTableCache>
                        <c:ptCount val="1"/>
                        <c:pt idx="0">
                          <c:v>10%</c:v>
                        </c:pt>
                      </c15:dlblFieldTableCache>
                    </c15:dlblFTEntry>
                  </c15:dlblFieldTable>
                  <c15:showDataLabelsRange val="0"/>
                </c:ext>
              </c:extLst>
            </c:dLbl>
            <c:dLbl>
              <c:idx val="3"/>
              <c:layout/>
              <c:tx>
                <c:rich>
                  <a:bodyPr/>
                  <a:lstStyle/>
                  <a:p>
                    <a:fld id="{5C59DB73-999B-4B2D-9E8C-02A4FC268269}" type="CELLREF">
                      <a:rPr lang="en-US"/>
                      <a:pPr/>
                      <a:t>[CELLREF]</a:t>
                    </a:fld>
                    <a:endParaRPr lang="en-GB"/>
                  </a:p>
                </c:rich>
              </c:tx>
              <c:dLblPos val="bestFit"/>
              <c:showLegendKey val="0"/>
              <c:showVal val="1"/>
              <c:showCatName val="0"/>
              <c:showSerName val="0"/>
              <c:showPercent val="0"/>
              <c:showBubbleSize val="0"/>
              <c:extLst>
                <c:ext xmlns:c15="http://schemas.microsoft.com/office/drawing/2012/chart" uri="{CE6537A1-D6FC-4f65-9D91-7224C49458BB}">
                  <c15:layout/>
                  <c15:dlblFieldTable>
                    <c15:dlblFTEntry>
                      <c15:txfldGUID>{5C59DB73-999B-4B2D-9E8C-02A4FC268269}</c15:txfldGUID>
                      <c15:f>'[documents_v8.xlsx]2014'!$C$5</c15:f>
                      <c15:dlblFieldTableCache>
                        <c:ptCount val="1"/>
                        <c:pt idx="0">
                          <c:v>4%</c:v>
                        </c:pt>
                      </c15:dlblFieldTableCache>
                    </c15:dlblFTEntry>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'2014'!$A$2:$A$5</c:f>
              <c:strCache>
                <c:ptCount val="4"/>
                <c:pt idx="0">
                  <c:v>Contributions</c:v>
                </c:pt>
                <c:pt idx="1">
                  <c:v>Information documents</c:v>
                </c:pt>
                <c:pt idx="2">
                  <c:v>Temporary documents</c:v>
                </c:pt>
                <c:pt idx="3">
                  <c:v>Administrative documents</c:v>
                </c:pt>
              </c:strCache>
            </c:strRef>
          </c:cat>
          <c:val>
            <c:numRef>
              <c:f>'2014'!$B$2:$B$5</c:f>
              <c:numCache>
                <c:formatCode>General</c:formatCode>
                <c:ptCount val="4"/>
                <c:pt idx="0">
                  <c:v>31</c:v>
                </c:pt>
                <c:pt idx="1">
                  <c:v>11</c:v>
                </c:pt>
                <c:pt idx="2">
                  <c:v>5</c:v>
                </c:pt>
                <c:pt idx="3">
                  <c:v>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47918276099860718"/>
          <c:y val="0.25064664844355594"/>
          <c:w val="0.2575087100946955"/>
          <c:h val="0.2914528171025254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5865659019204252E-2"/>
          <c:y val="6.5404526622564192E-4"/>
          <c:w val="0.45346993469857466"/>
          <c:h val="0.87975756122777704"/>
        </c:manualLayout>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tx>
                <c:rich>
                  <a:bodyPr/>
                  <a:lstStyle/>
                  <a:p>
                    <a:fld id="{218BB769-1308-4C08-8622-BF22E99DD10E}" type="CELLREF">
                      <a:rPr lang="en-US"/>
                      <a:pPr/>
                      <a:t>[CELLREF]</a:t>
                    </a:fld>
                    <a:endParaRPr lang="en-GB"/>
                  </a:p>
                </c:rich>
              </c:tx>
              <c:dLblPos val="bestFit"/>
              <c:showLegendKey val="0"/>
              <c:showVal val="1"/>
              <c:showCatName val="0"/>
              <c:showSerName val="0"/>
              <c:showPercent val="0"/>
              <c:showBubbleSize val="0"/>
              <c:extLst>
                <c:ext xmlns:c15="http://schemas.microsoft.com/office/drawing/2012/chart" uri="{CE6537A1-D6FC-4f65-9D91-7224C49458BB}">
                  <c15:layout/>
                  <c15:dlblFieldTable>
                    <c15:dlblFTEntry>
                      <c15:txfldGUID>{218BB769-1308-4C08-8622-BF22E99DD10E}</c15:txfldGUID>
                      <c15:f>'[documents_v8.xlsx]2015'!$C$2</c15:f>
                      <c15:dlblFieldTableCache>
                        <c:ptCount val="1"/>
                        <c:pt idx="0">
                          <c:v>72%</c:v>
                        </c:pt>
                      </c15:dlblFieldTableCache>
                    </c15:dlblFTEntry>
                  </c15:dlblFieldTable>
                  <c15:showDataLabelsRange val="0"/>
                </c:ext>
              </c:extLst>
            </c:dLbl>
            <c:dLbl>
              <c:idx val="1"/>
              <c:layout/>
              <c:tx>
                <c:rich>
                  <a:bodyPr/>
                  <a:lstStyle/>
                  <a:p>
                    <a:fld id="{07064097-33DB-48DF-B23D-ED4F0FA07715}" type="CELLREF">
                      <a:rPr lang="en-US"/>
                      <a:pPr/>
                      <a:t>[CELLREF]</a:t>
                    </a:fld>
                    <a:endParaRPr lang="en-GB"/>
                  </a:p>
                </c:rich>
              </c:tx>
              <c:dLblPos val="bestFit"/>
              <c:showLegendKey val="0"/>
              <c:showVal val="1"/>
              <c:showCatName val="0"/>
              <c:showSerName val="0"/>
              <c:showPercent val="0"/>
              <c:showBubbleSize val="0"/>
              <c:extLst>
                <c:ext xmlns:c15="http://schemas.microsoft.com/office/drawing/2012/chart" uri="{CE6537A1-D6FC-4f65-9D91-7224C49458BB}">
                  <c15:layout/>
                  <c15:dlblFieldTable>
                    <c15:dlblFTEntry>
                      <c15:txfldGUID>{07064097-33DB-48DF-B23D-ED4F0FA07715}</c15:txfldGUID>
                      <c15:f>'[documents_v8.xlsx]2015'!$C$3</c15:f>
                      <c15:dlblFieldTableCache>
                        <c:ptCount val="1"/>
                        <c:pt idx="0">
                          <c:v>19%</c:v>
                        </c:pt>
                      </c15:dlblFieldTableCache>
                    </c15:dlblFTEntry>
                  </c15:dlblFieldTable>
                  <c15:showDataLabelsRange val="0"/>
                </c:ext>
              </c:extLst>
            </c:dLbl>
            <c:dLbl>
              <c:idx val="2"/>
              <c:layout/>
              <c:tx>
                <c:rich>
                  <a:bodyPr/>
                  <a:lstStyle/>
                  <a:p>
                    <a:fld id="{8A7C307A-010B-42A3-AE22-48A2667BE49D}" type="CELLREF">
                      <a:rPr lang="en-US"/>
                      <a:pPr/>
                      <a:t>[CELLREF]</a:t>
                    </a:fld>
                    <a:endParaRPr lang="en-GB"/>
                  </a:p>
                </c:rich>
              </c:tx>
              <c:dLblPos val="bestFit"/>
              <c:showLegendKey val="0"/>
              <c:showVal val="1"/>
              <c:showCatName val="0"/>
              <c:showSerName val="0"/>
              <c:showPercent val="0"/>
              <c:showBubbleSize val="0"/>
              <c:extLst>
                <c:ext xmlns:c15="http://schemas.microsoft.com/office/drawing/2012/chart" uri="{CE6537A1-D6FC-4f65-9D91-7224C49458BB}">
                  <c15:layout/>
                  <c15:dlblFieldTable>
                    <c15:dlblFTEntry>
                      <c15:txfldGUID>{8A7C307A-010B-42A3-AE22-48A2667BE49D}</c15:txfldGUID>
                      <c15:f>'[documents_v8.xlsx]2015'!$C$4</c15:f>
                      <c15:dlblFieldTableCache>
                        <c:ptCount val="1"/>
                        <c:pt idx="0">
                          <c:v>4%</c:v>
                        </c:pt>
                      </c15:dlblFieldTableCache>
                    </c15:dlblFTEntry>
                  </c15:dlblFieldTable>
                  <c15:showDataLabelsRange val="0"/>
                </c:ext>
              </c:extLst>
            </c:dLbl>
            <c:dLbl>
              <c:idx val="3"/>
              <c:layout/>
              <c:tx>
                <c:rich>
                  <a:bodyPr/>
                  <a:lstStyle/>
                  <a:p>
                    <a:fld id="{68448D5C-4A16-4D3E-8273-C300CE7D9E1D}" type="CELLREF">
                      <a:rPr lang="en-US"/>
                      <a:pPr/>
                      <a:t>[CELLREF]</a:t>
                    </a:fld>
                    <a:endParaRPr lang="en-GB"/>
                  </a:p>
                </c:rich>
              </c:tx>
              <c:showLegendKey val="0"/>
              <c:showVal val="1"/>
              <c:showCatName val="0"/>
              <c:showSerName val="0"/>
              <c:showPercent val="0"/>
              <c:showBubbleSize val="0"/>
              <c:extLst>
                <c:ext xmlns:c15="http://schemas.microsoft.com/office/drawing/2012/chart" uri="{CE6537A1-D6FC-4f65-9D91-7224C49458BB}">
                  <c15:layout/>
                  <c15:dlblFieldTable>
                    <c15:dlblFTEntry>
                      <c15:txfldGUID>{68448D5C-4A16-4D3E-8273-C300CE7D9E1D}</c15:txfldGUID>
                      <c15:f>'[documents_v8.xlsx]2015'!$C$5</c15:f>
                      <c15:dlblFieldTableCache>
                        <c:ptCount val="1"/>
                        <c:pt idx="0">
                          <c:v>4%</c:v>
                        </c:pt>
                      </c15:dlblFieldTableCache>
                    </c15:dlblFTEntry>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'2015'!$A$2:$A$5</c:f>
              <c:strCache>
                <c:ptCount val="4"/>
                <c:pt idx="0">
                  <c:v>Contributions</c:v>
                </c:pt>
                <c:pt idx="1">
                  <c:v>Information documents</c:v>
                </c:pt>
                <c:pt idx="2">
                  <c:v>Temporary documents</c:v>
                </c:pt>
                <c:pt idx="3">
                  <c:v>Administrative documents</c:v>
                </c:pt>
              </c:strCache>
            </c:strRef>
          </c:cat>
          <c:val>
            <c:numRef>
              <c:f>'2015'!$B$2:$B$5</c:f>
              <c:numCache>
                <c:formatCode>General</c:formatCode>
                <c:ptCount val="4"/>
                <c:pt idx="0">
                  <c:v>34</c:v>
                </c:pt>
                <c:pt idx="1">
                  <c:v>9</c:v>
                </c:pt>
                <c:pt idx="2">
                  <c:v>2</c:v>
                </c:pt>
                <c:pt idx="3">
                  <c:v>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57462744204546767"/>
          <c:y val="0.25856214928414634"/>
          <c:w val="0.27578942896973579"/>
          <c:h val="0.3211249878256178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2007355286721407E-2"/>
          <c:y val="1.4954965161728884E-4"/>
          <c:w val="0.46661450288791478"/>
          <c:h val="0.9087233520270398"/>
        </c:manualLayout>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tx>
                <c:rich>
                  <a:bodyPr/>
                  <a:lstStyle/>
                  <a:p>
                    <a:fld id="{10E6E78A-E4A3-4091-9CB3-E41DAFC5A29C}" type="CELLREF">
                      <a:rPr lang="en-US"/>
                      <a:pPr/>
                      <a:t>[CELLREF]</a:t>
                    </a:fld>
                    <a:endParaRPr lang="en-GB"/>
                  </a:p>
                </c:rich>
              </c:tx>
              <c:dLblPos val="bestFit"/>
              <c:showLegendKey val="0"/>
              <c:showVal val="1"/>
              <c:showCatName val="0"/>
              <c:showSerName val="0"/>
              <c:showPercent val="0"/>
              <c:showBubbleSize val="0"/>
              <c:extLst>
                <c:ext xmlns:c15="http://schemas.microsoft.com/office/drawing/2012/chart" uri="{CE6537A1-D6FC-4f65-9D91-7224C49458BB}">
                  <c15:layout/>
                  <c15:dlblFieldTable>
                    <c15:dlblFTEntry>
                      <c15:txfldGUID>{10E6E78A-E4A3-4091-9CB3-E41DAFC5A29C}</c15:txfldGUID>
                      <c15:f>'[documents_v8.xlsx]2016'!$C$2</c15:f>
                      <c15:dlblFieldTableCache>
                        <c:ptCount val="1"/>
                        <c:pt idx="0">
                          <c:v>79%</c:v>
                        </c:pt>
                      </c15:dlblFieldTableCache>
                    </c15:dlblFTEntry>
                  </c15:dlblFieldTable>
                  <c15:showDataLabelsRange val="0"/>
                </c:ext>
              </c:extLst>
            </c:dLbl>
            <c:dLbl>
              <c:idx val="1"/>
              <c:layout/>
              <c:tx>
                <c:rich>
                  <a:bodyPr/>
                  <a:lstStyle/>
                  <a:p>
                    <a:fld id="{1B1C8C77-E2B3-4614-8253-157E2ECEFD01}" type="CELLREF">
                      <a:rPr lang="en-US"/>
                      <a:pPr/>
                      <a:t>[CELLREF]</a:t>
                    </a:fld>
                    <a:endParaRPr lang="en-GB"/>
                  </a:p>
                </c:rich>
              </c:tx>
              <c:dLblPos val="bestFit"/>
              <c:showLegendKey val="0"/>
              <c:showVal val="1"/>
              <c:showCatName val="0"/>
              <c:showSerName val="0"/>
              <c:showPercent val="0"/>
              <c:showBubbleSize val="0"/>
              <c:extLst>
                <c:ext xmlns:c15="http://schemas.microsoft.com/office/drawing/2012/chart" uri="{CE6537A1-D6FC-4f65-9D91-7224C49458BB}">
                  <c15:layout/>
                  <c15:dlblFieldTable>
                    <c15:dlblFTEntry>
                      <c15:txfldGUID>{1B1C8C77-E2B3-4614-8253-157E2ECEFD01}</c15:txfldGUID>
                      <c15:f>'[documents_v8.xlsx]2016'!$C$3</c15:f>
                      <c15:dlblFieldTableCache>
                        <c:ptCount val="1"/>
                        <c:pt idx="0">
                          <c:v>12%</c:v>
                        </c:pt>
                      </c15:dlblFieldTableCache>
                    </c15:dlblFTEntry>
                  </c15:dlblFieldTable>
                  <c15:showDataLabelsRange val="0"/>
                </c:ext>
              </c:extLst>
            </c:dLbl>
            <c:dLbl>
              <c:idx val="2"/>
              <c:layout/>
              <c:tx>
                <c:rich>
                  <a:bodyPr/>
                  <a:lstStyle/>
                  <a:p>
                    <a:fld id="{781FFA65-E8BB-41E9-A50A-D3A83DA44CB3}" type="CELLREF">
                      <a:rPr lang="en-US"/>
                      <a:pPr/>
                      <a:t>[CELLREF]</a:t>
                    </a:fld>
                    <a:endParaRPr lang="en-GB"/>
                  </a:p>
                </c:rich>
              </c:tx>
              <c:dLblPos val="bestFit"/>
              <c:showLegendKey val="0"/>
              <c:showVal val="1"/>
              <c:showCatName val="0"/>
              <c:showSerName val="0"/>
              <c:showPercent val="0"/>
              <c:showBubbleSize val="0"/>
              <c:extLst>
                <c:ext xmlns:c15="http://schemas.microsoft.com/office/drawing/2012/chart" uri="{CE6537A1-D6FC-4f65-9D91-7224C49458BB}">
                  <c15:layout/>
                  <c15:dlblFieldTable>
                    <c15:dlblFTEntry>
                      <c15:txfldGUID>{781FFA65-E8BB-41E9-A50A-D3A83DA44CB3}</c15:txfldGUID>
                      <c15:f>'[documents_v8.xlsx]2016'!$C$4</c15:f>
                      <c15:dlblFieldTableCache>
                        <c:ptCount val="1"/>
                        <c:pt idx="0">
                          <c:v>5%</c:v>
                        </c:pt>
                      </c15:dlblFieldTableCache>
                    </c15:dlblFTEntry>
                  </c15:dlblFieldTable>
                  <c15:showDataLabelsRange val="0"/>
                </c:ext>
              </c:extLst>
            </c:dLbl>
            <c:dLbl>
              <c:idx val="3"/>
              <c:layout/>
              <c:tx>
                <c:rich>
                  <a:bodyPr/>
                  <a:lstStyle/>
                  <a:p>
                    <a:fld id="{79722D31-55A4-4C9B-940D-6032D4727E39}" type="CELLREF">
                      <a:rPr lang="en-US"/>
                      <a:pPr/>
                      <a:t>[CELLREF]</a:t>
                    </a:fld>
                    <a:endParaRPr lang="en-GB"/>
                  </a:p>
                </c:rich>
              </c:tx>
              <c:showLegendKey val="0"/>
              <c:showVal val="1"/>
              <c:showCatName val="0"/>
              <c:showSerName val="0"/>
              <c:showPercent val="0"/>
              <c:showBubbleSize val="0"/>
              <c:extLst>
                <c:ext xmlns:c15="http://schemas.microsoft.com/office/drawing/2012/chart" uri="{CE6537A1-D6FC-4f65-9D91-7224C49458BB}">
                  <c15:layout/>
                  <c15:dlblFieldTable>
                    <c15:dlblFTEntry>
                      <c15:txfldGUID>{79722D31-55A4-4C9B-940D-6032D4727E39}</c15:txfldGUID>
                      <c15:f>'[documents_v8.xlsx]2016'!$C$5</c15:f>
                      <c15:dlblFieldTableCache>
                        <c:ptCount val="1"/>
                        <c:pt idx="0">
                          <c:v>4%</c:v>
                        </c:pt>
                      </c15:dlblFieldTableCache>
                    </c15:dlblFTEntry>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'2016'!$A$2:$A$5</c:f>
              <c:strCache>
                <c:ptCount val="4"/>
                <c:pt idx="0">
                  <c:v>Contributions</c:v>
                </c:pt>
                <c:pt idx="1">
                  <c:v>Information documents</c:v>
                </c:pt>
                <c:pt idx="2">
                  <c:v>Temporary documents</c:v>
                </c:pt>
                <c:pt idx="3">
                  <c:v>Administrative documents</c:v>
                </c:pt>
              </c:strCache>
            </c:strRef>
          </c:cat>
          <c:val>
            <c:numRef>
              <c:f>'2016'!$B$2:$B$5</c:f>
              <c:numCache>
                <c:formatCode>General</c:formatCode>
                <c:ptCount val="4"/>
                <c:pt idx="0">
                  <c:v>45</c:v>
                </c:pt>
                <c:pt idx="1">
                  <c:v>7</c:v>
                </c:pt>
                <c:pt idx="2">
                  <c:v>3</c:v>
                </c:pt>
                <c:pt idx="3">
                  <c:v>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56786866362798116"/>
          <c:y val="0.20383579750372927"/>
          <c:w val="0.2769780301289454"/>
          <c:h val="0.3237432730980570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tx>
                <c:rich>
                  <a:bodyPr/>
                  <a:lstStyle/>
                  <a:p>
                    <a:fld id="{EB41ECFD-DD05-49C2-B258-BD5E1E81DC5F}" type="CELLREF">
                      <a:rPr lang="en-US"/>
                      <a:pPr/>
                      <a:t>[CELLREF]</a:t>
                    </a:fld>
                    <a:endParaRPr lang="en-GB"/>
                  </a:p>
                </c:rich>
              </c:tx>
              <c:dLblPos val="bestFit"/>
              <c:showLegendKey val="0"/>
              <c:showVal val="1"/>
              <c:showCatName val="0"/>
              <c:showSerName val="0"/>
              <c:showPercent val="0"/>
              <c:showBubbleSize val="0"/>
              <c:extLst>
                <c:ext xmlns:c15="http://schemas.microsoft.com/office/drawing/2012/chart" uri="{CE6537A1-D6FC-4f65-9D91-7224C49458BB}">
                  <c15:layout/>
                  <c15:dlblFieldTable>
                    <c15:dlblFTEntry>
                      <c15:txfldGUID>{EB41ECFD-DD05-49C2-B258-BD5E1E81DC5F}</c15:txfldGUID>
                      <c15:f>'[documents_v8.xlsx]2017'!$C$2</c15:f>
                      <c15:dlblFieldTableCache>
                        <c:ptCount val="1"/>
                        <c:pt idx="0">
                          <c:v>74%</c:v>
                        </c:pt>
                      </c15:dlblFieldTableCache>
                    </c15:dlblFTEntry>
                  </c15:dlblFieldTable>
                  <c15:showDataLabelsRange val="0"/>
                </c:ext>
              </c:extLst>
            </c:dLbl>
            <c:dLbl>
              <c:idx val="1"/>
              <c:layout/>
              <c:tx>
                <c:rich>
                  <a:bodyPr/>
                  <a:lstStyle/>
                  <a:p>
                    <a:fld id="{A9200244-9EC0-4F0E-A974-D4982E4C944C}" type="CELLREF">
                      <a:rPr lang="en-US"/>
                      <a:pPr/>
                      <a:t>[CELLREF]</a:t>
                    </a:fld>
                    <a:endParaRPr lang="en-GB"/>
                  </a:p>
                </c:rich>
              </c:tx>
              <c:dLblPos val="bestFit"/>
              <c:showLegendKey val="0"/>
              <c:showVal val="1"/>
              <c:showCatName val="0"/>
              <c:showSerName val="0"/>
              <c:showPercent val="0"/>
              <c:showBubbleSize val="0"/>
              <c:extLst>
                <c:ext xmlns:c15="http://schemas.microsoft.com/office/drawing/2012/chart" uri="{CE6537A1-D6FC-4f65-9D91-7224C49458BB}">
                  <c15:layout/>
                  <c15:dlblFieldTable>
                    <c15:dlblFTEntry>
                      <c15:txfldGUID>{A9200244-9EC0-4F0E-A974-D4982E4C944C}</c15:txfldGUID>
                      <c15:f>'[documents_v8.xlsx]2017'!$C$3</c15:f>
                      <c15:dlblFieldTableCache>
                        <c:ptCount val="1"/>
                        <c:pt idx="0">
                          <c:v>11%</c:v>
                        </c:pt>
                      </c15:dlblFieldTableCache>
                    </c15:dlblFTEntry>
                  </c15:dlblFieldTable>
                  <c15:showDataLabelsRange val="0"/>
                </c:ext>
              </c:extLst>
            </c:dLbl>
            <c:dLbl>
              <c:idx val="2"/>
              <c:layout/>
              <c:tx>
                <c:rich>
                  <a:bodyPr/>
                  <a:lstStyle/>
                  <a:p>
                    <a:fld id="{3FDF0D43-D558-4260-8EBA-965F35023073}" type="CELLREF">
                      <a:rPr lang="en-US"/>
                      <a:pPr/>
                      <a:t>[CELLREF]</a:t>
                    </a:fld>
                    <a:endParaRPr lang="en-GB"/>
                  </a:p>
                </c:rich>
              </c:tx>
              <c:dLblPos val="bestFit"/>
              <c:showLegendKey val="0"/>
              <c:showVal val="1"/>
              <c:showCatName val="0"/>
              <c:showSerName val="0"/>
              <c:showPercent val="0"/>
              <c:showBubbleSize val="0"/>
              <c:extLst>
                <c:ext xmlns:c15="http://schemas.microsoft.com/office/drawing/2012/chart" uri="{CE6537A1-D6FC-4f65-9D91-7224C49458BB}">
                  <c15:layout/>
                  <c15:dlblFieldTable>
                    <c15:dlblFTEntry>
                      <c15:txfldGUID>{3FDF0D43-D558-4260-8EBA-965F35023073}</c15:txfldGUID>
                      <c15:f>'[documents_v8.xlsx]2017'!$C$4</c15:f>
                      <c15:dlblFieldTableCache>
                        <c:ptCount val="1"/>
                        <c:pt idx="0">
                          <c:v>15%</c:v>
                        </c:pt>
                      </c15:dlblFieldTableCache>
                    </c15:dlblFTEntry>
                  </c15:dlblFieldTable>
                  <c15:showDataLabelsRange val="0"/>
                </c:ext>
              </c:extLst>
            </c:dLbl>
            <c:dLbl>
              <c:idx val="3"/>
              <c:layout/>
              <c:tx>
                <c:rich>
                  <a:bodyPr/>
                  <a:lstStyle/>
                  <a:p>
                    <a:fld id="{0FCC3FBB-9736-4DC8-8654-90CB121595AB}" type="CELLREF">
                      <a:rPr lang="en-US"/>
                      <a:pPr/>
                      <a:t>[CELLREF]</a:t>
                    </a:fld>
                    <a:endParaRPr lang="en-GB"/>
                  </a:p>
                </c:rich>
              </c:tx>
              <c:showLegendKey val="0"/>
              <c:showVal val="1"/>
              <c:showCatName val="0"/>
              <c:showSerName val="0"/>
              <c:showPercent val="0"/>
              <c:showBubbleSize val="0"/>
              <c:extLst>
                <c:ext xmlns:c15="http://schemas.microsoft.com/office/drawing/2012/chart" uri="{CE6537A1-D6FC-4f65-9D91-7224C49458BB}">
                  <c15:layout/>
                  <c15:dlblFieldTable>
                    <c15:dlblFTEntry>
                      <c15:txfldGUID>{0FCC3FBB-9736-4DC8-8654-90CB121595AB}</c15:txfldGUID>
                      <c15:f>'[documents_v8.xlsx]2017'!$C$5</c15:f>
                      <c15:dlblFieldTableCache>
                        <c:ptCount val="1"/>
                        <c:pt idx="0">
                          <c:v>1%</c:v>
                        </c:pt>
                      </c15:dlblFieldTableCache>
                    </c15:dlblFTEntry>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'2017'!$A$2:$A$5</c:f>
              <c:strCache>
                <c:ptCount val="4"/>
                <c:pt idx="0">
                  <c:v>Contributions</c:v>
                </c:pt>
                <c:pt idx="1">
                  <c:v>Information documents</c:v>
                </c:pt>
                <c:pt idx="2">
                  <c:v>Temporary documents</c:v>
                </c:pt>
                <c:pt idx="3">
                  <c:v>Administrative documents</c:v>
                </c:pt>
              </c:strCache>
            </c:strRef>
          </c:cat>
          <c:val>
            <c:numRef>
              <c:f>'2017'!$B$2:$B$5</c:f>
              <c:numCache>
                <c:formatCode>General</c:formatCode>
                <c:ptCount val="4"/>
                <c:pt idx="0">
                  <c:v>75</c:v>
                </c:pt>
                <c:pt idx="1">
                  <c:v>11</c:v>
                </c:pt>
                <c:pt idx="2">
                  <c:v>15</c:v>
                </c:pt>
                <c:pt idx="3">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CJDSJNEQ73FR-44-11</_dlc_DocId>
    <_dlc_DocIdUrl xmlns="996b2e75-67fd-4955-a3b0-5ab9934cb50b">
      <Url>http://spdev11/en/gmpcs/_layouts/DocIdRedir.aspx?ID=CJDSJNEQ73FR-44-11</Url>
      <Description>CJDSJNEQ73FR-44-11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C67D6-CEFE-4AFE-8EC3-4585BFEF5BAE}">
  <ds:schemaRefs>
    <ds:schemaRef ds:uri="http://purl.org/dc/terms/"/>
    <ds:schemaRef ds:uri="http://purl.org/dc/dcmitype/"/>
    <ds:schemaRef ds:uri="http://purl.org/dc/elements/1.1/"/>
    <ds:schemaRef ds:uri="32a1a8c5-2265-4ebc-b7a0-2071e2c5c9bb"/>
    <ds:schemaRef ds:uri="http://schemas.microsoft.com/office/2006/documentManagement/types"/>
    <ds:schemaRef ds:uri="http://schemas.microsoft.com/office/infopath/2007/PartnerControls"/>
    <ds:schemaRef ds:uri="996b2e75-67fd-4955-a3b0-5ab9934cb50b"/>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3.xml><?xml version="1.0" encoding="utf-8"?>
<ds:datastoreItem xmlns:ds="http://schemas.openxmlformats.org/officeDocument/2006/customXml" ds:itemID="{47521D40-C62B-4F87-A955-65C7F6FF5E1F}">
  <ds:schemaRefs>
    <ds:schemaRef ds:uri="http://schemas.microsoft.com/sharepoint/events"/>
  </ds:schemaRefs>
</ds:datastoreItem>
</file>

<file path=customXml/itemProps4.xml><?xml version="1.0" encoding="utf-8"?>
<ds:datastoreItem xmlns:ds="http://schemas.openxmlformats.org/officeDocument/2006/customXml" ds:itemID="{334B5772-FD57-4ED7-9D4B-46DA353DA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FC416B4-2BD7-42EA-A522-4F2F0ABF5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8746</Words>
  <Characters>50658</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
  <LinksUpToDate>false</LinksUpToDate>
  <CharactersWithSpaces>59286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Lovato, Jean-Paul</dc:creator>
  <cp:keywords/>
  <dc:description/>
  <cp:lastModifiedBy>BDT - mcb</cp:lastModifiedBy>
  <cp:revision>3</cp:revision>
  <cp:lastPrinted>2017-05-11T19:23:00Z</cp:lastPrinted>
  <dcterms:created xsi:type="dcterms:W3CDTF">2017-07-07T10:10:00Z</dcterms:created>
  <dcterms:modified xsi:type="dcterms:W3CDTF">2017-07-07T12:08:00Z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1277586e-23f4-4a9c-8b22-c68c4fc349db</vt:lpwstr>
  </property>
</Properties>
</file>