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820"/>
        <w:gridCol w:w="3792"/>
      </w:tblGrid>
      <w:tr w:rsidR="00B46DF3" w:rsidTr="00F4587C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B46DF3" w:rsidRDefault="00C06E6C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Working Procedures of ITU-D </w:t>
            </w:r>
            <w:r>
              <w:rPr>
                <w:b/>
                <w:bCs/>
                <w:sz w:val="32"/>
                <w:szCs w:val="32"/>
              </w:rPr>
              <w:br/>
              <w:t>(WTDC Resolution 1) (CG-Res1)</w:t>
            </w:r>
          </w:p>
          <w:p w:rsidR="00E55807" w:rsidRPr="00844A56" w:rsidRDefault="00E55807" w:rsidP="00C06E6C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C06E6C">
              <w:rPr>
                <w:b/>
                <w:bCs/>
                <w:sz w:val="26"/>
                <w:szCs w:val="26"/>
              </w:rPr>
              <w:t>10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92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F4587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F4587C">
        <w:trPr>
          <w:cantSplit/>
        </w:trPr>
        <w:tc>
          <w:tcPr>
            <w:tcW w:w="6096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792" w:type="dxa"/>
          </w:tcPr>
          <w:p w:rsidR="00683C32" w:rsidRPr="00002716" w:rsidRDefault="00380B71" w:rsidP="001200A5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BC4518">
              <w:rPr>
                <w:b/>
                <w:bCs/>
                <w:lang w:val="en-US"/>
              </w:rPr>
              <w:t>TDAG</w:t>
            </w:r>
            <w:r w:rsidR="00F4587C">
              <w:rPr>
                <w:b/>
                <w:bCs/>
                <w:lang w:val="en-US"/>
              </w:rPr>
              <w:t>17-22</w:t>
            </w:r>
            <w:r w:rsidR="00BC4518">
              <w:rPr>
                <w:b/>
                <w:bCs/>
                <w:lang w:val="en-US"/>
              </w:rPr>
              <w:t>/</w:t>
            </w:r>
            <w:r w:rsidR="00C06E6C">
              <w:rPr>
                <w:b/>
                <w:bCs/>
                <w:lang w:val="en-US"/>
              </w:rPr>
              <w:t>CG-Res1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1200A5">
              <w:rPr>
                <w:b/>
                <w:bCs/>
                <w:lang w:val="en-US"/>
              </w:rPr>
              <w:t>1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:rsidTr="00F4587C">
        <w:trPr>
          <w:cantSplit/>
        </w:trPr>
        <w:tc>
          <w:tcPr>
            <w:tcW w:w="6096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792" w:type="dxa"/>
          </w:tcPr>
          <w:p w:rsidR="00683C32" w:rsidRPr="002E6F8F" w:rsidRDefault="000C71D9" w:rsidP="00BC4518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9</w:t>
            </w:r>
            <w:r w:rsidR="005124AB">
              <w:rPr>
                <w:b/>
              </w:rPr>
              <w:t xml:space="preserve"> May</w:t>
            </w:r>
            <w:r w:rsidR="00BC4518" w:rsidRPr="008976CC">
              <w:rPr>
                <w:b/>
              </w:rPr>
              <w:t xml:space="preserve"> 2017</w:t>
            </w:r>
          </w:p>
        </w:tc>
      </w:tr>
      <w:tr w:rsidR="00683C32" w:rsidTr="00F4587C">
        <w:trPr>
          <w:cantSplit/>
        </w:trPr>
        <w:tc>
          <w:tcPr>
            <w:tcW w:w="6096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792" w:type="dxa"/>
          </w:tcPr>
          <w:p w:rsidR="00514D2F" w:rsidRPr="00D34008" w:rsidRDefault="00BC4518" w:rsidP="00107E85">
            <w:pPr>
              <w:spacing w:before="0" w:after="240"/>
            </w:pPr>
            <w:bookmarkStart w:id="3" w:name="Original"/>
            <w:bookmarkEnd w:id="3"/>
            <w:r>
              <w:rPr>
                <w:b/>
              </w:rPr>
              <w:t>English only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BC4518" w:rsidRDefault="00BC4518" w:rsidP="00BC4518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5" w:name="Title"/>
            <w:bookmarkEnd w:id="5"/>
            <w:r w:rsidRPr="00BC4518">
              <w:rPr>
                <w:rFonts w:cs="Times New Roman"/>
                <w:b w:val="0"/>
                <w:bCs/>
                <w:caps/>
                <w:sz w:val="28"/>
                <w:szCs w:val="28"/>
              </w:rPr>
              <w:t>Draft agenda</w:t>
            </w:r>
            <w:bookmarkStart w:id="6" w:name="_GoBack"/>
            <w:bookmarkEnd w:id="6"/>
          </w:p>
          <w:p w:rsidR="00BC4518" w:rsidRDefault="00BC4518" w:rsidP="00BC4518">
            <w:pPr>
              <w:pStyle w:val="Title2"/>
              <w:jc w:val="center"/>
              <w:rPr>
                <w:b w:val="0"/>
                <w:bCs/>
                <w:sz w:val="28"/>
                <w:szCs w:val="28"/>
              </w:rPr>
            </w:pPr>
            <w:r w:rsidRPr="00BC4518">
              <w:rPr>
                <w:rFonts w:cs="Times New Roman"/>
                <w:b w:val="0"/>
                <w:bCs/>
                <w:caps/>
                <w:sz w:val="28"/>
                <w:szCs w:val="28"/>
              </w:rPr>
              <w:t>TDAG</w:t>
            </w:r>
            <w:r w:rsidRPr="00BC4518">
              <w:rPr>
                <w:b w:val="0"/>
                <w:bCs/>
                <w:sz w:val="28"/>
                <w:szCs w:val="28"/>
              </w:rPr>
              <w:t xml:space="preserve"> CORRESPONDENCE GROUP ON RULES OF PROCEDURE OF ITU-D</w:t>
            </w:r>
          </w:p>
          <w:p w:rsidR="00BC4518" w:rsidRPr="00BC4518" w:rsidRDefault="00BC4518" w:rsidP="00BC4518">
            <w:pPr>
              <w:pStyle w:val="Title3"/>
              <w:jc w:val="center"/>
              <w:rPr>
                <w:b w:val="0"/>
                <w:bCs/>
                <w:szCs w:val="24"/>
              </w:rPr>
            </w:pPr>
            <w:r w:rsidRPr="00BC4518">
              <w:rPr>
                <w:b w:val="0"/>
                <w:bCs/>
                <w:szCs w:val="24"/>
              </w:rPr>
              <w:t>Wednesday, 10 May 2017</w:t>
            </w:r>
            <w:r w:rsidRPr="00BC4518">
              <w:rPr>
                <w:b w:val="0"/>
                <w:bCs/>
                <w:szCs w:val="24"/>
              </w:rPr>
              <w:br/>
              <w:t>1600h-1730h</w:t>
            </w:r>
            <w:r w:rsidRPr="00BC4518">
              <w:rPr>
                <w:b w:val="0"/>
                <w:bCs/>
                <w:szCs w:val="24"/>
              </w:rPr>
              <w:br/>
              <w:t>Room Popov, ITU Headquarters, Geneva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FF72BF" w:rsidRPr="005E3FC2" w:rsidTr="007F13F9">
        <w:tc>
          <w:tcPr>
            <w:tcW w:w="6658" w:type="dxa"/>
          </w:tcPr>
          <w:p w:rsidR="00FF72BF" w:rsidRPr="005E3FC2" w:rsidRDefault="00FF72BF" w:rsidP="00FD148A">
            <w:pPr>
              <w:spacing w:after="120"/>
              <w:rPr>
                <w:b/>
                <w:bCs/>
              </w:rPr>
            </w:pPr>
          </w:p>
        </w:tc>
        <w:tc>
          <w:tcPr>
            <w:tcW w:w="3118" w:type="dxa"/>
          </w:tcPr>
          <w:p w:rsidR="00FF72BF" w:rsidRPr="005E3FC2" w:rsidRDefault="00FF72BF" w:rsidP="00FD148A">
            <w:pPr>
              <w:spacing w:after="120"/>
              <w:rPr>
                <w:b/>
                <w:bCs/>
              </w:rPr>
            </w:pPr>
            <w:r w:rsidRPr="005E3FC2">
              <w:rPr>
                <w:b/>
                <w:bCs/>
              </w:rPr>
              <w:t>Documents</w:t>
            </w:r>
          </w:p>
        </w:tc>
      </w:tr>
      <w:tr w:rsidR="00FF72BF" w:rsidTr="007F13F9">
        <w:tc>
          <w:tcPr>
            <w:tcW w:w="6658" w:type="dxa"/>
          </w:tcPr>
          <w:p w:rsidR="00FF72BF" w:rsidRDefault="00FF72BF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1.</w:t>
            </w:r>
            <w:r>
              <w:tab/>
              <w:t>Opening remarks and approval of the agenda</w:t>
            </w:r>
          </w:p>
        </w:tc>
        <w:tc>
          <w:tcPr>
            <w:tcW w:w="3118" w:type="dxa"/>
          </w:tcPr>
          <w:p w:rsidR="00FF72BF" w:rsidRDefault="000C71D9" w:rsidP="00FD148A">
            <w:pPr>
              <w:spacing w:before="60" w:after="60"/>
            </w:pPr>
            <w:hyperlink r:id="rId10" w:history="1">
              <w:r w:rsidR="00FF72BF" w:rsidRPr="00FF72BF">
                <w:rPr>
                  <w:rStyle w:val="Hyperlink"/>
                </w:rPr>
                <w:t>TDAG/CG-Res1/1</w:t>
              </w:r>
            </w:hyperlink>
          </w:p>
        </w:tc>
      </w:tr>
      <w:tr w:rsidR="00FF72BF" w:rsidTr="007F13F9">
        <w:tc>
          <w:tcPr>
            <w:tcW w:w="6658" w:type="dxa"/>
          </w:tcPr>
          <w:p w:rsidR="00FF72BF" w:rsidRDefault="00FF72BF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2.</w:t>
            </w:r>
            <w:r>
              <w:tab/>
              <w:t>Review and discussion of the rules of procedure of ITU-D (WTDC Resolution 1 (Rev. Dubai, 2014))</w:t>
            </w:r>
          </w:p>
        </w:tc>
        <w:tc>
          <w:tcPr>
            <w:tcW w:w="3118" w:type="dxa"/>
          </w:tcPr>
          <w:p w:rsidR="00FF72BF" w:rsidRDefault="000C71D9" w:rsidP="00391F32">
            <w:pPr>
              <w:spacing w:before="60" w:after="60"/>
              <w:rPr>
                <w:rStyle w:val="Hyperlink"/>
              </w:rPr>
            </w:pPr>
            <w:hyperlink r:id="rId11" w:history="1">
              <w:r w:rsidR="00FF72BF" w:rsidRPr="005124AB">
                <w:rPr>
                  <w:rStyle w:val="Hyperlink"/>
                </w:rPr>
                <w:t>TDAG17-22/</w:t>
              </w:r>
              <w:r w:rsidR="005124AB" w:rsidRPr="005124AB">
                <w:rPr>
                  <w:rStyle w:val="Hyperlink"/>
                </w:rPr>
                <w:t>DT/</w:t>
              </w:r>
              <w:r w:rsidR="00391F32">
                <w:rPr>
                  <w:rStyle w:val="Hyperlink"/>
                </w:rPr>
                <w:t>7 (Rev.1)</w:t>
              </w:r>
            </w:hyperlink>
            <w:r w:rsidR="007F13F9" w:rsidRPr="007F13F9">
              <w:rPr>
                <w:rStyle w:val="Hyperlink"/>
                <w:color w:val="auto"/>
                <w:u w:val="none"/>
              </w:rPr>
              <w:t xml:space="preserve"> (</w:t>
            </w:r>
            <w:r w:rsidR="007F13F9">
              <w:rPr>
                <w:rStyle w:val="Hyperlink"/>
                <w:color w:val="auto"/>
                <w:u w:val="none"/>
              </w:rPr>
              <w:t>CG-Res1 Chair)</w:t>
            </w:r>
          </w:p>
          <w:p w:rsidR="00391F32" w:rsidRDefault="000C71D9" w:rsidP="00391F32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r:id="rId12" w:history="1">
              <w:r w:rsidR="00391F32" w:rsidRPr="005124AB">
                <w:rPr>
                  <w:rStyle w:val="Hyperlink"/>
                </w:rPr>
                <w:t>TDAG17-22/</w:t>
              </w:r>
              <w:r w:rsidR="00391F32">
                <w:rPr>
                  <w:rStyle w:val="Hyperlink"/>
                </w:rPr>
                <w:t>44</w:t>
              </w:r>
            </w:hyperlink>
            <w:r w:rsidR="007F13F9" w:rsidRPr="007F13F9">
              <w:rPr>
                <w:rStyle w:val="Hyperlink"/>
                <w:color w:val="auto"/>
                <w:u w:val="none"/>
              </w:rPr>
              <w:t xml:space="preserve"> (Russian Federation)</w:t>
            </w:r>
          </w:p>
          <w:p w:rsidR="0012553C" w:rsidRDefault="000C71D9" w:rsidP="0012553C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r:id="rId13" w:history="1">
              <w:r w:rsidR="0012553C" w:rsidRPr="005124AB">
                <w:rPr>
                  <w:rStyle w:val="Hyperlink"/>
                </w:rPr>
                <w:t>TDAG17-22/</w:t>
              </w:r>
              <w:r w:rsidR="0012553C">
                <w:rPr>
                  <w:rStyle w:val="Hyperlink"/>
                </w:rPr>
                <w:t>56</w:t>
              </w:r>
            </w:hyperlink>
            <w:r w:rsidR="0012553C" w:rsidRPr="007F13F9">
              <w:rPr>
                <w:rStyle w:val="Hyperlink"/>
                <w:color w:val="auto"/>
                <w:u w:val="none"/>
              </w:rPr>
              <w:t xml:space="preserve"> (Russian Federation)</w:t>
            </w:r>
          </w:p>
          <w:p w:rsidR="0012553C" w:rsidRPr="00391F32" w:rsidRDefault="000C71D9" w:rsidP="0012553C">
            <w:pPr>
              <w:spacing w:before="60" w:after="60"/>
              <w:rPr>
                <w:color w:val="0000FF" w:themeColor="hyperlink"/>
                <w:u w:val="single"/>
              </w:rPr>
            </w:pPr>
            <w:hyperlink r:id="rId14" w:history="1">
              <w:r w:rsidR="0012553C" w:rsidRPr="005124AB">
                <w:rPr>
                  <w:rStyle w:val="Hyperlink"/>
                </w:rPr>
                <w:t>TDAG17-22/</w:t>
              </w:r>
              <w:r w:rsidR="0012553C">
                <w:rPr>
                  <w:rStyle w:val="Hyperlink"/>
                </w:rPr>
                <w:t>57</w:t>
              </w:r>
            </w:hyperlink>
            <w:r w:rsidR="0012553C" w:rsidRPr="007F13F9">
              <w:rPr>
                <w:rStyle w:val="Hyperlink"/>
                <w:color w:val="auto"/>
                <w:u w:val="none"/>
              </w:rPr>
              <w:t xml:space="preserve"> (</w:t>
            </w:r>
            <w:r w:rsidR="0012553C">
              <w:rPr>
                <w:rStyle w:val="Hyperlink"/>
                <w:color w:val="auto"/>
                <w:u w:val="none"/>
              </w:rPr>
              <w:t>Japan</w:t>
            </w:r>
            <w:r w:rsidR="0012553C" w:rsidRPr="007F13F9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FF72BF" w:rsidTr="007F13F9">
        <w:tc>
          <w:tcPr>
            <w:tcW w:w="6658" w:type="dxa"/>
          </w:tcPr>
          <w:p w:rsidR="00FF72BF" w:rsidRDefault="00FF72BF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3.</w:t>
            </w:r>
            <w:r>
              <w:tab/>
              <w:t>Any other business</w:t>
            </w:r>
          </w:p>
        </w:tc>
        <w:tc>
          <w:tcPr>
            <w:tcW w:w="3118" w:type="dxa"/>
          </w:tcPr>
          <w:p w:rsidR="00FF72BF" w:rsidRDefault="00FF72BF" w:rsidP="00FD148A">
            <w:pPr>
              <w:spacing w:before="60" w:after="60"/>
            </w:pPr>
          </w:p>
        </w:tc>
      </w:tr>
    </w:tbl>
    <w:p w:rsidR="00FF72BF" w:rsidRDefault="00FF72BF" w:rsidP="00935FF0"/>
    <w:p w:rsidR="00B30B0B" w:rsidRDefault="001200A5" w:rsidP="00B30B0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ind w:left="720"/>
      </w:pPr>
      <w:bookmarkStart w:id="7" w:name="Proposal"/>
      <w:bookmarkEnd w:id="7"/>
      <w:r>
        <w:tab/>
        <w:t xml:space="preserve">Roxanne </w:t>
      </w:r>
      <w:proofErr w:type="spellStart"/>
      <w:r>
        <w:t>McElvane</w:t>
      </w:r>
      <w:proofErr w:type="spellEnd"/>
      <w:r w:rsidR="00FF72BF">
        <w:t xml:space="preserve"> Webber</w:t>
      </w:r>
      <w:r>
        <w:br/>
      </w:r>
      <w:r>
        <w:tab/>
        <w:t xml:space="preserve">Chairman, TDAG </w:t>
      </w:r>
      <w:r w:rsidR="008976CC">
        <w:t>Correspondence Group</w:t>
      </w:r>
    </w:p>
    <w:p w:rsidR="001200A5" w:rsidRDefault="00B30B0B" w:rsidP="00B30B0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ind w:left="720"/>
      </w:pPr>
      <w:r>
        <w:tab/>
      </w:r>
      <w:proofErr w:type="gramStart"/>
      <w:r w:rsidR="008976CC">
        <w:t>on</w:t>
      </w:r>
      <w:proofErr w:type="gramEnd"/>
      <w:r w:rsidR="008976CC">
        <w:t xml:space="preserve"> Rules of Procedure of ITU-D</w:t>
      </w:r>
    </w:p>
    <w:p w:rsidR="001200A5" w:rsidRDefault="001200A5" w:rsidP="00935FF0"/>
    <w:p w:rsidR="001200A5" w:rsidRDefault="001200A5" w:rsidP="00935FF0"/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5"/>
      <w:footerReference w:type="first" r:id="rId16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A3" w:rsidRDefault="007238A3">
      <w:r>
        <w:separator/>
      </w:r>
    </w:p>
  </w:endnote>
  <w:endnote w:type="continuationSeparator" w:id="0">
    <w:p w:rsidR="007238A3" w:rsidRDefault="0072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0C71D9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C06E6C">
        <w:rPr>
          <w:rStyle w:val="Hyperlink"/>
          <w:caps w:val="0"/>
          <w:sz w:val="20"/>
          <w:lang w:val="en-US"/>
        </w:rPr>
        <w:t>TDAG CG-Res1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A3" w:rsidRDefault="007238A3">
      <w:r>
        <w:t>____________________</w:t>
      </w:r>
    </w:p>
  </w:footnote>
  <w:footnote w:type="continuationSeparator" w:id="0">
    <w:p w:rsidR="007238A3" w:rsidRDefault="0072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C06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CG-Res1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72BF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79C"/>
    <w:rsid w:val="000A3D34"/>
    <w:rsid w:val="000B2352"/>
    <w:rsid w:val="000C71D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00A5"/>
    <w:rsid w:val="0012553C"/>
    <w:rsid w:val="00133061"/>
    <w:rsid w:val="00141699"/>
    <w:rsid w:val="00147000"/>
    <w:rsid w:val="00163091"/>
    <w:rsid w:val="001645CB"/>
    <w:rsid w:val="001659AD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6694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1F32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24AB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38A3"/>
    <w:rsid w:val="007279A8"/>
    <w:rsid w:val="00727B1A"/>
    <w:rsid w:val="00741337"/>
    <w:rsid w:val="00752258"/>
    <w:rsid w:val="0075286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3F9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976CC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53D0"/>
    <w:rsid w:val="00A3158C"/>
    <w:rsid w:val="00A32DF3"/>
    <w:rsid w:val="00A33E32"/>
    <w:rsid w:val="00A35E20"/>
    <w:rsid w:val="00A36F6D"/>
    <w:rsid w:val="00A525CC"/>
    <w:rsid w:val="00A53E7C"/>
    <w:rsid w:val="00A60087"/>
    <w:rsid w:val="00A64E92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6C1B"/>
    <w:rsid w:val="00AE5961"/>
    <w:rsid w:val="00AF0745"/>
    <w:rsid w:val="00AF4971"/>
    <w:rsid w:val="00AF5276"/>
    <w:rsid w:val="00B01046"/>
    <w:rsid w:val="00B24024"/>
    <w:rsid w:val="00B30B0B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4518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1859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2DD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587C"/>
    <w:rsid w:val="00F52741"/>
    <w:rsid w:val="00F53D8A"/>
    <w:rsid w:val="00F56688"/>
    <w:rsid w:val="00F626F7"/>
    <w:rsid w:val="00F73503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2B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25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4-TDAG22-c-00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TDAG22-c-00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4-TDAG22-170509-TD-000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4-TDAG22.CG.RES1-C-00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D14-TDAG22-c-00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rules-of-procedure-of-ITU-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2E13-43B7-4A3A-9566-B9847E20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2017-05-09T16:11:00Z</dcterms:created>
  <dcterms:modified xsi:type="dcterms:W3CDTF">2017-05-09T16:12:00Z</dcterms:modified>
</cp:coreProperties>
</file>