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ayout w:type="fixed"/>
        <w:tblLook w:val="0000" w:firstRow="0" w:lastRow="0" w:firstColumn="0" w:lastColumn="0" w:noHBand="0" w:noVBand="0"/>
      </w:tblPr>
      <w:tblGrid>
        <w:gridCol w:w="8"/>
        <w:gridCol w:w="6371"/>
        <w:gridCol w:w="3642"/>
        <w:gridCol w:w="12"/>
      </w:tblGrid>
      <w:tr w:rsidR="009C14FB" w:rsidRPr="000236AE" w:rsidTr="00A163BA">
        <w:trPr>
          <w:gridBefore w:val="1"/>
          <w:wBefore w:w="8" w:type="dxa"/>
          <w:cantSplit/>
          <w:jc w:val="center"/>
        </w:trPr>
        <w:tc>
          <w:tcPr>
            <w:tcW w:w="6371" w:type="dxa"/>
          </w:tcPr>
          <w:p w:rsidR="009C14FB" w:rsidRPr="000236AE" w:rsidRDefault="009C14FB" w:rsidP="009C14FB">
            <w:pPr>
              <w:spacing w:before="0" w:after="60"/>
              <w:rPr>
                <w:rFonts w:ascii="Calibri" w:hAnsi="Calibri"/>
                <w:b/>
                <w:bCs w:val="0"/>
                <w:sz w:val="28"/>
                <w:lang w:val="es-ES_tradnl"/>
              </w:rPr>
            </w:pPr>
            <w:r w:rsidRPr="000236AE">
              <w:rPr>
                <w:rFonts w:ascii="Calibri" w:hAnsi="Calibri"/>
                <w:b/>
                <w:sz w:val="28"/>
                <w:lang w:val="es-ES_tradnl"/>
              </w:rPr>
              <w:t xml:space="preserve">Reunión Preparatoria Regional de la CMDT-17 </w:t>
            </w:r>
            <w:r w:rsidRPr="000236AE">
              <w:rPr>
                <w:rFonts w:ascii="Calibri" w:hAnsi="Calibri"/>
                <w:b/>
                <w:sz w:val="28"/>
                <w:lang w:val="es-ES_tradnl"/>
              </w:rPr>
              <w:br/>
              <w:t>para Europa (RPM-EUR)</w:t>
            </w:r>
          </w:p>
        </w:tc>
        <w:tc>
          <w:tcPr>
            <w:tcW w:w="3654" w:type="dxa"/>
            <w:gridSpan w:val="2"/>
          </w:tcPr>
          <w:p w:rsidR="009C14FB" w:rsidRPr="000236AE" w:rsidRDefault="009C14FB" w:rsidP="009C14FB">
            <w:pPr>
              <w:spacing w:before="0"/>
              <w:ind w:right="142"/>
              <w:jc w:val="right"/>
              <w:rPr>
                <w:rFonts w:ascii="Calibri" w:hAnsi="Calibri"/>
                <w:sz w:val="28"/>
                <w:lang w:val="es-ES_tradnl"/>
              </w:rPr>
            </w:pPr>
            <w:r w:rsidRPr="000236AE">
              <w:rPr>
                <w:rFonts w:ascii="Calibri" w:hAnsi="Calibri"/>
                <w:noProof/>
                <w:sz w:val="28"/>
                <w:lang w:val="en-US"/>
              </w:rPr>
              <w:drawing>
                <wp:inline distT="0" distB="0" distL="0" distR="0" wp14:anchorId="6244FD61" wp14:editId="0BB9616F">
                  <wp:extent cx="714375" cy="790575"/>
                  <wp:effectExtent l="0" t="0" r="9525" b="9525"/>
                  <wp:docPr id="3" name="Picture 3"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9C14FB" w:rsidRPr="00AE1A7A" w:rsidTr="00E20210">
        <w:trPr>
          <w:gridAfter w:val="1"/>
          <w:wAfter w:w="12" w:type="dxa"/>
          <w:cantSplit/>
          <w:trHeight w:val="300"/>
          <w:jc w:val="center"/>
        </w:trPr>
        <w:tc>
          <w:tcPr>
            <w:tcW w:w="10021" w:type="dxa"/>
            <w:gridSpan w:val="3"/>
            <w:tcBorders>
              <w:bottom w:val="single" w:sz="12" w:space="0" w:color="auto"/>
            </w:tcBorders>
          </w:tcPr>
          <w:p w:rsidR="009C14FB" w:rsidRPr="000236AE" w:rsidRDefault="009C14FB" w:rsidP="009C14FB">
            <w:pPr>
              <w:spacing w:before="0" w:after="60"/>
              <w:rPr>
                <w:rFonts w:ascii="Calibri" w:hAnsi="Calibri"/>
                <w:b/>
                <w:bCs w:val="0"/>
                <w:sz w:val="28"/>
                <w:lang w:val="es-ES_tradnl"/>
              </w:rPr>
            </w:pPr>
            <w:r w:rsidRPr="000236AE">
              <w:rPr>
                <w:rFonts w:ascii="Calibri" w:hAnsi="Calibri"/>
                <w:b/>
                <w:sz w:val="28"/>
                <w:lang w:val="es-ES_tradnl"/>
              </w:rPr>
              <w:t>Vilnius (Lituania), 27-28 de abril de 2017</w:t>
            </w:r>
          </w:p>
        </w:tc>
      </w:tr>
      <w:tr w:rsidR="00576F75" w:rsidRPr="00AE1A7A" w:rsidTr="00A163BA">
        <w:trPr>
          <w:gridBefore w:val="1"/>
          <w:wBefore w:w="8" w:type="dxa"/>
          <w:cantSplit/>
          <w:trHeight w:val="238"/>
          <w:jc w:val="center"/>
        </w:trPr>
        <w:tc>
          <w:tcPr>
            <w:tcW w:w="6371" w:type="dxa"/>
            <w:tcBorders>
              <w:top w:val="single" w:sz="12" w:space="0" w:color="auto"/>
            </w:tcBorders>
          </w:tcPr>
          <w:p w:rsidR="00576F75" w:rsidRPr="000236AE" w:rsidRDefault="00576F75" w:rsidP="006D0B95">
            <w:pPr>
              <w:spacing w:before="0"/>
              <w:rPr>
                <w:rFonts w:ascii="Calibri" w:hAnsi="Calibri"/>
                <w:sz w:val="28"/>
                <w:lang w:val="es-ES_tradnl"/>
              </w:rPr>
            </w:pPr>
          </w:p>
        </w:tc>
        <w:tc>
          <w:tcPr>
            <w:tcW w:w="3654" w:type="dxa"/>
            <w:gridSpan w:val="2"/>
            <w:tcBorders>
              <w:top w:val="single" w:sz="12" w:space="0" w:color="auto"/>
            </w:tcBorders>
          </w:tcPr>
          <w:p w:rsidR="00576F75" w:rsidRPr="000236AE" w:rsidRDefault="00576F75" w:rsidP="006D0B95">
            <w:pPr>
              <w:spacing w:before="0"/>
              <w:rPr>
                <w:rFonts w:ascii="Calibri" w:hAnsi="Calibri"/>
                <w:sz w:val="28"/>
                <w:lang w:val="es-ES_tradnl"/>
              </w:rPr>
            </w:pPr>
          </w:p>
        </w:tc>
      </w:tr>
      <w:tr w:rsidR="00576F75" w:rsidRPr="000236AE" w:rsidTr="00A163BA">
        <w:trPr>
          <w:gridBefore w:val="1"/>
          <w:wBefore w:w="8" w:type="dxa"/>
          <w:cantSplit/>
          <w:trHeight w:val="20"/>
          <w:jc w:val="center"/>
        </w:trPr>
        <w:tc>
          <w:tcPr>
            <w:tcW w:w="6371" w:type="dxa"/>
            <w:vMerge w:val="restart"/>
          </w:tcPr>
          <w:p w:rsidR="00576F75" w:rsidRPr="000236AE" w:rsidRDefault="00576F75">
            <w:pPr>
              <w:rPr>
                <w:rFonts w:ascii="Calibri" w:hAnsi="Calibri"/>
                <w:sz w:val="28"/>
                <w:lang w:val="es-ES_tradnl"/>
              </w:rPr>
            </w:pPr>
          </w:p>
        </w:tc>
        <w:tc>
          <w:tcPr>
            <w:tcW w:w="3654" w:type="dxa"/>
            <w:gridSpan w:val="2"/>
          </w:tcPr>
          <w:p w:rsidR="00576F75" w:rsidRPr="000236AE" w:rsidRDefault="00576F75" w:rsidP="00A163BA">
            <w:pPr>
              <w:spacing w:before="0" w:after="0"/>
              <w:rPr>
                <w:rFonts w:ascii="Calibri" w:hAnsi="Calibri"/>
                <w:b/>
                <w:bCs w:val="0"/>
                <w:sz w:val="24"/>
                <w:szCs w:val="24"/>
                <w:lang w:val="es-ES_tradnl"/>
              </w:rPr>
            </w:pPr>
            <w:r w:rsidRPr="000236AE">
              <w:rPr>
                <w:rFonts w:ascii="Calibri" w:hAnsi="Calibri"/>
                <w:b/>
                <w:sz w:val="24"/>
                <w:szCs w:val="24"/>
                <w:lang w:val="es-ES_tradnl"/>
              </w:rPr>
              <w:t>Documento RPM-EUR17/INF/10-S</w:t>
            </w:r>
          </w:p>
        </w:tc>
      </w:tr>
      <w:tr w:rsidR="00576F75" w:rsidRPr="000236AE" w:rsidTr="00A163BA">
        <w:trPr>
          <w:gridBefore w:val="1"/>
          <w:wBefore w:w="8" w:type="dxa"/>
          <w:cantSplit/>
          <w:trHeight w:val="23"/>
          <w:jc w:val="center"/>
        </w:trPr>
        <w:tc>
          <w:tcPr>
            <w:tcW w:w="6371" w:type="dxa"/>
            <w:vMerge/>
          </w:tcPr>
          <w:p w:rsidR="00576F75" w:rsidRPr="000236AE" w:rsidRDefault="00576F75">
            <w:pPr>
              <w:tabs>
                <w:tab w:val="left" w:pos="851"/>
              </w:tabs>
              <w:spacing w:line="240" w:lineRule="atLeast"/>
              <w:rPr>
                <w:rFonts w:ascii="Calibri" w:hAnsi="Calibri"/>
                <w:b/>
                <w:sz w:val="28"/>
                <w:lang w:val="es-ES_tradnl"/>
              </w:rPr>
            </w:pPr>
          </w:p>
        </w:tc>
        <w:tc>
          <w:tcPr>
            <w:tcW w:w="3654" w:type="dxa"/>
            <w:gridSpan w:val="2"/>
          </w:tcPr>
          <w:p w:rsidR="00576F75" w:rsidRPr="000236AE" w:rsidRDefault="00576F75" w:rsidP="00A163BA">
            <w:pPr>
              <w:spacing w:before="0" w:after="0"/>
              <w:rPr>
                <w:rFonts w:ascii="Calibri" w:hAnsi="Calibri"/>
                <w:b/>
                <w:bCs w:val="0"/>
                <w:sz w:val="24"/>
                <w:szCs w:val="24"/>
                <w:lang w:val="es-ES_tradnl"/>
              </w:rPr>
            </w:pPr>
            <w:r w:rsidRPr="000236AE">
              <w:rPr>
                <w:rFonts w:ascii="Calibri" w:hAnsi="Calibri"/>
                <w:b/>
                <w:sz w:val="24"/>
                <w:szCs w:val="24"/>
                <w:lang w:val="es-ES_tradnl"/>
              </w:rPr>
              <w:t>26 de abril de 2017</w:t>
            </w:r>
          </w:p>
        </w:tc>
      </w:tr>
      <w:tr w:rsidR="00576F75" w:rsidRPr="000236AE" w:rsidTr="00A163BA">
        <w:trPr>
          <w:gridBefore w:val="1"/>
          <w:wBefore w:w="8" w:type="dxa"/>
          <w:cantSplit/>
          <w:trHeight w:val="333"/>
          <w:jc w:val="center"/>
        </w:trPr>
        <w:tc>
          <w:tcPr>
            <w:tcW w:w="6371" w:type="dxa"/>
            <w:vMerge/>
          </w:tcPr>
          <w:p w:rsidR="00576F75" w:rsidRPr="000236AE" w:rsidRDefault="00576F75">
            <w:pPr>
              <w:tabs>
                <w:tab w:val="left" w:pos="851"/>
              </w:tabs>
              <w:spacing w:line="240" w:lineRule="atLeast"/>
              <w:rPr>
                <w:rFonts w:ascii="Calibri" w:hAnsi="Calibri"/>
                <w:b/>
                <w:sz w:val="28"/>
                <w:lang w:val="es-ES_tradnl"/>
              </w:rPr>
            </w:pPr>
          </w:p>
        </w:tc>
        <w:tc>
          <w:tcPr>
            <w:tcW w:w="3654" w:type="dxa"/>
            <w:gridSpan w:val="2"/>
          </w:tcPr>
          <w:p w:rsidR="00576F75" w:rsidRPr="000236AE" w:rsidRDefault="00576F75" w:rsidP="00A163BA">
            <w:pPr>
              <w:spacing w:before="0" w:after="0"/>
              <w:rPr>
                <w:rFonts w:ascii="Calibri" w:hAnsi="Calibri"/>
                <w:b/>
                <w:bCs w:val="0"/>
                <w:sz w:val="24"/>
                <w:szCs w:val="24"/>
                <w:lang w:val="es-ES_tradnl"/>
              </w:rPr>
            </w:pPr>
            <w:r w:rsidRPr="000236AE">
              <w:rPr>
                <w:rFonts w:ascii="Calibri" w:hAnsi="Calibri"/>
                <w:b/>
                <w:sz w:val="24"/>
                <w:szCs w:val="24"/>
                <w:lang w:val="es-ES_tradnl"/>
              </w:rPr>
              <w:t>Inglés únicamente</w:t>
            </w:r>
          </w:p>
        </w:tc>
      </w:tr>
      <w:tr w:rsidR="00576F75" w:rsidRPr="000236AE" w:rsidTr="00E20210">
        <w:trPr>
          <w:gridAfter w:val="1"/>
          <w:wAfter w:w="12" w:type="dxa"/>
          <w:cantSplit/>
          <w:trHeight w:val="23"/>
          <w:jc w:val="center"/>
        </w:trPr>
        <w:tc>
          <w:tcPr>
            <w:tcW w:w="10021" w:type="dxa"/>
            <w:gridSpan w:val="3"/>
          </w:tcPr>
          <w:p w:rsidR="00576F75" w:rsidRPr="000236AE" w:rsidRDefault="00576F75" w:rsidP="00BF1682">
            <w:pPr>
              <w:tabs>
                <w:tab w:val="left" w:pos="1928"/>
              </w:tabs>
              <w:spacing w:before="0"/>
              <w:ind w:left="1928" w:hanging="1928"/>
              <w:rPr>
                <w:rFonts w:ascii="Calibri" w:hAnsi="Calibri"/>
                <w:sz w:val="28"/>
                <w:lang w:val="es-ES_tradnl"/>
              </w:rPr>
            </w:pPr>
          </w:p>
        </w:tc>
      </w:tr>
      <w:tr w:rsidR="00576F75" w:rsidRPr="00AE1A7A" w:rsidTr="00E20210">
        <w:trPr>
          <w:gridAfter w:val="1"/>
          <w:wAfter w:w="12" w:type="dxa"/>
          <w:cantSplit/>
          <w:trHeight w:val="23"/>
          <w:jc w:val="center"/>
        </w:trPr>
        <w:tc>
          <w:tcPr>
            <w:tcW w:w="10021" w:type="dxa"/>
            <w:gridSpan w:val="3"/>
          </w:tcPr>
          <w:p w:rsidR="00576F75" w:rsidRPr="000236AE" w:rsidRDefault="00576F75" w:rsidP="008272F1">
            <w:pPr>
              <w:jc w:val="center"/>
              <w:rPr>
                <w:rFonts w:ascii="Calibri" w:hAnsi="Calibri"/>
                <w:b/>
                <w:bCs w:val="0"/>
                <w:sz w:val="28"/>
                <w:lang w:val="es-ES_tradnl"/>
              </w:rPr>
            </w:pPr>
            <w:r w:rsidRPr="000236AE">
              <w:rPr>
                <w:rFonts w:ascii="Calibri" w:hAnsi="Calibri"/>
                <w:b/>
                <w:sz w:val="28"/>
                <w:lang w:val="es-ES_tradnl"/>
              </w:rPr>
              <w:t>Director de la Oficina de Desarrollo de las Telecomunicaciones</w:t>
            </w:r>
          </w:p>
        </w:tc>
      </w:tr>
      <w:tr w:rsidR="00576F75" w:rsidRPr="00AE1A7A" w:rsidTr="00E20210">
        <w:trPr>
          <w:gridAfter w:val="1"/>
          <w:wAfter w:w="12" w:type="dxa"/>
          <w:cantSplit/>
          <w:trHeight w:val="537"/>
          <w:jc w:val="center"/>
        </w:trPr>
        <w:tc>
          <w:tcPr>
            <w:tcW w:w="10021" w:type="dxa"/>
            <w:gridSpan w:val="3"/>
          </w:tcPr>
          <w:p w:rsidR="00576F75" w:rsidRPr="000236AE" w:rsidRDefault="00576F75" w:rsidP="008272F1">
            <w:pPr>
              <w:jc w:val="center"/>
              <w:rPr>
                <w:rFonts w:ascii="Calibri" w:hAnsi="Calibri"/>
                <w:sz w:val="28"/>
                <w:lang w:val="es-ES_tradnl"/>
              </w:rPr>
            </w:pPr>
            <w:r w:rsidRPr="000236AE">
              <w:rPr>
                <w:rFonts w:ascii="Calibri" w:hAnsi="Calibri"/>
                <w:sz w:val="28"/>
                <w:lang w:val="es-ES_tradnl"/>
              </w:rPr>
              <w:t xml:space="preserve">FORO REGIONAL DE DESARROLLO PARA EUROPA </w:t>
            </w:r>
            <w:r w:rsidRPr="000236AE">
              <w:rPr>
                <w:rFonts w:ascii="Calibri" w:hAnsi="Calibri"/>
                <w:sz w:val="28"/>
                <w:lang w:val="es-ES_tradnl"/>
              </w:rPr>
              <w:br/>
              <w:t>RESUMEN DE LOS DEBATES</w:t>
            </w:r>
          </w:p>
        </w:tc>
      </w:tr>
    </w:tbl>
    <w:p w:rsidR="00576F75" w:rsidRPr="000236AE" w:rsidRDefault="00576F75" w:rsidP="00A163BA">
      <w:pPr>
        <w:tabs>
          <w:tab w:val="left" w:pos="1951"/>
        </w:tabs>
        <w:spacing w:before="0" w:after="0"/>
        <w:rPr>
          <w:rFonts w:ascii="Calibri" w:hAnsi="Calibri"/>
          <w:b/>
          <w:bCs w:val="0"/>
          <w:sz w:val="24"/>
          <w:szCs w:val="24"/>
          <w:lang w:val="es-ES_trad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9"/>
      </w:tblGrid>
      <w:tr w:rsidR="00576F75" w:rsidRPr="000236AE" w:rsidTr="005F2DA4">
        <w:tc>
          <w:tcPr>
            <w:tcW w:w="10239" w:type="dxa"/>
            <w:shd w:val="clear" w:color="auto" w:fill="auto"/>
          </w:tcPr>
          <w:p w:rsidR="00576F75" w:rsidRPr="000236AE" w:rsidRDefault="00576F75" w:rsidP="00F5233C">
            <w:pPr>
              <w:pStyle w:val="Normalaftertitle"/>
              <w:spacing w:before="120"/>
              <w:ind w:left="284"/>
              <w:rPr>
                <w:rFonts w:ascii="Calibri" w:hAnsi="Calibri"/>
                <w:b/>
                <w:bCs/>
                <w:szCs w:val="24"/>
              </w:rPr>
            </w:pPr>
            <w:r w:rsidRPr="000236AE">
              <w:rPr>
                <w:rFonts w:ascii="Calibri" w:hAnsi="Calibri"/>
                <w:b/>
                <w:bCs/>
              </w:rPr>
              <w:t>Resumen</w:t>
            </w:r>
            <w:r w:rsidRPr="000236AE">
              <w:rPr>
                <w:rFonts w:ascii="Calibri" w:hAnsi="Calibri"/>
                <w:b/>
                <w:bCs/>
                <w:szCs w:val="24"/>
              </w:rPr>
              <w:t>:</w:t>
            </w:r>
          </w:p>
          <w:p w:rsidR="00576F75" w:rsidRPr="000236AE" w:rsidRDefault="00576F75" w:rsidP="00F5233C">
            <w:pPr>
              <w:pStyle w:val="Normalaftertitle"/>
              <w:spacing w:before="60"/>
              <w:ind w:left="284"/>
              <w:rPr>
                <w:rFonts w:ascii="Calibri" w:hAnsi="Calibri"/>
                <w:szCs w:val="24"/>
              </w:rPr>
            </w:pPr>
            <w:bookmarkStart w:id="0" w:name="Summary"/>
            <w:bookmarkEnd w:id="0"/>
            <w:r w:rsidRPr="000236AE">
              <w:rPr>
                <w:rFonts w:ascii="Calibri" w:hAnsi="Calibri"/>
              </w:rPr>
              <w:t>Este</w:t>
            </w:r>
            <w:r w:rsidRPr="000236AE">
              <w:rPr>
                <w:rFonts w:ascii="Calibri" w:hAnsi="Calibri"/>
                <w:szCs w:val="24"/>
              </w:rPr>
              <w:t xml:space="preserve"> documento contiene el resumen de los debates sostenidos en el Foro Regional de Desarrollo para Europa de la UIT, celebrado en Vilnius, Lituania, el 26 de abril de 2017, que precedió a la Reunión Preparatoria Regional de la CMDT-17 para Europa.</w:t>
            </w:r>
          </w:p>
          <w:p w:rsidR="00576F75" w:rsidRPr="000236AE" w:rsidRDefault="00576F75" w:rsidP="00F5233C">
            <w:pPr>
              <w:pStyle w:val="Normalaftertitle"/>
              <w:spacing w:before="120"/>
              <w:ind w:left="284"/>
              <w:rPr>
                <w:rFonts w:ascii="Calibri" w:hAnsi="Calibri"/>
                <w:b/>
                <w:bCs/>
                <w:szCs w:val="24"/>
              </w:rPr>
            </w:pPr>
            <w:r w:rsidRPr="000236AE">
              <w:rPr>
                <w:rFonts w:ascii="Calibri" w:hAnsi="Calibri"/>
                <w:b/>
                <w:bCs/>
              </w:rPr>
              <w:t>Resultados</w:t>
            </w:r>
            <w:r w:rsidRPr="000236AE">
              <w:rPr>
                <w:rFonts w:ascii="Calibri" w:hAnsi="Calibri"/>
                <w:b/>
                <w:bCs/>
                <w:szCs w:val="24"/>
              </w:rPr>
              <w:t xml:space="preserve"> previstos:</w:t>
            </w:r>
          </w:p>
          <w:p w:rsidR="00576F75" w:rsidRPr="000236AE" w:rsidRDefault="00576F75" w:rsidP="00F5233C">
            <w:pPr>
              <w:pStyle w:val="Normalaftertitle"/>
              <w:spacing w:before="60"/>
              <w:ind w:left="284"/>
              <w:rPr>
                <w:rFonts w:ascii="Calibri" w:hAnsi="Calibri"/>
                <w:szCs w:val="24"/>
              </w:rPr>
            </w:pPr>
            <w:r w:rsidRPr="000236AE">
              <w:rPr>
                <w:rFonts w:ascii="Calibri" w:hAnsi="Calibri"/>
                <w:szCs w:val="24"/>
              </w:rPr>
              <w:t>N/A</w:t>
            </w:r>
          </w:p>
          <w:p w:rsidR="00576F75" w:rsidRPr="000236AE" w:rsidRDefault="00576F75" w:rsidP="00F5233C">
            <w:pPr>
              <w:pStyle w:val="Normalaftertitle"/>
              <w:spacing w:before="120"/>
              <w:ind w:left="284"/>
              <w:rPr>
                <w:rFonts w:ascii="Calibri" w:hAnsi="Calibri"/>
                <w:b/>
                <w:bCs/>
                <w:szCs w:val="24"/>
              </w:rPr>
            </w:pPr>
            <w:r w:rsidRPr="000236AE">
              <w:rPr>
                <w:rFonts w:ascii="Calibri" w:hAnsi="Calibri"/>
                <w:b/>
                <w:bCs/>
              </w:rPr>
              <w:t>Referencias</w:t>
            </w:r>
            <w:r w:rsidRPr="000236AE">
              <w:rPr>
                <w:rFonts w:ascii="Calibri" w:hAnsi="Calibri"/>
                <w:b/>
                <w:bCs/>
                <w:szCs w:val="24"/>
              </w:rPr>
              <w:t>:</w:t>
            </w:r>
          </w:p>
          <w:p w:rsidR="00576F75" w:rsidRPr="000236AE" w:rsidRDefault="00576F75" w:rsidP="00F5233C">
            <w:pPr>
              <w:pStyle w:val="Normalaftertitle"/>
              <w:spacing w:before="60"/>
              <w:ind w:left="284"/>
              <w:rPr>
                <w:rFonts w:ascii="Calibri" w:hAnsi="Calibri"/>
                <w:szCs w:val="24"/>
              </w:rPr>
            </w:pPr>
            <w:bookmarkStart w:id="1" w:name="References"/>
            <w:bookmarkEnd w:id="1"/>
            <w:r w:rsidRPr="000236AE">
              <w:rPr>
                <w:rFonts w:ascii="Calibri" w:hAnsi="Calibri"/>
                <w:szCs w:val="24"/>
              </w:rPr>
              <w:t>N/A</w:t>
            </w:r>
          </w:p>
        </w:tc>
      </w:tr>
    </w:tbl>
    <w:p w:rsidR="00576F75" w:rsidRPr="000236AE" w:rsidRDefault="00576F75" w:rsidP="006E02F1">
      <w:pPr>
        <w:tabs>
          <w:tab w:val="left" w:pos="1951"/>
        </w:tabs>
        <w:spacing w:before="240"/>
        <w:rPr>
          <w:rFonts w:ascii="Calibri" w:hAnsi="Calibri"/>
          <w:sz w:val="28"/>
          <w:lang w:val="es-ES_tradnl"/>
        </w:rPr>
      </w:pPr>
    </w:p>
    <w:p w:rsidR="00576F75" w:rsidRPr="000236AE" w:rsidRDefault="00576F75" w:rsidP="006E02F1">
      <w:pPr>
        <w:tabs>
          <w:tab w:val="left" w:pos="1951"/>
        </w:tabs>
        <w:spacing w:before="240"/>
        <w:rPr>
          <w:rFonts w:ascii="Calibri" w:hAnsi="Calibri"/>
          <w:sz w:val="28"/>
          <w:lang w:val="es-ES_tradnl"/>
        </w:rPr>
      </w:pPr>
      <w:r w:rsidRPr="000236AE">
        <w:rPr>
          <w:rFonts w:ascii="Calibri" w:hAnsi="Calibri"/>
          <w:sz w:val="28"/>
          <w:lang w:val="es-ES_tradnl"/>
        </w:rPr>
        <w:br w:type="page"/>
      </w:r>
    </w:p>
    <w:p w:rsidR="00576F75" w:rsidRPr="000236AE" w:rsidRDefault="00576F75" w:rsidP="00784D25">
      <w:pPr>
        <w:pStyle w:val="Heading1"/>
        <w:rPr>
          <w:rFonts w:ascii="Calibri" w:hAnsi="Calibri"/>
          <w:b w:val="0"/>
          <w:bCs/>
        </w:rPr>
      </w:pPr>
      <w:r w:rsidRPr="000236AE">
        <w:rPr>
          <w:rFonts w:ascii="Calibri" w:hAnsi="Calibri"/>
          <w:sz w:val="24"/>
        </w:rPr>
        <w:lastRenderedPageBreak/>
        <w:t>Antecedentes</w:t>
      </w:r>
    </w:p>
    <w:p w:rsidR="00576F75" w:rsidRPr="000236AE" w:rsidRDefault="00576F75" w:rsidP="00100C09">
      <w:pPr>
        <w:tabs>
          <w:tab w:val="left" w:pos="567"/>
          <w:tab w:val="left" w:pos="1134"/>
        </w:tabs>
        <w:rPr>
          <w:rFonts w:ascii="Calibri" w:hAnsi="Calibri" w:cs="Segoe UI"/>
          <w:sz w:val="24"/>
          <w:szCs w:val="24"/>
          <w:lang w:val="es-ES_tradnl"/>
        </w:rPr>
      </w:pPr>
      <w:r w:rsidRPr="000236AE">
        <w:rPr>
          <w:rFonts w:ascii="Calibri" w:hAnsi="Calibri" w:cs="Segoe UI"/>
          <w:sz w:val="24"/>
          <w:szCs w:val="24"/>
          <w:lang w:val="es-ES_tradnl"/>
        </w:rPr>
        <w:t xml:space="preserve">El Foro Regional de Desarrollo de la UIT para la Región de Europa (FRD-EUR) fue organizado por la Oficina de Desarrollo de las Telecomunicaciones (BDT) de la Unión Internacional de Telecomunicaciones (UIT) en Vilnius, República de Lituania, el 26 de abril de 2017, atendiendo la amable invitación de la Autoridad de Reglamentación de las Comunicaciones de la República de Lituania en colaboración con el Ministerio de Transportes y Comunicaciones de la República de Lituania (MTC). </w:t>
      </w:r>
    </w:p>
    <w:p w:rsidR="00576F75" w:rsidRPr="000236AE" w:rsidRDefault="00576F75" w:rsidP="006A470C">
      <w:pPr>
        <w:tabs>
          <w:tab w:val="left" w:pos="567"/>
          <w:tab w:val="left" w:pos="1134"/>
        </w:tabs>
        <w:rPr>
          <w:rFonts w:ascii="Calibri" w:hAnsi="Calibri" w:cs="Segoe UI"/>
          <w:sz w:val="24"/>
          <w:szCs w:val="24"/>
          <w:lang w:val="es-ES_tradnl"/>
        </w:rPr>
      </w:pPr>
      <w:r w:rsidRPr="000236AE">
        <w:rPr>
          <w:rFonts w:ascii="Calibri" w:hAnsi="Calibri" w:cs="Segoe UI"/>
          <w:sz w:val="24"/>
          <w:szCs w:val="24"/>
          <w:lang w:val="es-ES_tradnl"/>
        </w:rPr>
        <w:t xml:space="preserve">El Foro se celebró la víspera de la Reunión Preparatoria Regional de la Conferencia Mundial de Desarrollo de las Telecomunicaciones de 2017 (CMDT-17) para </w:t>
      </w:r>
      <w:r w:rsidR="00694554">
        <w:rPr>
          <w:rFonts w:ascii="Calibri" w:hAnsi="Calibri" w:cs="Segoe UI"/>
          <w:sz w:val="24"/>
          <w:szCs w:val="24"/>
          <w:lang w:val="es-ES_tradnl"/>
        </w:rPr>
        <w:t xml:space="preserve">la Región de Europa (RPR-EUR). </w:t>
      </w:r>
      <w:r w:rsidRPr="000236AE">
        <w:rPr>
          <w:rFonts w:ascii="Calibri" w:hAnsi="Calibri" w:cs="Segoe UI"/>
          <w:sz w:val="24"/>
          <w:szCs w:val="24"/>
          <w:lang w:val="es-ES_tradnl"/>
        </w:rPr>
        <w:t xml:space="preserve">El principal objetivo del FRD-EUR era tratar de los Objetivos de Desarrollo Sostenible (ODS) y de su repercusión deseada en los países en desarrollo de la Región de Europa, principalmente en lo que respecta al desarrollo de la infraestructura de TIC, la confianza y la seguridad en la utilización de las TIC, la integración digital, la innovación y las asociaciones multipartitas. En el Foro también se resaltaron los aspectos más importantes del desarrollo de las TIC después de 2017 que contribuirán a la consecución de los ODS. El resultado del Foro se presenta como documento de información a la RPR-EUR. </w:t>
      </w:r>
    </w:p>
    <w:p w:rsidR="00576F75" w:rsidRPr="000236AE" w:rsidRDefault="00576F75" w:rsidP="00477B4C">
      <w:pPr>
        <w:tabs>
          <w:tab w:val="left" w:pos="567"/>
          <w:tab w:val="left" w:pos="1134"/>
        </w:tabs>
        <w:rPr>
          <w:rStyle w:val="Hyperlink"/>
          <w:rFonts w:ascii="Calibri" w:hAnsi="Calibri" w:cs="Segoe UI"/>
          <w:sz w:val="24"/>
          <w:szCs w:val="24"/>
          <w:lang w:val="es-ES_tradnl"/>
        </w:rPr>
      </w:pPr>
      <w:r w:rsidRPr="000236AE">
        <w:rPr>
          <w:rFonts w:ascii="Calibri" w:hAnsi="Calibri"/>
          <w:sz w:val="24"/>
          <w:szCs w:val="24"/>
          <w:lang w:val="es-ES_tradnl"/>
        </w:rPr>
        <w:t>A la reunión asistieron 84 participantes, incluidos 48 represent</w:t>
      </w:r>
      <w:r w:rsidR="00D03BAA" w:rsidRPr="000236AE">
        <w:rPr>
          <w:rFonts w:ascii="Calibri" w:hAnsi="Calibri"/>
          <w:sz w:val="24"/>
          <w:szCs w:val="24"/>
          <w:lang w:val="es-ES_tradnl"/>
        </w:rPr>
        <w:t>antes de 20 Estados Miembros, 3 </w:t>
      </w:r>
      <w:r w:rsidRPr="000236AE">
        <w:rPr>
          <w:rFonts w:ascii="Calibri" w:hAnsi="Calibri"/>
          <w:sz w:val="24"/>
          <w:szCs w:val="24"/>
          <w:lang w:val="es-ES_tradnl"/>
        </w:rPr>
        <w:t>Miembros de Sector, 7 Estados Miembros Observadores y 1 Estado Miembro Observador; 2 representantes de las Naciones Unidas y sus organismos especializados y 11 participantes invitados. La lista de participantes puede consultarse</w:t>
      </w:r>
      <w:r w:rsidRPr="000236AE">
        <w:rPr>
          <w:rFonts w:ascii="Calibri" w:hAnsi="Calibri" w:cs="Segoe UI"/>
          <w:sz w:val="24"/>
          <w:szCs w:val="24"/>
          <w:lang w:val="es-ES_tradnl"/>
        </w:rPr>
        <w:t xml:space="preserve"> </w:t>
      </w:r>
      <w:hyperlink r:id="rId9" w:history="1">
        <w:r w:rsidRPr="000236AE">
          <w:rPr>
            <w:rStyle w:val="Hyperlink"/>
            <w:rFonts w:ascii="Calibri" w:hAnsi="Calibri" w:cs="Segoe UI"/>
            <w:sz w:val="24"/>
            <w:szCs w:val="24"/>
            <w:lang w:val="es-ES_tradnl"/>
          </w:rPr>
          <w:t>aquí</w:t>
        </w:r>
      </w:hyperlink>
      <w:r w:rsidRPr="000236AE">
        <w:rPr>
          <w:rFonts w:ascii="Calibri" w:hAnsi="Calibri" w:cs="Segoe UI"/>
          <w:sz w:val="24"/>
          <w:szCs w:val="24"/>
          <w:lang w:val="es-ES_tradnl"/>
        </w:rPr>
        <w:t xml:space="preserve">. En este Informe se resumen los temas tratados, así como los identificados en el transcurso del Foro. El orden del día y este Informe pueden encontrarse en la </w:t>
      </w:r>
      <w:r w:rsidRPr="000236AE">
        <w:rPr>
          <w:rFonts w:ascii="Calibri" w:hAnsi="Calibri" w:cs="Segoe UI"/>
          <w:sz w:val="24"/>
          <w:szCs w:val="24"/>
          <w:lang w:val="es-ES_tradnl"/>
        </w:rPr>
        <w:fldChar w:fldCharType="begin"/>
      </w:r>
      <w:r w:rsidRPr="000236AE">
        <w:rPr>
          <w:rFonts w:ascii="Calibri" w:hAnsi="Calibri" w:cs="Segoe UI"/>
          <w:sz w:val="24"/>
          <w:szCs w:val="24"/>
          <w:lang w:val="es-ES_tradnl"/>
        </w:rPr>
        <w:instrText>HYPERLINK "http://www.itu.int/en/ITU-D/Conferences/WTDC/WTDC17/RPM-EUR/Pages/default.aspx"</w:instrText>
      </w:r>
      <w:r w:rsidRPr="000236AE">
        <w:rPr>
          <w:rFonts w:ascii="Calibri" w:hAnsi="Calibri" w:cs="Segoe UI"/>
          <w:sz w:val="24"/>
          <w:szCs w:val="24"/>
          <w:lang w:val="es-ES_tradnl"/>
        </w:rPr>
        <w:fldChar w:fldCharType="separate"/>
      </w:r>
      <w:r w:rsidRPr="000236AE">
        <w:rPr>
          <w:rStyle w:val="Hyperlink"/>
          <w:rFonts w:ascii="Calibri" w:hAnsi="Calibri" w:cs="Segoe UI"/>
          <w:sz w:val="24"/>
          <w:szCs w:val="24"/>
          <w:lang w:val="es-ES_tradnl"/>
        </w:rPr>
        <w:t>página web del evento.</w:t>
      </w:r>
    </w:p>
    <w:p w:rsidR="00576F75" w:rsidRPr="000236AE" w:rsidRDefault="00576F75" w:rsidP="00784D25">
      <w:pPr>
        <w:pStyle w:val="Heading1"/>
        <w:rPr>
          <w:rStyle w:val="Strong"/>
          <w:rFonts w:ascii="Calibri" w:hAnsi="Calibri"/>
          <w:sz w:val="24"/>
          <w:szCs w:val="24"/>
        </w:rPr>
      </w:pPr>
      <w:r w:rsidRPr="000236AE">
        <w:rPr>
          <w:rFonts w:ascii="Calibri" w:hAnsi="Calibri" w:cs="Segoe UI"/>
          <w:sz w:val="24"/>
          <w:szCs w:val="24"/>
        </w:rPr>
        <w:fldChar w:fldCharType="end"/>
      </w:r>
      <w:r w:rsidRPr="000236AE">
        <w:rPr>
          <w:rFonts w:ascii="Calibri" w:hAnsi="Calibri"/>
          <w:sz w:val="24"/>
        </w:rPr>
        <w:t>Ceremonia de apertura</w:t>
      </w:r>
    </w:p>
    <w:p w:rsidR="00576F75" w:rsidRPr="000236AE" w:rsidRDefault="00576F75" w:rsidP="00477B4C">
      <w:pPr>
        <w:tabs>
          <w:tab w:val="left" w:pos="567"/>
          <w:tab w:val="left" w:pos="1134"/>
        </w:tabs>
        <w:rPr>
          <w:rFonts w:ascii="Calibri" w:hAnsi="Calibri" w:cs="Segoe UI"/>
          <w:sz w:val="24"/>
          <w:szCs w:val="24"/>
          <w:lang w:val="es-ES_tradnl"/>
        </w:rPr>
      </w:pPr>
      <w:r w:rsidRPr="000236AE">
        <w:rPr>
          <w:rFonts w:ascii="Calibri" w:hAnsi="Calibri" w:cs="Segoe UI"/>
          <w:sz w:val="24"/>
          <w:szCs w:val="24"/>
          <w:lang w:val="es-ES_tradnl"/>
        </w:rPr>
        <w:t xml:space="preserve">Los siguientes oradores de alto nivel pronunciaron las alocuciones de apertura: </w:t>
      </w:r>
    </w:p>
    <w:p w:rsidR="00576F75" w:rsidRPr="000236AE" w:rsidRDefault="00A163BA" w:rsidP="00A163BA">
      <w:pPr>
        <w:pStyle w:val="enumlev1"/>
        <w:rPr>
          <w:rFonts w:ascii="Calibri" w:hAnsi="Calibri"/>
        </w:rPr>
      </w:pPr>
      <w:r w:rsidRPr="000236AE">
        <w:rPr>
          <w:rFonts w:ascii="Calibri" w:hAnsi="Calibri"/>
        </w:rPr>
        <w:t>•</w:t>
      </w:r>
      <w:r w:rsidRPr="000236AE">
        <w:rPr>
          <w:rFonts w:ascii="Calibri" w:hAnsi="Calibri"/>
        </w:rPr>
        <w:tab/>
      </w:r>
      <w:r w:rsidR="00576F75" w:rsidRPr="000236AE">
        <w:rPr>
          <w:rFonts w:ascii="Calibri" w:hAnsi="Calibri"/>
        </w:rPr>
        <w:t>Excmo. Sr. Ričardas Degutis, Viceministro de Transportes y Comunicaciones de la República de Lituania (MTC)</w:t>
      </w:r>
    </w:p>
    <w:p w:rsidR="00576F75" w:rsidRPr="000236AE" w:rsidRDefault="00A163BA" w:rsidP="00A163BA">
      <w:pPr>
        <w:pStyle w:val="enumlev1"/>
        <w:rPr>
          <w:rFonts w:ascii="Calibri" w:hAnsi="Calibri" w:cs="Segoe UI"/>
          <w:szCs w:val="24"/>
        </w:rPr>
      </w:pPr>
      <w:r w:rsidRPr="000236AE">
        <w:rPr>
          <w:rFonts w:ascii="Calibri" w:hAnsi="Calibri" w:cs="Segoe UI"/>
          <w:szCs w:val="24"/>
        </w:rPr>
        <w:t>•</w:t>
      </w:r>
      <w:r w:rsidRPr="000236AE">
        <w:rPr>
          <w:rFonts w:ascii="Calibri" w:hAnsi="Calibri" w:cs="Segoe UI"/>
          <w:szCs w:val="24"/>
        </w:rPr>
        <w:tab/>
      </w:r>
      <w:r w:rsidR="00576F75" w:rsidRPr="000236AE">
        <w:rPr>
          <w:rFonts w:ascii="Calibri" w:hAnsi="Calibri" w:cs="Segoe UI"/>
          <w:szCs w:val="24"/>
        </w:rPr>
        <w:t xml:space="preserve">Sr. Brahima Sanou, Director de la Oficina de Desarrollo de las Telecomunicaciones, Unión Internacional de Telecomunicaciones </w:t>
      </w:r>
    </w:p>
    <w:p w:rsidR="00576F75" w:rsidRPr="000236AE" w:rsidRDefault="00A163BA" w:rsidP="00A163BA">
      <w:pPr>
        <w:pStyle w:val="enumlev1"/>
        <w:rPr>
          <w:rFonts w:ascii="Calibri" w:hAnsi="Calibri" w:cs="Segoe UI"/>
          <w:szCs w:val="24"/>
        </w:rPr>
      </w:pPr>
      <w:r w:rsidRPr="000236AE">
        <w:rPr>
          <w:rFonts w:ascii="Calibri" w:hAnsi="Calibri" w:cs="Segoe UI"/>
          <w:szCs w:val="24"/>
        </w:rPr>
        <w:t>•</w:t>
      </w:r>
      <w:r w:rsidRPr="000236AE">
        <w:rPr>
          <w:rFonts w:ascii="Calibri" w:hAnsi="Calibri" w:cs="Segoe UI"/>
          <w:szCs w:val="24"/>
        </w:rPr>
        <w:tab/>
      </w:r>
      <w:r w:rsidR="00576F75" w:rsidRPr="000236AE">
        <w:rPr>
          <w:rFonts w:ascii="Calibri" w:hAnsi="Calibri" w:cs="Segoe UI"/>
          <w:szCs w:val="24"/>
        </w:rPr>
        <w:t xml:space="preserve">Sr. Manuel da Costa Cabral, Presidente del Com-ITU de la CEPT (Conferencia Europea de Administraciones de Correos y Telecomunicaciones) </w:t>
      </w:r>
    </w:p>
    <w:p w:rsidR="00576F75" w:rsidRPr="000236AE" w:rsidRDefault="00576F75" w:rsidP="00477B4C">
      <w:pPr>
        <w:tabs>
          <w:tab w:val="left" w:pos="567"/>
          <w:tab w:val="left" w:pos="1134"/>
        </w:tabs>
        <w:rPr>
          <w:rFonts w:ascii="Calibri" w:hAnsi="Calibri" w:cs="Segoe UI"/>
          <w:sz w:val="24"/>
          <w:szCs w:val="24"/>
          <w:lang w:val="es-ES_tradnl"/>
        </w:rPr>
      </w:pPr>
      <w:r w:rsidRPr="00EA3EE6">
        <w:rPr>
          <w:lang w:val="es-ES_tradnl"/>
        </w:rPr>
        <w:t xml:space="preserve">El </w:t>
      </w:r>
      <w:r w:rsidRPr="000236AE">
        <w:rPr>
          <w:rFonts w:ascii="Calibri" w:hAnsi="Calibri" w:cs="Segoe UI"/>
          <w:b/>
          <w:i/>
          <w:iCs/>
          <w:sz w:val="24"/>
          <w:szCs w:val="24"/>
          <w:lang w:val="es-ES_tradnl"/>
        </w:rPr>
        <w:t>Excmo. Sr. Ričardas Degutis</w:t>
      </w:r>
      <w:r w:rsidRPr="000236AE">
        <w:rPr>
          <w:rFonts w:ascii="Calibri" w:hAnsi="Calibri" w:cs="Segoe UI"/>
          <w:sz w:val="24"/>
          <w:szCs w:val="24"/>
          <w:lang w:val="es-ES_tradnl"/>
        </w:rPr>
        <w:t xml:space="preserve"> dio la bienvenida a todos los participantes al FRD-EUR señalando que el tema al que está dedicado, </w:t>
      </w:r>
      <w:r w:rsidR="00694554">
        <w:rPr>
          <w:rFonts w:ascii="Calibri" w:hAnsi="Calibri" w:cs="Segoe UI"/>
          <w:sz w:val="24"/>
          <w:szCs w:val="24"/>
          <w:lang w:val="es-ES_tradnl"/>
        </w:rPr>
        <w:t>"</w:t>
      </w:r>
      <w:r w:rsidRPr="000236AE">
        <w:rPr>
          <w:rFonts w:ascii="Calibri" w:hAnsi="Calibri" w:cs="Segoe UI"/>
          <w:sz w:val="24"/>
          <w:szCs w:val="24"/>
          <w:lang w:val="es-ES_tradnl"/>
        </w:rPr>
        <w:t>TIC para el desarrollo sostenible</w:t>
      </w:r>
      <w:r w:rsidR="00694554">
        <w:rPr>
          <w:rFonts w:ascii="Calibri" w:hAnsi="Calibri" w:cs="Segoe UI"/>
          <w:sz w:val="24"/>
          <w:szCs w:val="24"/>
          <w:lang w:val="es-ES_tradnl"/>
        </w:rPr>
        <w:t>"</w:t>
      </w:r>
      <w:r w:rsidRPr="000236AE">
        <w:rPr>
          <w:rFonts w:ascii="Calibri" w:hAnsi="Calibri" w:cs="Segoe UI"/>
          <w:sz w:val="24"/>
          <w:szCs w:val="24"/>
          <w:lang w:val="es-ES_tradnl"/>
        </w:rPr>
        <w:t xml:space="preserve">, es muy oportuno, pues es ahora cuando se han de conseguir los Objetivos </w:t>
      </w:r>
      <w:r w:rsidR="00694554">
        <w:rPr>
          <w:rFonts w:ascii="Calibri" w:hAnsi="Calibri" w:cs="Segoe UI"/>
          <w:sz w:val="24"/>
          <w:szCs w:val="24"/>
          <w:lang w:val="es-ES_tradnl"/>
        </w:rPr>
        <w:t>de Desarrollo Sostenible (ODS).</w:t>
      </w:r>
    </w:p>
    <w:p w:rsidR="00576F75" w:rsidRPr="000236AE" w:rsidRDefault="00576F75" w:rsidP="00477B4C">
      <w:pPr>
        <w:rPr>
          <w:rFonts w:ascii="Calibri" w:hAnsi="Calibri"/>
          <w:color w:val="000000"/>
          <w:sz w:val="24"/>
          <w:szCs w:val="24"/>
          <w:lang w:val="es-ES_tradnl"/>
        </w:rPr>
      </w:pPr>
      <w:r w:rsidRPr="000236AE">
        <w:rPr>
          <w:rFonts w:ascii="Calibri" w:hAnsi="Calibri"/>
          <w:color w:val="000000"/>
          <w:sz w:val="24"/>
          <w:szCs w:val="24"/>
          <w:lang w:val="es-ES_tradnl"/>
        </w:rPr>
        <w:t>Insistió en la importancia de las TIC para el desarrollo y en cómo se han convertido en un mecanismo clave para garantizar el acceso equitativo a los servicios para todos. Todas las personas tienen derecho a utilizar las TIC y su contenido de la manera que más les convenga o resulte más cómoda. La 5G, la economía de los datos, la Internet de las cosas, los macrodatos, la confianza, la integración y la seguridad son los temas candentes del ecosistema de las TIC.</w:t>
      </w:r>
    </w:p>
    <w:p w:rsidR="00576F75" w:rsidRPr="000236AE" w:rsidRDefault="00576F75" w:rsidP="00477B4C">
      <w:pPr>
        <w:rPr>
          <w:rFonts w:ascii="Calibri" w:hAnsi="Calibri" w:cs="Calibri"/>
          <w:sz w:val="24"/>
          <w:szCs w:val="24"/>
          <w:lang w:val="es-ES_tradnl"/>
        </w:rPr>
      </w:pPr>
      <w:r w:rsidRPr="000236AE">
        <w:rPr>
          <w:rFonts w:ascii="Calibri" w:hAnsi="Calibri" w:cs="Segoe UI"/>
          <w:sz w:val="24"/>
          <w:szCs w:val="24"/>
          <w:lang w:val="es-ES_tradnl"/>
        </w:rPr>
        <w:t>Por ultimo hizo hincapié en el compromiso de Lituania para con la consecución de los ODS y su apoyo a la UIT, así como en el papel del FRD como plataforma de alto nivel para los debates multipartitos</w:t>
      </w:r>
      <w:r w:rsidRPr="000236AE">
        <w:rPr>
          <w:rFonts w:ascii="Calibri" w:hAnsi="Calibri" w:cs="Calibri"/>
          <w:sz w:val="24"/>
          <w:szCs w:val="24"/>
          <w:lang w:val="es-ES_tradnl"/>
        </w:rPr>
        <w:t xml:space="preserve">. </w:t>
      </w:r>
    </w:p>
    <w:p w:rsidR="00576F75" w:rsidRPr="000236AE" w:rsidRDefault="00576F75" w:rsidP="00A565E8">
      <w:pPr>
        <w:tabs>
          <w:tab w:val="left" w:pos="567"/>
          <w:tab w:val="left" w:pos="1134"/>
        </w:tabs>
        <w:rPr>
          <w:rFonts w:ascii="Calibri" w:hAnsi="Calibri" w:cs="Segoe UI"/>
          <w:sz w:val="24"/>
          <w:szCs w:val="24"/>
          <w:lang w:val="es-ES_tradnl"/>
        </w:rPr>
      </w:pPr>
      <w:r w:rsidRPr="00F03C51">
        <w:rPr>
          <w:lang w:val="es-ES_tradnl"/>
        </w:rPr>
        <w:t xml:space="preserve">El </w:t>
      </w:r>
      <w:r w:rsidRPr="00333AB3">
        <w:rPr>
          <w:rFonts w:ascii="Calibri" w:hAnsi="Calibri" w:cs="Segoe UI"/>
          <w:b/>
          <w:i/>
          <w:iCs/>
          <w:sz w:val="24"/>
          <w:szCs w:val="24"/>
          <w:lang w:val="es-ES_tradnl"/>
        </w:rPr>
        <w:t>Sr. Brahima Sanou</w:t>
      </w:r>
      <w:r w:rsidRPr="000236AE">
        <w:rPr>
          <w:rFonts w:ascii="Calibri" w:hAnsi="Calibri" w:cs="Segoe UI"/>
          <w:sz w:val="24"/>
          <w:szCs w:val="24"/>
          <w:lang w:val="es-ES_tradnl"/>
        </w:rPr>
        <w:t xml:space="preserve"> dio las gracias al Gobierno de Lituania, representado por el Excmo. Sr. Ričardas Degutis, y dio la bienvenida a los delegados de alto nivel presentes.</w:t>
      </w:r>
    </w:p>
    <w:p w:rsidR="00576F75" w:rsidRPr="000236AE" w:rsidRDefault="00576F75" w:rsidP="00727A28">
      <w:pPr>
        <w:keepLines/>
        <w:tabs>
          <w:tab w:val="left" w:pos="567"/>
          <w:tab w:val="left" w:pos="1134"/>
        </w:tabs>
        <w:rPr>
          <w:rFonts w:ascii="Calibri" w:hAnsi="Calibri" w:cs="Segoe UI"/>
          <w:sz w:val="24"/>
          <w:szCs w:val="24"/>
          <w:lang w:val="es-ES_tradnl"/>
        </w:rPr>
      </w:pPr>
      <w:r w:rsidRPr="000236AE">
        <w:rPr>
          <w:rFonts w:ascii="Calibri" w:hAnsi="Calibri" w:cs="Segoe UI"/>
          <w:sz w:val="24"/>
          <w:szCs w:val="24"/>
          <w:lang w:val="es-ES_tradnl"/>
        </w:rPr>
        <w:lastRenderedPageBreak/>
        <w:t xml:space="preserve">El Sr. Sanou empezó diciendo que con la meta de los Objetivos de Desarrollo Sostenible (ODS) en mente, los </w:t>
      </w:r>
      <w:r w:rsidR="000236AE" w:rsidRPr="000236AE">
        <w:rPr>
          <w:rFonts w:ascii="Calibri" w:hAnsi="Calibri" w:cs="Segoe UI"/>
          <w:sz w:val="24"/>
          <w:szCs w:val="24"/>
          <w:lang w:val="es-ES_tradnl"/>
        </w:rPr>
        <w:t>políticos</w:t>
      </w:r>
      <w:r w:rsidRPr="000236AE">
        <w:rPr>
          <w:rFonts w:ascii="Calibri" w:hAnsi="Calibri" w:cs="Segoe UI"/>
          <w:sz w:val="24"/>
          <w:szCs w:val="24"/>
          <w:lang w:val="es-ES_tradnl"/>
        </w:rPr>
        <w:t xml:space="preserve">, los reguladores, el sector privado, los socios en el desarrollo y todos los interesados del ecosistema de las TIC tienen más que nunca la necesidad de entablar un diálogo integrador, multipartito y colaborativo para alcanzar el desarrollo socioeconómico. </w:t>
      </w:r>
    </w:p>
    <w:p w:rsidR="00576F75" w:rsidRPr="000236AE" w:rsidRDefault="00576F75" w:rsidP="00A565E8">
      <w:pPr>
        <w:tabs>
          <w:tab w:val="left" w:pos="567"/>
          <w:tab w:val="left" w:pos="1134"/>
        </w:tabs>
        <w:rPr>
          <w:rFonts w:ascii="Calibri" w:hAnsi="Calibri" w:cs="Segoe UI"/>
          <w:sz w:val="24"/>
          <w:szCs w:val="24"/>
          <w:lang w:val="es-ES_tradnl"/>
        </w:rPr>
      </w:pPr>
      <w:r w:rsidRPr="000236AE">
        <w:rPr>
          <w:rFonts w:ascii="Calibri" w:hAnsi="Calibri" w:cs="Segoe UI"/>
          <w:sz w:val="24"/>
          <w:szCs w:val="24"/>
          <w:lang w:val="es-ES_tradnl"/>
        </w:rPr>
        <w:t xml:space="preserve">Insistió en el papel clave que desempeñan las TIC como una de las soluciones para </w:t>
      </w:r>
      <w:r w:rsidR="000236AE" w:rsidRPr="000236AE">
        <w:rPr>
          <w:rFonts w:ascii="Calibri" w:hAnsi="Calibri" w:cs="Segoe UI"/>
          <w:sz w:val="24"/>
          <w:szCs w:val="24"/>
          <w:lang w:val="es-ES_tradnl"/>
        </w:rPr>
        <w:t>alcanzar</w:t>
      </w:r>
      <w:r w:rsidRPr="000236AE">
        <w:rPr>
          <w:rFonts w:ascii="Calibri" w:hAnsi="Calibri" w:cs="Segoe UI"/>
          <w:sz w:val="24"/>
          <w:szCs w:val="24"/>
          <w:lang w:val="es-ES_tradnl"/>
        </w:rPr>
        <w:t xml:space="preserve"> los ODS, no como parte del problema. Subrayó que es necesario dar a conocer el potencial de las TIC como </w:t>
      </w:r>
      <w:r w:rsidR="000236AE" w:rsidRPr="000236AE">
        <w:rPr>
          <w:rFonts w:ascii="Calibri" w:hAnsi="Calibri" w:cs="Segoe UI"/>
          <w:sz w:val="24"/>
          <w:szCs w:val="24"/>
          <w:lang w:val="es-ES_tradnl"/>
        </w:rPr>
        <w:t>elemento</w:t>
      </w:r>
      <w:r w:rsidRPr="000236AE">
        <w:rPr>
          <w:rFonts w:ascii="Calibri" w:hAnsi="Calibri" w:cs="Segoe UI"/>
          <w:sz w:val="24"/>
          <w:szCs w:val="24"/>
          <w:lang w:val="es-ES_tradnl"/>
        </w:rPr>
        <w:t xml:space="preserve"> catalizador y propiciador de los procesos relacionados con los ODS y dijo que, en su calidad de Director de la Oficina de Desarrollo de la UIT, está plenamente a favor de que la comunidad internacional entable un diálogo sobre el papel de las TIC. Además, insistió en la importancia de la comunicación con la comunidad a fin de transmitir un mensaje claro sobre la necesidad de colaborar y cooperar en pro de la consecución de los ODS.</w:t>
      </w:r>
    </w:p>
    <w:p w:rsidR="00576F75" w:rsidRPr="000236AE" w:rsidRDefault="00576F75" w:rsidP="00A565E8">
      <w:pPr>
        <w:tabs>
          <w:tab w:val="left" w:pos="567"/>
          <w:tab w:val="left" w:pos="1134"/>
        </w:tabs>
        <w:rPr>
          <w:rFonts w:ascii="Calibri" w:hAnsi="Calibri" w:cs="Segoe UI"/>
          <w:sz w:val="24"/>
          <w:szCs w:val="24"/>
          <w:lang w:val="es-ES_tradnl"/>
        </w:rPr>
      </w:pPr>
      <w:r w:rsidRPr="000236AE">
        <w:rPr>
          <w:rFonts w:ascii="Calibri" w:hAnsi="Calibri" w:cs="Segoe UI"/>
          <w:sz w:val="24"/>
          <w:szCs w:val="24"/>
          <w:lang w:val="es-ES_tradnl"/>
        </w:rPr>
        <w:t xml:space="preserve">Por </w:t>
      </w:r>
      <w:r w:rsidR="000236AE" w:rsidRPr="000236AE">
        <w:rPr>
          <w:rFonts w:ascii="Calibri" w:hAnsi="Calibri" w:cs="Segoe UI"/>
          <w:sz w:val="24"/>
          <w:szCs w:val="24"/>
          <w:lang w:val="es-ES_tradnl"/>
        </w:rPr>
        <w:t>último</w:t>
      </w:r>
      <w:r w:rsidRPr="000236AE">
        <w:rPr>
          <w:rFonts w:ascii="Calibri" w:hAnsi="Calibri" w:cs="Segoe UI"/>
          <w:sz w:val="24"/>
          <w:szCs w:val="24"/>
          <w:lang w:val="es-ES_tradnl"/>
        </w:rPr>
        <w:t xml:space="preserve">, expuso al FRD cómo la UIT, y en particular la BDT, </w:t>
      </w:r>
      <w:r w:rsidR="000236AE" w:rsidRPr="000236AE">
        <w:rPr>
          <w:rFonts w:ascii="Calibri" w:hAnsi="Calibri" w:cs="Segoe UI"/>
          <w:sz w:val="24"/>
          <w:szCs w:val="24"/>
          <w:lang w:val="es-ES_tradnl"/>
        </w:rPr>
        <w:t>están</w:t>
      </w:r>
      <w:r w:rsidRPr="000236AE">
        <w:rPr>
          <w:rFonts w:ascii="Calibri" w:hAnsi="Calibri" w:cs="Segoe UI"/>
          <w:sz w:val="24"/>
          <w:szCs w:val="24"/>
          <w:lang w:val="es-ES_tradnl"/>
        </w:rPr>
        <w:t xml:space="preserve"> facilitando ese diálogo al tiempo que lleva a cabo iniciativas a escala nacional, regional e internacional sobre temas prioritarios como son la salud-m, la Protección de la Infancia en Línea y la ciberagricultura. </w:t>
      </w:r>
    </w:p>
    <w:p w:rsidR="00576F75" w:rsidRPr="000236AE" w:rsidRDefault="00576F75" w:rsidP="00A565E8">
      <w:pPr>
        <w:tabs>
          <w:tab w:val="left" w:pos="567"/>
          <w:tab w:val="left" w:pos="1134"/>
        </w:tabs>
        <w:rPr>
          <w:rFonts w:ascii="Calibri" w:hAnsi="Calibri" w:cs="Segoe UI"/>
          <w:sz w:val="24"/>
          <w:szCs w:val="24"/>
          <w:lang w:val="es-ES_tradnl"/>
        </w:rPr>
      </w:pPr>
      <w:r w:rsidRPr="00F03C51">
        <w:rPr>
          <w:lang w:val="es-ES_tradnl"/>
        </w:rPr>
        <w:t xml:space="preserve">El </w:t>
      </w:r>
      <w:r w:rsidRPr="000236AE">
        <w:rPr>
          <w:rFonts w:ascii="Calibri" w:hAnsi="Calibri" w:cs="Segoe UI"/>
          <w:b/>
          <w:i/>
          <w:iCs/>
          <w:sz w:val="24"/>
          <w:szCs w:val="24"/>
          <w:lang w:val="es-ES_tradnl"/>
        </w:rPr>
        <w:t>Sr. Manuel da Costa Cabral</w:t>
      </w:r>
      <w:r w:rsidRPr="000236AE">
        <w:rPr>
          <w:rFonts w:ascii="Calibri" w:hAnsi="Calibri" w:cs="Segoe UI"/>
          <w:sz w:val="24"/>
          <w:szCs w:val="24"/>
          <w:lang w:val="es-ES_tradnl"/>
        </w:rPr>
        <w:t xml:space="preserve"> alabó la labor de la UIT al poner las TIC en el centro de los ODS y felicitó al Gobierno de Lituania por facilitar una plataforma para el diálogo. Insistió en que el desarrollo es una prioridad para los países europeos y afirmó que más de la mitad de las ayudas al desarrollo proceden de países europeos, lo que hace de este continente el mayor donante a nivel mundial, antes de añadir que la mayoría de esa ayuda está destinada a los países con bajos ingresos y menos adelantados</w:t>
      </w:r>
      <w:r w:rsidRPr="000236AE">
        <w:rPr>
          <w:rFonts w:ascii="Calibri" w:hAnsi="Calibri"/>
          <w:sz w:val="24"/>
          <w:szCs w:val="24"/>
          <w:lang w:val="es-ES_tradnl"/>
        </w:rPr>
        <w:t>.</w:t>
      </w:r>
    </w:p>
    <w:p w:rsidR="00576F75" w:rsidRPr="000236AE" w:rsidRDefault="00576F75" w:rsidP="00A565E8">
      <w:pPr>
        <w:tabs>
          <w:tab w:val="left" w:pos="567"/>
          <w:tab w:val="left" w:pos="1134"/>
        </w:tabs>
        <w:rPr>
          <w:rFonts w:ascii="Calibri" w:hAnsi="Calibri"/>
          <w:sz w:val="24"/>
          <w:szCs w:val="24"/>
          <w:lang w:val="es-ES_tradnl"/>
        </w:rPr>
      </w:pPr>
      <w:r w:rsidRPr="000236AE">
        <w:rPr>
          <w:rFonts w:ascii="Calibri" w:hAnsi="Calibri"/>
          <w:sz w:val="24"/>
          <w:szCs w:val="24"/>
          <w:lang w:val="es-ES_tradnl"/>
        </w:rPr>
        <w:t>A continuación dijo que el Sector de Desarrollo de la UIT ofrece oportunidades de cooperación y solidaridad en la prestación de asistencia técnica, así como para la mejora de los equipos y redes de telecomunicaciones y TIC en los países en desarrollo.</w:t>
      </w:r>
    </w:p>
    <w:p w:rsidR="00576F75" w:rsidRPr="000236AE" w:rsidRDefault="00576F75" w:rsidP="006A6E4C">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Por ultimo dijo que en la Agenda de Desarrollo Sostenible de 2030 se fijan metas </w:t>
      </w:r>
      <w:r w:rsidR="000236AE" w:rsidRPr="000236AE">
        <w:rPr>
          <w:rFonts w:ascii="Calibri" w:hAnsi="Calibri"/>
          <w:sz w:val="24"/>
          <w:szCs w:val="24"/>
          <w:lang w:val="es-ES_tradnl"/>
        </w:rPr>
        <w:t>específicas</w:t>
      </w:r>
      <w:r w:rsidR="000236AE">
        <w:rPr>
          <w:rFonts w:ascii="Calibri" w:hAnsi="Calibri"/>
          <w:sz w:val="24"/>
          <w:szCs w:val="24"/>
          <w:lang w:val="es-ES_tradnl"/>
        </w:rPr>
        <w:t xml:space="preserve"> y que las </w:t>
      </w:r>
      <w:r w:rsidRPr="000236AE">
        <w:rPr>
          <w:rFonts w:ascii="Calibri" w:hAnsi="Calibri"/>
          <w:sz w:val="24"/>
          <w:szCs w:val="24"/>
          <w:lang w:val="es-ES_tradnl"/>
        </w:rPr>
        <w:t xml:space="preserve">TIC pueden propiciar y acelerar la consecución de muchos, </w:t>
      </w:r>
      <w:r w:rsidRPr="00333AB3">
        <w:rPr>
          <w:rFonts w:ascii="Calibri" w:hAnsi="Calibri"/>
          <w:sz w:val="24"/>
          <w:szCs w:val="24"/>
          <w:lang w:val="es-ES_tradnl"/>
        </w:rPr>
        <w:t>si no</w:t>
      </w:r>
      <w:r w:rsidRPr="000236AE">
        <w:rPr>
          <w:rFonts w:ascii="Calibri" w:hAnsi="Calibri"/>
          <w:sz w:val="24"/>
          <w:szCs w:val="24"/>
          <w:lang w:val="es-ES_tradnl"/>
        </w:rPr>
        <w:t xml:space="preserve"> de todos, los ODS, por lo que es posible dejar huella en ámbitos clave para el desarrollo sostenible y el crecimiento, así como la reducción </w:t>
      </w:r>
      <w:r w:rsidR="000236AE" w:rsidRPr="000236AE">
        <w:rPr>
          <w:rFonts w:ascii="Calibri" w:hAnsi="Calibri"/>
          <w:sz w:val="24"/>
          <w:szCs w:val="24"/>
          <w:lang w:val="es-ES_tradnl"/>
        </w:rPr>
        <w:t>de</w:t>
      </w:r>
      <w:r w:rsidR="000236AE">
        <w:rPr>
          <w:rFonts w:ascii="Calibri" w:hAnsi="Calibri"/>
          <w:sz w:val="24"/>
          <w:szCs w:val="24"/>
          <w:lang w:val="es-ES_tradnl"/>
        </w:rPr>
        <w:t xml:space="preserve"> </w:t>
      </w:r>
      <w:r w:rsidRPr="000236AE">
        <w:rPr>
          <w:rFonts w:ascii="Calibri" w:hAnsi="Calibri"/>
          <w:sz w:val="24"/>
          <w:szCs w:val="24"/>
          <w:lang w:val="es-ES_tradnl"/>
        </w:rPr>
        <w:t>la desigualdad.</w:t>
      </w:r>
    </w:p>
    <w:p w:rsidR="00576F75" w:rsidRPr="000236AE" w:rsidRDefault="00576F75" w:rsidP="00784D25">
      <w:pPr>
        <w:pStyle w:val="Heading1"/>
        <w:rPr>
          <w:rFonts w:ascii="Calibri" w:hAnsi="Calibri" w:cs="Segoe UI"/>
          <w:b w:val="0"/>
          <w:bCs/>
          <w:sz w:val="24"/>
          <w:szCs w:val="24"/>
        </w:rPr>
      </w:pPr>
      <w:r w:rsidRPr="000236AE">
        <w:rPr>
          <w:rFonts w:ascii="Calibri" w:hAnsi="Calibri"/>
          <w:sz w:val="24"/>
        </w:rPr>
        <w:t>A continuación se presenta</w:t>
      </w:r>
      <w:r w:rsidR="00D151EC">
        <w:rPr>
          <w:rFonts w:ascii="Calibri" w:hAnsi="Calibri"/>
          <w:sz w:val="24"/>
        </w:rPr>
        <w:t>n</w:t>
      </w:r>
      <w:r w:rsidRPr="000236AE">
        <w:rPr>
          <w:rFonts w:ascii="Calibri" w:hAnsi="Calibri"/>
          <w:sz w:val="24"/>
        </w:rPr>
        <w:t xml:space="preserve"> los más destacados de cada sesión.</w:t>
      </w:r>
    </w:p>
    <w:p w:rsidR="00576F75" w:rsidRPr="000236AE" w:rsidRDefault="00576F75" w:rsidP="006A6E4C">
      <w:pPr>
        <w:tabs>
          <w:tab w:val="left" w:pos="567"/>
          <w:tab w:val="left" w:pos="1134"/>
        </w:tabs>
        <w:rPr>
          <w:rFonts w:ascii="Calibri" w:hAnsi="Calibri"/>
          <w:sz w:val="24"/>
          <w:szCs w:val="24"/>
          <w:lang w:val="es-ES_tradnl"/>
        </w:rPr>
      </w:pPr>
      <w:r w:rsidRPr="000236AE">
        <w:rPr>
          <w:rFonts w:ascii="Calibri" w:hAnsi="Calibri" w:cs="Segoe UI"/>
          <w:sz w:val="24"/>
          <w:szCs w:val="24"/>
          <w:lang w:val="es-ES_tradnl"/>
        </w:rPr>
        <w:t xml:space="preserve">Pueden encontrarse las intervenciones de todos los oradores en la </w:t>
      </w:r>
      <w:hyperlink r:id="rId10" w:history="1">
        <w:r w:rsidRPr="000236AE">
          <w:rPr>
            <w:rStyle w:val="Hyperlink"/>
            <w:rFonts w:ascii="Calibri" w:hAnsi="Calibri" w:cs="Segoe UI"/>
            <w:sz w:val="24"/>
            <w:szCs w:val="24"/>
            <w:lang w:val="es-ES_tradnl"/>
          </w:rPr>
          <w:t>página web del evento</w:t>
        </w:r>
      </w:hyperlink>
      <w:r w:rsidRPr="000236AE">
        <w:rPr>
          <w:rStyle w:val="Hyperlink"/>
          <w:rFonts w:ascii="Calibri" w:hAnsi="Calibri" w:cs="Segoe UI"/>
          <w:sz w:val="24"/>
          <w:szCs w:val="24"/>
          <w:lang w:val="es-ES_tradnl"/>
        </w:rPr>
        <w:t>.</w:t>
      </w:r>
    </w:p>
    <w:p w:rsidR="00576F75" w:rsidRPr="00B95702" w:rsidRDefault="00576F75" w:rsidP="00B95702">
      <w:pPr>
        <w:pStyle w:val="Headingb"/>
        <w:rPr>
          <w:rFonts w:ascii="Calibri" w:hAnsi="Calibri"/>
          <w:bCs/>
        </w:rPr>
      </w:pPr>
      <w:r w:rsidRPr="00B95702">
        <w:rPr>
          <w:rFonts w:ascii="Calibri" w:hAnsi="Calibri"/>
        </w:rPr>
        <w:t xml:space="preserve">Sesión 1: Propiciar el desarrollo de la infraestructura de las TIC para el desarrollo sostenible </w:t>
      </w:r>
      <w:r w:rsidR="00B95702">
        <w:rPr>
          <w:rFonts w:ascii="Calibri" w:hAnsi="Calibri"/>
        </w:rPr>
        <w:br/>
      </w:r>
      <w:r w:rsidRPr="00B95702">
        <w:rPr>
          <w:rFonts w:ascii="Calibri" w:hAnsi="Calibri"/>
        </w:rPr>
        <w:t>(ODS 9 &amp; 7 / LA CMSI C2, C6, C7)</w:t>
      </w:r>
    </w:p>
    <w:p w:rsidR="00576F75" w:rsidRPr="000236AE" w:rsidRDefault="00576F75" w:rsidP="006A6E4C">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Esta sesión se centró en las iniciativas emprendidas a nivel regional en pro del desarrollo del acceso en banda ancha y de la adopción de la banda ancha, así como de la gestión del espectro y la transición a la radiodifusión digital. Se hizo hincapié en cuán importante es desarrollar y supervisar la infraestructura de banda ancha, en las oportunidades que ofrecen las nuevas tecnologías y la evolución de la red y en la necesidad de establecer una cooperación y un diálogo a nivel regional y sectorial. </w:t>
      </w:r>
    </w:p>
    <w:p w:rsidR="00576F75" w:rsidRPr="000236AE" w:rsidRDefault="00576F75" w:rsidP="00333AB3">
      <w:pPr>
        <w:tabs>
          <w:tab w:val="left" w:pos="567"/>
          <w:tab w:val="left" w:pos="1134"/>
        </w:tabs>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Sr. Jaroslaw Ponder</w:t>
      </w:r>
      <w:r w:rsidRPr="000236AE">
        <w:rPr>
          <w:rFonts w:ascii="Calibri" w:hAnsi="Calibri"/>
          <w:sz w:val="24"/>
          <w:szCs w:val="24"/>
          <w:lang w:val="es-ES_tradnl"/>
        </w:rPr>
        <w:t>, Representante de Zona de la UIT para Europa empezó haciend</w:t>
      </w:r>
      <w:r w:rsidR="00333AB3">
        <w:rPr>
          <w:rFonts w:ascii="Calibri" w:hAnsi="Calibri"/>
          <w:sz w:val="24"/>
          <w:szCs w:val="24"/>
          <w:lang w:val="es-ES_tradnl"/>
        </w:rPr>
        <w:t>o</w:t>
      </w:r>
      <w:r w:rsidRPr="000236AE">
        <w:rPr>
          <w:rFonts w:ascii="Calibri" w:hAnsi="Calibri"/>
          <w:sz w:val="24"/>
          <w:szCs w:val="24"/>
          <w:lang w:val="es-ES_tradnl"/>
        </w:rPr>
        <w:t xml:space="preserve"> un repaso de los debates en curso sobre las iniciativas que se llevarán a cabo después de 2018 en relación con el desarrollo de la banda ancha y presentó los resultados alcanzados desde la última CMDT. En este contexto, se centró en la implementación de las actuales Iniciativas Regionales sobre acceso y adopción de la banda ancha, incluidas la gestión d</w:t>
      </w:r>
      <w:r w:rsidR="000236AE">
        <w:rPr>
          <w:rFonts w:ascii="Calibri" w:hAnsi="Calibri"/>
          <w:sz w:val="24"/>
          <w:szCs w:val="24"/>
          <w:lang w:val="es-ES_tradnl"/>
        </w:rPr>
        <w:t>e</w:t>
      </w:r>
      <w:r w:rsidRPr="000236AE">
        <w:rPr>
          <w:rFonts w:ascii="Calibri" w:hAnsi="Calibri"/>
          <w:sz w:val="24"/>
          <w:szCs w:val="24"/>
          <w:lang w:val="es-ES_tradnl"/>
        </w:rPr>
        <w:t>l espectro y la radiodifusión digital, y presentó brevemente los talleres, formaciones y proyectos que</w:t>
      </w:r>
      <w:r w:rsidR="000236AE" w:rsidRPr="000236AE">
        <w:rPr>
          <w:rFonts w:ascii="Calibri" w:hAnsi="Calibri"/>
          <w:sz w:val="24"/>
          <w:szCs w:val="24"/>
          <w:lang w:val="es-ES_tradnl"/>
        </w:rPr>
        <w:t xml:space="preserve"> se llevan a cabo en la región.</w:t>
      </w:r>
    </w:p>
    <w:p w:rsidR="00576F75" w:rsidRPr="000236AE" w:rsidRDefault="00576F75" w:rsidP="00B75990">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En su discurso, el </w:t>
      </w:r>
      <w:r w:rsidRPr="000236AE">
        <w:rPr>
          <w:rFonts w:ascii="Calibri" w:hAnsi="Calibri"/>
          <w:b/>
          <w:i/>
          <w:iCs/>
          <w:sz w:val="24"/>
          <w:szCs w:val="24"/>
          <w:lang w:val="es-ES_tradnl"/>
        </w:rPr>
        <w:t>Sr. Alban Karapici</w:t>
      </w:r>
      <w:r w:rsidRPr="000236AE">
        <w:rPr>
          <w:rFonts w:ascii="Calibri" w:hAnsi="Calibri"/>
          <w:sz w:val="24"/>
          <w:szCs w:val="24"/>
          <w:lang w:val="es-ES_tradnl"/>
        </w:rPr>
        <w:t xml:space="preserve">, Miembro del Consejo de la Autoridad de Comunicaciones Postales y Electrónicas (AKEP) de Albania, hizo hincapié en las oportunidades y retos que trae consigo la infraestructura de banda ancha al presentar algunos de los más importantes proyectos y actividades </w:t>
      </w:r>
      <w:r w:rsidRPr="000236AE">
        <w:rPr>
          <w:rFonts w:ascii="Calibri" w:hAnsi="Calibri"/>
          <w:sz w:val="24"/>
          <w:szCs w:val="24"/>
          <w:lang w:val="es-ES_tradnl"/>
        </w:rPr>
        <w:lastRenderedPageBreak/>
        <w:t xml:space="preserve">relacionados con la banda ancha de Albania. El Sr. Karapici expuso las oportunidades que brindan las redes fijas e inalámbricas, la convergencia de las telecomunicaciones y los servicios de radiodifusión. </w:t>
      </w:r>
    </w:p>
    <w:p w:rsidR="00576F75" w:rsidRPr="000236AE" w:rsidRDefault="00576F75" w:rsidP="00D72C3E">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Dijo que es muy importante que los políticos creen los marcos reglamentarios adecuados para la liberalización, para incentivar a los inversores y proveedores de servicio y para ampliar el abanico de opciones </w:t>
      </w:r>
      <w:r w:rsidR="000236AE" w:rsidRPr="000236AE">
        <w:rPr>
          <w:rFonts w:ascii="Calibri" w:hAnsi="Calibri"/>
          <w:sz w:val="24"/>
          <w:szCs w:val="24"/>
          <w:lang w:val="es-ES_tradnl"/>
        </w:rPr>
        <w:t>de</w:t>
      </w:r>
      <w:r w:rsidR="000236AE">
        <w:rPr>
          <w:rFonts w:ascii="Calibri" w:hAnsi="Calibri"/>
          <w:sz w:val="24"/>
          <w:szCs w:val="24"/>
          <w:lang w:val="es-ES_tradnl"/>
        </w:rPr>
        <w:t xml:space="preserve"> </w:t>
      </w:r>
      <w:r w:rsidRPr="000236AE">
        <w:rPr>
          <w:rFonts w:ascii="Calibri" w:hAnsi="Calibri"/>
          <w:sz w:val="24"/>
          <w:szCs w:val="24"/>
          <w:lang w:val="es-ES_tradnl"/>
        </w:rPr>
        <w:t xml:space="preserve">los consumidores. Para ello, Albania está llevando a cabo diversos proyectos para la construcción de la infraestructura de red dorsal. Se incluyen ahí medidas reglamentarias que fomentan la utilización compartida de la infraestructura active y pasiva y de la infraestructura distinta de la de telecomunicaciones para los sectores hídrico y eléctrico. </w:t>
      </w:r>
    </w:p>
    <w:p w:rsidR="00576F75" w:rsidRPr="000236AE" w:rsidRDefault="00576F75" w:rsidP="00D72C3E">
      <w:pPr>
        <w:tabs>
          <w:tab w:val="left" w:pos="567"/>
          <w:tab w:val="left" w:pos="1134"/>
        </w:tabs>
        <w:rPr>
          <w:rFonts w:ascii="Calibri" w:hAnsi="Calibri"/>
          <w:sz w:val="24"/>
          <w:szCs w:val="24"/>
          <w:lang w:val="es-ES_tradnl"/>
        </w:rPr>
      </w:pPr>
      <w:r w:rsidRPr="000236AE">
        <w:rPr>
          <w:rFonts w:ascii="Calibri" w:hAnsi="Calibri"/>
          <w:sz w:val="24"/>
          <w:szCs w:val="24"/>
          <w:lang w:val="es-ES_tradnl"/>
        </w:rPr>
        <w:t>Para lograr los resultados deseados, Albania sigue de cerca la implantación de la banda ancha, realizando análisis de mercado y mediante una base de datos que da a los operadores información sobre la infraestructura existente. El orad</w:t>
      </w:r>
      <w:r w:rsidR="000236AE">
        <w:rPr>
          <w:rFonts w:ascii="Calibri" w:hAnsi="Calibri"/>
          <w:sz w:val="24"/>
          <w:szCs w:val="24"/>
          <w:lang w:val="es-ES_tradnl"/>
        </w:rPr>
        <w:t>or insistió en la importancia d</w:t>
      </w:r>
      <w:r w:rsidRPr="000236AE">
        <w:rPr>
          <w:rFonts w:ascii="Calibri" w:hAnsi="Calibri"/>
          <w:sz w:val="24"/>
          <w:szCs w:val="24"/>
          <w:lang w:val="es-ES_tradnl"/>
        </w:rPr>
        <w:t>e</w:t>
      </w:r>
      <w:r w:rsidR="000236AE">
        <w:rPr>
          <w:rFonts w:ascii="Calibri" w:hAnsi="Calibri"/>
          <w:sz w:val="24"/>
          <w:szCs w:val="24"/>
          <w:lang w:val="es-ES_tradnl"/>
        </w:rPr>
        <w:t xml:space="preserve"> </w:t>
      </w:r>
      <w:r w:rsidRPr="000236AE">
        <w:rPr>
          <w:rFonts w:ascii="Calibri" w:hAnsi="Calibri"/>
          <w:sz w:val="24"/>
          <w:szCs w:val="24"/>
          <w:lang w:val="es-ES_tradnl"/>
        </w:rPr>
        <w:t xml:space="preserve">la gestión del espectro para aprovechar el dividendo digital y centrarse en llevar las redes y servicios de banda ancha de alta velocidad a las zonas rurales y mal abastecidas. También hizo referencia a la importancia de la cooperación regional y citó los dos proyectos que Albania lleva a cabo con Polonia y Eslovenia en materia de infraestructura y calidad de servicio. </w:t>
      </w:r>
    </w:p>
    <w:p w:rsidR="00576F75" w:rsidRPr="000236AE" w:rsidRDefault="00576F75" w:rsidP="00D72C3E">
      <w:pPr>
        <w:tabs>
          <w:tab w:val="left" w:pos="567"/>
          <w:tab w:val="left" w:pos="1134"/>
        </w:tabs>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Sr. Istvan Bozsoki</w:t>
      </w:r>
      <w:r w:rsidRPr="000236AE">
        <w:rPr>
          <w:rFonts w:ascii="Calibri" w:hAnsi="Calibri"/>
          <w:sz w:val="24"/>
          <w:szCs w:val="24"/>
          <w:lang w:val="es-ES_tradnl"/>
        </w:rPr>
        <w:t xml:space="preserve">, Jefe de la División de Redes de Telecomunicaciones y Gestión del Espectro de la UIT presentó los Mapas interactivos de transmisión de la UIT, iniciativa lanzada en 2013 en colaboración con las administraciones, los reguladores y demás interesados. Mapas como los de las Naciones Unidas, la Tierra natural, los cables submarinos, los enlaces de transmisión mundiales y la densidad de población se han integrado y se se siguen actualizando, por ejemplo, en lo que respecta a los enlaces de fibra óptica y de satélite. </w:t>
      </w:r>
    </w:p>
    <w:p w:rsidR="00576F75" w:rsidRPr="000236AE" w:rsidRDefault="00576F75" w:rsidP="00D72C3E">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Los Mapas interactivos de transmisión de la UIT se lanzaron en Europa con 92 operadores y a ellos se añaden continuamente operadores nuevos. Como ayuda a actividades como la planificación de redes se incluirán nuevas capas y funcionalidades como la información gráfica y la interactividad, además de las estadísticas de la UIT. </w:t>
      </w:r>
    </w:p>
    <w:p w:rsidR="00576F75" w:rsidRPr="000236AE" w:rsidRDefault="00576F75" w:rsidP="005161A0">
      <w:pPr>
        <w:tabs>
          <w:tab w:val="left" w:pos="567"/>
          <w:tab w:val="left" w:pos="1134"/>
        </w:tabs>
        <w:rPr>
          <w:rFonts w:ascii="Calibri" w:hAnsi="Calibri"/>
          <w:sz w:val="24"/>
          <w:szCs w:val="24"/>
          <w:lang w:val="es-ES_tradnl"/>
        </w:rPr>
      </w:pPr>
      <w:r w:rsidRPr="00F03C51">
        <w:rPr>
          <w:lang w:val="es-ES_tradnl"/>
        </w:rPr>
        <w:t xml:space="preserve">La </w:t>
      </w:r>
      <w:r w:rsidRPr="000236AE">
        <w:rPr>
          <w:rFonts w:ascii="Calibri" w:hAnsi="Calibri"/>
          <w:b/>
          <w:i/>
          <w:iCs/>
          <w:sz w:val="24"/>
          <w:szCs w:val="24"/>
          <w:lang w:val="es-ES_tradnl"/>
        </w:rPr>
        <w:t>Sra. Olga Van Zijverden</w:t>
      </w:r>
      <w:r w:rsidRPr="000236AE">
        <w:rPr>
          <w:rFonts w:ascii="Calibri" w:hAnsi="Calibri"/>
          <w:sz w:val="24"/>
          <w:szCs w:val="24"/>
          <w:lang w:val="es-ES_tradnl"/>
        </w:rPr>
        <w:t xml:space="preserve"> de TUV Rheinland dedicó su i</w:t>
      </w:r>
      <w:r w:rsidR="000236AE">
        <w:rPr>
          <w:rFonts w:ascii="Calibri" w:hAnsi="Calibri"/>
          <w:sz w:val="24"/>
          <w:szCs w:val="24"/>
          <w:lang w:val="es-ES_tradnl"/>
        </w:rPr>
        <w:t>ntervención a la equiparación d</w:t>
      </w:r>
      <w:r w:rsidRPr="000236AE">
        <w:rPr>
          <w:rFonts w:ascii="Calibri" w:hAnsi="Calibri"/>
          <w:sz w:val="24"/>
          <w:szCs w:val="24"/>
          <w:lang w:val="es-ES_tradnl"/>
        </w:rPr>
        <w:t>e</w:t>
      </w:r>
      <w:r w:rsidR="000236AE">
        <w:rPr>
          <w:rFonts w:ascii="Calibri" w:hAnsi="Calibri"/>
          <w:sz w:val="24"/>
          <w:szCs w:val="24"/>
          <w:lang w:val="es-ES_tradnl"/>
        </w:rPr>
        <w:t xml:space="preserve"> </w:t>
      </w:r>
      <w:r w:rsidRPr="000236AE">
        <w:rPr>
          <w:rFonts w:ascii="Calibri" w:hAnsi="Calibri"/>
          <w:sz w:val="24"/>
          <w:szCs w:val="24"/>
          <w:lang w:val="es-ES_tradnl"/>
        </w:rPr>
        <w:t xml:space="preserve">la calidad de los servicios en Europa, que empezó a realizarse en 2013 con la preparación de la primera plataforma europea de equiparación a partir de los datos e iniciativas existentes en la región. En Europa la calidad de servicio se ha definido en función de tres categorías: disponibilidad, prestación y percepción de los servicios. </w:t>
      </w:r>
    </w:p>
    <w:p w:rsidR="00576F75" w:rsidRPr="000236AE" w:rsidRDefault="00576F75" w:rsidP="005161A0">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En noviembre de 2017 se lanzará el nuevo portal </w:t>
      </w:r>
      <w:hyperlink r:id="rId11" w:history="1">
        <w:r w:rsidRPr="00AE1A7A">
          <w:rPr>
            <w:rStyle w:val="Hyperlink"/>
            <w:rFonts w:ascii="Calibri" w:hAnsi="Calibri"/>
            <w:sz w:val="24"/>
            <w:szCs w:val="24"/>
            <w:lang w:val="es-ES_tradnl"/>
          </w:rPr>
          <w:t>www.broadband-mapping.eu</w:t>
        </w:r>
      </w:hyperlink>
      <w:r w:rsidRPr="00AE1A7A">
        <w:rPr>
          <w:rFonts w:ascii="Calibri" w:hAnsi="Calibri"/>
          <w:sz w:val="24"/>
          <w:szCs w:val="24"/>
          <w:lang w:val="es-ES_tradnl"/>
        </w:rPr>
        <w:t>.</w:t>
      </w:r>
      <w:r w:rsidRPr="000236AE">
        <w:rPr>
          <w:lang w:val="es-ES_tradnl"/>
        </w:rPr>
        <w:t xml:space="preserve"> </w:t>
      </w:r>
      <w:bookmarkStart w:id="2" w:name="_GoBack"/>
      <w:bookmarkEnd w:id="2"/>
      <w:r w:rsidRPr="000236AE">
        <w:rPr>
          <w:lang w:val="es-ES_tradnl"/>
        </w:rPr>
        <w:t xml:space="preserve">Uno de los principales </w:t>
      </w:r>
      <w:r w:rsidRPr="000236AE">
        <w:rPr>
          <w:rFonts w:ascii="Calibri" w:hAnsi="Calibri"/>
          <w:sz w:val="24"/>
          <w:szCs w:val="24"/>
          <w:lang w:val="es-ES_tradnl"/>
        </w:rPr>
        <w:t>objetivos de esta actividad ha sido la vincul</w:t>
      </w:r>
      <w:r w:rsidR="000236AE">
        <w:rPr>
          <w:rFonts w:ascii="Calibri" w:hAnsi="Calibri"/>
          <w:sz w:val="24"/>
          <w:szCs w:val="24"/>
          <w:lang w:val="es-ES_tradnl"/>
        </w:rPr>
        <w:t>ación con el Plan Estratégico d</w:t>
      </w:r>
      <w:r w:rsidRPr="000236AE">
        <w:rPr>
          <w:rFonts w:ascii="Calibri" w:hAnsi="Calibri"/>
          <w:sz w:val="24"/>
          <w:szCs w:val="24"/>
          <w:lang w:val="es-ES_tradnl"/>
        </w:rPr>
        <w:t>e</w:t>
      </w:r>
      <w:r w:rsidR="000236AE">
        <w:rPr>
          <w:rFonts w:ascii="Calibri" w:hAnsi="Calibri"/>
          <w:sz w:val="24"/>
          <w:szCs w:val="24"/>
          <w:lang w:val="es-ES_tradnl"/>
        </w:rPr>
        <w:t xml:space="preserve"> la UIT para 2020-2023 </w:t>
      </w:r>
      <w:r w:rsidRPr="000236AE">
        <w:rPr>
          <w:rFonts w:ascii="Calibri" w:hAnsi="Calibri"/>
          <w:sz w:val="24"/>
          <w:szCs w:val="24"/>
          <w:lang w:val="es-ES_tradnl"/>
        </w:rPr>
        <w:t xml:space="preserve">en cuanto a cooperación multidisciplinar, facilitación de las inversiones conjuntas, evaluaciones de consecuencias basadas en pruebas y determinación de una conectividad de referencia para estimular la competencia. </w:t>
      </w:r>
    </w:p>
    <w:p w:rsidR="00576F75" w:rsidRPr="000236AE" w:rsidRDefault="00576F75" w:rsidP="005161A0">
      <w:pPr>
        <w:tabs>
          <w:tab w:val="left" w:pos="567"/>
          <w:tab w:val="left" w:pos="1134"/>
        </w:tabs>
        <w:rPr>
          <w:rFonts w:ascii="Calibri" w:hAnsi="Calibri"/>
          <w:sz w:val="24"/>
          <w:szCs w:val="24"/>
          <w:lang w:val="es-ES_tradnl"/>
        </w:rPr>
      </w:pPr>
      <w:r w:rsidRPr="000236AE">
        <w:rPr>
          <w:rFonts w:ascii="Calibri" w:hAnsi="Calibri"/>
          <w:sz w:val="24"/>
          <w:szCs w:val="24"/>
          <w:lang w:val="es-ES_tradnl"/>
        </w:rPr>
        <w:t>Hasta la fecha, la experiencia ha puesto de manifiesto dos grandes dificultades, a saber, las escasas y diversas metodologías de recopilación de datos y la diversidad de los valores obtenidos. Esos problemas están intentando resolverse desde distintos enfoques. El objetivo a largo plazo del proyecto es realizar en Europa una recopilación armonizada de datos y valores basados en pruebas en estrecha colaboración con la UIT.</w:t>
      </w:r>
    </w:p>
    <w:p w:rsidR="00576F75" w:rsidRPr="000236AE" w:rsidRDefault="00576F75" w:rsidP="005161A0">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El Sr. </w:t>
      </w:r>
      <w:r w:rsidRPr="00F03C51">
        <w:rPr>
          <w:rFonts w:ascii="Calibri" w:hAnsi="Calibri"/>
          <w:b/>
          <w:bCs w:val="0"/>
          <w:i/>
          <w:iCs/>
          <w:sz w:val="24"/>
          <w:szCs w:val="24"/>
          <w:lang w:val="es-ES_tradnl"/>
        </w:rPr>
        <w:t>René Arnold</w:t>
      </w:r>
      <w:r w:rsidRPr="000236AE">
        <w:rPr>
          <w:rFonts w:ascii="Calibri" w:hAnsi="Calibri"/>
          <w:sz w:val="24"/>
          <w:szCs w:val="24"/>
          <w:lang w:val="es-ES_tradnl"/>
        </w:rPr>
        <w:t>, Jefe del Departamento de</w:t>
      </w:r>
      <w:r w:rsidR="00694554">
        <w:rPr>
          <w:rFonts w:ascii="Calibri" w:hAnsi="Calibri"/>
          <w:sz w:val="24"/>
          <w:szCs w:val="24"/>
          <w:lang w:val="es-ES_tradnl"/>
        </w:rPr>
        <w:t xml:space="preserve"> Mercados y Perspectivas, WIK, </w:t>
      </w:r>
      <w:r w:rsidRPr="000236AE">
        <w:rPr>
          <w:rFonts w:ascii="Calibri" w:hAnsi="Calibri"/>
          <w:sz w:val="24"/>
          <w:szCs w:val="24"/>
          <w:lang w:val="es-ES_tradnl"/>
        </w:rPr>
        <w:t xml:space="preserve">habló de la importancia de las TIC para la consecución del ODS 7 y sus metas: energía asequible y no contaminante; así como de su relación con el ODS 13: acción por el clima. El papel de las TIC en la cadena de producción energética de generación, explotación, comercio y venta, será clave para lograr esos ODS. </w:t>
      </w:r>
    </w:p>
    <w:p w:rsidR="00576F75" w:rsidRPr="000236AE" w:rsidRDefault="00576F75" w:rsidP="006C3BB1">
      <w:pPr>
        <w:tabs>
          <w:tab w:val="left" w:pos="567"/>
          <w:tab w:val="left" w:pos="1134"/>
        </w:tabs>
        <w:rPr>
          <w:rFonts w:ascii="Calibri" w:hAnsi="Calibri"/>
          <w:sz w:val="24"/>
          <w:szCs w:val="24"/>
          <w:lang w:val="es-ES_tradnl"/>
        </w:rPr>
      </w:pPr>
      <w:r w:rsidRPr="000236AE">
        <w:rPr>
          <w:rFonts w:ascii="Calibri" w:hAnsi="Calibri"/>
          <w:sz w:val="24"/>
          <w:szCs w:val="24"/>
          <w:lang w:val="es-ES_tradnl"/>
        </w:rPr>
        <w:lastRenderedPageBreak/>
        <w:t xml:space="preserve">La experiencia europea en materia de TIC y cooperación energética procede del proyecto Horizon 2020, que es hasta ahora el mayor ejercicio de colaboración entre los sectores de la energía y las TIC en Europa, cuyo principal resultado será una herramienta para la toma de decisiones destinada a los proveedores de energía y de TIC. Entre estos dos sectores han surgido algunos obstáculos, en gran parte debidos a la falta de claridad de los marcos reglamentarios y a la falta de confianza y comprensión. Los proveedores de energía y de TIC están cooperando de diversas maneras, lo que podrá resolver los problemas actuales que son la explotación de la red, la compartición de infraestructuras y la elaboración de nuevos productos y servicios, entre otros. </w:t>
      </w:r>
    </w:p>
    <w:p w:rsidR="00576F75" w:rsidRPr="000236AE" w:rsidRDefault="00576F75" w:rsidP="006C3BB1">
      <w:pPr>
        <w:tabs>
          <w:tab w:val="left" w:pos="567"/>
          <w:tab w:val="left" w:pos="1134"/>
        </w:tabs>
        <w:rPr>
          <w:rFonts w:ascii="Calibri" w:hAnsi="Calibri"/>
          <w:sz w:val="24"/>
          <w:szCs w:val="24"/>
          <w:lang w:val="es-ES_tradnl"/>
        </w:rPr>
      </w:pPr>
      <w:r w:rsidRPr="000236AE">
        <w:rPr>
          <w:rFonts w:ascii="Calibri" w:hAnsi="Calibri"/>
          <w:sz w:val="24"/>
          <w:szCs w:val="24"/>
          <w:lang w:val="es-ES_tradnl"/>
        </w:rPr>
        <w:t>La UIT ya ha desempeñado un importante papel en esos esfuerzos de cooperación al organizar el taller conjunto para expertos celebrado en febrero de 2017 y al elaborar el proyecto de documento de trabajo del FRD.</w:t>
      </w:r>
    </w:p>
    <w:p w:rsidR="00576F75" w:rsidRPr="000236AE" w:rsidRDefault="00576F75" w:rsidP="006C3BB1">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El </w:t>
      </w:r>
      <w:r w:rsidRPr="000236AE">
        <w:rPr>
          <w:rFonts w:ascii="Calibri" w:hAnsi="Calibri"/>
          <w:b/>
          <w:i/>
          <w:iCs/>
          <w:sz w:val="24"/>
          <w:szCs w:val="24"/>
          <w:lang w:val="es-ES_tradnl"/>
        </w:rPr>
        <w:t>Sr. Gazmend Turdiu,</w:t>
      </w:r>
      <w:r w:rsidRPr="000236AE">
        <w:rPr>
          <w:rFonts w:ascii="Calibri" w:hAnsi="Calibri"/>
          <w:sz w:val="24"/>
          <w:szCs w:val="24"/>
          <w:lang w:val="es-ES_tradnl"/>
        </w:rPr>
        <w:t xml:space="preserve"> Vicesecretario General del Consejo Regional de Cooperación (CRC) presentó la </w:t>
      </w:r>
      <w:r w:rsidR="000236AE" w:rsidRPr="000236AE">
        <w:rPr>
          <w:rFonts w:ascii="Calibri" w:hAnsi="Calibri"/>
          <w:sz w:val="24"/>
          <w:szCs w:val="24"/>
          <w:lang w:val="es-ES_tradnl"/>
        </w:rPr>
        <w:t>visión</w:t>
      </w:r>
      <w:r w:rsidRPr="000236AE">
        <w:rPr>
          <w:rFonts w:ascii="Calibri" w:hAnsi="Calibri"/>
          <w:sz w:val="24"/>
          <w:szCs w:val="24"/>
          <w:lang w:val="es-ES_tradnl"/>
        </w:rPr>
        <w:t xml:space="preserve"> regional en materia de itinerancia, desarrollo de la banda ancha y digitalización en el Sudeste de Europa.</w:t>
      </w:r>
      <w:r w:rsidR="00F03C51">
        <w:rPr>
          <w:rFonts w:ascii="Calibri" w:hAnsi="Calibri"/>
          <w:sz w:val="24"/>
          <w:szCs w:val="24"/>
          <w:lang w:val="es-ES_tradnl"/>
        </w:rPr>
        <w:t xml:space="preserve"> El Sr. Turdiu señaló que, a pe</w:t>
      </w:r>
      <w:r w:rsidRPr="000236AE">
        <w:rPr>
          <w:rFonts w:ascii="Calibri" w:hAnsi="Calibri"/>
          <w:sz w:val="24"/>
          <w:szCs w:val="24"/>
          <w:lang w:val="es-ES_tradnl"/>
        </w:rPr>
        <w:t>sar de los grandes progresos en el cierre de la brecha digital dentro de la región europea, los</w:t>
      </w:r>
      <w:r w:rsidR="008366CB">
        <w:rPr>
          <w:rFonts w:ascii="Calibri" w:hAnsi="Calibri"/>
          <w:sz w:val="24"/>
          <w:szCs w:val="24"/>
          <w:lang w:val="es-ES_tradnl"/>
        </w:rPr>
        <w:t xml:space="preserve"> países del Oeste de los Balcan</w:t>
      </w:r>
      <w:r w:rsidRPr="000236AE">
        <w:rPr>
          <w:rFonts w:ascii="Calibri" w:hAnsi="Calibri"/>
          <w:sz w:val="24"/>
          <w:szCs w:val="24"/>
          <w:lang w:val="es-ES_tradnl"/>
        </w:rPr>
        <w:t>es siguen teniendo retraso en lo que a evolución de las TIC se refiere, sobre todo en términos de implantación y a</w:t>
      </w:r>
      <w:r w:rsidR="008366CB">
        <w:rPr>
          <w:rFonts w:ascii="Calibri" w:hAnsi="Calibri"/>
          <w:sz w:val="24"/>
          <w:szCs w:val="24"/>
          <w:lang w:val="es-ES_tradnl"/>
        </w:rPr>
        <w:t>dopción de la banda ancha fija.</w:t>
      </w:r>
    </w:p>
    <w:p w:rsidR="00576F75" w:rsidRPr="000236AE" w:rsidRDefault="00576F75" w:rsidP="00A94998">
      <w:pPr>
        <w:tabs>
          <w:tab w:val="left" w:pos="567"/>
          <w:tab w:val="left" w:pos="1134"/>
        </w:tabs>
        <w:rPr>
          <w:rFonts w:ascii="Calibri" w:hAnsi="Calibri"/>
          <w:sz w:val="24"/>
          <w:szCs w:val="24"/>
          <w:lang w:val="es-ES_tradnl"/>
        </w:rPr>
      </w:pPr>
      <w:r w:rsidRPr="000236AE">
        <w:rPr>
          <w:rFonts w:ascii="Calibri" w:hAnsi="Calibri"/>
          <w:sz w:val="24"/>
          <w:szCs w:val="24"/>
          <w:lang w:val="es-ES_tradnl"/>
        </w:rPr>
        <w:t xml:space="preserve">Dijo que la cada vez mayor concienciación política está generando un entorno habilitador, </w:t>
      </w:r>
      <w:r w:rsidR="000236AE" w:rsidRPr="000236AE">
        <w:rPr>
          <w:rFonts w:ascii="Calibri" w:hAnsi="Calibri"/>
          <w:sz w:val="24"/>
          <w:szCs w:val="24"/>
          <w:lang w:val="es-ES_tradnl"/>
        </w:rPr>
        <w:t>inversiones</w:t>
      </w:r>
      <w:r w:rsidRPr="000236AE">
        <w:rPr>
          <w:rFonts w:ascii="Calibri" w:hAnsi="Calibri"/>
          <w:sz w:val="24"/>
          <w:szCs w:val="24"/>
          <w:lang w:val="es-ES_tradnl"/>
        </w:rPr>
        <w:t xml:space="preserve"> y también cooperación con los vecinos europeos. Una de las principales iniciativas de la CRC en pro de la transformación digital de la </w:t>
      </w:r>
      <w:r w:rsidR="000236AE" w:rsidRPr="000236AE">
        <w:rPr>
          <w:rFonts w:ascii="Calibri" w:hAnsi="Calibri"/>
          <w:sz w:val="24"/>
          <w:szCs w:val="24"/>
          <w:lang w:val="es-ES_tradnl"/>
        </w:rPr>
        <w:t>región</w:t>
      </w:r>
      <w:r w:rsidRPr="000236AE">
        <w:rPr>
          <w:rFonts w:ascii="Calibri" w:hAnsi="Calibri"/>
          <w:sz w:val="24"/>
          <w:szCs w:val="24"/>
          <w:lang w:val="es-ES_tradnl"/>
        </w:rPr>
        <w:t xml:space="preserve"> consiste en contribuir a la reducción del coste de los servicios, en particular la itinerancia. Para ello, la CRC ofrece asistencia técnica y un foro para el debate y fomenta además la cooperación entre los países y con los operadores. Gracias a su trabajo, se ha aumentado la concienciación y se han puesto de manifiesto los beneficios y consecuencias de la reducción de las tasas de itinerancia, sobre todo para los consumidores. </w:t>
      </w:r>
    </w:p>
    <w:p w:rsidR="00576F75" w:rsidRPr="000236AE" w:rsidRDefault="00576F75" w:rsidP="008366CB">
      <w:pPr>
        <w:tabs>
          <w:tab w:val="left" w:pos="567"/>
          <w:tab w:val="left" w:pos="1134"/>
        </w:tabs>
        <w:rPr>
          <w:rFonts w:ascii="Calibri" w:hAnsi="Calibri"/>
          <w:sz w:val="24"/>
          <w:szCs w:val="24"/>
          <w:lang w:val="es-ES_tradnl"/>
        </w:rPr>
      </w:pPr>
      <w:r w:rsidRPr="000236AE">
        <w:rPr>
          <w:rFonts w:ascii="Calibri" w:hAnsi="Calibri"/>
          <w:sz w:val="24"/>
          <w:szCs w:val="24"/>
          <w:lang w:val="es-ES_tradnl"/>
        </w:rPr>
        <w:t>Además de abogar por la integración regional, la CRC beneficia también de una estrecha cooperación con la Unión Europea. El Sr</w:t>
      </w:r>
      <w:r w:rsidRPr="008366CB">
        <w:rPr>
          <w:rFonts w:ascii="Calibri" w:hAnsi="Calibri"/>
          <w:sz w:val="24"/>
          <w:szCs w:val="24"/>
          <w:lang w:val="es-ES_tradnl"/>
        </w:rPr>
        <w:t>. Tu</w:t>
      </w:r>
      <w:r w:rsidR="008366CB" w:rsidRPr="008366CB">
        <w:rPr>
          <w:rFonts w:ascii="Calibri" w:hAnsi="Calibri"/>
          <w:sz w:val="24"/>
          <w:szCs w:val="24"/>
          <w:lang w:val="es-ES_tradnl"/>
        </w:rPr>
        <w:t>r</w:t>
      </w:r>
      <w:r w:rsidRPr="008366CB">
        <w:rPr>
          <w:rFonts w:ascii="Calibri" w:hAnsi="Calibri"/>
          <w:sz w:val="24"/>
          <w:szCs w:val="24"/>
          <w:lang w:val="es-ES_tradnl"/>
        </w:rPr>
        <w:t>di</w:t>
      </w:r>
      <w:r w:rsidR="008366CB">
        <w:rPr>
          <w:rFonts w:ascii="Calibri" w:hAnsi="Calibri"/>
          <w:sz w:val="24"/>
          <w:szCs w:val="24"/>
          <w:lang w:val="es-ES_tradnl"/>
        </w:rPr>
        <w:t>u</w:t>
      </w:r>
      <w:r w:rsidRPr="000236AE">
        <w:rPr>
          <w:rFonts w:ascii="Calibri" w:hAnsi="Calibri"/>
          <w:sz w:val="24"/>
          <w:szCs w:val="24"/>
          <w:lang w:val="es-ES_tradnl"/>
        </w:rPr>
        <w:t xml:space="preserve"> subrayó en la región, no sólo los gobiernos, sino también cada vez más la población y las empresas, consideran el desarrollo de la infraestructura de banda ancha como una de las grandes prioridades.</w:t>
      </w:r>
    </w:p>
    <w:p w:rsidR="00576F75" w:rsidRPr="000236AE" w:rsidRDefault="00576F75" w:rsidP="000236AE">
      <w:pPr>
        <w:pStyle w:val="Headingb"/>
        <w:rPr>
          <w:rFonts w:ascii="Calibri" w:hAnsi="Calibri"/>
          <w:bCs/>
        </w:rPr>
      </w:pPr>
      <w:r w:rsidRPr="000236AE">
        <w:rPr>
          <w:rFonts w:ascii="Calibri" w:hAnsi="Calibri"/>
        </w:rPr>
        <w:t xml:space="preserve">Sesión 2: Creación de confianza y resiliencia para el desarrollo sostenible </w:t>
      </w:r>
      <w:r w:rsidR="000236AE" w:rsidRPr="000236AE">
        <w:rPr>
          <w:rFonts w:ascii="Calibri" w:hAnsi="Calibri"/>
        </w:rPr>
        <w:br/>
      </w:r>
      <w:r w:rsidRPr="000236AE">
        <w:rPr>
          <w:rFonts w:ascii="Calibri" w:hAnsi="Calibri"/>
        </w:rPr>
        <w:t>(ODS 9 / LA CMSI C5)</w:t>
      </w:r>
    </w:p>
    <w:p w:rsidR="00576F75" w:rsidRPr="000236AE" w:rsidRDefault="00576F75" w:rsidP="00A94998">
      <w:pPr>
        <w:tabs>
          <w:tab w:val="left" w:pos="567"/>
          <w:tab w:val="left" w:pos="1134"/>
        </w:tabs>
        <w:rPr>
          <w:lang w:val="es-ES_tradnl"/>
        </w:rPr>
      </w:pPr>
      <w:r w:rsidRPr="000236AE">
        <w:rPr>
          <w:rFonts w:ascii="Calibri" w:hAnsi="Calibri"/>
          <w:sz w:val="24"/>
          <w:szCs w:val="24"/>
          <w:lang w:val="es-ES_tradnl"/>
        </w:rPr>
        <w:t>En esta sesión se dio protagonismo a las iniciativas regionales para la creación de confianza y seguridad en la utilización de las TIC.</w:t>
      </w:r>
      <w:r w:rsidRPr="000236AE">
        <w:rPr>
          <w:lang w:val="es-ES_tradnl"/>
        </w:rPr>
        <w:t xml:space="preserve"> </w:t>
      </w:r>
    </w:p>
    <w:p w:rsidR="00576F75" w:rsidRPr="000236AE" w:rsidRDefault="00576F75" w:rsidP="003F12BB">
      <w:pPr>
        <w:tabs>
          <w:tab w:val="left" w:pos="567"/>
          <w:tab w:val="left" w:pos="1134"/>
        </w:tabs>
        <w:rPr>
          <w:rFonts w:ascii="Calibri" w:hAnsi="Calibri"/>
          <w:sz w:val="24"/>
          <w:szCs w:val="24"/>
          <w:lang w:val="es-ES_tradnl"/>
        </w:rPr>
      </w:pPr>
      <w:r w:rsidRPr="00F03C51">
        <w:rPr>
          <w:lang w:val="es-ES_tradnl"/>
        </w:rPr>
        <w:t xml:space="preserve">La </w:t>
      </w:r>
      <w:r w:rsidRPr="000236AE">
        <w:rPr>
          <w:rFonts w:ascii="Calibri" w:hAnsi="Calibri"/>
          <w:b/>
          <w:i/>
          <w:iCs/>
          <w:sz w:val="24"/>
          <w:szCs w:val="24"/>
          <w:lang w:val="es-ES_tradnl"/>
        </w:rPr>
        <w:t>Sra. Rosheen Awotar-Mauree</w:t>
      </w:r>
      <w:r w:rsidRPr="000236AE">
        <w:rPr>
          <w:rFonts w:ascii="Calibri" w:hAnsi="Calibri"/>
          <w:sz w:val="24"/>
          <w:szCs w:val="24"/>
          <w:lang w:val="es-ES_tradnl"/>
        </w:rPr>
        <w:t xml:space="preserve">, </w:t>
      </w:r>
      <w:r w:rsidR="004F1A42" w:rsidRPr="000236AE">
        <w:rPr>
          <w:rFonts w:ascii="Calibri" w:hAnsi="Calibri"/>
          <w:sz w:val="24"/>
          <w:szCs w:val="24"/>
          <w:lang w:val="es-ES_tradnl"/>
        </w:rPr>
        <w:t>Responsable</w:t>
      </w:r>
      <w:r w:rsidRPr="000236AE">
        <w:rPr>
          <w:rFonts w:ascii="Calibri" w:hAnsi="Calibri"/>
          <w:sz w:val="24"/>
          <w:szCs w:val="24"/>
          <w:lang w:val="es-ES_tradnl"/>
        </w:rPr>
        <w:t xml:space="preserve"> de Programa de la Unidad de Coordinación para Europa, presentó el contexto actual antes de presentar a los oradores. También expuso el trabajo que se está realizando en la Oficina de Desarrollo de la UIT sobre la ciberseguridad en la Región de Europa e insistió en la función que desempeña la UIT a la hora de facilitar el diálogo regional y divulgar las prácticas idóneas entre los Estados Miembros.</w:t>
      </w:r>
    </w:p>
    <w:p w:rsidR="00576F75" w:rsidRPr="000236AE" w:rsidRDefault="00576F75" w:rsidP="003F12BB">
      <w:pPr>
        <w:tabs>
          <w:tab w:val="left" w:pos="567"/>
          <w:tab w:val="left" w:pos="1134"/>
        </w:tabs>
        <w:rPr>
          <w:rFonts w:ascii="Calibri" w:hAnsi="Calibri"/>
          <w:color w:val="000000"/>
          <w:sz w:val="24"/>
          <w:szCs w:val="24"/>
          <w:lang w:val="es-ES_tradnl"/>
        </w:rPr>
      </w:pPr>
      <w:r w:rsidRPr="00F03C51">
        <w:rPr>
          <w:lang w:val="es-ES_tradnl"/>
        </w:rPr>
        <w:t xml:space="preserve">El </w:t>
      </w:r>
      <w:r w:rsidRPr="000236AE">
        <w:rPr>
          <w:rFonts w:ascii="Calibri" w:hAnsi="Calibri"/>
          <w:b/>
          <w:i/>
          <w:iCs/>
          <w:sz w:val="24"/>
          <w:szCs w:val="24"/>
          <w:lang w:val="es-ES_tradnl"/>
        </w:rPr>
        <w:t>Sr. George Michaelides</w:t>
      </w:r>
      <w:r w:rsidRPr="000236AE">
        <w:rPr>
          <w:rFonts w:ascii="Calibri" w:hAnsi="Calibri"/>
          <w:sz w:val="24"/>
          <w:szCs w:val="24"/>
          <w:lang w:val="es-ES_tradnl"/>
        </w:rPr>
        <w:t xml:space="preserve">, </w:t>
      </w:r>
      <w:r w:rsidR="004F1A42" w:rsidRPr="000236AE">
        <w:rPr>
          <w:rFonts w:ascii="Calibri" w:hAnsi="Calibri"/>
          <w:sz w:val="24"/>
          <w:szCs w:val="24"/>
          <w:lang w:val="es-ES_tradnl"/>
        </w:rPr>
        <w:t>Comisario</w:t>
      </w:r>
      <w:r w:rsidRPr="000236AE">
        <w:rPr>
          <w:rFonts w:ascii="Calibri" w:hAnsi="Calibri"/>
          <w:sz w:val="24"/>
          <w:szCs w:val="24"/>
          <w:lang w:val="es-ES_tradnl"/>
        </w:rPr>
        <w:t xml:space="preserve"> de la </w:t>
      </w:r>
      <w:r w:rsidRPr="000236AE">
        <w:rPr>
          <w:rFonts w:ascii="Calibri" w:hAnsi="Calibri"/>
          <w:color w:val="000000"/>
          <w:sz w:val="24"/>
          <w:szCs w:val="24"/>
          <w:lang w:val="es-ES_tradnl"/>
        </w:rPr>
        <w:t xml:space="preserve">Oficina de la Comisión de Comunicaciones Electrónicas y Reglamentación Postal de Chipre, presentó las últimas novedades y actividades que se han realizado en su país. Hizo referencia a las últimas estadísticas sobre las probabilidades y consecuencias de ciberataques, incluidos los destinados a la infraestructura esencial, al hablar de los pilares de la estrategia de ciberseguridad europea y de ciertos aspectos de la Directiva NIS. </w:t>
      </w:r>
    </w:p>
    <w:p w:rsidR="00576F75" w:rsidRPr="000236AE" w:rsidRDefault="00576F75" w:rsidP="00333AB3">
      <w:pPr>
        <w:tabs>
          <w:tab w:val="left" w:pos="567"/>
          <w:tab w:val="left" w:pos="1134"/>
        </w:tabs>
        <w:rPr>
          <w:rFonts w:ascii="Calibri" w:hAnsi="Calibri"/>
          <w:sz w:val="24"/>
          <w:szCs w:val="24"/>
          <w:lang w:val="es-ES_tradnl"/>
        </w:rPr>
      </w:pPr>
      <w:r w:rsidRPr="000236AE">
        <w:rPr>
          <w:rFonts w:ascii="Calibri" w:hAnsi="Calibri"/>
          <w:color w:val="000000"/>
          <w:sz w:val="24"/>
          <w:szCs w:val="24"/>
          <w:lang w:val="es-ES_tradnl"/>
        </w:rPr>
        <w:t xml:space="preserve">Al exponer las actividades que se llevan a cabo en Chipre en relación con el Equipo de Intervención en caso de Incidente Informático (EIII) del gobierno, la creación de un EIII nacional y la elaboración de una Estrategia Nacional de Ciberseguridad, el Sr. Michaelides subrayó la importancia fundamental de la cooperación y la confianza entre partes interesadas tanto a nivel nacional, como regional e </w:t>
      </w:r>
      <w:r w:rsidRPr="000236AE">
        <w:rPr>
          <w:rFonts w:ascii="Calibri" w:hAnsi="Calibri"/>
          <w:color w:val="000000"/>
          <w:sz w:val="24"/>
          <w:szCs w:val="24"/>
          <w:lang w:val="es-ES_tradnl"/>
        </w:rPr>
        <w:lastRenderedPageBreak/>
        <w:t>internacional. La creación de un grupo de interesados en una Internet segura para los niños y el Centro de Excelencia sobre la ciberdelincuencia en Chipre son ejemplos de mecanismos de valor para facilitar la cooperación, la co</w:t>
      </w:r>
      <w:r w:rsidR="00333AB3">
        <w:rPr>
          <w:rFonts w:ascii="Calibri" w:hAnsi="Calibri"/>
          <w:color w:val="000000"/>
          <w:sz w:val="24"/>
          <w:szCs w:val="24"/>
          <w:lang w:val="es-ES_tradnl"/>
        </w:rPr>
        <w:t>labo</w:t>
      </w:r>
      <w:r w:rsidRPr="000236AE">
        <w:rPr>
          <w:rFonts w:ascii="Calibri" w:hAnsi="Calibri"/>
          <w:color w:val="000000"/>
          <w:sz w:val="24"/>
          <w:szCs w:val="24"/>
          <w:lang w:val="es-ES_tradnl"/>
        </w:rPr>
        <w:t>ración y la concienciación. Para terminar, insistió nuevamente en que la cooperación y la confianza, sobre todo entre el sector público y el privado, son fundamentales para abordar la complejidad de la ciberseguridad.</w:t>
      </w:r>
      <w:r w:rsidRPr="000236AE">
        <w:rPr>
          <w:rFonts w:ascii="Calibri" w:hAnsi="Calibri" w:cs="Segoe UI"/>
          <w:color w:val="000000"/>
          <w:sz w:val="24"/>
          <w:szCs w:val="24"/>
          <w:lang w:val="es-ES_tradnl"/>
        </w:rPr>
        <w:t xml:space="preserve"> </w:t>
      </w:r>
    </w:p>
    <w:p w:rsidR="00576F75" w:rsidRPr="000236AE" w:rsidRDefault="00576F75" w:rsidP="00383116">
      <w:pPr>
        <w:rPr>
          <w:rFonts w:ascii="Calibri" w:hAnsi="Calibri"/>
          <w:sz w:val="24"/>
          <w:szCs w:val="24"/>
          <w:lang w:val="es-ES_tradnl"/>
        </w:rPr>
      </w:pPr>
      <w:r w:rsidRPr="000236AE">
        <w:rPr>
          <w:rFonts w:ascii="Calibri" w:hAnsi="Calibri"/>
          <w:sz w:val="24"/>
          <w:szCs w:val="24"/>
          <w:lang w:val="es-ES_tradnl"/>
        </w:rPr>
        <w:t xml:space="preserve">El </w:t>
      </w:r>
      <w:r w:rsidRPr="000236AE">
        <w:rPr>
          <w:rFonts w:ascii="Calibri" w:hAnsi="Calibri"/>
          <w:b/>
          <w:i/>
          <w:iCs/>
          <w:sz w:val="24"/>
          <w:szCs w:val="24"/>
          <w:lang w:val="es-ES_tradnl"/>
        </w:rPr>
        <w:t>Sr. Ahmet Çubukcu,</w:t>
      </w:r>
      <w:r w:rsidRPr="000236AE">
        <w:rPr>
          <w:rFonts w:ascii="Calibri" w:hAnsi="Calibri"/>
          <w:sz w:val="24"/>
          <w:szCs w:val="24"/>
          <w:lang w:val="es-ES_tradnl"/>
        </w:rPr>
        <w:t xml:space="preserve"> Experto en TIC de la Autoridad de Reglamentación de las Telecomunicaciones de Turquía, presentó su visión nacional de la Protección de la Infancia en Línea, centrándose en las actividades que lleva a cabo la Autoridad para resaltar la importancia de la información, los conocimientos básicos sobre la utilización segura de Internet y la formación.</w:t>
      </w:r>
    </w:p>
    <w:p w:rsidR="00576F75" w:rsidRPr="000236AE" w:rsidRDefault="00576F75" w:rsidP="00383116">
      <w:pPr>
        <w:rPr>
          <w:rFonts w:ascii="Calibri" w:hAnsi="Calibri"/>
          <w:sz w:val="24"/>
          <w:szCs w:val="24"/>
          <w:lang w:val="es-ES_tradnl"/>
        </w:rPr>
      </w:pPr>
      <w:r w:rsidRPr="000236AE">
        <w:rPr>
          <w:rFonts w:ascii="Calibri" w:hAnsi="Calibri"/>
          <w:sz w:val="24"/>
          <w:szCs w:val="24"/>
          <w:lang w:val="es-ES_tradnl"/>
        </w:rPr>
        <w:t>Presentó los pilares principales del programa nacional, incluida la creación de un Centro para una Internet más segura y el Servicio Internet más seguro, la celebración periódica de eventos con el sector privado y la continua cooperación con partes interesadas a escala nacional, como el Ministerio de Educación, para institucionalizar el concepto de creación de conocimiento.</w:t>
      </w:r>
    </w:p>
    <w:p w:rsidR="00576F75" w:rsidRPr="000236AE" w:rsidRDefault="00576F75" w:rsidP="00383116">
      <w:pPr>
        <w:rPr>
          <w:rFonts w:ascii="Calibri" w:hAnsi="Calibri"/>
          <w:sz w:val="24"/>
          <w:szCs w:val="24"/>
          <w:lang w:val="es-ES_tradnl"/>
        </w:rPr>
      </w:pPr>
      <w:r w:rsidRPr="000236AE">
        <w:rPr>
          <w:rFonts w:ascii="Calibri" w:hAnsi="Calibri"/>
          <w:sz w:val="24"/>
          <w:szCs w:val="24"/>
          <w:lang w:val="es-ES_tradnl"/>
        </w:rPr>
        <w:t xml:space="preserve">Al presentar las Plataformas para la Cooperación Regional en materia de PIeL y ciberseguridad, la </w:t>
      </w:r>
      <w:r w:rsidR="004F1A42">
        <w:rPr>
          <w:rFonts w:ascii="Calibri" w:hAnsi="Calibri"/>
          <w:b/>
          <w:i/>
          <w:iCs/>
          <w:sz w:val="24"/>
          <w:szCs w:val="24"/>
          <w:lang w:val="es-ES_tradnl"/>
        </w:rPr>
        <w:t>Sra. </w:t>
      </w:r>
      <w:r w:rsidRPr="000236AE">
        <w:rPr>
          <w:rFonts w:ascii="Calibri" w:hAnsi="Calibri"/>
          <w:b/>
          <w:i/>
          <w:iCs/>
          <w:sz w:val="24"/>
          <w:szCs w:val="24"/>
          <w:lang w:val="es-ES_tradnl"/>
        </w:rPr>
        <w:t>Ewa Dziemidowicz,</w:t>
      </w:r>
      <w:r w:rsidRPr="000236AE">
        <w:rPr>
          <w:rFonts w:ascii="Calibri" w:hAnsi="Calibri"/>
          <w:sz w:val="24"/>
          <w:szCs w:val="24"/>
          <w:lang w:val="es-ES_tradnl"/>
        </w:rPr>
        <w:t xml:space="preserve"> Empowering Children Foundation, Polonia, insistió en los retos que plantea la utilización de las TIC, en particular de Internet, para los jóvenes, como son la adicción a Internet y los peligros relacionados con la exposición frecuente al entorno en línea. </w:t>
      </w:r>
    </w:p>
    <w:p w:rsidR="00576F75" w:rsidRPr="000236AE" w:rsidRDefault="00576F75" w:rsidP="00383116">
      <w:pPr>
        <w:rPr>
          <w:rFonts w:ascii="Calibri" w:hAnsi="Calibri"/>
          <w:sz w:val="24"/>
          <w:szCs w:val="24"/>
          <w:lang w:val="es-ES_tradnl"/>
        </w:rPr>
      </w:pPr>
      <w:r w:rsidRPr="000236AE">
        <w:rPr>
          <w:rFonts w:ascii="Calibri" w:hAnsi="Calibri"/>
          <w:sz w:val="24"/>
          <w:szCs w:val="24"/>
          <w:lang w:val="es-ES_tradnl"/>
        </w:rPr>
        <w:t xml:space="preserve">Para contrarrestar esos riesgos, presentó las iniciativas que lleva a cabo su Fundación, </w:t>
      </w:r>
      <w:r w:rsidR="004F1A42" w:rsidRPr="000236AE">
        <w:rPr>
          <w:rFonts w:ascii="Calibri" w:hAnsi="Calibri"/>
          <w:sz w:val="24"/>
          <w:szCs w:val="24"/>
          <w:lang w:val="es-ES_tradnl"/>
        </w:rPr>
        <w:t>algunas</w:t>
      </w:r>
      <w:r w:rsidRPr="000236AE">
        <w:rPr>
          <w:rFonts w:ascii="Calibri" w:hAnsi="Calibri"/>
          <w:sz w:val="24"/>
          <w:szCs w:val="24"/>
          <w:lang w:val="es-ES_tradnl"/>
        </w:rPr>
        <w:t xml:space="preserve"> de ellas de consuno con la UIT, sobre los medios y maneras de prevenir comportamientos que podrían poner en peligro la experiencia en línea de los jóvenes. Entre esas iniciativas se cuentan el Foro de la Juventud, una serie de programas de formación y la divulgación de directrices en el idioma autóctono.</w:t>
      </w:r>
    </w:p>
    <w:p w:rsidR="00576F75" w:rsidRPr="000236AE" w:rsidRDefault="00576F75" w:rsidP="00383116">
      <w:pPr>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 xml:space="preserve">Dr. Laurent Chrzanovski, </w:t>
      </w:r>
      <w:r w:rsidRPr="000236AE">
        <w:rPr>
          <w:rFonts w:ascii="Calibri" w:hAnsi="Calibri"/>
          <w:sz w:val="24"/>
          <w:szCs w:val="24"/>
          <w:lang w:val="es-ES_tradnl"/>
        </w:rPr>
        <w:t xml:space="preserve">Swiss Web Academy, Rumania, habló de las asociaciones entre el sector público y el privado (APP) en materia de ciberseguridad. Citó algunos de los problemas a que se enfrentan muchas APP de reciente creación, como son el conflicto de intereses entre las partes y la redundancia y duplicación de los temas y asuntos de que tratan las APP. También comparó las funciones del Estado con las de las organizaciones no gubernamentales y el sector privado. </w:t>
      </w:r>
    </w:p>
    <w:p w:rsidR="00576F75" w:rsidRPr="000236AE" w:rsidRDefault="00576F75" w:rsidP="00C43D87">
      <w:pPr>
        <w:rPr>
          <w:rFonts w:ascii="Calibri" w:hAnsi="Calibri"/>
          <w:sz w:val="24"/>
          <w:szCs w:val="24"/>
          <w:lang w:val="es-ES_tradnl"/>
        </w:rPr>
      </w:pPr>
      <w:r w:rsidRPr="000236AE">
        <w:rPr>
          <w:rFonts w:ascii="Calibri" w:hAnsi="Calibri"/>
          <w:sz w:val="24"/>
          <w:szCs w:val="24"/>
          <w:lang w:val="es-ES_tradnl"/>
        </w:rPr>
        <w:t xml:space="preserve">Asimismo, dijo que las APP que más éxito recaban son las que se dedican a colmar una necesidad política definida. Para terminar hizo referencia al éxito de la Plataforma europea para el diálogo entre </w:t>
      </w:r>
      <w:r w:rsidR="00694554">
        <w:rPr>
          <w:rFonts w:ascii="Calibri" w:hAnsi="Calibri"/>
          <w:sz w:val="24"/>
          <w:szCs w:val="24"/>
          <w:lang w:val="es-ES_tradnl"/>
        </w:rPr>
        <w:t xml:space="preserve">el </w:t>
      </w:r>
      <w:r w:rsidRPr="000236AE">
        <w:rPr>
          <w:rFonts w:ascii="Calibri" w:hAnsi="Calibri"/>
          <w:sz w:val="24"/>
          <w:szCs w:val="24"/>
          <w:lang w:val="es-ES_tradnl"/>
        </w:rPr>
        <w:t>sector</w:t>
      </w:r>
      <w:r w:rsidR="00694554">
        <w:rPr>
          <w:rFonts w:ascii="Calibri" w:hAnsi="Calibri"/>
          <w:sz w:val="24"/>
          <w:szCs w:val="24"/>
          <w:lang w:val="es-ES_tradnl"/>
        </w:rPr>
        <w:t xml:space="preserve"> público y el sector privado y </w:t>
      </w:r>
      <w:r w:rsidRPr="000236AE">
        <w:rPr>
          <w:rFonts w:ascii="Calibri" w:hAnsi="Calibri"/>
          <w:sz w:val="24"/>
          <w:szCs w:val="24"/>
          <w:lang w:val="es-ES_tradnl"/>
        </w:rPr>
        <w:t xml:space="preserve">al de la publicación </w:t>
      </w:r>
      <w:r w:rsidRPr="000236AE">
        <w:rPr>
          <w:rFonts w:ascii="Calibri" w:hAnsi="Calibri"/>
          <w:i/>
          <w:iCs/>
          <w:sz w:val="24"/>
          <w:szCs w:val="24"/>
          <w:lang w:val="es-ES_tradnl"/>
        </w:rPr>
        <w:t>Cybersecurity Trends</w:t>
      </w:r>
      <w:r w:rsidRPr="000236AE">
        <w:rPr>
          <w:rFonts w:ascii="Calibri" w:hAnsi="Calibri"/>
          <w:sz w:val="24"/>
          <w:szCs w:val="24"/>
          <w:lang w:val="es-ES_tradnl"/>
        </w:rPr>
        <w:t xml:space="preserve"> de origen rumano que se está traduciendo en un número cada vez mayor de países europeos.</w:t>
      </w:r>
    </w:p>
    <w:p w:rsidR="00576F75" w:rsidRPr="000236AE" w:rsidRDefault="00576F75" w:rsidP="00E5611D">
      <w:pPr>
        <w:tabs>
          <w:tab w:val="left" w:pos="567"/>
          <w:tab w:val="left" w:pos="1134"/>
        </w:tabs>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Prof. Michael Goldsmith</w:t>
      </w:r>
      <w:r w:rsidRPr="000236AE">
        <w:rPr>
          <w:rFonts w:ascii="Calibri" w:hAnsi="Calibri"/>
          <w:sz w:val="24"/>
          <w:szCs w:val="24"/>
          <w:lang w:val="es-ES_tradnl"/>
        </w:rPr>
        <w:t>, Global Cyber Security Capacity Centre, Universidad de Oxford, Reino Unido, presentó el Global Cyber Security Capacity Centre (GCSCC) como institución de relevancia internacional en materia de investigación sobre la ciberseguridad y la capacitación.</w:t>
      </w:r>
    </w:p>
    <w:p w:rsidR="00576F75" w:rsidRPr="000236AE" w:rsidRDefault="00576F75" w:rsidP="00E5611D">
      <w:pPr>
        <w:tabs>
          <w:tab w:val="left" w:pos="567"/>
          <w:tab w:val="left" w:pos="1134"/>
        </w:tabs>
        <w:rPr>
          <w:rFonts w:ascii="Calibri" w:hAnsi="Calibri"/>
          <w:sz w:val="24"/>
          <w:szCs w:val="24"/>
          <w:lang w:val="es-ES_tradnl"/>
        </w:rPr>
      </w:pPr>
      <w:r w:rsidRPr="000236AE">
        <w:rPr>
          <w:rFonts w:ascii="Calibri" w:hAnsi="Calibri"/>
          <w:sz w:val="24"/>
          <w:szCs w:val="24"/>
          <w:lang w:val="es-ES_tradnl"/>
        </w:rPr>
        <w:t>En su intervención se centró en uno de los productos faro del Centro, a saber, el Cybersecurity Maturity Model (CMM), destinado a evaluar el nivel de madurez en materia de ciberseguridad de un país a fin de ofrecer orientaciones e indicaciones a los gobiernos para la mejora de la ciberseguridad.</w:t>
      </w:r>
    </w:p>
    <w:p w:rsidR="00576F75" w:rsidRPr="000236AE" w:rsidRDefault="00576F75" w:rsidP="00E5611D">
      <w:pPr>
        <w:tabs>
          <w:tab w:val="left" w:pos="567"/>
          <w:tab w:val="left" w:pos="1134"/>
        </w:tabs>
        <w:rPr>
          <w:rFonts w:ascii="Calibri" w:hAnsi="Calibri"/>
          <w:sz w:val="24"/>
          <w:szCs w:val="24"/>
          <w:lang w:val="es-ES_tradnl"/>
        </w:rPr>
      </w:pPr>
      <w:r w:rsidRPr="000236AE">
        <w:rPr>
          <w:rFonts w:ascii="Calibri" w:hAnsi="Calibri"/>
          <w:sz w:val="24"/>
          <w:szCs w:val="24"/>
          <w:lang w:val="es-ES_tradnl"/>
        </w:rPr>
        <w:t>Este modelo se articula en torno a 5 pilares y, hasta la fecha, el centro lo ha utilizado, en cooperación con socios estratégicos, como la UIT, para prestar asistencia a 17 Estados Miembros. Gracias a una serie de interacciones con interesados nacionales, el CMM contribuye a mejorar el proceso de toma de decisiones y a activar medidas que aumentan la seguridad del ciberespacio.</w:t>
      </w:r>
    </w:p>
    <w:p w:rsidR="00576F75" w:rsidRPr="000236AE" w:rsidRDefault="00576F75" w:rsidP="00694554">
      <w:pPr>
        <w:rPr>
          <w:rFonts w:ascii="Calibri" w:hAnsi="Calibri"/>
          <w:sz w:val="24"/>
          <w:szCs w:val="24"/>
          <w:lang w:val="es-ES_tradnl"/>
        </w:rPr>
      </w:pPr>
      <w:r w:rsidRPr="000236AE">
        <w:rPr>
          <w:rFonts w:ascii="Calibri" w:hAnsi="Calibri"/>
          <w:sz w:val="24"/>
          <w:szCs w:val="24"/>
          <w:lang w:val="es-ES_tradnl"/>
        </w:rPr>
        <w:t xml:space="preserve">Por último, habló de la cooperación estratégica entre el Centro y la UIT, en particular en el marco de iniciativas como el proyecto Estrategia Nacional de Ciberseguridad, en el que </w:t>
      </w:r>
      <w:r w:rsidR="004F1A42" w:rsidRPr="000236AE">
        <w:rPr>
          <w:rFonts w:ascii="Calibri" w:hAnsi="Calibri"/>
          <w:sz w:val="24"/>
          <w:szCs w:val="24"/>
          <w:lang w:val="es-ES_tradnl"/>
        </w:rPr>
        <w:t>participan</w:t>
      </w:r>
      <w:r w:rsidRPr="000236AE">
        <w:rPr>
          <w:rFonts w:ascii="Calibri" w:hAnsi="Calibri"/>
          <w:sz w:val="24"/>
          <w:szCs w:val="24"/>
          <w:lang w:val="es-ES_tradnl"/>
        </w:rPr>
        <w:t xml:space="preserve"> 15</w:t>
      </w:r>
      <w:r w:rsidR="00694554">
        <w:rPr>
          <w:rFonts w:ascii="Calibri" w:hAnsi="Calibri"/>
          <w:sz w:val="24"/>
          <w:szCs w:val="24"/>
          <w:lang w:val="es-ES_tradnl"/>
        </w:rPr>
        <w:t> </w:t>
      </w:r>
      <w:r w:rsidRPr="000236AE">
        <w:rPr>
          <w:rFonts w:ascii="Calibri" w:hAnsi="Calibri"/>
          <w:sz w:val="24"/>
          <w:szCs w:val="24"/>
          <w:lang w:val="es-ES_tradnl"/>
        </w:rPr>
        <w:t>organizaciones.</w:t>
      </w:r>
    </w:p>
    <w:p w:rsidR="00576F75" w:rsidRPr="000236AE" w:rsidRDefault="00576F75" w:rsidP="00E5611D">
      <w:pPr>
        <w:rPr>
          <w:rFonts w:ascii="Calibri" w:hAnsi="Calibri"/>
          <w:sz w:val="24"/>
          <w:szCs w:val="24"/>
          <w:lang w:val="es-ES_tradnl"/>
        </w:rPr>
      </w:pPr>
      <w:r w:rsidRPr="000236AE">
        <w:rPr>
          <w:rFonts w:ascii="Calibri" w:hAnsi="Calibri"/>
          <w:sz w:val="24"/>
          <w:szCs w:val="24"/>
          <w:lang w:val="es-ES_tradnl"/>
        </w:rPr>
        <w:t xml:space="preserve">De todo lo sugerido y de las tendencias presentadas durante la sesión se destaca que las ciberamenazas están convirtiéndose en un fenómeno transversal, afectando así a la población en su conjunto, desde los </w:t>
      </w:r>
      <w:r w:rsidRPr="000236AE">
        <w:rPr>
          <w:rFonts w:ascii="Calibri" w:hAnsi="Calibri"/>
          <w:sz w:val="24"/>
          <w:szCs w:val="24"/>
          <w:lang w:val="es-ES_tradnl"/>
        </w:rPr>
        <w:lastRenderedPageBreak/>
        <w:t xml:space="preserve">jóvenes que utilizan las TIC principalmente para la interacción social y el entretenimiento a los profesionales de los sectores público y privado. Así, todos los oradores insistieron en la importancia de adoptar un enfoque colaborativo y </w:t>
      </w:r>
      <w:r w:rsidR="004F1A42" w:rsidRPr="000236AE">
        <w:rPr>
          <w:rFonts w:ascii="Calibri" w:hAnsi="Calibri"/>
          <w:sz w:val="24"/>
          <w:szCs w:val="24"/>
          <w:lang w:val="es-ES_tradnl"/>
        </w:rPr>
        <w:t>cooperativo</w:t>
      </w:r>
      <w:r w:rsidRPr="000236AE">
        <w:rPr>
          <w:rFonts w:ascii="Calibri" w:hAnsi="Calibri"/>
          <w:sz w:val="24"/>
          <w:szCs w:val="24"/>
          <w:lang w:val="es-ES_tradnl"/>
        </w:rPr>
        <w:t>. Asimismo, la creación de capacidades como los Equipos de Intervención en caso de Incidente Informático (EIII) y de marcos como las Estrategias Nacionales de Ciberseguridad (ENC) son fundamentales para crear una cultura global de la ciberseguridad.</w:t>
      </w:r>
    </w:p>
    <w:p w:rsidR="00576F75" w:rsidRPr="001D2082" w:rsidRDefault="00576F75" w:rsidP="001D2082">
      <w:pPr>
        <w:pStyle w:val="Headingb"/>
        <w:rPr>
          <w:b w:val="0"/>
          <w:bCs/>
        </w:rPr>
      </w:pPr>
      <w:r w:rsidRPr="001D2082">
        <w:rPr>
          <w:rFonts w:ascii="Calibri" w:hAnsi="Calibri"/>
        </w:rPr>
        <w:t>Sesión 3: Integración digital e innovación de las TIC para el desarrollo sostenible (ODS 4/5/9, LA CMSI C3, C4, C7)</w:t>
      </w:r>
    </w:p>
    <w:p w:rsidR="00576F75" w:rsidRPr="000236AE" w:rsidRDefault="00576F75" w:rsidP="00E347D3">
      <w:pPr>
        <w:rPr>
          <w:lang w:val="es-ES_tradnl"/>
        </w:rPr>
      </w:pPr>
      <w:r w:rsidRPr="000236AE">
        <w:rPr>
          <w:rFonts w:ascii="Calibri" w:hAnsi="Calibri"/>
          <w:sz w:val="24"/>
          <w:szCs w:val="24"/>
          <w:lang w:val="es-ES_tradnl"/>
        </w:rPr>
        <w:t>Esta sesión se centró en las iniciativas emprendidas a nivel regional en pro del acceso a las telecomunicaciones/TIC, sobre todo de las personas con discapacidad, y en pro del espíritu empresarial, la innovación y el aumento de conocimientos en materia de TIC</w:t>
      </w:r>
      <w:r w:rsidR="006C5ABA" w:rsidRPr="000236AE">
        <w:rPr>
          <w:lang w:val="es-ES_tradnl"/>
        </w:rPr>
        <w:t>.</w:t>
      </w:r>
    </w:p>
    <w:p w:rsidR="00576F75" w:rsidRPr="000236AE" w:rsidRDefault="00576F75" w:rsidP="00E347D3">
      <w:pPr>
        <w:rPr>
          <w:rFonts w:ascii="Calibri" w:hAnsi="Calibri"/>
          <w:sz w:val="24"/>
          <w:szCs w:val="24"/>
          <w:lang w:val="es-ES_tradnl"/>
        </w:rPr>
      </w:pPr>
      <w:r w:rsidRPr="00F03C51">
        <w:rPr>
          <w:lang w:val="es-ES_tradnl"/>
        </w:rPr>
        <w:t xml:space="preserve">La </w:t>
      </w:r>
      <w:r w:rsidRPr="000236AE">
        <w:rPr>
          <w:rFonts w:ascii="Calibri" w:hAnsi="Calibri"/>
          <w:b/>
          <w:i/>
          <w:iCs/>
          <w:sz w:val="24"/>
          <w:szCs w:val="24"/>
          <w:lang w:val="es-ES_tradnl"/>
        </w:rPr>
        <w:t>Sra. Ieva Žilionienė</w:t>
      </w:r>
      <w:r w:rsidRPr="000236AE">
        <w:rPr>
          <w:rFonts w:ascii="Calibri" w:hAnsi="Calibri"/>
          <w:sz w:val="24"/>
          <w:szCs w:val="24"/>
          <w:lang w:val="es-ES_tradnl"/>
        </w:rPr>
        <w:t>, Directora del Departamento de Estrategia de la Autoridad de Reglamentación de las Comunicaciones de la República de Lituania, presentó la sesión subrayando la importancia de que todos los miembros de la sociedad puedan beneficiarse de las oportunidade</w:t>
      </w:r>
      <w:r w:rsidR="00694554">
        <w:rPr>
          <w:rFonts w:ascii="Calibri" w:hAnsi="Calibri"/>
          <w:sz w:val="24"/>
          <w:szCs w:val="24"/>
          <w:lang w:val="es-ES_tradnl"/>
        </w:rPr>
        <w:t xml:space="preserve">s que brindan las TIC. También </w:t>
      </w:r>
      <w:r w:rsidRPr="000236AE">
        <w:rPr>
          <w:rFonts w:ascii="Calibri" w:hAnsi="Calibri"/>
          <w:sz w:val="24"/>
          <w:szCs w:val="24"/>
          <w:lang w:val="es-ES_tradnl"/>
        </w:rPr>
        <w:t xml:space="preserve">insistió en que es necesario identificar un terreno común de actuación a partir de la experiencia extraída de las iniciativas llevadas a cabo en distintos países de la región. </w:t>
      </w:r>
    </w:p>
    <w:p w:rsidR="00576F75" w:rsidRPr="000236AE" w:rsidRDefault="00576F75" w:rsidP="00694554">
      <w:pPr>
        <w:rPr>
          <w:rFonts w:ascii="Calibri" w:hAnsi="Calibri"/>
          <w:sz w:val="24"/>
          <w:szCs w:val="24"/>
          <w:lang w:val="es-ES_tradnl"/>
        </w:rPr>
      </w:pPr>
      <w:r w:rsidRPr="000236AE">
        <w:rPr>
          <w:rFonts w:ascii="Calibri" w:hAnsi="Calibri"/>
          <w:sz w:val="24"/>
          <w:szCs w:val="24"/>
          <w:lang w:val="es-ES_tradnl"/>
        </w:rPr>
        <w:t xml:space="preserve">En su discurso, el </w:t>
      </w:r>
      <w:r w:rsidRPr="000236AE">
        <w:rPr>
          <w:rFonts w:ascii="Calibri" w:hAnsi="Calibri"/>
          <w:b/>
          <w:i/>
          <w:iCs/>
          <w:sz w:val="24"/>
          <w:szCs w:val="24"/>
          <w:lang w:val="es-ES_tradnl"/>
        </w:rPr>
        <w:t>Excmo. Sr. Karol Okonski</w:t>
      </w:r>
      <w:r w:rsidRPr="000236AE">
        <w:rPr>
          <w:rFonts w:ascii="Calibri" w:hAnsi="Calibri"/>
          <w:sz w:val="24"/>
          <w:szCs w:val="24"/>
          <w:lang w:val="es-ES_tradnl"/>
        </w:rPr>
        <w:t xml:space="preserve">, Subsecretario de Estado de la República de Polonia, presentó las oportunidades y retos que plantean las iniciativas Mobile ID, así como al Grupo de Expertos Mobile ID, creado en el </w:t>
      </w:r>
      <w:r w:rsidR="004F1A42" w:rsidRPr="000236AE">
        <w:rPr>
          <w:rFonts w:ascii="Calibri" w:hAnsi="Calibri"/>
          <w:sz w:val="24"/>
          <w:szCs w:val="24"/>
          <w:lang w:val="es-ES_tradnl"/>
        </w:rPr>
        <w:t>contexto</w:t>
      </w:r>
      <w:r w:rsidRPr="000236AE">
        <w:rPr>
          <w:rFonts w:ascii="Calibri" w:hAnsi="Calibri"/>
          <w:sz w:val="24"/>
          <w:szCs w:val="24"/>
          <w:lang w:val="es-ES_tradnl"/>
        </w:rPr>
        <w:t xml:space="preserve"> de la Iniciativa Regional para Europa sobre innovación. </w:t>
      </w:r>
    </w:p>
    <w:p w:rsidR="00576F75" w:rsidRPr="000236AE" w:rsidRDefault="00576F75" w:rsidP="00694554">
      <w:pPr>
        <w:rPr>
          <w:rFonts w:ascii="Calibri" w:hAnsi="Calibri"/>
          <w:sz w:val="24"/>
          <w:szCs w:val="24"/>
          <w:lang w:val="es-ES_tradnl"/>
        </w:rPr>
      </w:pPr>
      <w:r w:rsidRPr="000236AE">
        <w:rPr>
          <w:rFonts w:ascii="Calibri" w:hAnsi="Calibri"/>
          <w:sz w:val="24"/>
          <w:szCs w:val="24"/>
          <w:lang w:val="es-ES_tradnl"/>
        </w:rPr>
        <w:t>Señaló que, al reconocer la importancia de las tecnologías de la información y la comunicación para el desarrollo, el Gobierno de Polonia ha hecho de las TIC una de sus principales prioridades políticas. En ese contexto se ha lanzado la iniciativa Mobile ID de Polonia, cuya fase piloto se iniciará en mayo de</w:t>
      </w:r>
      <w:r w:rsidR="00694554">
        <w:rPr>
          <w:rFonts w:ascii="Calibri" w:hAnsi="Calibri"/>
          <w:sz w:val="24"/>
          <w:szCs w:val="24"/>
          <w:lang w:val="es-ES_tradnl"/>
        </w:rPr>
        <w:t> </w:t>
      </w:r>
      <w:r w:rsidRPr="000236AE">
        <w:rPr>
          <w:rFonts w:ascii="Calibri" w:hAnsi="Calibri"/>
          <w:sz w:val="24"/>
          <w:szCs w:val="24"/>
          <w:lang w:val="es-ES_tradnl"/>
        </w:rPr>
        <w:t>2017. Este proyecto aprovechará el crecimiento de las redes y usuarios móviles y los avances de los servicios de geolocalización para ofrecer servicios mejores y personalizados a los habitantes de Polonia. Parte del proyecto consiste en la centralización de todas las informaciones y servicios, incluidos los servicios de pago y de cibergobierno, en un único dispositivo.</w:t>
      </w:r>
    </w:p>
    <w:p w:rsidR="00576F75" w:rsidRPr="000236AE" w:rsidRDefault="00576F75" w:rsidP="0084293D">
      <w:pPr>
        <w:rPr>
          <w:rFonts w:ascii="Calibri" w:hAnsi="Calibri"/>
          <w:sz w:val="24"/>
          <w:szCs w:val="24"/>
          <w:lang w:val="es-ES_tradnl"/>
        </w:rPr>
      </w:pPr>
      <w:r w:rsidRPr="000236AE">
        <w:rPr>
          <w:rFonts w:ascii="Calibri" w:hAnsi="Calibri"/>
          <w:sz w:val="24"/>
          <w:szCs w:val="24"/>
          <w:lang w:val="es-ES_tradnl"/>
        </w:rPr>
        <w:t xml:space="preserve">Se enumeraron los factores determinantes de los proyectos Mobile ID, concretamente una amplia base de usuarios móviles, una conectividad móvil fiable y ampliamente disponible, un entorno </w:t>
      </w:r>
      <w:r w:rsidR="004F1A42" w:rsidRPr="000236AE">
        <w:rPr>
          <w:rFonts w:ascii="Calibri" w:hAnsi="Calibri"/>
          <w:sz w:val="24"/>
          <w:szCs w:val="24"/>
          <w:lang w:val="es-ES_tradnl"/>
        </w:rPr>
        <w:t>legislativo</w:t>
      </w:r>
      <w:r w:rsidRPr="000236AE">
        <w:rPr>
          <w:rFonts w:ascii="Calibri" w:hAnsi="Calibri"/>
          <w:sz w:val="24"/>
          <w:szCs w:val="24"/>
          <w:lang w:val="es-ES_tradnl"/>
        </w:rPr>
        <w:t xml:space="preserve"> propicio y el conocimiento de los componentes de seguridad y privacidad. El orador también mencionó los principales retos, entre los que se cuentan la aceptación por parte de los usuarios, pero también del sector privado, de las nuevas maneras de entrega y utilización de los servicios, incluidas las transacciones financieras. Al mismo tiempo, es importante ganar la confianza de la población y ofrecer soluciones técnicas estables, flexibles y adaptables que se amolden a los cambios tecnológicos. </w:t>
      </w:r>
    </w:p>
    <w:p w:rsidR="00576F75" w:rsidRPr="000236AE" w:rsidRDefault="00576F75" w:rsidP="0084293D">
      <w:pPr>
        <w:rPr>
          <w:rFonts w:ascii="Calibri" w:hAnsi="Calibri"/>
          <w:sz w:val="24"/>
          <w:szCs w:val="24"/>
          <w:lang w:val="es-ES_tradnl"/>
        </w:rPr>
      </w:pPr>
      <w:r w:rsidRPr="000236AE">
        <w:rPr>
          <w:rFonts w:ascii="Calibri" w:hAnsi="Calibri"/>
          <w:sz w:val="24"/>
          <w:szCs w:val="24"/>
          <w:lang w:val="es-ES_tradnl"/>
        </w:rPr>
        <w:t xml:space="preserve">Se presentaron ejemplos de proyectos de identificación móvil y </w:t>
      </w:r>
      <w:r w:rsidR="004F1A42" w:rsidRPr="000236AE">
        <w:rPr>
          <w:rFonts w:ascii="Calibri" w:hAnsi="Calibri"/>
          <w:sz w:val="24"/>
          <w:szCs w:val="24"/>
          <w:lang w:val="es-ES_tradnl"/>
        </w:rPr>
        <w:t>electrónica</w:t>
      </w:r>
      <w:r w:rsidRPr="000236AE">
        <w:rPr>
          <w:rFonts w:ascii="Calibri" w:hAnsi="Calibri"/>
          <w:sz w:val="24"/>
          <w:szCs w:val="24"/>
          <w:lang w:val="es-ES_tradnl"/>
        </w:rPr>
        <w:t xml:space="preserve"> de diversos países al abordar temas como las asociaciones público-privadas, las distintas opciones reglamentarias y las soluciones técnicas. También se hizo hincapié en que, si bien en algunos países los servicios de identificación móvil y electrónica son optativos, otros gobiernos los imponen como obligación para la prestación de servicios específicos. </w:t>
      </w:r>
    </w:p>
    <w:p w:rsidR="00576F75" w:rsidRPr="000236AE" w:rsidRDefault="00576F75" w:rsidP="00694554">
      <w:pPr>
        <w:rPr>
          <w:rFonts w:ascii="Calibri" w:hAnsi="Calibri"/>
          <w:sz w:val="24"/>
          <w:szCs w:val="24"/>
          <w:lang w:val="es-ES_tradnl"/>
        </w:rPr>
      </w:pPr>
      <w:r w:rsidRPr="00F03C51">
        <w:rPr>
          <w:lang w:val="es-ES_tradnl"/>
        </w:rPr>
        <w:t xml:space="preserve">La </w:t>
      </w:r>
      <w:r w:rsidRPr="000236AE">
        <w:rPr>
          <w:rFonts w:ascii="Calibri" w:hAnsi="Calibri"/>
          <w:b/>
          <w:i/>
          <w:iCs/>
          <w:sz w:val="24"/>
          <w:szCs w:val="24"/>
          <w:lang w:val="es-ES_tradnl"/>
        </w:rPr>
        <w:t>Sra. Amela Odobasic</w:t>
      </w:r>
      <w:r w:rsidRPr="000236AE">
        <w:rPr>
          <w:rFonts w:ascii="Calibri" w:hAnsi="Calibri"/>
          <w:sz w:val="24"/>
          <w:szCs w:val="24"/>
          <w:lang w:val="es-ES_tradnl"/>
        </w:rPr>
        <w:t xml:space="preserve">, Jefa de Asuntos Públicos de la Agencia de Reglamentación de las Comunicaciones de Bosnia y Herzegovina, habló de la </w:t>
      </w:r>
      <w:r w:rsidR="00694554">
        <w:rPr>
          <w:rFonts w:ascii="Calibri" w:hAnsi="Calibri"/>
          <w:sz w:val="24"/>
          <w:szCs w:val="24"/>
          <w:lang w:val="es-ES_tradnl"/>
        </w:rPr>
        <w:t>c</w:t>
      </w:r>
      <w:r w:rsidRPr="000236AE">
        <w:rPr>
          <w:rFonts w:ascii="Calibri" w:hAnsi="Calibri"/>
          <w:sz w:val="24"/>
          <w:szCs w:val="24"/>
          <w:lang w:val="es-ES_tradnl"/>
        </w:rPr>
        <w:t xml:space="preserve">apacitación nacional y regional para aumentar la accesibilidad de las TIC. La Sra. Odobasic recordó el compromiso de las Naciones Unidas para con las personas con discapacidad y su promesa de permitir a </w:t>
      </w:r>
      <w:r w:rsidRPr="000236AE">
        <w:rPr>
          <w:rFonts w:ascii="Calibri" w:hAnsi="Calibri"/>
          <w:i/>
          <w:iCs/>
          <w:sz w:val="24"/>
          <w:szCs w:val="24"/>
          <w:lang w:val="es-ES_tradnl"/>
        </w:rPr>
        <w:t xml:space="preserve">todas </w:t>
      </w:r>
      <w:r w:rsidRPr="000236AE">
        <w:rPr>
          <w:rFonts w:ascii="Calibri" w:hAnsi="Calibri"/>
          <w:sz w:val="24"/>
          <w:szCs w:val="24"/>
          <w:lang w:val="es-ES_tradnl"/>
        </w:rPr>
        <w:t>las personas participar plenamente</w:t>
      </w:r>
      <w:r w:rsidR="00694554">
        <w:rPr>
          <w:rFonts w:ascii="Calibri" w:hAnsi="Calibri"/>
          <w:sz w:val="24"/>
          <w:szCs w:val="24"/>
          <w:lang w:val="es-ES_tradnl"/>
        </w:rPr>
        <w:t xml:space="preserve"> en la sociedad y la economía. </w:t>
      </w:r>
      <w:r w:rsidRPr="000236AE">
        <w:rPr>
          <w:rFonts w:ascii="Calibri" w:hAnsi="Calibri"/>
          <w:sz w:val="24"/>
          <w:szCs w:val="24"/>
          <w:lang w:val="es-ES_tradnl"/>
        </w:rPr>
        <w:t>Presentó la Iniciativa Regional sobre accesibilidad y asequibilidad de</w:t>
      </w:r>
      <w:r w:rsidR="004F1A42">
        <w:rPr>
          <w:rFonts w:ascii="Calibri" w:hAnsi="Calibri"/>
          <w:sz w:val="24"/>
          <w:szCs w:val="24"/>
          <w:lang w:val="es-ES_tradnl"/>
        </w:rPr>
        <w:t xml:space="preserve"> </w:t>
      </w:r>
      <w:r w:rsidRPr="000236AE">
        <w:rPr>
          <w:rFonts w:ascii="Calibri" w:hAnsi="Calibri"/>
          <w:sz w:val="24"/>
          <w:szCs w:val="24"/>
          <w:lang w:val="es-ES_tradnl"/>
        </w:rPr>
        <w:t xml:space="preserve">los productos y servicios de telecomunicaciones/TIC, </w:t>
      </w:r>
      <w:r w:rsidR="004F1A42" w:rsidRPr="000236AE">
        <w:rPr>
          <w:rFonts w:ascii="Calibri" w:hAnsi="Calibri"/>
          <w:sz w:val="24"/>
          <w:szCs w:val="24"/>
          <w:lang w:val="es-ES_tradnl"/>
        </w:rPr>
        <w:t>prestando</w:t>
      </w:r>
      <w:r w:rsidRPr="000236AE">
        <w:rPr>
          <w:rFonts w:ascii="Calibri" w:hAnsi="Calibri"/>
          <w:sz w:val="24"/>
          <w:szCs w:val="24"/>
          <w:lang w:val="es-ES_tradnl"/>
        </w:rPr>
        <w:t xml:space="preserve"> una atención especial a las personas con discapacidad, para garantizar la integración digital y el desarrollo socioeconómico sostenible. </w:t>
      </w:r>
    </w:p>
    <w:p w:rsidR="00576F75" w:rsidRPr="000236AE" w:rsidRDefault="00576F75" w:rsidP="005C5402">
      <w:pPr>
        <w:rPr>
          <w:rFonts w:ascii="Calibri" w:hAnsi="Calibri"/>
          <w:sz w:val="24"/>
          <w:szCs w:val="24"/>
          <w:lang w:val="es-ES_tradnl"/>
        </w:rPr>
      </w:pPr>
      <w:r w:rsidRPr="000236AE">
        <w:rPr>
          <w:rFonts w:ascii="Calibri" w:hAnsi="Calibri"/>
          <w:sz w:val="24"/>
          <w:szCs w:val="24"/>
          <w:lang w:val="es-ES_tradnl"/>
        </w:rPr>
        <w:lastRenderedPageBreak/>
        <w:t xml:space="preserve">El principal objetivo de esta iniciativa es reforzar la cooperación regional y el </w:t>
      </w:r>
      <w:r w:rsidR="004F1A42" w:rsidRPr="000236AE">
        <w:rPr>
          <w:rFonts w:ascii="Calibri" w:hAnsi="Calibri"/>
          <w:sz w:val="24"/>
          <w:szCs w:val="24"/>
          <w:lang w:val="es-ES_tradnl"/>
        </w:rPr>
        <w:t>compromiso</w:t>
      </w:r>
      <w:r w:rsidRPr="000236AE">
        <w:rPr>
          <w:rFonts w:ascii="Calibri" w:hAnsi="Calibri"/>
          <w:sz w:val="24"/>
          <w:szCs w:val="24"/>
          <w:lang w:val="es-ES_tradnl"/>
        </w:rPr>
        <w:t xml:space="preserve"> de todas las partes interesadas pertinentes, incluidos los gobiernos, los operadores y los fabricantes. Se trata de una iniciativa de concienciación y promoción de las directrices sobre políticas públicas pertinentes. Además, quiere desarrollar las capacidades nacionales y regionales mediante formaciones en accesibilidad web, además de fomentar la implementación y medir los progresos alcanzados. La Sra. Odobasic insistió en que, si bien la mayoría de países en desarrollo de Europa ha </w:t>
      </w:r>
      <w:r w:rsidR="004F1A42" w:rsidRPr="000236AE">
        <w:rPr>
          <w:rFonts w:ascii="Calibri" w:hAnsi="Calibri"/>
          <w:sz w:val="24"/>
          <w:szCs w:val="24"/>
          <w:lang w:val="es-ES_tradnl"/>
        </w:rPr>
        <w:t>adoptado</w:t>
      </w:r>
      <w:r w:rsidRPr="000236AE">
        <w:rPr>
          <w:rFonts w:ascii="Calibri" w:hAnsi="Calibri"/>
          <w:sz w:val="24"/>
          <w:szCs w:val="24"/>
          <w:lang w:val="es-ES_tradnl"/>
        </w:rPr>
        <w:t xml:space="preserve"> los marcos jurídicos y reglamentarios, el nivel de implementación de la accesibilidad de las TIC sigue siendo bajo. </w:t>
      </w:r>
    </w:p>
    <w:p w:rsidR="00576F75" w:rsidRPr="000236AE" w:rsidRDefault="00576F75" w:rsidP="00694554">
      <w:pPr>
        <w:rPr>
          <w:rFonts w:ascii="Calibri" w:hAnsi="Calibri"/>
          <w:sz w:val="24"/>
          <w:szCs w:val="24"/>
          <w:lang w:val="es-ES_tradnl"/>
        </w:rPr>
      </w:pPr>
      <w:r w:rsidRPr="00F03C51">
        <w:rPr>
          <w:lang w:val="es-ES_tradnl"/>
        </w:rPr>
        <w:t xml:space="preserve">La </w:t>
      </w:r>
      <w:r w:rsidRPr="000236AE">
        <w:rPr>
          <w:rFonts w:ascii="Calibri" w:hAnsi="Calibri"/>
          <w:b/>
          <w:i/>
          <w:iCs/>
          <w:sz w:val="24"/>
          <w:szCs w:val="24"/>
          <w:lang w:val="es-ES_tradnl"/>
        </w:rPr>
        <w:t>Sra. Marsida Duskhu</w:t>
      </w:r>
      <w:r w:rsidRPr="000236AE">
        <w:rPr>
          <w:rFonts w:ascii="Calibri" w:hAnsi="Calibri"/>
          <w:sz w:val="24"/>
          <w:szCs w:val="24"/>
          <w:lang w:val="es-ES_tradnl"/>
        </w:rPr>
        <w:t xml:space="preserve">, Autoridad de Comunicaciones Postales y Electrónicas (AKEP), Albania, habló de los enfoques nacionales para la innovación. Explicó que Albania ha recogido, y está aplicando, las recomendaciones concretas de la actual Iniciativa Regional de la UIT sobre innovación y, a partir de ahí, el país ha presentado una propuesta de nueva Iniciativa Regional para Europa sobre un </w:t>
      </w:r>
      <w:r w:rsidR="00694554">
        <w:rPr>
          <w:rFonts w:ascii="Calibri" w:hAnsi="Calibri"/>
          <w:sz w:val="24"/>
          <w:szCs w:val="24"/>
          <w:lang w:val="es-ES_tradnl"/>
        </w:rPr>
        <w:t>"</w:t>
      </w:r>
      <w:r w:rsidRPr="000236AE">
        <w:rPr>
          <w:rFonts w:ascii="Calibri" w:hAnsi="Calibri"/>
          <w:i/>
          <w:iCs/>
          <w:sz w:val="24"/>
          <w:szCs w:val="24"/>
          <w:lang w:val="es-ES_tradnl"/>
        </w:rPr>
        <w:t>Ecosistema de TIC centrado en la innovación, habida cuenta de las tecnologías emergentes</w:t>
      </w:r>
      <w:r w:rsidR="00694554" w:rsidRPr="00694554">
        <w:rPr>
          <w:rFonts w:ascii="Calibri" w:hAnsi="Calibri"/>
          <w:sz w:val="24"/>
          <w:szCs w:val="24"/>
          <w:lang w:val="es-ES_tradnl"/>
        </w:rPr>
        <w:t>"</w:t>
      </w:r>
      <w:r w:rsidR="00694554">
        <w:rPr>
          <w:rFonts w:ascii="Calibri" w:hAnsi="Calibri"/>
          <w:sz w:val="24"/>
          <w:szCs w:val="24"/>
          <w:lang w:val="es-ES_tradnl"/>
        </w:rPr>
        <w:t>.</w:t>
      </w:r>
    </w:p>
    <w:p w:rsidR="00576F75" w:rsidRPr="000236AE" w:rsidRDefault="00576F75" w:rsidP="00F676B3">
      <w:pPr>
        <w:rPr>
          <w:rFonts w:ascii="Calibri" w:hAnsi="Calibri"/>
          <w:sz w:val="24"/>
          <w:szCs w:val="24"/>
          <w:lang w:val="es-ES_tradnl"/>
        </w:rPr>
      </w:pPr>
      <w:r w:rsidRPr="000236AE">
        <w:rPr>
          <w:rFonts w:ascii="Calibri" w:hAnsi="Calibri"/>
          <w:sz w:val="24"/>
          <w:szCs w:val="24"/>
          <w:lang w:val="es-ES_tradnl"/>
        </w:rPr>
        <w:t>El Examen de las TIC de Albania, proyecto de estudio de caso iniciado en diciembre de 2015, comprende 46 entrevistas con instituciones de seis grupos de interés distintos y una consulta multipartita. El resumen ejecutivo se presentó en el marco de la Semana de la Innovación el 17 de mayo de 2016.</w:t>
      </w:r>
    </w:p>
    <w:p w:rsidR="00576F75" w:rsidRPr="000236AE" w:rsidRDefault="00576F75" w:rsidP="00694554">
      <w:pPr>
        <w:rPr>
          <w:rFonts w:ascii="Calibri" w:hAnsi="Calibri"/>
          <w:sz w:val="24"/>
          <w:szCs w:val="24"/>
          <w:lang w:val="es-ES_tradnl"/>
        </w:rPr>
      </w:pPr>
      <w:r w:rsidRPr="000236AE">
        <w:rPr>
          <w:rFonts w:ascii="Calibri" w:hAnsi="Calibri"/>
          <w:sz w:val="24"/>
          <w:szCs w:val="24"/>
          <w:lang w:val="es-ES_tradnl"/>
        </w:rPr>
        <w:t>La Sra. Duskhu</w:t>
      </w:r>
      <w:r w:rsidRPr="000236AE">
        <w:rPr>
          <w:rFonts w:ascii="Calibri" w:hAnsi="Calibri"/>
          <w:b/>
          <w:i/>
          <w:iCs/>
          <w:sz w:val="24"/>
          <w:szCs w:val="24"/>
          <w:lang w:val="es-ES_tradnl"/>
        </w:rPr>
        <w:t xml:space="preserve"> </w:t>
      </w:r>
      <w:r w:rsidRPr="000236AE">
        <w:rPr>
          <w:rFonts w:ascii="Calibri" w:hAnsi="Calibri"/>
          <w:sz w:val="24"/>
          <w:szCs w:val="24"/>
          <w:lang w:val="es-ES_tradnl"/>
        </w:rPr>
        <w:t xml:space="preserve">concluyó diciendo que el Gobierno de Albania está examinando el Plan de Acción Nacional de la </w:t>
      </w:r>
      <w:r w:rsidR="00B95702" w:rsidRPr="000236AE">
        <w:rPr>
          <w:rFonts w:ascii="Calibri" w:hAnsi="Calibri"/>
          <w:sz w:val="24"/>
          <w:szCs w:val="24"/>
          <w:lang w:val="es-ES_tradnl"/>
        </w:rPr>
        <w:t>Estrategia</w:t>
      </w:r>
      <w:r w:rsidRPr="000236AE">
        <w:rPr>
          <w:rFonts w:ascii="Calibri" w:hAnsi="Calibri"/>
          <w:sz w:val="24"/>
          <w:szCs w:val="24"/>
          <w:lang w:val="es-ES_tradnl"/>
        </w:rPr>
        <w:t xml:space="preserve"> de la Agenda Digital 2015</w:t>
      </w:r>
      <w:r w:rsidR="00694554">
        <w:rPr>
          <w:rFonts w:ascii="Calibri" w:hAnsi="Calibri"/>
          <w:sz w:val="24"/>
          <w:szCs w:val="24"/>
          <w:lang w:val="es-ES_tradnl"/>
        </w:rPr>
        <w:t>-</w:t>
      </w:r>
      <w:r w:rsidRPr="000236AE">
        <w:rPr>
          <w:rFonts w:ascii="Calibri" w:hAnsi="Calibri"/>
          <w:sz w:val="24"/>
          <w:szCs w:val="24"/>
          <w:lang w:val="es-ES_tradnl"/>
        </w:rPr>
        <w:t xml:space="preserve">2020 y el Programa de Reforma </w:t>
      </w:r>
      <w:r w:rsidR="00B95702" w:rsidRPr="000236AE">
        <w:rPr>
          <w:rFonts w:ascii="Calibri" w:hAnsi="Calibri"/>
          <w:sz w:val="24"/>
          <w:szCs w:val="24"/>
          <w:lang w:val="es-ES_tradnl"/>
        </w:rPr>
        <w:t>Económica</w:t>
      </w:r>
      <w:r w:rsidRPr="000236AE">
        <w:rPr>
          <w:rFonts w:ascii="Calibri" w:hAnsi="Calibri"/>
          <w:sz w:val="24"/>
          <w:szCs w:val="24"/>
          <w:lang w:val="es-ES_tradnl"/>
        </w:rPr>
        <w:t>, que incluye un fondo para la innovación, la competitividad y la creación empresarial, así como un programa de bonos.</w:t>
      </w:r>
    </w:p>
    <w:p w:rsidR="00576F75" w:rsidRPr="000236AE" w:rsidRDefault="00576F75" w:rsidP="00F676B3">
      <w:pPr>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Sr. João Magalhães y el Sr. Pavel Racu</w:t>
      </w:r>
      <w:r w:rsidRPr="000236AE">
        <w:rPr>
          <w:rFonts w:ascii="Calibri" w:hAnsi="Calibri"/>
          <w:sz w:val="24"/>
          <w:szCs w:val="24"/>
          <w:lang w:val="es-ES_tradnl"/>
        </w:rPr>
        <w:t xml:space="preserve">, Academia de </w:t>
      </w:r>
      <w:r w:rsidR="00B95702" w:rsidRPr="000236AE">
        <w:rPr>
          <w:rFonts w:ascii="Calibri" w:hAnsi="Calibri"/>
          <w:sz w:val="24"/>
          <w:szCs w:val="24"/>
          <w:lang w:val="es-ES_tradnl"/>
        </w:rPr>
        <w:t>Código</w:t>
      </w:r>
      <w:r w:rsidRPr="000236AE">
        <w:rPr>
          <w:rFonts w:ascii="Calibri" w:hAnsi="Calibri"/>
          <w:sz w:val="24"/>
          <w:szCs w:val="24"/>
          <w:lang w:val="es-ES_tradnl"/>
        </w:rPr>
        <w:t xml:space="preserve">, Portugal, hicieron hincapié en la importancia de la alfabetización digital y de los conocimientos digitales y demostraron cómo un mejor conocimiento de las TIC puede facilitar los cambios de orientación profesional y resolver problemas económicos como el desempleo. Aunque en muchos países sigue habiendo una alta tasa de desempleo, hay muchas oportunidades para las personas con conocimientos de TIC y programación, pues muchos sectores sufren una carencia en trabajadores con esas capacidades. </w:t>
      </w:r>
    </w:p>
    <w:p w:rsidR="00576F75" w:rsidRPr="000236AE" w:rsidRDefault="00576F75" w:rsidP="00694554">
      <w:pPr>
        <w:rPr>
          <w:rFonts w:ascii="Calibri" w:hAnsi="Calibri"/>
          <w:sz w:val="24"/>
          <w:szCs w:val="24"/>
          <w:lang w:val="es-ES_tradnl"/>
        </w:rPr>
      </w:pPr>
      <w:r w:rsidRPr="000236AE">
        <w:rPr>
          <w:rFonts w:ascii="Calibri" w:hAnsi="Calibri"/>
          <w:sz w:val="24"/>
          <w:szCs w:val="24"/>
          <w:lang w:val="es-ES_tradnl"/>
        </w:rPr>
        <w:t xml:space="preserve">Los oradores presentaron la inciativa </w:t>
      </w:r>
      <w:r w:rsidR="00694554">
        <w:rPr>
          <w:rFonts w:ascii="Calibri" w:hAnsi="Calibri"/>
          <w:sz w:val="24"/>
          <w:szCs w:val="24"/>
          <w:lang w:val="es-ES_tradnl"/>
        </w:rPr>
        <w:t>"</w:t>
      </w:r>
      <w:r w:rsidRPr="000236AE">
        <w:rPr>
          <w:rFonts w:ascii="Calibri" w:hAnsi="Calibri"/>
          <w:sz w:val="24"/>
          <w:szCs w:val="24"/>
          <w:lang w:val="es-ES_tradnl"/>
        </w:rPr>
        <w:t>Obtener un trabajo de codificación para los desempleados</w:t>
      </w:r>
      <w:r w:rsidR="00694554">
        <w:rPr>
          <w:rFonts w:ascii="Calibri" w:hAnsi="Calibri"/>
          <w:sz w:val="24"/>
          <w:szCs w:val="24"/>
          <w:lang w:val="es-ES_tradnl"/>
        </w:rPr>
        <w:t>"</w:t>
      </w:r>
      <w:r w:rsidRPr="000236AE">
        <w:rPr>
          <w:rFonts w:ascii="Calibri" w:hAnsi="Calibri"/>
          <w:sz w:val="24"/>
          <w:szCs w:val="24"/>
          <w:lang w:val="es-ES_tradnl"/>
        </w:rPr>
        <w:t xml:space="preserve"> de la Academia de </w:t>
      </w:r>
      <w:r w:rsidR="00B95702" w:rsidRPr="000236AE">
        <w:rPr>
          <w:rFonts w:ascii="Calibri" w:hAnsi="Calibri"/>
          <w:sz w:val="24"/>
          <w:szCs w:val="24"/>
          <w:lang w:val="es-ES_tradnl"/>
        </w:rPr>
        <w:t>Código</w:t>
      </w:r>
      <w:r w:rsidRPr="000236AE">
        <w:rPr>
          <w:rFonts w:ascii="Calibri" w:hAnsi="Calibri"/>
          <w:sz w:val="24"/>
          <w:szCs w:val="24"/>
          <w:lang w:val="es-ES_tradnl"/>
        </w:rPr>
        <w:t xml:space="preserve">, que imparte formación sobre codificación a personas desempleadas, ayudándolas así a encontrar trabajo. Además, la Academia de </w:t>
      </w:r>
      <w:r w:rsidR="00B95702" w:rsidRPr="000236AE">
        <w:rPr>
          <w:rFonts w:ascii="Calibri" w:hAnsi="Calibri"/>
          <w:sz w:val="24"/>
          <w:szCs w:val="24"/>
          <w:lang w:val="es-ES_tradnl"/>
        </w:rPr>
        <w:t>Código</w:t>
      </w:r>
      <w:r w:rsidRPr="000236AE">
        <w:rPr>
          <w:rFonts w:ascii="Calibri" w:hAnsi="Calibri"/>
          <w:sz w:val="24"/>
          <w:szCs w:val="24"/>
          <w:lang w:val="es-ES_tradnl"/>
        </w:rPr>
        <w:t xml:space="preserve"> ha realizado un estudio para identificar los motivos por los que relativamente pocas personas adquieren conocimientos de TIC y se convierten en expertos en la materia. Este estudio muestra que modificando ciertos aspectos de los programas escolares e insistiendo en la formación en TIC se podría solucionar la carencia de trabajadores con conocimientos de TIC. A raíz del estudio aumentaron sustancialmente la creación de material de formación adicional para docentes y los conocimientos matemáticos de los niños. </w:t>
      </w:r>
    </w:p>
    <w:p w:rsidR="00576F75" w:rsidRPr="000236AE" w:rsidRDefault="00576F75" w:rsidP="00694554">
      <w:pPr>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Dr. Toni Janevski</w:t>
      </w:r>
      <w:r w:rsidRPr="000236AE">
        <w:rPr>
          <w:rFonts w:ascii="Calibri" w:hAnsi="Calibri"/>
          <w:sz w:val="24"/>
          <w:szCs w:val="24"/>
          <w:lang w:val="es-ES_tradnl"/>
        </w:rPr>
        <w:t xml:space="preserve">, Facultad de Ingeniería Eléctrica y Tecnologías de la Información de la Universidad Santos Cirilo y Metodio de Skopje (FEEIT), ex-República Yugoslava de Macedonia, presentó información sobre capacitación en los Centros de </w:t>
      </w:r>
      <w:r w:rsidR="00B95702" w:rsidRPr="000236AE">
        <w:rPr>
          <w:rFonts w:ascii="Calibri" w:hAnsi="Calibri"/>
          <w:sz w:val="24"/>
          <w:szCs w:val="24"/>
          <w:lang w:val="es-ES_tradnl"/>
        </w:rPr>
        <w:t>Excelencia</w:t>
      </w:r>
      <w:r w:rsidRPr="000236AE">
        <w:rPr>
          <w:rFonts w:ascii="Calibri" w:hAnsi="Calibri"/>
          <w:sz w:val="24"/>
          <w:szCs w:val="24"/>
          <w:lang w:val="es-ES_tradnl"/>
        </w:rPr>
        <w:t xml:space="preserve"> de la UIT. En la intervención (grabada con anterioridad) se presentaron la Academia y los Centros de Excelencia de la UIT, incluidos su número y distribución geográfica, sus principales objetivos y sus métodos de trabajo. El Dr. Janevski también </w:t>
      </w:r>
      <w:r w:rsidR="00B95702" w:rsidRPr="000236AE">
        <w:rPr>
          <w:rFonts w:ascii="Calibri" w:hAnsi="Calibri"/>
          <w:sz w:val="24"/>
          <w:szCs w:val="24"/>
          <w:lang w:val="es-ES_tradnl"/>
        </w:rPr>
        <w:t>presentó</w:t>
      </w:r>
      <w:r w:rsidRPr="000236AE">
        <w:rPr>
          <w:rFonts w:ascii="Calibri" w:hAnsi="Calibri"/>
          <w:sz w:val="24"/>
          <w:szCs w:val="24"/>
          <w:lang w:val="es-ES_tradnl"/>
        </w:rPr>
        <w:t xml:space="preserve"> los sitios web correspondientes y mostró a los participantes cómo beneficiarse de esos centros, que ofrecen formaciones sobre temas como el </w:t>
      </w:r>
      <w:r w:rsidR="00B95702" w:rsidRPr="000236AE">
        <w:rPr>
          <w:rFonts w:ascii="Calibri" w:hAnsi="Calibri"/>
          <w:sz w:val="24"/>
          <w:szCs w:val="24"/>
          <w:lang w:val="es-ES_tradnl"/>
        </w:rPr>
        <w:t>futuro</w:t>
      </w:r>
      <w:r w:rsidRPr="000236AE">
        <w:rPr>
          <w:rFonts w:ascii="Calibri" w:hAnsi="Calibri"/>
          <w:sz w:val="24"/>
          <w:szCs w:val="24"/>
          <w:lang w:val="es-ES_tradnl"/>
        </w:rPr>
        <w:t xml:space="preserve"> de Internet, la banda ancha móvil y las redes de la próxima generación. También invit</w:t>
      </w:r>
      <w:r w:rsidR="00694554">
        <w:rPr>
          <w:rFonts w:ascii="Calibri" w:hAnsi="Calibri"/>
          <w:sz w:val="24"/>
          <w:szCs w:val="24"/>
          <w:lang w:val="es-ES_tradnl"/>
        </w:rPr>
        <w:t>ó</w:t>
      </w:r>
      <w:r w:rsidRPr="000236AE">
        <w:rPr>
          <w:rFonts w:ascii="Calibri" w:hAnsi="Calibri"/>
          <w:sz w:val="24"/>
          <w:szCs w:val="24"/>
          <w:lang w:val="es-ES_tradnl"/>
        </w:rPr>
        <w:t xml:space="preserve"> a los participantes a contar su experiencia con las formaciones a fin de poder mejorar la Academia de la</w:t>
      </w:r>
      <w:r w:rsidR="00B95702">
        <w:rPr>
          <w:rFonts w:ascii="Calibri" w:hAnsi="Calibri"/>
          <w:sz w:val="24"/>
          <w:szCs w:val="24"/>
          <w:lang w:val="es-ES_tradnl"/>
        </w:rPr>
        <w:t xml:space="preserve"> UIT, iniciativa mundial faro d</w:t>
      </w:r>
      <w:r w:rsidRPr="000236AE">
        <w:rPr>
          <w:rFonts w:ascii="Calibri" w:hAnsi="Calibri"/>
          <w:sz w:val="24"/>
          <w:szCs w:val="24"/>
          <w:lang w:val="es-ES_tradnl"/>
        </w:rPr>
        <w:t>e</w:t>
      </w:r>
      <w:r w:rsidR="00B95702">
        <w:rPr>
          <w:rFonts w:ascii="Calibri" w:hAnsi="Calibri"/>
          <w:sz w:val="24"/>
          <w:szCs w:val="24"/>
          <w:lang w:val="es-ES_tradnl"/>
        </w:rPr>
        <w:t xml:space="preserve"> </w:t>
      </w:r>
      <w:r w:rsidRPr="000236AE">
        <w:rPr>
          <w:rFonts w:ascii="Calibri" w:hAnsi="Calibri"/>
          <w:sz w:val="24"/>
          <w:szCs w:val="24"/>
          <w:lang w:val="es-ES_tradnl"/>
        </w:rPr>
        <w:t>la UIT en materia de capacitación.</w:t>
      </w:r>
    </w:p>
    <w:p w:rsidR="00576F75" w:rsidRPr="000236AE" w:rsidRDefault="00576F75" w:rsidP="00692FA9">
      <w:pPr>
        <w:rPr>
          <w:rStyle w:val="Strong"/>
          <w:rFonts w:ascii="Calibri" w:hAnsi="Calibri"/>
          <w:sz w:val="24"/>
          <w:szCs w:val="24"/>
          <w:lang w:val="es-ES_tradnl"/>
        </w:rPr>
      </w:pPr>
      <w:r w:rsidRPr="000236AE">
        <w:rPr>
          <w:rFonts w:ascii="Calibri" w:hAnsi="Calibri"/>
          <w:sz w:val="24"/>
          <w:szCs w:val="24"/>
          <w:lang w:val="es-ES_tradnl"/>
        </w:rPr>
        <w:t xml:space="preserve">De la sesión se desprendió que los Miembros de la UIT deben seguir colaborando y asociándose, con la misma intensidad o incluso en mayor medida, para llevar a cabo nuevas Iniciativas Regionales sobre temas clave como la innovación, la accesibilidad y asequibilidad de las telecomunicaciones, los </w:t>
      </w:r>
      <w:r w:rsidR="00B95702" w:rsidRPr="000236AE">
        <w:rPr>
          <w:rFonts w:ascii="Calibri" w:hAnsi="Calibri"/>
          <w:sz w:val="24"/>
          <w:szCs w:val="24"/>
          <w:lang w:val="es-ES_tradnl"/>
        </w:rPr>
        <w:t>conocimientos</w:t>
      </w:r>
      <w:r w:rsidRPr="000236AE">
        <w:rPr>
          <w:rFonts w:ascii="Calibri" w:hAnsi="Calibri"/>
          <w:sz w:val="24"/>
          <w:szCs w:val="24"/>
          <w:lang w:val="es-ES_tradnl"/>
        </w:rPr>
        <w:t xml:space="preserve"> digitales, la capacitación de recursos humanos y las aplicaciones de TIC.</w:t>
      </w:r>
    </w:p>
    <w:p w:rsidR="00576F75" w:rsidRPr="00B95702" w:rsidRDefault="00576F75" w:rsidP="00B95702">
      <w:pPr>
        <w:pStyle w:val="Headingb"/>
        <w:rPr>
          <w:rFonts w:ascii="Calibri" w:hAnsi="Calibri"/>
        </w:rPr>
      </w:pPr>
      <w:r w:rsidRPr="00B95702">
        <w:rPr>
          <w:rStyle w:val="Strong"/>
          <w:rFonts w:ascii="Calibri" w:hAnsi="Calibri"/>
          <w:b/>
          <w:bCs w:val="0"/>
        </w:rPr>
        <w:lastRenderedPageBreak/>
        <w:t>Sesión 4: Nuevos paradigmas de colaboración para las TIC para los Objetivos de Desarrollo Sostenible (</w:t>
      </w:r>
      <w:r w:rsidRPr="00B95702">
        <w:rPr>
          <w:rFonts w:ascii="Calibri" w:hAnsi="Calibri"/>
        </w:rPr>
        <w:t xml:space="preserve">ICT4SDG) (ODS </w:t>
      </w:r>
      <w:r w:rsidR="00694554">
        <w:rPr>
          <w:rFonts w:ascii="Calibri" w:hAnsi="Calibri"/>
        </w:rPr>
        <w:t>4, 5, 17/</w:t>
      </w:r>
      <w:r w:rsidR="00B95702">
        <w:rPr>
          <w:rFonts w:ascii="Calibri" w:hAnsi="Calibri"/>
        </w:rPr>
        <w:t>LA CMSI C1, C3, C11)</w:t>
      </w:r>
    </w:p>
    <w:p w:rsidR="00576F75" w:rsidRPr="000236AE" w:rsidRDefault="00576F75" w:rsidP="00DC5AE3">
      <w:pPr>
        <w:rPr>
          <w:rFonts w:ascii="Calibri" w:hAnsi="Calibri"/>
          <w:sz w:val="24"/>
          <w:szCs w:val="24"/>
          <w:lang w:val="es-ES_tradnl"/>
        </w:rPr>
      </w:pPr>
      <w:r w:rsidRPr="000236AE">
        <w:rPr>
          <w:rFonts w:ascii="Calibri" w:hAnsi="Calibri"/>
          <w:sz w:val="24"/>
          <w:szCs w:val="24"/>
          <w:lang w:val="es-ES_tradnl"/>
        </w:rPr>
        <w:t xml:space="preserve">Esta sesión se centró en la compartición de estrategias y políticas nacionales y regionales para crear asociaciones y lograr un apoyo multipartito a la ejecución de las acciones ICT4SDG. Se creó también una plataforma para el intercambio de experiencias, éxitos, problemas y lecciones extraídas, a fin de acelerar el cumplimiento de la Agenda 2030 mediante las TIC. </w:t>
      </w:r>
    </w:p>
    <w:p w:rsidR="00576F75" w:rsidRPr="000236AE" w:rsidRDefault="00576F75" w:rsidP="00DC5AE3">
      <w:pPr>
        <w:rPr>
          <w:rFonts w:ascii="Calibri" w:hAnsi="Calibri"/>
          <w:sz w:val="24"/>
          <w:szCs w:val="24"/>
          <w:lang w:val="es-ES_tradnl"/>
        </w:rPr>
      </w:pPr>
      <w:r w:rsidRPr="000236AE">
        <w:rPr>
          <w:rFonts w:ascii="Calibri" w:hAnsi="Calibri"/>
          <w:sz w:val="24"/>
          <w:szCs w:val="24"/>
          <w:lang w:val="es-ES_tradnl"/>
        </w:rPr>
        <w:t xml:space="preserve">Para empezar, el </w:t>
      </w:r>
      <w:r w:rsidRPr="000236AE">
        <w:rPr>
          <w:rFonts w:ascii="Calibri" w:hAnsi="Calibri"/>
          <w:b/>
          <w:i/>
          <w:iCs/>
          <w:sz w:val="24"/>
          <w:szCs w:val="24"/>
          <w:lang w:val="es-ES_tradnl"/>
        </w:rPr>
        <w:t>Sr. Jaroslaw Ponder</w:t>
      </w:r>
      <w:r w:rsidRPr="000236AE">
        <w:rPr>
          <w:rFonts w:ascii="Calibri" w:hAnsi="Calibri"/>
          <w:sz w:val="24"/>
          <w:szCs w:val="24"/>
          <w:lang w:val="es-ES_tradnl"/>
        </w:rPr>
        <w:t xml:space="preserve">, Representante de Zona de la UIT para Europa dijo que esta sesión revestía una gran importancia para la ejecución de la Agenda 2030. Presentó a los oradores, representantes de diversos sectores y que colaboran estrechamente con la UIT y la comunidad en sentido amplio, como grandes partidarios de la importancia de las TIC como elemento clave para la consecución de los ODS. </w:t>
      </w:r>
    </w:p>
    <w:p w:rsidR="00576F75" w:rsidRPr="000236AE" w:rsidRDefault="00576F75" w:rsidP="00DC5AE3">
      <w:pPr>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Excmo. Sr. Dejan Maslikovic</w:t>
      </w:r>
      <w:r w:rsidRPr="000236AE">
        <w:rPr>
          <w:rFonts w:ascii="Calibri" w:hAnsi="Calibri"/>
          <w:sz w:val="24"/>
          <w:szCs w:val="24"/>
          <w:lang w:val="es-ES_tradnl"/>
        </w:rPr>
        <w:t xml:space="preserve">, Viceministro de la República de Serbia, pronunció su discurso y presentó la experiencia de Serbia en la utilización de las TIC en el sector de la cultura. Una de las principales actividades emprendidas hasta la fecha por la República de Serbia es la digitalización de su contenido cultural nacional adoptando un enfoque multipartito. Ese trabajo ha recibido el apoyo de expertos internacionales y se ha aprovechado la experiencia de varios países desarrollados. El proceso de digitalización se sometió a un proceso nacional detallado, basado en una estructura y un marco jurídicos definidos, que permitió definir una estrategia nacional de digitalización del contenido cultural de Serbia. También se mencionaron los problemas encontrados, que se resolvieron gracias a la intervención de muchos interesados, así como la creación de normas y prácticas idóneas para prolongar en el tiempo el ejercicio de digitalización. </w:t>
      </w:r>
    </w:p>
    <w:p w:rsidR="00576F75" w:rsidRPr="000236AE" w:rsidRDefault="00576F75" w:rsidP="00694554">
      <w:pPr>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Sr. Per Hasvold</w:t>
      </w:r>
      <w:r w:rsidRPr="000236AE">
        <w:rPr>
          <w:rFonts w:ascii="Calibri" w:hAnsi="Calibri"/>
          <w:sz w:val="24"/>
          <w:szCs w:val="24"/>
          <w:lang w:val="es-ES_tradnl"/>
        </w:rPr>
        <w:t xml:space="preserve">, representante de la Organización Mundial de la Salud (OMS), presentó una sesión sobre las TIC para la salud en la que presentó información sobre la muy conocida iniciativa </w:t>
      </w:r>
      <w:r w:rsidR="00694554">
        <w:rPr>
          <w:rFonts w:ascii="Calibri" w:hAnsi="Calibri"/>
          <w:sz w:val="24"/>
          <w:szCs w:val="24"/>
          <w:lang w:val="es-ES_tradnl"/>
        </w:rPr>
        <w:t>"</w:t>
      </w:r>
      <w:r w:rsidRPr="000236AE">
        <w:rPr>
          <w:rFonts w:ascii="Calibri" w:hAnsi="Calibri"/>
          <w:sz w:val="24"/>
          <w:szCs w:val="24"/>
          <w:lang w:val="es-ES_tradnl"/>
        </w:rPr>
        <w:t>Be Healthy Be Mobile</w:t>
      </w:r>
      <w:r w:rsidR="00694554">
        <w:rPr>
          <w:rFonts w:ascii="Calibri" w:hAnsi="Calibri"/>
          <w:sz w:val="24"/>
          <w:szCs w:val="24"/>
          <w:lang w:val="es-ES_tradnl"/>
        </w:rPr>
        <w:t>"</w:t>
      </w:r>
      <w:r w:rsidRPr="000236AE">
        <w:rPr>
          <w:rFonts w:ascii="Calibri" w:hAnsi="Calibri"/>
          <w:sz w:val="24"/>
          <w:szCs w:val="24"/>
          <w:lang w:val="es-ES_tradnl"/>
        </w:rPr>
        <w:t xml:space="preserve"> de la OMS y la UIT dedicada a prevenir enfermedades no contagiosas mediante la aplicación de la tecnología móvil a temas relacionados con la salud. Juntas, la OMS y la UIT se han asociado con diversos países de todo el mundo para diseñar e implementar programas y proyectos de salud-m, además de elaborar manuales. </w:t>
      </w:r>
    </w:p>
    <w:p w:rsidR="00576F75" w:rsidRPr="000236AE" w:rsidRDefault="00576F75" w:rsidP="00694554">
      <w:pPr>
        <w:rPr>
          <w:rFonts w:ascii="Calibri" w:hAnsi="Calibri"/>
          <w:sz w:val="24"/>
          <w:szCs w:val="24"/>
          <w:lang w:val="es-ES_tradnl"/>
        </w:rPr>
      </w:pPr>
      <w:r w:rsidRPr="000236AE">
        <w:rPr>
          <w:rFonts w:ascii="Calibri" w:hAnsi="Calibri"/>
          <w:sz w:val="24"/>
          <w:szCs w:val="24"/>
          <w:lang w:val="es-ES_tradnl"/>
        </w:rPr>
        <w:t xml:space="preserve">Por otra parte, informó a los participantes de un nuevo proyecto enmarcado en la iniciativa </w:t>
      </w:r>
      <w:r w:rsidR="00694554">
        <w:rPr>
          <w:rFonts w:ascii="Calibri" w:hAnsi="Calibri"/>
          <w:sz w:val="24"/>
          <w:szCs w:val="24"/>
          <w:lang w:val="es-ES_tradnl"/>
        </w:rPr>
        <w:t>"</w:t>
      </w:r>
      <w:r w:rsidRPr="000236AE">
        <w:rPr>
          <w:rFonts w:ascii="Calibri" w:hAnsi="Calibri"/>
          <w:sz w:val="24"/>
          <w:szCs w:val="24"/>
          <w:lang w:val="es-ES_tradnl"/>
        </w:rPr>
        <w:t>Be Healthy Be Mobile</w:t>
      </w:r>
      <w:r w:rsidR="00694554">
        <w:rPr>
          <w:rFonts w:ascii="Calibri" w:hAnsi="Calibri"/>
          <w:sz w:val="24"/>
          <w:szCs w:val="24"/>
          <w:lang w:val="es-ES_tradnl"/>
        </w:rPr>
        <w:t>"</w:t>
      </w:r>
      <w:r w:rsidRPr="000236AE">
        <w:rPr>
          <w:rFonts w:ascii="Calibri" w:hAnsi="Calibri"/>
          <w:sz w:val="24"/>
          <w:szCs w:val="24"/>
          <w:lang w:val="es-ES_tradnl"/>
        </w:rPr>
        <w:t>, que en marzo de 2017 firmaron la UE, la UIT y la OMS, financiado por el programa Horizon</w:t>
      </w:r>
      <w:r w:rsidR="00694554">
        <w:rPr>
          <w:rFonts w:ascii="Calibri" w:hAnsi="Calibri"/>
          <w:sz w:val="24"/>
          <w:szCs w:val="24"/>
          <w:lang w:val="es-ES_tradnl"/>
        </w:rPr>
        <w:t> </w:t>
      </w:r>
      <w:r w:rsidRPr="000236AE">
        <w:rPr>
          <w:rFonts w:ascii="Calibri" w:hAnsi="Calibri"/>
          <w:sz w:val="24"/>
          <w:szCs w:val="24"/>
          <w:lang w:val="es-ES_tradnl"/>
        </w:rPr>
        <w:t xml:space="preserve">2020, destinado a crear un centro europeo de salud-m, así como a la capacitación de recursos humanos. A través del proyecto </w:t>
      </w:r>
      <w:r w:rsidR="00B95702" w:rsidRPr="000236AE">
        <w:rPr>
          <w:rFonts w:ascii="Calibri" w:hAnsi="Calibri"/>
          <w:sz w:val="24"/>
          <w:szCs w:val="24"/>
          <w:lang w:val="es-ES_tradnl"/>
        </w:rPr>
        <w:t>de</w:t>
      </w:r>
      <w:r w:rsidR="00B95702">
        <w:rPr>
          <w:rFonts w:ascii="Calibri" w:hAnsi="Calibri"/>
          <w:sz w:val="24"/>
          <w:szCs w:val="24"/>
          <w:lang w:val="es-ES_tradnl"/>
        </w:rPr>
        <w:t xml:space="preserve"> </w:t>
      </w:r>
      <w:r w:rsidRPr="000236AE">
        <w:rPr>
          <w:rFonts w:ascii="Calibri" w:hAnsi="Calibri"/>
          <w:sz w:val="24"/>
          <w:szCs w:val="24"/>
          <w:lang w:val="es-ES_tradnl"/>
        </w:rPr>
        <w:t>la UE se crearán centros en otras regiones, en función de sus necesidades y capacidades.</w:t>
      </w:r>
    </w:p>
    <w:p w:rsidR="00576F75" w:rsidRPr="000236AE" w:rsidRDefault="00694554" w:rsidP="00694554">
      <w:pPr>
        <w:rPr>
          <w:rFonts w:ascii="Calibri" w:hAnsi="Calibri"/>
          <w:sz w:val="24"/>
          <w:szCs w:val="24"/>
          <w:lang w:val="es-ES_tradnl"/>
        </w:rPr>
      </w:pPr>
      <w:r>
        <w:rPr>
          <w:lang w:val="es-ES_tradnl"/>
        </w:rPr>
        <w:t>La</w:t>
      </w:r>
      <w:r w:rsidR="00576F75" w:rsidRPr="00F03C51">
        <w:rPr>
          <w:lang w:val="es-ES_tradnl"/>
        </w:rPr>
        <w:t xml:space="preserve"> </w:t>
      </w:r>
      <w:r w:rsidR="00576F75" w:rsidRPr="000236AE">
        <w:rPr>
          <w:rFonts w:ascii="Calibri" w:hAnsi="Calibri"/>
          <w:b/>
          <w:i/>
          <w:iCs/>
          <w:sz w:val="24"/>
          <w:szCs w:val="24"/>
          <w:lang w:val="es-ES_tradnl"/>
        </w:rPr>
        <w:t>Dr</w:t>
      </w:r>
      <w:r>
        <w:rPr>
          <w:rFonts w:ascii="Calibri" w:hAnsi="Calibri"/>
          <w:b/>
          <w:i/>
          <w:iCs/>
          <w:sz w:val="24"/>
          <w:szCs w:val="24"/>
          <w:lang w:val="es-ES_tradnl"/>
        </w:rPr>
        <w:t>a</w:t>
      </w:r>
      <w:r w:rsidR="00576F75" w:rsidRPr="000236AE">
        <w:rPr>
          <w:rFonts w:ascii="Calibri" w:hAnsi="Calibri"/>
          <w:b/>
          <w:i/>
          <w:iCs/>
          <w:sz w:val="24"/>
          <w:szCs w:val="24"/>
          <w:lang w:val="es-ES_tradnl"/>
        </w:rPr>
        <w:t>. Danguole Rutkauskiene</w:t>
      </w:r>
      <w:r w:rsidR="00576F75" w:rsidRPr="000236AE">
        <w:rPr>
          <w:rFonts w:ascii="Calibri" w:hAnsi="Calibri"/>
          <w:sz w:val="24"/>
          <w:szCs w:val="24"/>
          <w:lang w:val="es-ES_tradnl"/>
        </w:rPr>
        <w:t xml:space="preserve">, Directora de la Escuela de Jóvenes Informáticos de la Universidad de Kaunas y Directora del Grupo de Trabajo de la Coalición Digital Nacional de Lituania, presentó una sesión sobre las TIC para el empoderamiento de la </w:t>
      </w:r>
      <w:r>
        <w:rPr>
          <w:rFonts w:ascii="Calibri" w:hAnsi="Calibri"/>
          <w:sz w:val="24"/>
          <w:szCs w:val="24"/>
          <w:lang w:val="es-ES_tradnl"/>
        </w:rPr>
        <w:t>m</w:t>
      </w:r>
      <w:r w:rsidR="00576F75" w:rsidRPr="000236AE">
        <w:rPr>
          <w:rFonts w:ascii="Calibri" w:hAnsi="Calibri"/>
          <w:sz w:val="24"/>
          <w:szCs w:val="24"/>
          <w:lang w:val="es-ES_tradnl"/>
        </w:rPr>
        <w:t xml:space="preserve">ujer y su amplia experiencia en este campo. Ofreció información sobre el nivel de especialización del sector de las TIC, que ofrece un amplio abanico de oportunidades de carrera. </w:t>
      </w:r>
    </w:p>
    <w:p w:rsidR="00576F75" w:rsidRPr="000236AE" w:rsidRDefault="00576F75" w:rsidP="00694554">
      <w:pPr>
        <w:rPr>
          <w:rFonts w:ascii="Calibri" w:hAnsi="Calibri"/>
          <w:sz w:val="24"/>
          <w:szCs w:val="24"/>
          <w:lang w:val="es-ES_tradnl"/>
        </w:rPr>
      </w:pPr>
      <w:r w:rsidRPr="000236AE">
        <w:rPr>
          <w:rFonts w:ascii="Calibri" w:hAnsi="Calibri"/>
          <w:sz w:val="24"/>
          <w:szCs w:val="24"/>
          <w:lang w:val="es-ES_tradnl"/>
        </w:rPr>
        <w:t xml:space="preserve">En Europa, apenas 29 de cada 1 000 mujeres posee un grado en campos relacionados con las TIC. Generalmente las mujeres tienden a abandonar las carreras relacionadas con las TIC más frecuentemente que los hombres. Algunas de las razones que motivan esta negativa tendencia son los estereotipos sociales, la baja autoestima y una imagen negativa del sector. Se están </w:t>
      </w:r>
      <w:r w:rsidR="00B95702" w:rsidRPr="000236AE">
        <w:rPr>
          <w:rFonts w:ascii="Calibri" w:hAnsi="Calibri"/>
          <w:sz w:val="24"/>
          <w:szCs w:val="24"/>
          <w:lang w:val="es-ES_tradnl"/>
        </w:rPr>
        <w:t>invirtiendo</w:t>
      </w:r>
      <w:r w:rsidRPr="000236AE">
        <w:rPr>
          <w:rFonts w:ascii="Calibri" w:hAnsi="Calibri"/>
          <w:sz w:val="24"/>
          <w:szCs w:val="24"/>
          <w:lang w:val="es-ES_tradnl"/>
        </w:rPr>
        <w:t xml:space="preserve"> esfuerzos en mejorar la situación, por ejemplo, mediante el trabajo del Centro Europeo para la Mujer y la Tecnología, que se dedica específicamente a fomentar entre las niñas el estudio de las TIC y otras ciencias relacionadas. La oradora concluyó su intervención exponiendo algunas de las valiosas iniciativas emprendidas en su país, Lituania, y formulando recomendaciones sobre cómo motivar a las niñas desde </w:t>
      </w:r>
      <w:r w:rsidRPr="000236AE">
        <w:rPr>
          <w:rFonts w:ascii="Calibri" w:hAnsi="Calibri"/>
          <w:sz w:val="24"/>
          <w:szCs w:val="24"/>
          <w:lang w:val="es-ES_tradnl"/>
        </w:rPr>
        <w:lastRenderedPageBreak/>
        <w:t>una edad temprana, c</w:t>
      </w:r>
      <w:r w:rsidR="00694554">
        <w:rPr>
          <w:rFonts w:ascii="Calibri" w:hAnsi="Calibri"/>
          <w:sz w:val="24"/>
          <w:szCs w:val="24"/>
          <w:lang w:val="es-ES_tradnl"/>
        </w:rPr>
        <w:t>ó</w:t>
      </w:r>
      <w:r w:rsidRPr="000236AE">
        <w:rPr>
          <w:rFonts w:ascii="Calibri" w:hAnsi="Calibri"/>
          <w:sz w:val="24"/>
          <w:szCs w:val="24"/>
          <w:lang w:val="es-ES_tradnl"/>
        </w:rPr>
        <w:t>mo modificar los sistemas educativos nacionales y compartir las prácticas idóneas en materia de TIC y niñas a nivel nacional y regio</w:t>
      </w:r>
      <w:r w:rsidR="00055E42">
        <w:rPr>
          <w:rFonts w:ascii="Calibri" w:hAnsi="Calibri"/>
          <w:sz w:val="24"/>
          <w:szCs w:val="24"/>
          <w:lang w:val="es-ES_tradnl"/>
        </w:rPr>
        <w:t>nal.</w:t>
      </w:r>
    </w:p>
    <w:p w:rsidR="00576F75" w:rsidRPr="000236AE" w:rsidRDefault="00576F75" w:rsidP="00694554">
      <w:pPr>
        <w:spacing w:line="252" w:lineRule="auto"/>
        <w:rPr>
          <w:rFonts w:ascii="Calibri" w:hAnsi="Calibri"/>
          <w:sz w:val="24"/>
          <w:szCs w:val="24"/>
          <w:lang w:val="es-ES_tradnl"/>
        </w:rPr>
      </w:pPr>
      <w:r w:rsidRPr="00F03C51">
        <w:rPr>
          <w:lang w:val="es-ES_tradnl"/>
        </w:rPr>
        <w:t xml:space="preserve">El </w:t>
      </w:r>
      <w:r w:rsidRPr="000236AE">
        <w:rPr>
          <w:rFonts w:ascii="Calibri" w:hAnsi="Calibri"/>
          <w:b/>
          <w:i/>
          <w:iCs/>
          <w:sz w:val="24"/>
          <w:szCs w:val="24"/>
          <w:lang w:val="es-ES_tradnl"/>
        </w:rPr>
        <w:t>Dr. Laszlo Gabor Papocsi</w:t>
      </w:r>
      <w:r w:rsidRPr="000236AE">
        <w:rPr>
          <w:rFonts w:ascii="Calibri" w:hAnsi="Calibri"/>
          <w:sz w:val="24"/>
          <w:szCs w:val="24"/>
          <w:lang w:val="es-ES_tradnl"/>
        </w:rPr>
        <w:t xml:space="preserve">, consultor de la Organización para la Alimentación y la Agricultura (FAO), presentó una sesión sobre las TIC para la agricultura y expuso un estudio sobre la aplicación de estrategias de ciberagricultura en países de Europa y Asia </w:t>
      </w:r>
      <w:r w:rsidR="00694554">
        <w:rPr>
          <w:rFonts w:ascii="Calibri" w:hAnsi="Calibri"/>
          <w:sz w:val="24"/>
          <w:szCs w:val="24"/>
          <w:lang w:val="es-ES_tradnl"/>
        </w:rPr>
        <w:t>C</w:t>
      </w:r>
      <w:r w:rsidRPr="000236AE">
        <w:rPr>
          <w:rFonts w:ascii="Calibri" w:hAnsi="Calibri"/>
          <w:sz w:val="24"/>
          <w:szCs w:val="24"/>
          <w:lang w:val="es-ES_tradnl"/>
        </w:rPr>
        <w:t xml:space="preserve">entral. Dijo que la UIT y la FAO están preparando una publicación conjunta sobre ese estudio, que comprende soluciones nacionales y regionales, aplicaciones, iniciativas, redes, lecciones aprendidas y casos ejemplares de TIC, agricultura y desarrollo rural. El Dr. Gabor Papocsi concluyó diciendo que los resultados del estudio varían de un país a otro, así como de una región a otra. Se ha de hacer más hincapié en la medición de la implementación, la supervisión y la evaluación de las iniciativas y actividades de ciberagricultura. </w:t>
      </w:r>
    </w:p>
    <w:p w:rsidR="00576F75" w:rsidRPr="000236AE" w:rsidRDefault="00576F75" w:rsidP="00311024">
      <w:pPr>
        <w:rPr>
          <w:rFonts w:ascii="Calibri" w:hAnsi="Calibri"/>
          <w:sz w:val="24"/>
          <w:szCs w:val="24"/>
          <w:lang w:val="es-ES_tradnl"/>
        </w:rPr>
      </w:pPr>
      <w:r w:rsidRPr="000236AE">
        <w:rPr>
          <w:rFonts w:ascii="Calibri" w:hAnsi="Calibri"/>
          <w:sz w:val="24"/>
          <w:szCs w:val="24"/>
          <w:lang w:val="es-ES_tradnl"/>
        </w:rPr>
        <w:t xml:space="preserve">En una intervención grabada con anterioridad el </w:t>
      </w:r>
      <w:r w:rsidRPr="000236AE">
        <w:rPr>
          <w:rFonts w:ascii="Calibri" w:hAnsi="Calibri"/>
          <w:b/>
          <w:i/>
          <w:iCs/>
          <w:sz w:val="24"/>
          <w:szCs w:val="24"/>
          <w:lang w:val="es-ES_tradnl"/>
        </w:rPr>
        <w:t>Sr. Christoph Legutko</w:t>
      </w:r>
      <w:r w:rsidRPr="000236AE">
        <w:rPr>
          <w:rFonts w:ascii="Calibri" w:hAnsi="Calibri"/>
          <w:sz w:val="24"/>
          <w:szCs w:val="24"/>
          <w:lang w:val="es-ES_tradnl"/>
        </w:rPr>
        <w:t xml:space="preserve">, Departamento de Gobiernos y Políticas de Europa Central y Oriental, INTEL, se ocupó de las TIC para la educación. Expuso los </w:t>
      </w:r>
      <w:r w:rsidR="00B95702" w:rsidRPr="000236AE">
        <w:rPr>
          <w:rFonts w:ascii="Calibri" w:hAnsi="Calibri"/>
          <w:sz w:val="24"/>
          <w:szCs w:val="24"/>
          <w:lang w:val="es-ES_tradnl"/>
        </w:rPr>
        <w:t>diversos</w:t>
      </w:r>
      <w:r w:rsidRPr="000236AE">
        <w:rPr>
          <w:rFonts w:ascii="Calibri" w:hAnsi="Calibri"/>
          <w:sz w:val="24"/>
          <w:szCs w:val="24"/>
          <w:lang w:val="es-ES_tradnl"/>
        </w:rPr>
        <w:t xml:space="preserve"> beneficios que aporta la transformación de la educación, como el desarrollo laboral y económico, la competitividad, la responsabilidad ciudadana y la equidad social. Insistió en la importancia del acceso a la banda ancha como clave para el éxito de la educación. También mencionó la necesidad de crear políticas de banda ancha para fomentar la conectividad generalizada, asequible y de alta calidad a la banda ancha para transformar la educación. </w:t>
      </w:r>
    </w:p>
    <w:p w:rsidR="00576F75" w:rsidRPr="000236AE" w:rsidRDefault="00576F75" w:rsidP="00311024">
      <w:pPr>
        <w:rPr>
          <w:rFonts w:ascii="Calibri" w:hAnsi="Calibri"/>
          <w:sz w:val="24"/>
          <w:szCs w:val="24"/>
          <w:lang w:val="es-ES_tradnl"/>
        </w:rPr>
      </w:pPr>
      <w:r w:rsidRPr="000236AE">
        <w:rPr>
          <w:rFonts w:ascii="Calibri" w:hAnsi="Calibri"/>
          <w:sz w:val="24"/>
          <w:szCs w:val="24"/>
          <w:lang w:val="es-ES_tradnl"/>
        </w:rPr>
        <w:t xml:space="preserve">Por </w:t>
      </w:r>
      <w:r w:rsidR="00B95702" w:rsidRPr="000236AE">
        <w:rPr>
          <w:rFonts w:ascii="Calibri" w:hAnsi="Calibri"/>
          <w:sz w:val="24"/>
          <w:szCs w:val="24"/>
          <w:lang w:val="es-ES_tradnl"/>
        </w:rPr>
        <w:t>último</w:t>
      </w:r>
      <w:r w:rsidRPr="000236AE">
        <w:rPr>
          <w:rFonts w:ascii="Calibri" w:hAnsi="Calibri"/>
          <w:sz w:val="24"/>
          <w:szCs w:val="24"/>
          <w:lang w:val="es-ES_tradnl"/>
        </w:rPr>
        <w:t xml:space="preserve">, concluyó diciendo que es necesario dotar a las escuelas, los estudiantes y sus familias con herramientas de TIC modernas y asequibles y acceso en banda ancha de alta calidad. También es </w:t>
      </w:r>
      <w:r w:rsidR="00B95702" w:rsidRPr="000236AE">
        <w:rPr>
          <w:rFonts w:ascii="Calibri" w:hAnsi="Calibri"/>
          <w:sz w:val="24"/>
          <w:szCs w:val="24"/>
          <w:lang w:val="es-ES_tradnl"/>
        </w:rPr>
        <w:t>necesario</w:t>
      </w:r>
      <w:r w:rsidRPr="000236AE">
        <w:rPr>
          <w:rFonts w:ascii="Calibri" w:hAnsi="Calibri"/>
          <w:sz w:val="24"/>
          <w:szCs w:val="24"/>
          <w:lang w:val="es-ES_tradnl"/>
        </w:rPr>
        <w:t xml:space="preserve"> modificar el marco reglamentario para fomentar las inversiones y financiar el acceso en banda ancha en el último kilómetro, además de liberalizar los requisitos de acceso a las redes ultrarrápidas. </w:t>
      </w:r>
    </w:p>
    <w:p w:rsidR="00576F75" w:rsidRPr="000236AE" w:rsidRDefault="00576F75" w:rsidP="005D2C8A">
      <w:pPr>
        <w:rPr>
          <w:rFonts w:ascii="Calibri" w:hAnsi="Calibri"/>
          <w:sz w:val="24"/>
          <w:szCs w:val="24"/>
          <w:lang w:val="es-ES_tradnl"/>
        </w:rPr>
      </w:pPr>
      <w:r w:rsidRPr="000236AE">
        <w:rPr>
          <w:rFonts w:ascii="Calibri" w:hAnsi="Calibri"/>
          <w:sz w:val="24"/>
          <w:szCs w:val="24"/>
          <w:lang w:val="es-ES_tradnl"/>
        </w:rPr>
        <w:t>De esta sesión se desprendió que los Miembros de la UIT deben seguir reforzando sus lazos de colaboración y asociación. Las distintas intervenciones permitieron ver las muy diferentes dimensiones del importante papel que están desempeñando las TIC dentro d</w:t>
      </w:r>
      <w:r w:rsidR="00B95702">
        <w:rPr>
          <w:rFonts w:ascii="Calibri" w:hAnsi="Calibri"/>
          <w:sz w:val="24"/>
          <w:szCs w:val="24"/>
          <w:lang w:val="es-ES_tradnl"/>
        </w:rPr>
        <w:t>e las diversas organizaciones d</w:t>
      </w:r>
      <w:r w:rsidRPr="000236AE">
        <w:rPr>
          <w:rFonts w:ascii="Calibri" w:hAnsi="Calibri"/>
          <w:sz w:val="24"/>
          <w:szCs w:val="24"/>
          <w:lang w:val="es-ES_tradnl"/>
        </w:rPr>
        <w:t>e</w:t>
      </w:r>
      <w:r w:rsidR="00B95702">
        <w:rPr>
          <w:rFonts w:ascii="Calibri" w:hAnsi="Calibri"/>
          <w:sz w:val="24"/>
          <w:szCs w:val="24"/>
          <w:lang w:val="es-ES_tradnl"/>
        </w:rPr>
        <w:t xml:space="preserve"> </w:t>
      </w:r>
      <w:r w:rsidRPr="000236AE">
        <w:rPr>
          <w:rFonts w:ascii="Calibri" w:hAnsi="Calibri"/>
          <w:sz w:val="24"/>
          <w:szCs w:val="24"/>
          <w:lang w:val="es-ES_tradnl"/>
        </w:rPr>
        <w:t>las Naciones Unidas, posibilitando numerosas actividades y asociaciones, como las de la OMS y la FAO, que han demostrado tener un verdadero valor.</w:t>
      </w:r>
    </w:p>
    <w:p w:rsidR="00576F75" w:rsidRPr="00101688" w:rsidRDefault="00576F75" w:rsidP="00101688">
      <w:pPr>
        <w:pStyle w:val="Headingb"/>
        <w:rPr>
          <w:rStyle w:val="Strong"/>
          <w:rFonts w:ascii="Calibri" w:hAnsi="Calibri"/>
          <w:szCs w:val="24"/>
        </w:rPr>
      </w:pPr>
      <w:r w:rsidRPr="00101688">
        <w:rPr>
          <w:rFonts w:ascii="Calibri" w:hAnsi="Calibri"/>
        </w:rPr>
        <w:t>Sesión de clausura del FRD 2017</w:t>
      </w:r>
    </w:p>
    <w:p w:rsidR="00576F75" w:rsidRPr="000236AE" w:rsidRDefault="00576F75" w:rsidP="00AD6AFF">
      <w:pPr>
        <w:rPr>
          <w:rFonts w:ascii="Calibri" w:hAnsi="Calibri"/>
          <w:sz w:val="24"/>
          <w:szCs w:val="24"/>
          <w:lang w:val="es-ES_tradnl"/>
        </w:rPr>
      </w:pPr>
      <w:r w:rsidRPr="00A57D9C">
        <w:rPr>
          <w:lang w:val="es-ES_tradnl"/>
        </w:rPr>
        <w:t xml:space="preserve">El </w:t>
      </w:r>
      <w:r w:rsidRPr="00A57D9C">
        <w:rPr>
          <w:rFonts w:ascii="Calibri" w:hAnsi="Calibri"/>
          <w:b/>
          <w:i/>
          <w:iCs/>
          <w:sz w:val="24"/>
          <w:szCs w:val="24"/>
          <w:lang w:val="es-ES_tradnl"/>
        </w:rPr>
        <w:t>Sr. Jaroslaw Ponder</w:t>
      </w:r>
      <w:r w:rsidRPr="000236AE">
        <w:rPr>
          <w:rFonts w:ascii="Calibri" w:hAnsi="Calibri"/>
          <w:sz w:val="24"/>
          <w:szCs w:val="24"/>
          <w:lang w:val="es-ES_tradnl"/>
        </w:rPr>
        <w:t>, Coordinador para Europa, en su discurso de clausura dio las gracias a la Autoridad de Reglamentación de las Comunicaciones de la República de Lituania, al Ministerio de Transportes y Comunicaciones de la República de Lituania y a todos los oradores y participantes. Señaló que la RPR-EUR podrá considerar las deliberaciones del FRD al tratar de las Iniciativas Regionales, habida cuenta de las nuevas tendencias identificadas por el FRD. Deseó a todos los presentes un buen viaje de vuelta declarándose impaciente por participar en los debates que se celebrarán mañana en la RPR-EUR.</w:t>
      </w:r>
    </w:p>
    <w:p w:rsidR="00576F75" w:rsidRPr="000236AE" w:rsidRDefault="00576F75" w:rsidP="00AD6AFF">
      <w:pPr>
        <w:rPr>
          <w:rFonts w:ascii="Calibri" w:hAnsi="Calibri"/>
          <w:sz w:val="24"/>
          <w:szCs w:val="24"/>
          <w:lang w:val="es-ES_tradnl"/>
        </w:rPr>
      </w:pPr>
      <w:r w:rsidRPr="000236AE">
        <w:rPr>
          <w:rFonts w:ascii="Calibri" w:hAnsi="Calibri"/>
          <w:sz w:val="24"/>
          <w:szCs w:val="24"/>
          <w:lang w:val="es-ES_tradnl"/>
        </w:rPr>
        <w:t xml:space="preserve">En su alocución de clausura, el </w:t>
      </w:r>
      <w:r w:rsidRPr="000236AE">
        <w:rPr>
          <w:rFonts w:ascii="Calibri" w:hAnsi="Calibri"/>
          <w:b/>
          <w:sz w:val="24"/>
          <w:szCs w:val="24"/>
          <w:lang w:val="es-ES_tradnl"/>
        </w:rPr>
        <w:t>Excmo. Sr. Mr Ričardas Degutis</w:t>
      </w:r>
      <w:r w:rsidRPr="000236AE">
        <w:rPr>
          <w:rFonts w:ascii="Calibri" w:hAnsi="Calibri"/>
          <w:sz w:val="24"/>
          <w:szCs w:val="24"/>
          <w:lang w:val="es-ES_tradnl"/>
        </w:rPr>
        <w:t>, Viceministro de Transportes y Comunicaciones de la República de Lituania, dio, en nombre de la República de Lituania, las gracias al Director de la BDT, al Representante de la Oficina Zonal de la UIT para Europa y a todos los participantes por los product</w:t>
      </w:r>
      <w:r w:rsidR="00A57D9C">
        <w:rPr>
          <w:rFonts w:ascii="Calibri" w:hAnsi="Calibri"/>
          <w:sz w:val="24"/>
          <w:szCs w:val="24"/>
          <w:lang w:val="es-ES_tradnl"/>
        </w:rPr>
        <w:t>ivos debates sostenidos.</w:t>
      </w:r>
    </w:p>
    <w:p w:rsidR="00576F75" w:rsidRPr="000236AE" w:rsidRDefault="00576F75" w:rsidP="00694554">
      <w:pPr>
        <w:rPr>
          <w:rFonts w:ascii="Calibri" w:hAnsi="Calibri"/>
          <w:color w:val="000000"/>
          <w:sz w:val="24"/>
          <w:szCs w:val="24"/>
          <w:lang w:val="es-ES_tradnl"/>
        </w:rPr>
      </w:pPr>
      <w:r w:rsidRPr="000236AE">
        <w:rPr>
          <w:rFonts w:ascii="Calibri" w:hAnsi="Calibri"/>
          <w:sz w:val="24"/>
          <w:szCs w:val="24"/>
          <w:lang w:val="es-ES_tradnl"/>
        </w:rPr>
        <w:t>Dijo que, gracias a mecanismos de aplicación efectivos, como las Iniciativas Regionales del UIT-D, el crecimiento del sector de las TIC es evidente. Dijo considerar que los países europeos deben seguir trabajando en la determinación de los precios de la itinerancia para ofrecer a los consumidores las mejores oportunidades posibles de comunicación desde el extranjero. Dado que los temas relacionados con la resiliencia y la confianza son cada vez más complejos, los países se enfrentan a muchas dificultades. Se dijo preocupado por el envejecimiento de la población y las personas con discapacidad en cuanto a integración digital se refiere, aunque satisfecho de que esos temas se hayan tratado en el</w:t>
      </w:r>
      <w:r w:rsidR="00694554">
        <w:rPr>
          <w:rFonts w:ascii="Calibri" w:hAnsi="Calibri"/>
          <w:sz w:val="24"/>
          <w:szCs w:val="24"/>
          <w:lang w:val="es-ES_tradnl"/>
        </w:rPr>
        <w:t> </w:t>
      </w:r>
      <w:r w:rsidRPr="000236AE">
        <w:rPr>
          <w:rFonts w:ascii="Calibri" w:hAnsi="Calibri"/>
          <w:sz w:val="24"/>
          <w:szCs w:val="24"/>
          <w:lang w:val="es-ES_tradnl"/>
        </w:rPr>
        <w:t>FRD, pues ello dará pie a futuras mejoras</w:t>
      </w:r>
      <w:r w:rsidR="00A57D9C">
        <w:rPr>
          <w:rFonts w:ascii="Calibri" w:hAnsi="Calibri"/>
          <w:color w:val="000000"/>
          <w:sz w:val="24"/>
          <w:szCs w:val="24"/>
          <w:lang w:val="es-ES_tradnl"/>
        </w:rPr>
        <w:t>.</w:t>
      </w:r>
    </w:p>
    <w:p w:rsidR="00576F75" w:rsidRPr="000236AE" w:rsidRDefault="00576F75" w:rsidP="00694554">
      <w:pPr>
        <w:rPr>
          <w:rFonts w:ascii="Calibri" w:hAnsi="Calibri"/>
          <w:color w:val="000000"/>
          <w:sz w:val="24"/>
          <w:szCs w:val="24"/>
          <w:lang w:val="es-ES_tradnl"/>
        </w:rPr>
      </w:pPr>
      <w:r w:rsidRPr="000236AE">
        <w:rPr>
          <w:rFonts w:ascii="Calibri" w:hAnsi="Calibri"/>
          <w:color w:val="000000"/>
          <w:sz w:val="24"/>
          <w:szCs w:val="24"/>
          <w:lang w:val="es-ES_tradnl"/>
        </w:rPr>
        <w:lastRenderedPageBreak/>
        <w:t xml:space="preserve">Añadió que la colaboración futura supone un reto para los países a nivel individual, pero también regional y mundial. Por lo tanto, los debates en el marco de la UIT son </w:t>
      </w:r>
      <w:r w:rsidR="00694554">
        <w:rPr>
          <w:rFonts w:ascii="Calibri" w:hAnsi="Calibri"/>
          <w:color w:val="000000"/>
          <w:sz w:val="24"/>
          <w:szCs w:val="24"/>
          <w:lang w:val="es-ES_tradnl"/>
        </w:rPr>
        <w:t>"</w:t>
      </w:r>
      <w:r w:rsidRPr="000236AE">
        <w:rPr>
          <w:rFonts w:ascii="Calibri" w:hAnsi="Calibri"/>
          <w:color w:val="000000"/>
          <w:sz w:val="24"/>
          <w:szCs w:val="24"/>
          <w:lang w:val="es-ES_tradnl"/>
        </w:rPr>
        <w:t>ineludibles</w:t>
      </w:r>
      <w:r w:rsidR="00694554">
        <w:rPr>
          <w:rFonts w:ascii="Calibri" w:hAnsi="Calibri"/>
          <w:color w:val="000000"/>
          <w:sz w:val="24"/>
          <w:szCs w:val="24"/>
          <w:lang w:val="es-ES_tradnl"/>
        </w:rPr>
        <w:t>"</w:t>
      </w:r>
      <w:r w:rsidRPr="000236AE">
        <w:rPr>
          <w:rFonts w:ascii="Calibri" w:hAnsi="Calibri"/>
          <w:color w:val="000000"/>
          <w:sz w:val="24"/>
          <w:szCs w:val="24"/>
          <w:lang w:val="es-ES_tradnl"/>
        </w:rPr>
        <w:t>, pues la comunidad debe dejar abiertas todas las posibles vías de colaboración y, lo que es más importante, aprovechar todas las oportunidades que se ofrezcan de actuar de consuno.</w:t>
      </w:r>
    </w:p>
    <w:p w:rsidR="00576F75" w:rsidRPr="000236AE" w:rsidRDefault="00576F75" w:rsidP="00694554">
      <w:pPr>
        <w:tabs>
          <w:tab w:val="left" w:pos="567"/>
          <w:tab w:val="left" w:pos="1134"/>
        </w:tabs>
        <w:rPr>
          <w:rFonts w:ascii="Calibri" w:hAnsi="Calibri"/>
          <w:color w:val="000000"/>
          <w:sz w:val="24"/>
          <w:szCs w:val="24"/>
          <w:lang w:val="es-ES_tradnl"/>
        </w:rPr>
      </w:pPr>
      <w:r w:rsidRPr="000236AE">
        <w:rPr>
          <w:rFonts w:ascii="Calibri" w:hAnsi="Calibri"/>
          <w:color w:val="000000"/>
          <w:sz w:val="24"/>
          <w:szCs w:val="24"/>
          <w:lang w:val="es-ES_tradnl"/>
        </w:rPr>
        <w:t>Deseó a todos los participantes y Miembros de la UIT perseverancia en el cumplimiento de la Agenda</w:t>
      </w:r>
      <w:r w:rsidR="00694554">
        <w:rPr>
          <w:rFonts w:ascii="Calibri" w:hAnsi="Calibri"/>
          <w:color w:val="000000"/>
          <w:sz w:val="24"/>
          <w:szCs w:val="24"/>
          <w:lang w:val="es-ES_tradnl"/>
        </w:rPr>
        <w:t> </w:t>
      </w:r>
      <w:r w:rsidRPr="000236AE">
        <w:rPr>
          <w:rFonts w:ascii="Calibri" w:hAnsi="Calibri"/>
          <w:color w:val="000000"/>
          <w:sz w:val="24"/>
          <w:szCs w:val="24"/>
          <w:lang w:val="es-ES_tradnl"/>
        </w:rPr>
        <w:t>ODS y una mayor cooperación entre los Miembros de la UI</w:t>
      </w:r>
      <w:r w:rsidR="00694554">
        <w:rPr>
          <w:rFonts w:ascii="Calibri" w:hAnsi="Calibri"/>
          <w:color w:val="000000"/>
          <w:sz w:val="24"/>
          <w:szCs w:val="24"/>
          <w:lang w:val="es-ES_tradnl"/>
        </w:rPr>
        <w:t>T en lo que respecta a las TIC.</w:t>
      </w:r>
    </w:p>
    <w:p w:rsidR="00576F75" w:rsidRPr="000236AE" w:rsidRDefault="00576F75" w:rsidP="00C84C8C">
      <w:pPr>
        <w:tabs>
          <w:tab w:val="left" w:pos="567"/>
          <w:tab w:val="left" w:pos="1134"/>
        </w:tabs>
        <w:spacing w:before="0"/>
        <w:rPr>
          <w:rFonts w:ascii="Calibri" w:hAnsi="Calibri" w:cs="Segoe UI"/>
          <w:sz w:val="24"/>
          <w:szCs w:val="24"/>
          <w:lang w:val="es-ES_tradnl"/>
        </w:rPr>
      </w:pPr>
      <w:r w:rsidRPr="000236AE">
        <w:rPr>
          <w:rFonts w:ascii="Calibri" w:hAnsi="Calibri" w:cs="Segoe UI"/>
          <w:sz w:val="24"/>
          <w:szCs w:val="24"/>
          <w:lang w:val="es-ES_tradnl"/>
        </w:rPr>
        <w:t>Excmo. Sr. Ričardas Degutis, Viceministro de Transportes y Comunicaciones de la República de Lituania, Presidente del FRD-EUR 2017</w:t>
      </w:r>
    </w:p>
    <w:p w:rsidR="00576F75" w:rsidRPr="000236AE" w:rsidRDefault="00576F75" w:rsidP="00C84C8C">
      <w:pPr>
        <w:tabs>
          <w:tab w:val="left" w:pos="567"/>
          <w:tab w:val="left" w:pos="1134"/>
        </w:tabs>
        <w:spacing w:before="0"/>
        <w:rPr>
          <w:rFonts w:ascii="Calibri" w:hAnsi="Calibri" w:cs="Segoe UI"/>
          <w:sz w:val="24"/>
          <w:szCs w:val="24"/>
          <w:lang w:val="es-ES_tradnl"/>
        </w:rPr>
      </w:pPr>
      <w:r w:rsidRPr="000236AE">
        <w:rPr>
          <w:rFonts w:ascii="Calibri" w:hAnsi="Calibri" w:cs="Segoe UI"/>
          <w:sz w:val="24"/>
          <w:szCs w:val="24"/>
          <w:lang w:val="es-ES_tradnl"/>
        </w:rPr>
        <w:t>Vilnius, República de Lituania</w:t>
      </w:r>
    </w:p>
    <w:p w:rsidR="00576F75" w:rsidRPr="000236AE" w:rsidRDefault="00576F75" w:rsidP="00C84C8C">
      <w:pPr>
        <w:tabs>
          <w:tab w:val="left" w:pos="567"/>
          <w:tab w:val="left" w:pos="1134"/>
        </w:tabs>
        <w:spacing w:before="0"/>
        <w:rPr>
          <w:rFonts w:ascii="Calibri" w:hAnsi="Calibri" w:cs="Segoe UI"/>
          <w:sz w:val="24"/>
          <w:szCs w:val="24"/>
          <w:lang w:val="es-ES_tradnl"/>
        </w:rPr>
      </w:pPr>
      <w:r w:rsidRPr="000236AE">
        <w:rPr>
          <w:rFonts w:ascii="Calibri" w:hAnsi="Calibri" w:cs="Segoe UI"/>
          <w:sz w:val="24"/>
          <w:szCs w:val="24"/>
          <w:lang w:val="es-ES_tradnl"/>
        </w:rPr>
        <w:t>26 de abril de 2017</w:t>
      </w:r>
    </w:p>
    <w:p w:rsidR="00A163BA" w:rsidRPr="000236AE" w:rsidRDefault="00A163BA" w:rsidP="0032202E">
      <w:pPr>
        <w:pStyle w:val="Reasons"/>
        <w:rPr>
          <w:lang w:val="es-ES_tradnl"/>
        </w:rPr>
      </w:pPr>
    </w:p>
    <w:p w:rsidR="00A163BA" w:rsidRPr="000236AE" w:rsidRDefault="00A163BA">
      <w:pPr>
        <w:jc w:val="center"/>
        <w:rPr>
          <w:lang w:val="es-ES_tradnl"/>
        </w:rPr>
      </w:pPr>
      <w:r w:rsidRPr="000236AE">
        <w:rPr>
          <w:lang w:val="es-ES_tradnl"/>
        </w:rPr>
        <w:t>______________</w:t>
      </w:r>
    </w:p>
    <w:sectPr w:rsidR="00A163BA" w:rsidRPr="000236AE" w:rsidSect="00021E38">
      <w:headerReference w:type="default" r:id="rId12"/>
      <w:footerReference w:type="default" r:id="rId13"/>
      <w:footerReference w:type="first" r:id="rId14"/>
      <w:pgSz w:w="11909" w:h="16834" w:code="9"/>
      <w:pgMar w:top="734" w:right="851" w:bottom="1276" w:left="851" w:header="568"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F75" w:rsidRDefault="00576F75">
      <w:r>
        <w:separator/>
      </w:r>
    </w:p>
  </w:endnote>
  <w:endnote w:type="continuationSeparator" w:id="0">
    <w:p w:rsidR="00576F75" w:rsidRDefault="0057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9D" w:rsidRPr="009C14FB" w:rsidRDefault="009C14FB" w:rsidP="009C14FB">
    <w:pPr>
      <w:pStyle w:val="Footer"/>
      <w:rPr>
        <w:rFonts w:ascii="Calibri" w:hAnsi="Calibri"/>
        <w:sz w:val="16"/>
        <w:szCs w:val="16"/>
        <w:lang w:val="fr-CH"/>
      </w:rPr>
    </w:pPr>
    <w:r w:rsidRPr="009C14FB">
      <w:rPr>
        <w:rFonts w:ascii="Calibri" w:hAnsi="Calibri"/>
        <w:sz w:val="16"/>
        <w:szCs w:val="16"/>
      </w:rPr>
      <w:fldChar w:fldCharType="begin"/>
    </w:r>
    <w:r w:rsidRPr="009C14FB">
      <w:rPr>
        <w:rFonts w:ascii="Calibri" w:hAnsi="Calibri"/>
        <w:sz w:val="16"/>
        <w:szCs w:val="16"/>
        <w:lang w:val="fr-CH"/>
      </w:rPr>
      <w:instrText xml:space="preserve"> FILENAME \p  \* MERGEFORMAT </w:instrText>
    </w:r>
    <w:r w:rsidRPr="009C14FB">
      <w:rPr>
        <w:rFonts w:ascii="Calibri" w:hAnsi="Calibri"/>
        <w:sz w:val="16"/>
        <w:szCs w:val="16"/>
      </w:rPr>
      <w:fldChar w:fldCharType="separate"/>
    </w:r>
    <w:r w:rsidR="006C5ABA">
      <w:rPr>
        <w:rFonts w:ascii="Calibri" w:hAnsi="Calibri"/>
        <w:noProof/>
        <w:sz w:val="16"/>
        <w:szCs w:val="16"/>
        <w:lang w:val="fr-CH"/>
      </w:rPr>
      <w:t>P:\ESP\ITU-D\CONF-D\RPMS\EUR\INF\010S.docx</w:t>
    </w:r>
    <w:r w:rsidRPr="009C14FB">
      <w:rPr>
        <w:rFonts w:ascii="Calibri" w:hAnsi="Calibri"/>
        <w:noProof/>
        <w:sz w:val="16"/>
        <w:szCs w:val="16"/>
      </w:rPr>
      <w:fldChar w:fldCharType="end"/>
    </w:r>
    <w:r w:rsidRPr="009C14FB">
      <w:rPr>
        <w:rFonts w:ascii="Calibri" w:hAnsi="Calibri"/>
        <w:noProof/>
        <w:sz w:val="16"/>
        <w:szCs w:val="16"/>
        <w:lang w:val="fr-CH"/>
      </w:rPr>
      <w:t xml:space="preserve"> (417338)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9D" w:rsidRPr="0004509D" w:rsidRDefault="0004509D" w:rsidP="000236AE">
    <w:pPr>
      <w:pStyle w:val="CEOFooterContact1"/>
      <w:tabs>
        <w:tab w:val="clear" w:pos="1560"/>
        <w:tab w:val="left" w:pos="1276"/>
      </w:tabs>
      <w:spacing w:before="40"/>
      <w:ind w:left="3969"/>
      <w:rPr>
        <w:lang w:val="es-ES"/>
      </w:rPr>
    </w:pPr>
    <w:r w:rsidRPr="00F2448D">
      <w:rPr>
        <w:lang w:val="es-ES"/>
      </w:rPr>
      <w:t>Contacto</w:t>
    </w:r>
    <w:r w:rsidR="00E2379D" w:rsidRPr="0036579F">
      <w:rPr>
        <w:lang w:val="es-ES"/>
      </w:rPr>
      <w:t>:</w:t>
    </w:r>
    <w:r w:rsidR="00E2379D" w:rsidRPr="0036579F">
      <w:rPr>
        <w:lang w:val="es-ES"/>
      </w:rPr>
      <w:tab/>
    </w:r>
    <w:r>
      <w:rPr>
        <w:lang w:val="es-ES"/>
      </w:rPr>
      <w:t>Nombre, organización/entidad</w:t>
    </w:r>
    <w:r w:rsidR="00E2379D" w:rsidRPr="0036579F">
      <w:rPr>
        <w:lang w:val="es-ES"/>
      </w:rPr>
      <w:t>:</w:t>
    </w:r>
    <w:r w:rsidR="00E2379D" w:rsidRPr="0004509D">
      <w:rPr>
        <w:lang w:val="es-ES"/>
      </w:rPr>
      <w:tab/>
    </w:r>
    <w:bookmarkStart w:id="5" w:name="OrgName"/>
    <w:bookmarkEnd w:id="5"/>
    <w:r w:rsidR="009C14FB">
      <w:rPr>
        <w:lang w:val="es-ES"/>
      </w:rPr>
      <w:t>S</w:t>
    </w:r>
    <w:r w:rsidR="009C14FB" w:rsidRPr="009C14FB">
      <w:rPr>
        <w:sz w:val="18"/>
        <w:szCs w:val="18"/>
        <w:lang w:val="es-ES_tradnl"/>
      </w:rPr>
      <w:t>r</w:t>
    </w:r>
    <w:r w:rsidR="009C14FB">
      <w:rPr>
        <w:sz w:val="18"/>
        <w:szCs w:val="18"/>
        <w:lang w:val="es-ES_tradnl"/>
      </w:rPr>
      <w:t>.</w:t>
    </w:r>
    <w:r w:rsidR="009C14FB" w:rsidRPr="009C14FB">
      <w:rPr>
        <w:sz w:val="18"/>
        <w:szCs w:val="18"/>
        <w:lang w:val="es-ES_tradnl"/>
      </w:rPr>
      <w:t xml:space="preserve"> Jaroslaw Ponder,</w:t>
    </w:r>
    <w:r w:rsidR="000236AE" w:rsidRPr="000236AE">
      <w:rPr>
        <w:sz w:val="18"/>
        <w:szCs w:val="18"/>
        <w:lang w:val="es-ES_tradnl"/>
      </w:rPr>
      <w:t xml:space="preserve"> Representante de Zona de la UIT para Europa</w:t>
    </w:r>
  </w:p>
  <w:p w:rsidR="00E2379D" w:rsidRPr="0004509D" w:rsidRDefault="0004509D" w:rsidP="009C14FB">
    <w:pPr>
      <w:pStyle w:val="CEOFooterContact2-3"/>
      <w:tabs>
        <w:tab w:val="left" w:pos="1276"/>
      </w:tabs>
      <w:spacing w:before="40"/>
      <w:ind w:left="3969" w:hanging="2693"/>
      <w:rPr>
        <w:lang w:val="es-ES"/>
      </w:rPr>
    </w:pPr>
    <w:r w:rsidRPr="00F2448D">
      <w:rPr>
        <w:lang w:val="es-ES"/>
      </w:rPr>
      <w:t>Número de teléfono</w:t>
    </w:r>
    <w:r w:rsidR="00E2379D" w:rsidRPr="0004509D">
      <w:rPr>
        <w:lang w:val="es-ES"/>
      </w:rPr>
      <w:t>:</w:t>
    </w:r>
    <w:r w:rsidR="00E2379D" w:rsidRPr="0004509D">
      <w:rPr>
        <w:lang w:val="es-ES"/>
      </w:rPr>
      <w:tab/>
    </w:r>
    <w:bookmarkStart w:id="6" w:name="PhoneNo"/>
    <w:bookmarkEnd w:id="6"/>
    <w:r w:rsidR="009C14FB" w:rsidRPr="009C14FB">
      <w:rPr>
        <w:sz w:val="18"/>
        <w:szCs w:val="22"/>
        <w:lang w:val="es-ES_tradnl"/>
      </w:rPr>
      <w:t>+41 22 730 6065</w:t>
    </w:r>
  </w:p>
  <w:p w:rsidR="00E2379D" w:rsidRPr="009C14FB" w:rsidRDefault="0004509D" w:rsidP="009C14FB">
    <w:pPr>
      <w:pStyle w:val="CEOFooterContact2-3"/>
      <w:tabs>
        <w:tab w:val="left" w:pos="1276"/>
      </w:tabs>
      <w:spacing w:before="40"/>
      <w:ind w:left="3969" w:hanging="2693"/>
      <w:rPr>
        <w:rFonts w:eastAsiaTheme="minorHAnsi"/>
        <w:sz w:val="18"/>
        <w:szCs w:val="18"/>
        <w:lang w:val="es-ES_tradnl"/>
      </w:rPr>
    </w:pPr>
    <w:r w:rsidRPr="00F2448D">
      <w:rPr>
        <w:lang w:val="es-ES"/>
      </w:rPr>
      <w:t>Correo electrónico</w:t>
    </w:r>
    <w:r w:rsidR="00E2379D" w:rsidRPr="0004509D">
      <w:rPr>
        <w:lang w:val="es-ES"/>
      </w:rPr>
      <w:t>:</w:t>
    </w:r>
    <w:r w:rsidR="00E2379D" w:rsidRPr="0004509D">
      <w:rPr>
        <w:lang w:val="es-ES"/>
      </w:rPr>
      <w:tab/>
    </w:r>
    <w:bookmarkStart w:id="7" w:name="Email"/>
    <w:bookmarkEnd w:id="7"/>
    <w:r w:rsidR="009C14FB">
      <w:rPr>
        <w:rFonts w:eastAsiaTheme="minorHAnsi"/>
        <w:sz w:val="18"/>
        <w:szCs w:val="18"/>
      </w:rPr>
      <w:fldChar w:fldCharType="begin"/>
    </w:r>
    <w:r w:rsidR="009C14FB" w:rsidRPr="009C14FB">
      <w:rPr>
        <w:rFonts w:eastAsiaTheme="minorHAnsi"/>
        <w:sz w:val="18"/>
        <w:szCs w:val="18"/>
        <w:lang w:val="es-ES_tradnl"/>
      </w:rPr>
      <w:instrText xml:space="preserve"> HYPERLINK "mailto:jaroslaw.ponder@itu.int" </w:instrText>
    </w:r>
    <w:r w:rsidR="009C14FB">
      <w:rPr>
        <w:rFonts w:eastAsiaTheme="minorHAnsi"/>
        <w:sz w:val="18"/>
        <w:szCs w:val="18"/>
      </w:rPr>
      <w:fldChar w:fldCharType="separate"/>
    </w:r>
    <w:r w:rsidR="009C14FB" w:rsidRPr="009C14FB">
      <w:rPr>
        <w:rStyle w:val="Hyperlink"/>
        <w:rFonts w:eastAsiaTheme="minorHAnsi"/>
        <w:sz w:val="18"/>
        <w:szCs w:val="18"/>
        <w:lang w:val="es-ES_tradnl"/>
      </w:rPr>
      <w:t>jaroslaw.ponder@itu.int</w:t>
    </w:r>
    <w:r w:rsidR="009C14FB">
      <w:rPr>
        <w:rFonts w:eastAsiaTheme="minorHAnsi"/>
        <w:sz w:val="18"/>
        <w:szCs w:val="18"/>
      </w:rPr>
      <w:fldChar w:fldCharType="end"/>
    </w:r>
  </w:p>
  <w:p w:rsidR="009C14FB" w:rsidRPr="009C14FB" w:rsidRDefault="00AE1A7A" w:rsidP="009C14FB">
    <w:pPr>
      <w:jc w:val="center"/>
      <w:rPr>
        <w:sz w:val="18"/>
        <w:szCs w:val="18"/>
        <w:lang w:val="es-ES_tradnl"/>
      </w:rPr>
    </w:pPr>
    <w:hyperlink r:id="rId1" w:history="1">
      <w:r w:rsidR="009C14FB" w:rsidRPr="009C14FB">
        <w:rPr>
          <w:rStyle w:val="Hyperlink"/>
          <w:sz w:val="18"/>
          <w:szCs w:val="18"/>
          <w:lang w:val="es-ES_tradnl"/>
        </w:rPr>
        <w:t>http://www.itu.int/go/en/wtdc17rpm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F75" w:rsidRDefault="00576F75">
      <w:r>
        <w:separator/>
      </w:r>
    </w:p>
  </w:footnote>
  <w:footnote w:type="continuationSeparator" w:id="0">
    <w:p w:rsidR="00576F75" w:rsidRDefault="00576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9D" w:rsidRPr="0036579F" w:rsidRDefault="00E2379D" w:rsidP="009C14FB">
    <w:pPr>
      <w:tabs>
        <w:tab w:val="center" w:pos="5103"/>
        <w:tab w:val="right" w:pos="10206"/>
      </w:tabs>
      <w:ind w:right="1"/>
      <w:rPr>
        <w:smallCaps/>
        <w:spacing w:val="24"/>
        <w:sz w:val="18"/>
        <w:szCs w:val="18"/>
      </w:rPr>
    </w:pPr>
    <w:r>
      <w:tab/>
      <w:t>ITU-D/</w:t>
    </w:r>
    <w:bookmarkStart w:id="3" w:name="DocRef2"/>
    <w:bookmarkEnd w:id="3"/>
    <w:r w:rsidR="0036579F">
      <w:t>RPM-</w:t>
    </w:r>
    <w:r w:rsidR="00C75DE9">
      <w:t>EUR</w:t>
    </w:r>
    <w:r w:rsidR="0036579F">
      <w:t>1</w:t>
    </w:r>
    <w:r w:rsidR="009C14FB">
      <w:t>7</w:t>
    </w:r>
    <w:r>
      <w:t>/</w:t>
    </w:r>
    <w:bookmarkStart w:id="4" w:name="DocNo2"/>
    <w:bookmarkEnd w:id="4"/>
    <w:r w:rsidR="009C14FB">
      <w:t>INF/10</w:t>
    </w:r>
    <w:r w:rsidR="0036579F">
      <w:t>-S</w:t>
    </w:r>
    <w:r>
      <w:tab/>
    </w:r>
    <w:r w:rsidR="0004509D">
      <w:t>P</w:t>
    </w:r>
    <w:r w:rsidR="0004509D" w:rsidRPr="00F2448D">
      <w:t>ágina</w:t>
    </w:r>
    <w:r w:rsidR="0004509D">
      <w:t xml:space="preserve"> </w:t>
    </w:r>
    <w:r>
      <w:fldChar w:fldCharType="begin"/>
    </w:r>
    <w:r>
      <w:instrText xml:space="preserve"> PAGE </w:instrText>
    </w:r>
    <w:r>
      <w:fldChar w:fldCharType="separate"/>
    </w:r>
    <w:r w:rsidR="00AE1A7A">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9.2pt;height:9.2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22A51E3"/>
    <w:multiLevelType w:val="hybridMultilevel"/>
    <w:tmpl w:val="58E4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8"/>
  </w:num>
  <w:num w:numId="14">
    <w:abstractNumId w:val="12"/>
  </w:num>
  <w:num w:numId="15">
    <w:abstractNumId w:val="16"/>
  </w:num>
  <w:num w:numId="16">
    <w:abstractNumId w:val="31"/>
  </w:num>
  <w:num w:numId="17">
    <w:abstractNumId w:val="26"/>
  </w:num>
  <w:num w:numId="18">
    <w:abstractNumId w:val="13"/>
  </w:num>
  <w:num w:numId="19">
    <w:abstractNumId w:val="17"/>
  </w:num>
  <w:num w:numId="20">
    <w:abstractNumId w:val="22"/>
  </w:num>
  <w:num w:numId="21">
    <w:abstractNumId w:val="27"/>
  </w:num>
  <w:num w:numId="22">
    <w:abstractNumId w:val="15"/>
  </w:num>
  <w:num w:numId="23">
    <w:abstractNumId w:val="18"/>
  </w:num>
  <w:num w:numId="24">
    <w:abstractNumId w:val="25"/>
  </w:num>
  <w:num w:numId="25">
    <w:abstractNumId w:val="25"/>
  </w:num>
  <w:num w:numId="26">
    <w:abstractNumId w:val="19"/>
  </w:num>
  <w:num w:numId="27">
    <w:abstractNumId w:val="14"/>
  </w:num>
  <w:num w:numId="28">
    <w:abstractNumId w:val="29"/>
  </w:num>
  <w:num w:numId="29">
    <w:abstractNumId w:val="11"/>
  </w:num>
  <w:num w:numId="30">
    <w:abstractNumId w:val="21"/>
  </w:num>
  <w:num w:numId="31">
    <w:abstractNumId w:val="30"/>
  </w:num>
  <w:num w:numId="32">
    <w:abstractNumId w:val="2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intFractionalCharacterWidth/>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75"/>
    <w:rsid w:val="00003125"/>
    <w:rsid w:val="00005245"/>
    <w:rsid w:val="00006684"/>
    <w:rsid w:val="00006856"/>
    <w:rsid w:val="00017BEC"/>
    <w:rsid w:val="00017E7D"/>
    <w:rsid w:val="00017E82"/>
    <w:rsid w:val="00021A72"/>
    <w:rsid w:val="00021E38"/>
    <w:rsid w:val="00022BFD"/>
    <w:rsid w:val="000236AE"/>
    <w:rsid w:val="00032DD2"/>
    <w:rsid w:val="000370A8"/>
    <w:rsid w:val="0004509D"/>
    <w:rsid w:val="00055E42"/>
    <w:rsid w:val="000563AB"/>
    <w:rsid w:val="0006050B"/>
    <w:rsid w:val="00080665"/>
    <w:rsid w:val="00085784"/>
    <w:rsid w:val="000A3328"/>
    <w:rsid w:val="000D0403"/>
    <w:rsid w:val="000D61A2"/>
    <w:rsid w:val="000D7961"/>
    <w:rsid w:val="000E397B"/>
    <w:rsid w:val="000F1580"/>
    <w:rsid w:val="000F2072"/>
    <w:rsid w:val="00101688"/>
    <w:rsid w:val="00103FDD"/>
    <w:rsid w:val="001229F6"/>
    <w:rsid w:val="00153BB5"/>
    <w:rsid w:val="0015553B"/>
    <w:rsid w:val="00161A5A"/>
    <w:rsid w:val="00170AB9"/>
    <w:rsid w:val="00181928"/>
    <w:rsid w:val="001856D7"/>
    <w:rsid w:val="00187E51"/>
    <w:rsid w:val="00192DBD"/>
    <w:rsid w:val="0019399A"/>
    <w:rsid w:val="001A52E9"/>
    <w:rsid w:val="001B4B9B"/>
    <w:rsid w:val="001D2082"/>
    <w:rsid w:val="001D3694"/>
    <w:rsid w:val="001E33AB"/>
    <w:rsid w:val="001E3BCF"/>
    <w:rsid w:val="00235915"/>
    <w:rsid w:val="00252877"/>
    <w:rsid w:val="00262B06"/>
    <w:rsid w:val="00270C45"/>
    <w:rsid w:val="002748B0"/>
    <w:rsid w:val="00275198"/>
    <w:rsid w:val="0028054C"/>
    <w:rsid w:val="00286A28"/>
    <w:rsid w:val="002900F9"/>
    <w:rsid w:val="00295878"/>
    <w:rsid w:val="002A3A4E"/>
    <w:rsid w:val="002B02FE"/>
    <w:rsid w:val="002B1A8F"/>
    <w:rsid w:val="002B2265"/>
    <w:rsid w:val="002C67D8"/>
    <w:rsid w:val="002D0049"/>
    <w:rsid w:val="0030762F"/>
    <w:rsid w:val="00311BD3"/>
    <w:rsid w:val="00312685"/>
    <w:rsid w:val="00333AB3"/>
    <w:rsid w:val="00334C18"/>
    <w:rsid w:val="003513DB"/>
    <w:rsid w:val="0036243F"/>
    <w:rsid w:val="0036579F"/>
    <w:rsid w:val="00385ABF"/>
    <w:rsid w:val="00392AF3"/>
    <w:rsid w:val="003B75F4"/>
    <w:rsid w:val="003C78E4"/>
    <w:rsid w:val="003E20FF"/>
    <w:rsid w:val="004077C9"/>
    <w:rsid w:val="00414E6F"/>
    <w:rsid w:val="00415F06"/>
    <w:rsid w:val="004331DF"/>
    <w:rsid w:val="0043566B"/>
    <w:rsid w:val="004430CE"/>
    <w:rsid w:val="00457453"/>
    <w:rsid w:val="0046327F"/>
    <w:rsid w:val="00472A03"/>
    <w:rsid w:val="00483313"/>
    <w:rsid w:val="00487A55"/>
    <w:rsid w:val="004A0340"/>
    <w:rsid w:val="004A28F0"/>
    <w:rsid w:val="004A34DD"/>
    <w:rsid w:val="004A564F"/>
    <w:rsid w:val="004D0AC9"/>
    <w:rsid w:val="004D2D58"/>
    <w:rsid w:val="004D3DC4"/>
    <w:rsid w:val="004D5FDD"/>
    <w:rsid w:val="004E3824"/>
    <w:rsid w:val="004F09F8"/>
    <w:rsid w:val="004F1A42"/>
    <w:rsid w:val="00502BFC"/>
    <w:rsid w:val="00511EDF"/>
    <w:rsid w:val="00523237"/>
    <w:rsid w:val="00523E05"/>
    <w:rsid w:val="005302F6"/>
    <w:rsid w:val="00542D84"/>
    <w:rsid w:val="00576F75"/>
    <w:rsid w:val="0058604B"/>
    <w:rsid w:val="005B37AF"/>
    <w:rsid w:val="005B45E9"/>
    <w:rsid w:val="005C0E75"/>
    <w:rsid w:val="005C33BC"/>
    <w:rsid w:val="005D12FD"/>
    <w:rsid w:val="005E07F1"/>
    <w:rsid w:val="006039D9"/>
    <w:rsid w:val="00622A8F"/>
    <w:rsid w:val="006354E9"/>
    <w:rsid w:val="0064011F"/>
    <w:rsid w:val="006444D5"/>
    <w:rsid w:val="0065094C"/>
    <w:rsid w:val="006527BD"/>
    <w:rsid w:val="00663234"/>
    <w:rsid w:val="00667E12"/>
    <w:rsid w:val="00676C62"/>
    <w:rsid w:val="00677A58"/>
    <w:rsid w:val="00681B17"/>
    <w:rsid w:val="00684700"/>
    <w:rsid w:val="00685848"/>
    <w:rsid w:val="00694554"/>
    <w:rsid w:val="006A6F8F"/>
    <w:rsid w:val="006C0E12"/>
    <w:rsid w:val="006C5ABA"/>
    <w:rsid w:val="006C7A7B"/>
    <w:rsid w:val="006D444D"/>
    <w:rsid w:val="006F1CE9"/>
    <w:rsid w:val="0070090A"/>
    <w:rsid w:val="0070796E"/>
    <w:rsid w:val="00727A28"/>
    <w:rsid w:val="00735AC3"/>
    <w:rsid w:val="00735B54"/>
    <w:rsid w:val="00755605"/>
    <w:rsid w:val="00762A1E"/>
    <w:rsid w:val="007679D2"/>
    <w:rsid w:val="00770299"/>
    <w:rsid w:val="00781933"/>
    <w:rsid w:val="00784D25"/>
    <w:rsid w:val="00794FF3"/>
    <w:rsid w:val="00795647"/>
    <w:rsid w:val="00797056"/>
    <w:rsid w:val="007B145B"/>
    <w:rsid w:val="007B5E61"/>
    <w:rsid w:val="007B7C19"/>
    <w:rsid w:val="007E1995"/>
    <w:rsid w:val="00800D40"/>
    <w:rsid w:val="00810A21"/>
    <w:rsid w:val="00811068"/>
    <w:rsid w:val="00813980"/>
    <w:rsid w:val="00817846"/>
    <w:rsid w:val="00833A72"/>
    <w:rsid w:val="00833F2B"/>
    <w:rsid w:val="008340D6"/>
    <w:rsid w:val="0083540C"/>
    <w:rsid w:val="00835BBF"/>
    <w:rsid w:val="008366CB"/>
    <w:rsid w:val="00852CC6"/>
    <w:rsid w:val="00870D98"/>
    <w:rsid w:val="008740CF"/>
    <w:rsid w:val="008A357D"/>
    <w:rsid w:val="008F2196"/>
    <w:rsid w:val="009043C2"/>
    <w:rsid w:val="009074FD"/>
    <w:rsid w:val="00912887"/>
    <w:rsid w:val="00915921"/>
    <w:rsid w:val="00941145"/>
    <w:rsid w:val="0094145C"/>
    <w:rsid w:val="00942ED4"/>
    <w:rsid w:val="00951378"/>
    <w:rsid w:val="00953C7D"/>
    <w:rsid w:val="0096235E"/>
    <w:rsid w:val="0097038C"/>
    <w:rsid w:val="009778C3"/>
    <w:rsid w:val="009B17EA"/>
    <w:rsid w:val="009B6F98"/>
    <w:rsid w:val="009C14FB"/>
    <w:rsid w:val="009E3FEB"/>
    <w:rsid w:val="009E50D3"/>
    <w:rsid w:val="009E725D"/>
    <w:rsid w:val="00A13179"/>
    <w:rsid w:val="00A140EB"/>
    <w:rsid w:val="00A163BA"/>
    <w:rsid w:val="00A57D9C"/>
    <w:rsid w:val="00A65745"/>
    <w:rsid w:val="00A824E0"/>
    <w:rsid w:val="00A840C6"/>
    <w:rsid w:val="00AB4706"/>
    <w:rsid w:val="00AC3A1D"/>
    <w:rsid w:val="00AC7AC6"/>
    <w:rsid w:val="00AD799C"/>
    <w:rsid w:val="00AE1A7A"/>
    <w:rsid w:val="00AE1C97"/>
    <w:rsid w:val="00AE2BCA"/>
    <w:rsid w:val="00AF0A2E"/>
    <w:rsid w:val="00AF4619"/>
    <w:rsid w:val="00B2033A"/>
    <w:rsid w:val="00B20B08"/>
    <w:rsid w:val="00B24401"/>
    <w:rsid w:val="00B34B6C"/>
    <w:rsid w:val="00B4143C"/>
    <w:rsid w:val="00B41935"/>
    <w:rsid w:val="00B46EC5"/>
    <w:rsid w:val="00B50E11"/>
    <w:rsid w:val="00B528E2"/>
    <w:rsid w:val="00B532C0"/>
    <w:rsid w:val="00B60B80"/>
    <w:rsid w:val="00B830A9"/>
    <w:rsid w:val="00B8609C"/>
    <w:rsid w:val="00B95702"/>
    <w:rsid w:val="00BA2C8C"/>
    <w:rsid w:val="00BB67AF"/>
    <w:rsid w:val="00BC1350"/>
    <w:rsid w:val="00BC6A2F"/>
    <w:rsid w:val="00C05FC5"/>
    <w:rsid w:val="00C2585A"/>
    <w:rsid w:val="00C26729"/>
    <w:rsid w:val="00C37B27"/>
    <w:rsid w:val="00C53CE6"/>
    <w:rsid w:val="00C551FC"/>
    <w:rsid w:val="00C648E4"/>
    <w:rsid w:val="00C75DBB"/>
    <w:rsid w:val="00C75DE9"/>
    <w:rsid w:val="00C837F9"/>
    <w:rsid w:val="00C84158"/>
    <w:rsid w:val="00C84E60"/>
    <w:rsid w:val="00CF63E1"/>
    <w:rsid w:val="00D00614"/>
    <w:rsid w:val="00D03BAA"/>
    <w:rsid w:val="00D151EC"/>
    <w:rsid w:val="00D17DC5"/>
    <w:rsid w:val="00D35307"/>
    <w:rsid w:val="00D4563B"/>
    <w:rsid w:val="00D80072"/>
    <w:rsid w:val="00D92439"/>
    <w:rsid w:val="00DA1664"/>
    <w:rsid w:val="00DA2F6F"/>
    <w:rsid w:val="00DA3130"/>
    <w:rsid w:val="00DB5B1B"/>
    <w:rsid w:val="00DB6C98"/>
    <w:rsid w:val="00DE3F2D"/>
    <w:rsid w:val="00DE460C"/>
    <w:rsid w:val="00E148EB"/>
    <w:rsid w:val="00E207C7"/>
    <w:rsid w:val="00E2379D"/>
    <w:rsid w:val="00E244D1"/>
    <w:rsid w:val="00E2476D"/>
    <w:rsid w:val="00E7476B"/>
    <w:rsid w:val="00E74841"/>
    <w:rsid w:val="00E84413"/>
    <w:rsid w:val="00E97800"/>
    <w:rsid w:val="00EA3EE6"/>
    <w:rsid w:val="00EA6520"/>
    <w:rsid w:val="00EA72D0"/>
    <w:rsid w:val="00ED2768"/>
    <w:rsid w:val="00EF62C8"/>
    <w:rsid w:val="00F03C51"/>
    <w:rsid w:val="00F2422E"/>
    <w:rsid w:val="00F40E2E"/>
    <w:rsid w:val="00F5233C"/>
    <w:rsid w:val="00F620CA"/>
    <w:rsid w:val="00F74154"/>
    <w:rsid w:val="00F842D3"/>
    <w:rsid w:val="00F87092"/>
    <w:rsid w:val="00FD281F"/>
    <w:rsid w:val="00FF2B4D"/>
    <w:rsid w:val="00FF4BC0"/>
    <w:rsid w:val="00FF52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8F1435-AC6B-4C66-AAC3-3DCD912A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Verdana" w:eastAsia="SimHei" w:hAnsi="Verdana" w:cs="Simplified Arabic"/>
      <w:bCs/>
      <w:sz w:val="19"/>
      <w:szCs w:val="28"/>
    </w:rPr>
  </w:style>
  <w:style w:type="paragraph" w:styleId="Heading1">
    <w:name w:val="heading 1"/>
    <w:basedOn w:val="Normal"/>
    <w:next w:val="Normal"/>
    <w:link w:val="Heading1Char"/>
    <w:qFormat/>
    <w:rsid w:val="00C05FC5"/>
    <w:pPr>
      <w:keepNext/>
      <w:keepLines/>
      <w:tabs>
        <w:tab w:val="left" w:pos="794"/>
        <w:tab w:val="left" w:pos="1191"/>
        <w:tab w:val="left" w:pos="1588"/>
        <w:tab w:val="left" w:pos="1985"/>
      </w:tabs>
      <w:overflowPunct w:val="0"/>
      <w:autoSpaceDE w:val="0"/>
      <w:autoSpaceDN w:val="0"/>
      <w:adjustRightInd w:val="0"/>
      <w:spacing w:before="280" w:after="0"/>
      <w:ind w:left="794" w:hanging="794"/>
      <w:textAlignment w:val="baseline"/>
      <w:outlineLvl w:val="0"/>
    </w:pPr>
    <w:rPr>
      <w:rFonts w:ascii="Times New Roman" w:eastAsia="Times New Roman" w:hAnsi="Times New Roman" w:cs="Times New Roman"/>
      <w:b/>
      <w:bCs w:val="0"/>
      <w:sz w:val="28"/>
      <w:szCs w:val="20"/>
      <w:lang w:val="es-ES_tradnl" w:eastAsia="en-US"/>
    </w:rPr>
  </w:style>
  <w:style w:type="paragraph" w:styleId="Heading2">
    <w:name w:val="heading 2"/>
    <w:basedOn w:val="Heading1"/>
    <w:next w:val="Normal"/>
    <w:qFormat/>
    <w:rsid w:val="00C05FC5"/>
    <w:pPr>
      <w:spacing w:before="200"/>
      <w:outlineLvl w:val="1"/>
    </w:pPr>
    <w:rPr>
      <w:sz w:val="24"/>
    </w:rPr>
  </w:style>
  <w:style w:type="paragraph" w:styleId="Heading3">
    <w:name w:val="heading 3"/>
    <w:basedOn w:val="Heading1"/>
    <w:next w:val="Normal"/>
    <w:qFormat/>
    <w:rsid w:val="00C05FC5"/>
    <w:pPr>
      <w:spacing w:before="200"/>
      <w:outlineLvl w:val="2"/>
    </w:pPr>
    <w:rPr>
      <w:sz w:val="24"/>
    </w:rPr>
  </w:style>
  <w:style w:type="paragraph" w:styleId="Heading4">
    <w:name w:val="heading 4"/>
    <w:basedOn w:val="Heading3"/>
    <w:next w:val="Normal"/>
    <w:qFormat/>
    <w:rsid w:val="00C05FC5"/>
    <w:pPr>
      <w:tabs>
        <w:tab w:val="clear" w:pos="794"/>
        <w:tab w:val="left" w:pos="992"/>
      </w:tabs>
      <w:ind w:left="992" w:hanging="992"/>
      <w:outlineLvl w:val="3"/>
    </w:pPr>
  </w:style>
  <w:style w:type="paragraph" w:styleId="Heading5">
    <w:name w:val="heading 5"/>
    <w:basedOn w:val="Heading4"/>
    <w:next w:val="Normal"/>
    <w:qFormat/>
    <w:rsid w:val="00C05FC5"/>
    <w:pPr>
      <w:outlineLvl w:val="4"/>
    </w:pPr>
  </w:style>
  <w:style w:type="paragraph" w:styleId="Heading6">
    <w:name w:val="heading 6"/>
    <w:basedOn w:val="Heading4"/>
    <w:next w:val="Normal"/>
    <w:qFormat/>
    <w:rsid w:val="00C05FC5"/>
    <w:pPr>
      <w:tabs>
        <w:tab w:val="clear" w:pos="992"/>
        <w:tab w:val="clear" w:pos="1191"/>
      </w:tabs>
      <w:ind w:left="1588" w:hanging="1588"/>
      <w:outlineLvl w:val="5"/>
    </w:pPr>
  </w:style>
  <w:style w:type="paragraph" w:styleId="Heading7">
    <w:name w:val="heading 7"/>
    <w:basedOn w:val="Heading6"/>
    <w:next w:val="Normal"/>
    <w:qFormat/>
    <w:rsid w:val="00C05FC5"/>
    <w:pPr>
      <w:outlineLvl w:val="6"/>
    </w:pPr>
  </w:style>
  <w:style w:type="paragraph" w:styleId="Heading8">
    <w:name w:val="heading 8"/>
    <w:basedOn w:val="Heading6"/>
    <w:next w:val="Normal"/>
    <w:qFormat/>
    <w:rsid w:val="00C05FC5"/>
    <w:pPr>
      <w:outlineLvl w:val="7"/>
    </w:pPr>
  </w:style>
  <w:style w:type="paragraph" w:styleId="Heading9">
    <w:name w:val="heading 9"/>
    <w:basedOn w:val="Heading6"/>
    <w:next w:val="Normal"/>
    <w:qFormat/>
    <w:rsid w:val="00C05F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OFooterContact2-3">
    <w:name w:val="CEO_FooterContact2-3"/>
    <w:rsid w:val="00663234"/>
    <w:pPr>
      <w:ind w:left="3828" w:hanging="2268"/>
    </w:pPr>
    <w:rPr>
      <w:rFonts w:ascii="Verdana" w:hAnsi="Verdana"/>
      <w:sz w:val="16"/>
      <w:szCs w:val="16"/>
      <w:lang w:eastAsia="en-US"/>
    </w:rPr>
  </w:style>
  <w:style w:type="paragraph" w:customStyle="1" w:styleId="CEONormal">
    <w:name w:val="CEO_Normal"/>
    <w:link w:val="CEONormalChar"/>
    <w:rsid w:val="00663234"/>
    <w:pPr>
      <w:spacing w:before="120" w:after="120"/>
    </w:pPr>
    <w:rPr>
      <w:rFonts w:ascii="Verdana" w:hAnsi="Verdana"/>
      <w:sz w:val="19"/>
      <w:szCs w:val="19"/>
      <w:lang w:eastAsia="en-US"/>
    </w:rPr>
  </w:style>
  <w:style w:type="paragraph" w:customStyle="1" w:styleId="CEODocTitle2lines-Second">
    <w:name w:val="CEO_DocTitle2lines-Second"/>
    <w:basedOn w:val="CEODocTitle2lines-First"/>
    <w:pPr>
      <w:spacing w:before="0" w:after="480"/>
    </w:pPr>
  </w:style>
  <w:style w:type="paragraph" w:customStyle="1" w:styleId="CEODocTitle2lines-First">
    <w:name w:val="CEO_DocTitle2lines-First"/>
    <w:basedOn w:val="CEODocTitle-1line"/>
    <w:next w:val="Normal"/>
    <w:pPr>
      <w:spacing w:after="0"/>
    </w:pPr>
  </w:style>
  <w:style w:type="paragraph" w:customStyle="1" w:styleId="CEODocTitle-1line">
    <w:name w:val="CEO_DocTitle-1line"/>
    <w:basedOn w:val="Normal"/>
    <w:next w:val="Normal"/>
    <w:pPr>
      <w:spacing w:before="480" w:after="480"/>
      <w:jc w:val="center"/>
    </w:pPr>
    <w:rPr>
      <w:b/>
      <w:sz w:val="28"/>
      <w:lang w:eastAsia="en-US"/>
    </w:rPr>
  </w:style>
  <w:style w:type="paragraph" w:customStyle="1" w:styleId="CEOcontributionH1">
    <w:name w:val="CEO_contributionH1"/>
    <w:basedOn w:val="CEOcontribution-H123"/>
    <w:next w:val="CEONormal"/>
    <w:rsid w:val="00D35307"/>
    <w:pPr>
      <w:keepNext/>
      <w:keepLines/>
      <w:numPr>
        <w:numId w:val="0"/>
      </w:numPr>
    </w:pPr>
  </w:style>
  <w:style w:type="paragraph" w:customStyle="1" w:styleId="CEOcontribution-H123">
    <w:name w:val="CEO_contribution-H123"/>
    <w:basedOn w:val="Normal"/>
    <w:pPr>
      <w:numPr>
        <w:numId w:val="26"/>
      </w:numPr>
      <w:tabs>
        <w:tab w:val="clear" w:pos="720"/>
        <w:tab w:val="num" w:pos="567"/>
      </w:tabs>
      <w:ind w:left="567" w:hanging="567"/>
    </w:pPr>
    <w:rPr>
      <w:b/>
      <w:bCs w:val="0"/>
      <w:szCs w:val="19"/>
      <w:lang w:eastAsia="en-US"/>
    </w:rPr>
  </w:style>
  <w:style w:type="paragraph" w:customStyle="1" w:styleId="CEOFooterContact1">
    <w:name w:val="CEO_FooterContact1"/>
    <w:basedOn w:val="CEOFooterContact2-3"/>
    <w:next w:val="CEOFooterContact2-3"/>
    <w:pPr>
      <w:pBdr>
        <w:top w:val="single" w:sz="4" w:space="5" w:color="auto"/>
      </w:pBdr>
      <w:tabs>
        <w:tab w:val="left" w:pos="1560"/>
      </w:tabs>
      <w:ind w:hanging="3828"/>
    </w:pPr>
  </w:style>
  <w:style w:type="paragraph" w:customStyle="1" w:styleId="CEOForAction">
    <w:name w:val="CEO_ForAction"/>
    <w:basedOn w:val="CEONormal"/>
    <w:next w:val="CEOSourceTitle"/>
    <w:pPr>
      <w:spacing w:before="240"/>
      <w:ind w:left="1593"/>
    </w:pPr>
    <w:rPr>
      <w:b/>
      <w:bCs/>
      <w:iCs/>
    </w:rPr>
  </w:style>
  <w:style w:type="paragraph" w:customStyle="1" w:styleId="CEOSourceTitle">
    <w:name w:val="CEO_Source_Title"/>
    <w:basedOn w:val="Normal"/>
    <w:pPr>
      <w:spacing w:before="0"/>
    </w:pPr>
    <w:rPr>
      <w:b/>
      <w:bCs w:val="0"/>
      <w:szCs w:val="19"/>
      <w:lang w:eastAsia="en-US"/>
    </w:rPr>
  </w:style>
  <w:style w:type="paragraph" w:customStyle="1" w:styleId="CEOParagraph11">
    <w:name w:val="CEO_Paragraph 1.1"/>
    <w:basedOn w:val="Heading2"/>
    <w:pPr>
      <w:ind w:left="567"/>
    </w:pPr>
    <w:rPr>
      <w:b w:val="0"/>
      <w:bCs/>
    </w:rPr>
  </w:style>
  <w:style w:type="paragraph" w:customStyle="1" w:styleId="CEOIndent1-123">
    <w:name w:val="CEO_Indent1-123"/>
    <w:basedOn w:val="Normal"/>
    <w:pPr>
      <w:numPr>
        <w:numId w:val="14"/>
      </w:numPr>
      <w:spacing w:before="60" w:after="60"/>
      <w:ind w:right="709"/>
    </w:pPr>
    <w:rPr>
      <w:szCs w:val="19"/>
      <w:lang w:eastAsia="en-US"/>
    </w:rPr>
  </w:style>
  <w:style w:type="paragraph" w:customStyle="1" w:styleId="CEOAgendaItemN">
    <w:name w:val="CEO_AgendaItemN°"/>
    <w:basedOn w:val="CEOIndent1-123"/>
    <w:pPr>
      <w:numPr>
        <w:numId w:val="0"/>
      </w:numPr>
      <w:ind w:right="12"/>
      <w:jc w:val="right"/>
    </w:pPr>
  </w:style>
  <w:style w:type="paragraph" w:customStyle="1" w:styleId="CEODocDates">
    <w:name w:val="CEO_DocDates"/>
    <w:basedOn w:val="Normal"/>
    <w:next w:val="Normal"/>
    <w:pPr>
      <w:spacing w:before="0" w:after="0"/>
    </w:pPr>
    <w:rPr>
      <w:b/>
      <w:bCs w:val="0"/>
      <w:szCs w:val="19"/>
      <w:lang w:eastAsia="en-US"/>
    </w:rPr>
  </w:style>
  <w:style w:type="paragraph" w:customStyle="1" w:styleId="CEODocNo">
    <w:name w:val="CEO_DocNo"/>
    <w:basedOn w:val="Normal"/>
    <w:next w:val="Normal"/>
    <w:pPr>
      <w:spacing w:before="0" w:after="0"/>
    </w:pPr>
    <w:rPr>
      <w:b/>
      <w:bCs w:val="0"/>
      <w:szCs w:val="19"/>
      <w:lang w:eastAsia="en-US"/>
    </w:rPr>
  </w:style>
  <w:style w:type="paragraph" w:customStyle="1" w:styleId="CEODocNoDetails">
    <w:name w:val="CEO_DocNoDetails"/>
    <w:basedOn w:val="Normal"/>
    <w:pPr>
      <w:spacing w:before="80" w:after="80"/>
      <w:jc w:val="center"/>
    </w:pPr>
    <w:rPr>
      <w:szCs w:val="19"/>
      <w:lang w:eastAsia="en-US"/>
    </w:rPr>
  </w:style>
  <w:style w:type="paragraph" w:customStyle="1" w:styleId="CEOFooter">
    <w:name w:val="CEO_Footer"/>
    <w:basedOn w:val="Normal"/>
    <w:pPr>
      <w:tabs>
        <w:tab w:val="right" w:pos="9072"/>
      </w:tabs>
      <w:spacing w:before="0" w:after="0"/>
    </w:pPr>
    <w:rPr>
      <w:sz w:val="16"/>
      <w:szCs w:val="19"/>
      <w:lang w:eastAsia="en-US"/>
    </w:rPr>
  </w:style>
  <w:style w:type="paragraph" w:customStyle="1" w:styleId="CEOHeader1">
    <w:name w:val="CEO_Header1"/>
    <w:basedOn w:val="Normal"/>
    <w:pPr>
      <w:numPr>
        <w:numId w:val="25"/>
      </w:numPr>
      <w:spacing w:before="0" w:after="0"/>
    </w:pPr>
    <w:rPr>
      <w:szCs w:val="19"/>
      <w:lang w:eastAsia="en-US"/>
    </w:rPr>
  </w:style>
  <w:style w:type="paragraph" w:customStyle="1" w:styleId="CEOHeader2">
    <w:name w:val="CEO_Header2"/>
    <w:basedOn w:val="Normal"/>
    <w:pPr>
      <w:spacing w:before="720" w:after="0"/>
    </w:pPr>
    <w:rPr>
      <w:szCs w:val="19"/>
      <w:lang w:eastAsia="en-US"/>
    </w:rPr>
  </w:style>
  <w:style w:type="paragraph" w:customStyle="1" w:styleId="CEOHeaderPageNumber">
    <w:name w:val="CEO_HeaderPageNumber"/>
    <w:basedOn w:val="Normal"/>
    <w:pPr>
      <w:tabs>
        <w:tab w:val="center" w:pos="4536"/>
        <w:tab w:val="right" w:pos="9072"/>
      </w:tabs>
      <w:spacing w:before="0" w:after="0"/>
      <w:jc w:val="right"/>
    </w:pPr>
    <w:rPr>
      <w:smallCaps/>
      <w:szCs w:val="19"/>
      <w:lang w:eastAsia="en-US"/>
    </w:rPr>
  </w:style>
  <w:style w:type="paragraph" w:customStyle="1" w:styleId="CEOcontributionStart">
    <w:name w:val="CEO_contributionStart"/>
    <w:basedOn w:val="CEOcontribution-H123"/>
    <w:pPr>
      <w:numPr>
        <w:numId w:val="0"/>
      </w:numPr>
      <w:spacing w:before="360"/>
    </w:pPr>
    <w:rPr>
      <w:b w:val="0"/>
    </w:rPr>
  </w:style>
  <w:style w:type="paragraph" w:customStyle="1" w:styleId="CEOParagraph111">
    <w:name w:val="CEO_Paragraph1.1.1"/>
    <w:basedOn w:val="Heading3"/>
    <w:pPr>
      <w:tabs>
        <w:tab w:val="num" w:pos="1418"/>
      </w:tabs>
      <w:ind w:left="1418" w:hanging="851"/>
    </w:pPr>
    <w:rPr>
      <w:b w:val="0"/>
      <w:bCs/>
      <w:sz w:val="19"/>
    </w:rPr>
  </w:style>
  <w:style w:type="paragraph" w:customStyle="1" w:styleId="CEOindent-abc">
    <w:name w:val="CEO_indent-abc"/>
    <w:basedOn w:val="Normal"/>
    <w:pPr>
      <w:numPr>
        <w:ilvl w:val="1"/>
        <w:numId w:val="16"/>
      </w:numPr>
      <w:spacing w:before="0" w:after="0"/>
    </w:pPr>
    <w:rPr>
      <w:rFonts w:cs="Traditional Arabic"/>
      <w:sz w:val="18"/>
      <w:lang w:eastAsia="en-US"/>
    </w:rPr>
  </w:style>
  <w:style w:type="paragraph" w:customStyle="1" w:styleId="CEOIndent-bulletsblackdot">
    <w:name w:val="CEO_Indent-bulletsblackdot"/>
    <w:basedOn w:val="Normal"/>
    <w:pPr>
      <w:numPr>
        <w:numId w:val="17"/>
      </w:numPr>
      <w:spacing w:before="60" w:after="60"/>
    </w:pPr>
    <w:rPr>
      <w:szCs w:val="19"/>
      <w:lang w:eastAsia="en-US"/>
    </w:rPr>
  </w:style>
  <w:style w:type="paragraph" w:customStyle="1" w:styleId="CEOIndent-bulletsBlueSquare">
    <w:name w:val="CEO_Indent-bulletsBlueSquare"/>
    <w:basedOn w:val="CEOIndent-bulletsblackdot"/>
    <w:pPr>
      <w:numPr>
        <w:numId w:val="18"/>
      </w:numPr>
    </w:pPr>
  </w:style>
  <w:style w:type="paragraph" w:customStyle="1" w:styleId="CEOMeetingDates">
    <w:name w:val="CEO_MeetingDates"/>
    <w:basedOn w:val="Normal"/>
    <w:pPr>
      <w:spacing w:before="0" w:after="40"/>
    </w:pPr>
    <w:rPr>
      <w:b/>
      <w:bCs w:val="0"/>
      <w:szCs w:val="19"/>
      <w:lang w:eastAsia="en-US"/>
    </w:rPr>
  </w:style>
  <w:style w:type="paragraph" w:customStyle="1" w:styleId="CEOMeetingName">
    <w:name w:val="CEO_MeetingName"/>
    <w:basedOn w:val="Normal"/>
    <w:pPr>
      <w:spacing w:after="0"/>
    </w:pPr>
    <w:rPr>
      <w:b/>
      <w:bCs w:val="0"/>
      <w:szCs w:val="19"/>
      <w:lang w:eastAsia="en-US"/>
    </w:rPr>
  </w:style>
  <w:style w:type="paragraph" w:customStyle="1" w:styleId="CEOOriginalLanguage">
    <w:name w:val="CEO_OriginalLanguage"/>
    <w:basedOn w:val="Normal"/>
    <w:next w:val="Normal"/>
    <w:rPr>
      <w:b/>
      <w:bCs w:val="0"/>
      <w:szCs w:val="19"/>
      <w:lang w:eastAsia="en-US"/>
    </w:rPr>
  </w:style>
  <w:style w:type="paragraph" w:customStyle="1" w:styleId="CEOQuestion">
    <w:name w:val="CEO_Question"/>
    <w:basedOn w:val="CEOQuestionDetails"/>
    <w:pPr>
      <w:spacing w:before="40" w:after="40"/>
      <w:ind w:left="1843" w:hanging="1843"/>
    </w:pPr>
    <w:rPr>
      <w:bCs w:val="0"/>
      <w:szCs w:val="24"/>
    </w:rPr>
  </w:style>
  <w:style w:type="paragraph" w:customStyle="1" w:styleId="CEOQuestionDetails">
    <w:name w:val="CEO_QuestionDetails"/>
    <w:basedOn w:val="CEOOriginalLanguage"/>
    <w:rPr>
      <w:b w:val="0"/>
      <w:bCs/>
    </w:rPr>
  </w:style>
  <w:style w:type="paragraph" w:customStyle="1" w:styleId="CEOSectorName">
    <w:name w:val="CEO_SectorName"/>
    <w:basedOn w:val="Normal"/>
    <w:rPr>
      <w:b/>
      <w:bCs w:val="0"/>
      <w:sz w:val="26"/>
      <w:lang w:eastAsia="en-US"/>
    </w:rPr>
  </w:style>
  <w:style w:type="paragraph" w:customStyle="1" w:styleId="CEOSignatureName">
    <w:name w:val="CEO_SignatureName"/>
    <w:basedOn w:val="Normal"/>
    <w:pPr>
      <w:spacing w:before="720" w:after="0"/>
    </w:pPr>
    <w:rPr>
      <w:szCs w:val="19"/>
      <w:lang w:eastAsia="en-US"/>
    </w:rPr>
  </w:style>
  <w:style w:type="paragraph" w:customStyle="1" w:styleId="CEOSignatureTitle">
    <w:name w:val="CEO_SignatureTitle"/>
    <w:basedOn w:val="CEOSignatureName"/>
    <w:pPr>
      <w:spacing w:before="0"/>
    </w:pPr>
  </w:style>
  <w:style w:type="paragraph" w:customStyle="1" w:styleId="CEOSourceTitleDetails">
    <w:name w:val="CEO_SourceTitleDetails"/>
    <w:basedOn w:val="Normal"/>
    <w:rPr>
      <w:szCs w:val="19"/>
      <w:lang w:eastAsia="en-US"/>
    </w:rPr>
  </w:style>
  <w:style w:type="paragraph" w:customStyle="1" w:styleId="CEOSTG">
    <w:name w:val="CEO_STG"/>
    <w:basedOn w:val="CEOOriginalLanguage"/>
    <w:pPr>
      <w:jc w:val="center"/>
    </w:pPr>
  </w:style>
  <w:style w:type="paragraph" w:customStyle="1" w:styleId="CEOindent-endash">
    <w:name w:val="CEO_indent-endash"/>
    <w:basedOn w:val="CEOEmdashList"/>
    <w:pPr>
      <w:numPr>
        <w:numId w:val="23"/>
      </w:numPr>
    </w:pPr>
  </w:style>
  <w:style w:type="paragraph" w:customStyle="1" w:styleId="CEOEmdashList">
    <w:name w:val="CEO_EmdashList"/>
    <w:basedOn w:val="CEONormal"/>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rPr>
      <w:rFonts w:ascii="Verdana" w:hAnsi="Verdana"/>
      <w:noProof w:val="0"/>
      <w:color w:val="0000FF"/>
      <w:sz w:val="19"/>
      <w:u w:val="single"/>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EOConsidering">
    <w:name w:val="CEO_Considering"/>
    <w:basedOn w:val="CEONormal"/>
    <w:pPr>
      <w:keepNext/>
      <w:keepLines/>
      <w:ind w:left="851"/>
    </w:pPr>
    <w:rPr>
      <w:i/>
      <w:iCs/>
    </w:rPr>
  </w:style>
  <w:style w:type="paragraph" w:customStyle="1" w:styleId="CEOEndBar">
    <w:name w:val="CEO_EndBar"/>
    <w:basedOn w:val="CEONormal"/>
    <w:pPr>
      <w:jc w:val="center"/>
    </w:pPr>
  </w:style>
  <w:style w:type="paragraph" w:customStyle="1" w:styleId="CEOExtract">
    <w:name w:val="CEO_Extract"/>
    <w:basedOn w:val="CEONormal"/>
    <w:pPr>
      <w:keepNext/>
      <w:keepLines/>
    </w:pPr>
  </w:style>
  <w:style w:type="paragraph" w:customStyle="1" w:styleId="CEOHeader">
    <w:name w:val="CEO_Header"/>
    <w:basedOn w:val="Normal"/>
    <w:pPr>
      <w:tabs>
        <w:tab w:val="center" w:pos="5103"/>
        <w:tab w:val="right" w:pos="10206"/>
      </w:tabs>
      <w:spacing w:after="480"/>
      <w:ind w:right="357"/>
    </w:pPr>
    <w:rPr>
      <w:smallCaps/>
      <w:spacing w:val="24"/>
      <w:sz w:val="18"/>
      <w:szCs w:val="18"/>
    </w:rPr>
  </w:style>
  <w:style w:type="paragraph" w:customStyle="1" w:styleId="CEOResText">
    <w:name w:val="CEO_ResText"/>
    <w:basedOn w:val="CEONormal"/>
    <w:pPr>
      <w:ind w:left="426"/>
    </w:pPr>
  </w:style>
  <w:style w:type="paragraph" w:customStyle="1" w:styleId="Figurelegend">
    <w:name w:val="Figure_legend"/>
    <w:basedOn w:val="Normal"/>
    <w:pPr>
      <w:keepNext/>
      <w:keepLines/>
      <w:overflowPunct w:val="0"/>
      <w:autoSpaceDE w:val="0"/>
      <w:autoSpaceDN w:val="0"/>
      <w:adjustRightInd w:val="0"/>
      <w:spacing w:before="20" w:after="20"/>
      <w:textAlignment w:val="baseline"/>
    </w:pPr>
    <w:rPr>
      <w:rFonts w:ascii="Times New Roman" w:eastAsia="Times New Roman" w:hAnsi="Times New Roman" w:cs="Times New Roman"/>
      <w:bCs w:val="0"/>
      <w:sz w:val="18"/>
      <w:szCs w:val="20"/>
      <w:lang w:eastAsia="en-US"/>
    </w:rPr>
  </w:style>
  <w:style w:type="paragraph" w:customStyle="1" w:styleId="Equation">
    <w:name w:val="Equation"/>
    <w:basedOn w:val="Normal"/>
    <w:pPr>
      <w:tabs>
        <w:tab w:val="left" w:pos="794"/>
        <w:tab w:val="center" w:pos="4820"/>
        <w:tab w:val="right" w:pos="9639"/>
      </w:tabs>
      <w:overflowPunct w:val="0"/>
      <w:autoSpaceDE w:val="0"/>
      <w:autoSpaceDN w:val="0"/>
      <w:adjustRightInd w:val="0"/>
      <w:spacing w:after="0"/>
      <w:textAlignment w:val="baseline"/>
    </w:pPr>
    <w:rPr>
      <w:rFonts w:ascii="Times New Roman" w:eastAsia="Times New Roman" w:hAnsi="Times New Roman" w:cs="Times New Roman"/>
      <w:bCs w:val="0"/>
      <w:sz w:val="24"/>
      <w:szCs w:val="20"/>
      <w:lang w:eastAsia="en-US"/>
    </w:rPr>
  </w:style>
  <w:style w:type="table" w:styleId="TableGrid">
    <w:name w:val="Table Grid"/>
    <w:basedOn w:val="TableNormal"/>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Proposals">
    <w:name w:val="CEO_Proposals"/>
    <w:basedOn w:val="CEOcontributionStart"/>
    <w:rsid w:val="00D00614"/>
    <w:rPr>
      <w:b/>
      <w:bCs/>
      <w:lang w:val="en-US"/>
    </w:rPr>
  </w:style>
  <w:style w:type="character" w:customStyle="1" w:styleId="CEONormalChar">
    <w:name w:val="CEO_Normal Char"/>
    <w:link w:val="CEONormal"/>
    <w:rsid w:val="00663234"/>
    <w:rPr>
      <w:rFonts w:ascii="Verdana" w:eastAsia="SimSun" w:hAnsi="Verdana"/>
      <w:noProof w:val="0"/>
      <w:sz w:val="19"/>
      <w:szCs w:val="19"/>
      <w:lang w:val="en-GB" w:eastAsia="en-US" w:bidi="ar-SA"/>
    </w:rPr>
  </w:style>
  <w:style w:type="paragraph" w:customStyle="1" w:styleId="CEOcontributionH2">
    <w:name w:val="CEO_contributionH2"/>
    <w:basedOn w:val="CEOcontributionH1"/>
    <w:rsid w:val="00B41935"/>
    <w:pPr>
      <w:spacing w:before="0" w:after="0"/>
    </w:pPr>
  </w:style>
  <w:style w:type="paragraph" w:customStyle="1" w:styleId="CEOParagraph1">
    <w:name w:val="CEO_Paragraph 1."/>
    <w:basedOn w:val="CEONormal"/>
    <w:next w:val="CEONormal"/>
    <w:qFormat/>
    <w:rsid w:val="00F87092"/>
    <w:pPr>
      <w:spacing w:before="360"/>
    </w:pPr>
    <w:rPr>
      <w:b/>
      <w:bCs/>
      <w:lang w:val="fr-FR"/>
    </w:rPr>
  </w:style>
  <w:style w:type="paragraph" w:styleId="BalloonText">
    <w:name w:val="Balloon Text"/>
    <w:basedOn w:val="Normal"/>
    <w:link w:val="BalloonTextChar"/>
    <w:rsid w:val="00021E38"/>
    <w:pPr>
      <w:spacing w:before="0" w:after="0"/>
    </w:pPr>
    <w:rPr>
      <w:rFonts w:ascii="Tahoma" w:hAnsi="Tahoma" w:cs="Tahoma"/>
      <w:sz w:val="16"/>
      <w:szCs w:val="16"/>
    </w:rPr>
  </w:style>
  <w:style w:type="character" w:customStyle="1" w:styleId="BalloonTextChar">
    <w:name w:val="Balloon Text Char"/>
    <w:basedOn w:val="DefaultParagraphFont"/>
    <w:link w:val="BalloonText"/>
    <w:rsid w:val="00021E38"/>
    <w:rPr>
      <w:rFonts w:ascii="Tahoma" w:eastAsia="SimHei" w:hAnsi="Tahoma" w:cs="Tahoma"/>
      <w:bCs/>
      <w:noProof w:val="0"/>
      <w:sz w:val="16"/>
      <w:szCs w:val="16"/>
      <w:lang w:val="en-GB"/>
    </w:rPr>
  </w:style>
  <w:style w:type="paragraph" w:customStyle="1" w:styleId="AnnexNo">
    <w:name w:val="Annex_No"/>
    <w:basedOn w:val="Normal"/>
    <w:next w:val="Normal"/>
    <w:rsid w:val="00C05FC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eastAsia="Times New Roman" w:hAnsi="Times New Roman" w:cs="Times New Roman"/>
      <w:bCs w:val="0"/>
      <w:caps/>
      <w:sz w:val="28"/>
      <w:szCs w:val="20"/>
      <w:lang w:eastAsia="en-US"/>
    </w:rPr>
  </w:style>
  <w:style w:type="paragraph" w:customStyle="1" w:styleId="Annexref">
    <w:name w:val="Annex_ref"/>
    <w:basedOn w:val="Normal"/>
    <w:next w:val="Normal"/>
    <w:rsid w:val="00C05FC5"/>
    <w:pPr>
      <w:keepNext/>
      <w:keepLines/>
      <w:tabs>
        <w:tab w:val="left" w:pos="794"/>
        <w:tab w:val="left" w:pos="1191"/>
        <w:tab w:val="left" w:pos="1588"/>
        <w:tab w:val="left" w:pos="1985"/>
      </w:tabs>
      <w:overflowPunct w:val="0"/>
      <w:autoSpaceDE w:val="0"/>
      <w:autoSpaceDN w:val="0"/>
      <w:adjustRightInd w:val="0"/>
      <w:spacing w:after="280"/>
      <w:jc w:val="center"/>
      <w:textAlignment w:val="baseline"/>
    </w:pPr>
    <w:rPr>
      <w:rFonts w:ascii="Times New Roman" w:eastAsia="Times New Roman" w:hAnsi="Times New Roman" w:cs="Times New Roman"/>
      <w:bCs w:val="0"/>
      <w:sz w:val="24"/>
      <w:szCs w:val="20"/>
      <w:lang w:val="es-ES_tradnl" w:eastAsia="en-US"/>
    </w:rPr>
  </w:style>
  <w:style w:type="paragraph" w:customStyle="1" w:styleId="Annextitle">
    <w:name w:val="Annex_title"/>
    <w:basedOn w:val="Normal"/>
    <w:next w:val="Normal"/>
    <w:rsid w:val="00C05FC5"/>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cs="Times New Roman"/>
      <w:b/>
      <w:bCs w:val="0"/>
      <w:sz w:val="28"/>
      <w:szCs w:val="20"/>
      <w:lang w:val="es-ES_tradnl" w:eastAsia="en-US"/>
    </w:rPr>
  </w:style>
  <w:style w:type="character" w:customStyle="1" w:styleId="Appdef">
    <w:name w:val="App_def"/>
    <w:basedOn w:val="DefaultParagraphFont"/>
    <w:rsid w:val="00C05FC5"/>
    <w:rPr>
      <w:rFonts w:ascii="Times New Roman" w:hAnsi="Times New Roman"/>
      <w:b/>
    </w:rPr>
  </w:style>
  <w:style w:type="character" w:customStyle="1" w:styleId="Appref">
    <w:name w:val="App_ref"/>
    <w:basedOn w:val="DefaultParagraphFont"/>
    <w:rsid w:val="00C05FC5"/>
  </w:style>
  <w:style w:type="paragraph" w:customStyle="1" w:styleId="AppendixNo">
    <w:name w:val="Appendix_No"/>
    <w:basedOn w:val="AnnexNo"/>
    <w:next w:val="Annexref"/>
    <w:rsid w:val="00C05FC5"/>
  </w:style>
  <w:style w:type="paragraph" w:customStyle="1" w:styleId="Appendixref">
    <w:name w:val="Appendix_ref"/>
    <w:basedOn w:val="Annexref"/>
    <w:next w:val="Annextitle"/>
    <w:rsid w:val="00C05FC5"/>
  </w:style>
  <w:style w:type="paragraph" w:customStyle="1" w:styleId="Appendixtitle">
    <w:name w:val="Appendix_title"/>
    <w:basedOn w:val="Annextitle"/>
    <w:next w:val="Normal"/>
    <w:rsid w:val="00C05FC5"/>
  </w:style>
  <w:style w:type="character" w:customStyle="1" w:styleId="Artdef">
    <w:name w:val="Art_def"/>
    <w:basedOn w:val="DefaultParagraphFont"/>
    <w:rsid w:val="00C05FC5"/>
    <w:rPr>
      <w:rFonts w:ascii="Times New Roman" w:hAnsi="Times New Roman"/>
      <w:b/>
    </w:rPr>
  </w:style>
  <w:style w:type="paragraph" w:customStyle="1" w:styleId="Artheading">
    <w:name w:val="Art_heading"/>
    <w:basedOn w:val="Normal"/>
    <w:next w:val="Normal"/>
    <w:rsid w:val="00C05FC5"/>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Bold" w:eastAsia="Times New Roman" w:hAnsi="Times New Roman Bold" w:cs="Times New Roman"/>
      <w:b/>
      <w:bCs w:val="0"/>
      <w:sz w:val="28"/>
      <w:szCs w:val="20"/>
      <w:lang w:val="es-ES_tradnl" w:eastAsia="en-US"/>
    </w:rPr>
  </w:style>
  <w:style w:type="paragraph" w:customStyle="1" w:styleId="ArtNo">
    <w:name w:val="Art_No"/>
    <w:basedOn w:val="Normal"/>
    <w:next w:val="Normal"/>
    <w:rsid w:val="00C05FC5"/>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eastAsia="Times New Roman" w:hAnsi="Times New Roman" w:cs="Times New Roman"/>
      <w:bCs w:val="0"/>
      <w:caps/>
      <w:sz w:val="28"/>
      <w:szCs w:val="20"/>
      <w:lang w:val="es-ES_tradnl" w:eastAsia="en-US"/>
    </w:rPr>
  </w:style>
  <w:style w:type="character" w:customStyle="1" w:styleId="Artref">
    <w:name w:val="Art_ref"/>
    <w:basedOn w:val="DefaultParagraphFont"/>
    <w:rsid w:val="00C05FC5"/>
  </w:style>
  <w:style w:type="paragraph" w:customStyle="1" w:styleId="Arttitle">
    <w:name w:val="Art_title"/>
    <w:basedOn w:val="Normal"/>
    <w:next w:val="Normal"/>
    <w:rsid w:val="00C05FC5"/>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eastAsia="Times New Roman" w:hAnsi="Times New Roman" w:cs="Times New Roman"/>
      <w:b/>
      <w:bCs w:val="0"/>
      <w:sz w:val="28"/>
      <w:szCs w:val="20"/>
      <w:lang w:val="es-ES_tradnl" w:eastAsia="en-US"/>
    </w:rPr>
  </w:style>
  <w:style w:type="paragraph" w:customStyle="1" w:styleId="ASN1">
    <w:name w:val="ASN.1"/>
    <w:basedOn w:val="Normal"/>
    <w:rsid w:val="00C05FC5"/>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before="0" w:after="0"/>
      <w:textAlignment w:val="baseline"/>
    </w:pPr>
    <w:rPr>
      <w:rFonts w:ascii="Times New Roman Bold" w:eastAsia="Times New Roman" w:hAnsi="Times New Roman Bold" w:cs="Times New Roman"/>
      <w:b/>
      <w:bCs w:val="0"/>
      <w:noProof/>
      <w:sz w:val="20"/>
      <w:szCs w:val="20"/>
      <w:lang w:val="es-ES_tradnl" w:eastAsia="en-US"/>
    </w:rPr>
  </w:style>
  <w:style w:type="paragraph" w:customStyle="1" w:styleId="Call">
    <w:name w:val="Call"/>
    <w:basedOn w:val="Normal"/>
    <w:next w:val="Normal"/>
    <w:rsid w:val="00C05FC5"/>
    <w:pPr>
      <w:keepNext/>
      <w:keepLines/>
      <w:tabs>
        <w:tab w:val="left" w:pos="794"/>
        <w:tab w:val="left" w:pos="1191"/>
        <w:tab w:val="left" w:pos="1588"/>
        <w:tab w:val="left" w:pos="1985"/>
      </w:tabs>
      <w:overflowPunct w:val="0"/>
      <w:autoSpaceDE w:val="0"/>
      <w:autoSpaceDN w:val="0"/>
      <w:adjustRightInd w:val="0"/>
      <w:spacing w:before="160" w:after="0"/>
      <w:ind w:left="794"/>
      <w:textAlignment w:val="baseline"/>
    </w:pPr>
    <w:rPr>
      <w:rFonts w:ascii="Times New Roman" w:eastAsia="Times New Roman" w:hAnsi="Times New Roman" w:cs="Times New Roman"/>
      <w:bCs w:val="0"/>
      <w:i/>
      <w:sz w:val="24"/>
      <w:szCs w:val="20"/>
      <w:lang w:val="es-ES_tradnl" w:eastAsia="en-US"/>
    </w:rPr>
  </w:style>
  <w:style w:type="paragraph" w:customStyle="1" w:styleId="ChapNo">
    <w:name w:val="Chap_No"/>
    <w:basedOn w:val="ArtNo"/>
    <w:next w:val="Normal"/>
    <w:rsid w:val="00C05FC5"/>
    <w:rPr>
      <w:rFonts w:ascii="Times New Roman Bold" w:hAnsi="Times New Roman Bold"/>
      <w:b/>
    </w:rPr>
  </w:style>
  <w:style w:type="paragraph" w:customStyle="1" w:styleId="Chaptitle">
    <w:name w:val="Chap_title"/>
    <w:basedOn w:val="Arttitle"/>
    <w:next w:val="Normal"/>
    <w:rsid w:val="00C05FC5"/>
  </w:style>
  <w:style w:type="paragraph" w:customStyle="1" w:styleId="ddate">
    <w:name w:val="ddate"/>
    <w:basedOn w:val="Normal"/>
    <w:rsid w:val="00C05FC5"/>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0" w:after="0"/>
      <w:textAlignment w:val="baseline"/>
    </w:pPr>
    <w:rPr>
      <w:rFonts w:ascii="Times New Roman" w:eastAsia="Times New Roman" w:hAnsi="Times New Roman" w:cs="Times New Roman"/>
      <w:b/>
      <w:sz w:val="24"/>
      <w:szCs w:val="20"/>
      <w:lang w:val="es-ES_tradnl" w:eastAsia="en-US"/>
    </w:rPr>
  </w:style>
  <w:style w:type="paragraph" w:customStyle="1" w:styleId="dnum">
    <w:name w:val="dnum"/>
    <w:basedOn w:val="Normal"/>
    <w:rsid w:val="00C05FC5"/>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textAlignment w:val="baseline"/>
    </w:pPr>
    <w:rPr>
      <w:rFonts w:ascii="Times New Roman" w:eastAsia="Times New Roman" w:hAnsi="Times New Roman" w:cs="Times New Roman"/>
      <w:b/>
      <w:sz w:val="24"/>
      <w:szCs w:val="20"/>
      <w:lang w:val="es-ES_tradnl" w:eastAsia="en-US"/>
    </w:rPr>
  </w:style>
  <w:style w:type="paragraph" w:customStyle="1" w:styleId="dorlang">
    <w:name w:val="dorlang"/>
    <w:basedOn w:val="Normal"/>
    <w:rsid w:val="00C05FC5"/>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0" w:after="0"/>
      <w:textAlignment w:val="baseline"/>
    </w:pPr>
    <w:rPr>
      <w:rFonts w:ascii="Times New Roman" w:eastAsia="Times New Roman" w:hAnsi="Times New Roman" w:cs="Times New Roman"/>
      <w:b/>
      <w:sz w:val="24"/>
      <w:szCs w:val="20"/>
      <w:lang w:val="es-ES_tradnl" w:eastAsia="en-US"/>
    </w:rPr>
  </w:style>
  <w:style w:type="character" w:styleId="EndnoteReference">
    <w:name w:val="endnote reference"/>
    <w:basedOn w:val="DefaultParagraphFont"/>
    <w:rsid w:val="00C05FC5"/>
    <w:rPr>
      <w:vertAlign w:val="superscript"/>
    </w:rPr>
  </w:style>
  <w:style w:type="paragraph" w:customStyle="1" w:styleId="enumlev1">
    <w:name w:val="enumlev1"/>
    <w:basedOn w:val="Normal"/>
    <w:rsid w:val="00C05FC5"/>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eastAsia="Times New Roman" w:hAnsi="Times New Roman" w:cs="Times New Roman"/>
      <w:bCs w:val="0"/>
      <w:sz w:val="24"/>
      <w:szCs w:val="20"/>
      <w:lang w:val="es-ES_tradnl" w:eastAsia="en-US"/>
    </w:rPr>
  </w:style>
  <w:style w:type="paragraph" w:customStyle="1" w:styleId="enumlev2">
    <w:name w:val="enumlev2"/>
    <w:basedOn w:val="enumlev1"/>
    <w:rsid w:val="00C05FC5"/>
    <w:pPr>
      <w:ind w:left="1191" w:hanging="397"/>
    </w:pPr>
  </w:style>
  <w:style w:type="paragraph" w:customStyle="1" w:styleId="enumlev3">
    <w:name w:val="enumlev3"/>
    <w:basedOn w:val="enumlev2"/>
    <w:rsid w:val="00C05FC5"/>
    <w:pPr>
      <w:ind w:left="1588"/>
    </w:pPr>
  </w:style>
  <w:style w:type="paragraph" w:customStyle="1" w:styleId="Equationlegend">
    <w:name w:val="Equation_legend"/>
    <w:basedOn w:val="Normal"/>
    <w:rsid w:val="00C05FC5"/>
    <w:pPr>
      <w:tabs>
        <w:tab w:val="right" w:pos="1531"/>
        <w:tab w:val="left" w:pos="1701"/>
      </w:tabs>
      <w:overflowPunct w:val="0"/>
      <w:autoSpaceDE w:val="0"/>
      <w:autoSpaceDN w:val="0"/>
      <w:adjustRightInd w:val="0"/>
      <w:spacing w:before="80" w:after="0"/>
      <w:ind w:left="1701" w:hanging="1701"/>
      <w:textAlignment w:val="baseline"/>
    </w:pPr>
    <w:rPr>
      <w:rFonts w:ascii="Times New Roman" w:eastAsia="Times New Roman" w:hAnsi="Times New Roman" w:cs="Times New Roman"/>
      <w:bCs w:val="0"/>
      <w:sz w:val="24"/>
      <w:szCs w:val="20"/>
      <w:lang w:eastAsia="en-US"/>
    </w:rPr>
  </w:style>
  <w:style w:type="paragraph" w:customStyle="1" w:styleId="FigureNo">
    <w:name w:val="Figure_No"/>
    <w:basedOn w:val="Normal"/>
    <w:next w:val="Normal"/>
    <w:rsid w:val="00C05FC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eastAsia="Times New Roman" w:hAnsi="Times New Roman" w:cs="Times New Roman"/>
      <w:bCs w:val="0"/>
      <w:caps/>
      <w:sz w:val="24"/>
      <w:szCs w:val="20"/>
      <w:lang w:val="es-ES_tradnl" w:eastAsia="en-US"/>
    </w:rPr>
  </w:style>
  <w:style w:type="paragraph" w:customStyle="1" w:styleId="Tabletitle">
    <w:name w:val="Table_title"/>
    <w:basedOn w:val="Normal"/>
    <w:next w:val="Normal"/>
    <w:rsid w:val="00C05FC5"/>
    <w:pPr>
      <w:keepNext/>
      <w:keepLines/>
      <w:tabs>
        <w:tab w:val="left" w:pos="794"/>
        <w:tab w:val="left" w:pos="1191"/>
        <w:tab w:val="left" w:pos="1588"/>
        <w:tab w:val="left" w:pos="1985"/>
      </w:tabs>
      <w:overflowPunct w:val="0"/>
      <w:autoSpaceDE w:val="0"/>
      <w:autoSpaceDN w:val="0"/>
      <w:adjustRightInd w:val="0"/>
      <w:spacing w:before="0"/>
      <w:jc w:val="center"/>
      <w:textAlignment w:val="baseline"/>
    </w:pPr>
    <w:rPr>
      <w:rFonts w:ascii="Times New Roman Bold" w:eastAsia="Times New Roman" w:hAnsi="Times New Roman Bold" w:cs="Times New Roman"/>
      <w:b/>
      <w:bCs w:val="0"/>
      <w:sz w:val="24"/>
      <w:szCs w:val="20"/>
      <w:lang w:eastAsia="en-US"/>
    </w:rPr>
  </w:style>
  <w:style w:type="paragraph" w:customStyle="1" w:styleId="Figuretitle">
    <w:name w:val="Figure_title"/>
    <w:basedOn w:val="Tabletitle"/>
    <w:next w:val="Normal"/>
    <w:rsid w:val="00C05FC5"/>
    <w:pPr>
      <w:keepNext w:val="0"/>
      <w:spacing w:after="480"/>
    </w:pPr>
  </w:style>
  <w:style w:type="paragraph" w:customStyle="1" w:styleId="Figurewithouttitle">
    <w:name w:val="Figure_without_title"/>
    <w:basedOn w:val="FigureNo"/>
    <w:next w:val="Normal"/>
    <w:rsid w:val="00C05FC5"/>
    <w:pPr>
      <w:keepNext w:val="0"/>
    </w:pPr>
  </w:style>
  <w:style w:type="paragraph" w:customStyle="1" w:styleId="FirstFooter">
    <w:name w:val="FirstFooter"/>
    <w:basedOn w:val="Footer"/>
    <w:rsid w:val="00C05FC5"/>
    <w:pPr>
      <w:tabs>
        <w:tab w:val="clear" w:pos="4320"/>
        <w:tab w:val="clear" w:pos="8640"/>
      </w:tabs>
      <w:spacing w:before="40" w:after="0"/>
    </w:pPr>
    <w:rPr>
      <w:rFonts w:ascii="Times New Roman" w:eastAsia="Times New Roman" w:hAnsi="Times New Roman" w:cs="Times New Roman"/>
      <w:bCs w:val="0"/>
      <w:sz w:val="16"/>
      <w:szCs w:val="20"/>
      <w:lang w:val="fr-FR" w:eastAsia="en-US"/>
    </w:rPr>
  </w:style>
  <w:style w:type="character" w:styleId="FootnoteReference">
    <w:name w:val="footnote reference"/>
    <w:basedOn w:val="DefaultParagraphFont"/>
    <w:rsid w:val="00C05FC5"/>
    <w:rPr>
      <w:position w:val="6"/>
      <w:sz w:val="18"/>
    </w:rPr>
  </w:style>
  <w:style w:type="paragraph" w:styleId="FootnoteText">
    <w:name w:val="footnote text"/>
    <w:basedOn w:val="Normal"/>
    <w:link w:val="FootnoteTextChar"/>
    <w:rsid w:val="00C05FC5"/>
    <w:pPr>
      <w:keepLines/>
      <w:tabs>
        <w:tab w:val="left" w:pos="255"/>
        <w:tab w:val="left" w:pos="794"/>
        <w:tab w:val="left" w:pos="1191"/>
        <w:tab w:val="left" w:pos="1588"/>
        <w:tab w:val="left" w:pos="1985"/>
      </w:tabs>
      <w:overflowPunct w:val="0"/>
      <w:autoSpaceDE w:val="0"/>
      <w:autoSpaceDN w:val="0"/>
      <w:adjustRightInd w:val="0"/>
      <w:spacing w:after="0"/>
      <w:ind w:left="255" w:hanging="255"/>
      <w:textAlignment w:val="baseline"/>
    </w:pPr>
    <w:rPr>
      <w:rFonts w:ascii="Times New Roman" w:eastAsia="Times New Roman" w:hAnsi="Times New Roman" w:cs="Times New Roman"/>
      <w:bCs w:val="0"/>
      <w:sz w:val="24"/>
      <w:szCs w:val="20"/>
      <w:lang w:val="es-ES_tradnl" w:eastAsia="en-US"/>
    </w:rPr>
  </w:style>
  <w:style w:type="character" w:customStyle="1" w:styleId="FootnoteTextChar">
    <w:name w:val="Footnote Text Char"/>
    <w:basedOn w:val="DefaultParagraphFont"/>
    <w:link w:val="FootnoteText"/>
    <w:rsid w:val="00C05FC5"/>
    <w:rPr>
      <w:rFonts w:eastAsia="Times New Roman"/>
      <w:sz w:val="24"/>
      <w:lang w:val="es-ES_tradnl" w:eastAsia="en-US"/>
    </w:rPr>
  </w:style>
  <w:style w:type="paragraph" w:customStyle="1" w:styleId="Headingb">
    <w:name w:val="Heading_b"/>
    <w:basedOn w:val="Normal"/>
    <w:next w:val="Normal"/>
    <w:rsid w:val="00C05FC5"/>
    <w:pPr>
      <w:keepNext/>
      <w:tabs>
        <w:tab w:val="left" w:pos="794"/>
        <w:tab w:val="left" w:pos="1191"/>
        <w:tab w:val="left" w:pos="1588"/>
        <w:tab w:val="left" w:pos="1985"/>
      </w:tabs>
      <w:overflowPunct w:val="0"/>
      <w:autoSpaceDE w:val="0"/>
      <w:autoSpaceDN w:val="0"/>
      <w:adjustRightInd w:val="0"/>
      <w:spacing w:before="160" w:after="0"/>
      <w:textAlignment w:val="baseline"/>
    </w:pPr>
    <w:rPr>
      <w:rFonts w:ascii="Times" w:eastAsia="Times New Roman" w:hAnsi="Times" w:cs="Times New Roman"/>
      <w:b/>
      <w:bCs w:val="0"/>
      <w:sz w:val="24"/>
      <w:szCs w:val="20"/>
      <w:lang w:val="es-ES_tradnl" w:eastAsia="en-US"/>
    </w:rPr>
  </w:style>
  <w:style w:type="paragraph" w:customStyle="1" w:styleId="Headingi">
    <w:name w:val="Heading_i"/>
    <w:basedOn w:val="Normal"/>
    <w:next w:val="Normal"/>
    <w:rsid w:val="00C05FC5"/>
    <w:pPr>
      <w:keepNext/>
      <w:tabs>
        <w:tab w:val="left" w:pos="794"/>
        <w:tab w:val="left" w:pos="1191"/>
        <w:tab w:val="left" w:pos="1588"/>
        <w:tab w:val="left" w:pos="1985"/>
      </w:tabs>
      <w:overflowPunct w:val="0"/>
      <w:autoSpaceDE w:val="0"/>
      <w:autoSpaceDN w:val="0"/>
      <w:adjustRightInd w:val="0"/>
      <w:spacing w:before="160" w:after="0"/>
      <w:textAlignment w:val="baseline"/>
    </w:pPr>
    <w:rPr>
      <w:rFonts w:ascii="Times" w:eastAsia="Times New Roman" w:hAnsi="Times" w:cs="Times New Roman"/>
      <w:bCs w:val="0"/>
      <w:i/>
      <w:sz w:val="24"/>
      <w:szCs w:val="20"/>
      <w:lang w:val="es-ES_tradnl" w:eastAsia="en-US"/>
    </w:rPr>
  </w:style>
  <w:style w:type="paragraph" w:styleId="Index1">
    <w:name w:val="index 1"/>
    <w:basedOn w:val="Normal"/>
    <w:next w:val="Normal"/>
    <w:rsid w:val="00C05FC5"/>
    <w:pPr>
      <w:tabs>
        <w:tab w:val="left" w:pos="794"/>
        <w:tab w:val="left" w:pos="1191"/>
        <w:tab w:val="left" w:pos="1588"/>
        <w:tab w:val="left" w:pos="1985"/>
      </w:tabs>
      <w:overflowPunct w:val="0"/>
      <w:autoSpaceDE w:val="0"/>
      <w:autoSpaceDN w:val="0"/>
      <w:adjustRightInd w:val="0"/>
      <w:spacing w:after="0"/>
      <w:textAlignment w:val="baseline"/>
    </w:pPr>
    <w:rPr>
      <w:rFonts w:ascii="Times New Roman" w:eastAsia="Times New Roman" w:hAnsi="Times New Roman" w:cs="Times New Roman"/>
      <w:bCs w:val="0"/>
      <w:sz w:val="24"/>
      <w:szCs w:val="20"/>
      <w:lang w:val="es-ES_tradnl" w:eastAsia="en-US"/>
    </w:rPr>
  </w:style>
  <w:style w:type="paragraph" w:styleId="Index2">
    <w:name w:val="index 2"/>
    <w:basedOn w:val="Normal"/>
    <w:next w:val="Normal"/>
    <w:rsid w:val="00C05FC5"/>
    <w:pPr>
      <w:tabs>
        <w:tab w:val="left" w:pos="794"/>
        <w:tab w:val="left" w:pos="1191"/>
        <w:tab w:val="left" w:pos="1588"/>
        <w:tab w:val="left" w:pos="1985"/>
      </w:tabs>
      <w:overflowPunct w:val="0"/>
      <w:autoSpaceDE w:val="0"/>
      <w:autoSpaceDN w:val="0"/>
      <w:adjustRightInd w:val="0"/>
      <w:spacing w:after="0"/>
      <w:ind w:left="283"/>
      <w:textAlignment w:val="baseline"/>
    </w:pPr>
    <w:rPr>
      <w:rFonts w:ascii="Times New Roman" w:eastAsia="Times New Roman" w:hAnsi="Times New Roman" w:cs="Times New Roman"/>
      <w:bCs w:val="0"/>
      <w:sz w:val="24"/>
      <w:szCs w:val="20"/>
      <w:lang w:val="es-ES_tradnl" w:eastAsia="en-US"/>
    </w:rPr>
  </w:style>
  <w:style w:type="paragraph" w:styleId="Index3">
    <w:name w:val="index 3"/>
    <w:basedOn w:val="Normal"/>
    <w:next w:val="Normal"/>
    <w:rsid w:val="00C05FC5"/>
    <w:pPr>
      <w:tabs>
        <w:tab w:val="left" w:pos="794"/>
        <w:tab w:val="left" w:pos="1191"/>
        <w:tab w:val="left" w:pos="1588"/>
        <w:tab w:val="left" w:pos="1985"/>
      </w:tabs>
      <w:overflowPunct w:val="0"/>
      <w:autoSpaceDE w:val="0"/>
      <w:autoSpaceDN w:val="0"/>
      <w:adjustRightInd w:val="0"/>
      <w:spacing w:after="0"/>
      <w:ind w:left="566"/>
      <w:textAlignment w:val="baseline"/>
    </w:pPr>
    <w:rPr>
      <w:rFonts w:ascii="Times New Roman" w:eastAsia="Times New Roman" w:hAnsi="Times New Roman" w:cs="Times New Roman"/>
      <w:bCs w:val="0"/>
      <w:sz w:val="24"/>
      <w:szCs w:val="20"/>
      <w:lang w:val="es-ES_tradnl" w:eastAsia="en-US"/>
    </w:rPr>
  </w:style>
  <w:style w:type="paragraph" w:styleId="Index4">
    <w:name w:val="index 4"/>
    <w:basedOn w:val="Normal"/>
    <w:next w:val="Normal"/>
    <w:rsid w:val="00C05FC5"/>
    <w:pPr>
      <w:tabs>
        <w:tab w:val="left" w:pos="794"/>
        <w:tab w:val="left" w:pos="1191"/>
        <w:tab w:val="left" w:pos="1588"/>
        <w:tab w:val="left" w:pos="1985"/>
      </w:tabs>
      <w:overflowPunct w:val="0"/>
      <w:autoSpaceDE w:val="0"/>
      <w:autoSpaceDN w:val="0"/>
      <w:adjustRightInd w:val="0"/>
      <w:spacing w:after="0"/>
      <w:ind w:left="849"/>
      <w:textAlignment w:val="baseline"/>
    </w:pPr>
    <w:rPr>
      <w:rFonts w:ascii="Times New Roman" w:eastAsia="Times New Roman" w:hAnsi="Times New Roman" w:cs="Times New Roman"/>
      <w:bCs w:val="0"/>
      <w:sz w:val="24"/>
      <w:szCs w:val="20"/>
      <w:lang w:val="es-ES_tradnl" w:eastAsia="en-US"/>
    </w:rPr>
  </w:style>
  <w:style w:type="paragraph" w:styleId="Index5">
    <w:name w:val="index 5"/>
    <w:basedOn w:val="Normal"/>
    <w:next w:val="Normal"/>
    <w:rsid w:val="00C05FC5"/>
    <w:pPr>
      <w:tabs>
        <w:tab w:val="left" w:pos="794"/>
        <w:tab w:val="left" w:pos="1191"/>
        <w:tab w:val="left" w:pos="1588"/>
        <w:tab w:val="left" w:pos="1985"/>
      </w:tabs>
      <w:overflowPunct w:val="0"/>
      <w:autoSpaceDE w:val="0"/>
      <w:autoSpaceDN w:val="0"/>
      <w:adjustRightInd w:val="0"/>
      <w:spacing w:after="0"/>
      <w:ind w:left="1132"/>
      <w:textAlignment w:val="baseline"/>
    </w:pPr>
    <w:rPr>
      <w:rFonts w:ascii="Times New Roman" w:eastAsia="Times New Roman" w:hAnsi="Times New Roman" w:cs="Times New Roman"/>
      <w:bCs w:val="0"/>
      <w:sz w:val="24"/>
      <w:szCs w:val="20"/>
      <w:lang w:val="es-ES_tradnl" w:eastAsia="en-US"/>
    </w:rPr>
  </w:style>
  <w:style w:type="paragraph" w:styleId="Index6">
    <w:name w:val="index 6"/>
    <w:basedOn w:val="Normal"/>
    <w:next w:val="Normal"/>
    <w:rsid w:val="00C05FC5"/>
    <w:pPr>
      <w:tabs>
        <w:tab w:val="left" w:pos="794"/>
        <w:tab w:val="left" w:pos="1191"/>
        <w:tab w:val="left" w:pos="1588"/>
        <w:tab w:val="left" w:pos="1985"/>
      </w:tabs>
      <w:overflowPunct w:val="0"/>
      <w:autoSpaceDE w:val="0"/>
      <w:autoSpaceDN w:val="0"/>
      <w:adjustRightInd w:val="0"/>
      <w:spacing w:after="0"/>
      <w:ind w:left="1415"/>
      <w:textAlignment w:val="baseline"/>
    </w:pPr>
    <w:rPr>
      <w:rFonts w:ascii="Times New Roman" w:eastAsia="Times New Roman" w:hAnsi="Times New Roman" w:cs="Times New Roman"/>
      <w:bCs w:val="0"/>
      <w:sz w:val="24"/>
      <w:szCs w:val="20"/>
      <w:lang w:val="es-ES_tradnl" w:eastAsia="en-US"/>
    </w:rPr>
  </w:style>
  <w:style w:type="paragraph" w:styleId="Index7">
    <w:name w:val="index 7"/>
    <w:basedOn w:val="Normal"/>
    <w:next w:val="Normal"/>
    <w:rsid w:val="00C05FC5"/>
    <w:pPr>
      <w:tabs>
        <w:tab w:val="left" w:pos="794"/>
        <w:tab w:val="left" w:pos="1191"/>
        <w:tab w:val="left" w:pos="1588"/>
        <w:tab w:val="left" w:pos="1985"/>
      </w:tabs>
      <w:overflowPunct w:val="0"/>
      <w:autoSpaceDE w:val="0"/>
      <w:autoSpaceDN w:val="0"/>
      <w:adjustRightInd w:val="0"/>
      <w:spacing w:after="0"/>
      <w:ind w:left="1698"/>
      <w:textAlignment w:val="baseline"/>
    </w:pPr>
    <w:rPr>
      <w:rFonts w:ascii="Times New Roman" w:eastAsia="Times New Roman" w:hAnsi="Times New Roman" w:cs="Times New Roman"/>
      <w:bCs w:val="0"/>
      <w:sz w:val="24"/>
      <w:szCs w:val="20"/>
      <w:lang w:val="es-ES_tradnl" w:eastAsia="en-US"/>
    </w:rPr>
  </w:style>
  <w:style w:type="paragraph" w:styleId="IndexHeading">
    <w:name w:val="index heading"/>
    <w:basedOn w:val="Normal"/>
    <w:next w:val="Index1"/>
    <w:rsid w:val="00C05FC5"/>
    <w:pPr>
      <w:tabs>
        <w:tab w:val="left" w:pos="794"/>
        <w:tab w:val="left" w:pos="1191"/>
        <w:tab w:val="left" w:pos="1588"/>
        <w:tab w:val="left" w:pos="1985"/>
      </w:tabs>
      <w:overflowPunct w:val="0"/>
      <w:autoSpaceDE w:val="0"/>
      <w:autoSpaceDN w:val="0"/>
      <w:adjustRightInd w:val="0"/>
      <w:spacing w:after="0"/>
      <w:textAlignment w:val="baseline"/>
    </w:pPr>
    <w:rPr>
      <w:rFonts w:ascii="Times New Roman" w:eastAsia="Times New Roman" w:hAnsi="Times New Roman" w:cs="Times New Roman"/>
      <w:bCs w:val="0"/>
      <w:sz w:val="24"/>
      <w:szCs w:val="20"/>
      <w:lang w:val="es-ES_tradnl" w:eastAsia="en-US"/>
    </w:rPr>
  </w:style>
  <w:style w:type="character" w:styleId="LineNumber">
    <w:name w:val="line number"/>
    <w:basedOn w:val="DefaultParagraphFont"/>
    <w:rsid w:val="00C05FC5"/>
  </w:style>
  <w:style w:type="paragraph" w:customStyle="1" w:styleId="Normalaftertitle">
    <w:name w:val="Normal after title"/>
    <w:basedOn w:val="Normal"/>
    <w:next w:val="Normal"/>
    <w:rsid w:val="00C05FC5"/>
    <w:pPr>
      <w:tabs>
        <w:tab w:val="left" w:pos="794"/>
        <w:tab w:val="left" w:pos="1191"/>
        <w:tab w:val="left" w:pos="1588"/>
        <w:tab w:val="left" w:pos="1985"/>
      </w:tabs>
      <w:overflowPunct w:val="0"/>
      <w:autoSpaceDE w:val="0"/>
      <w:autoSpaceDN w:val="0"/>
      <w:adjustRightInd w:val="0"/>
      <w:spacing w:before="280" w:after="0"/>
      <w:textAlignment w:val="baseline"/>
    </w:pPr>
    <w:rPr>
      <w:rFonts w:ascii="Times New Roman" w:eastAsia="Times New Roman" w:hAnsi="Times New Roman" w:cs="Times New Roman"/>
      <w:bCs w:val="0"/>
      <w:sz w:val="24"/>
      <w:szCs w:val="20"/>
      <w:lang w:val="es-ES_tradnl" w:eastAsia="en-US"/>
    </w:rPr>
  </w:style>
  <w:style w:type="paragraph" w:styleId="NormalIndent">
    <w:name w:val="Normal Indent"/>
    <w:basedOn w:val="Normal"/>
    <w:rsid w:val="00C05FC5"/>
    <w:pPr>
      <w:tabs>
        <w:tab w:val="left" w:pos="794"/>
        <w:tab w:val="left" w:pos="1191"/>
        <w:tab w:val="left" w:pos="1588"/>
        <w:tab w:val="left" w:pos="1985"/>
      </w:tabs>
      <w:overflowPunct w:val="0"/>
      <w:autoSpaceDE w:val="0"/>
      <w:autoSpaceDN w:val="0"/>
      <w:adjustRightInd w:val="0"/>
      <w:spacing w:after="0"/>
      <w:ind w:left="794"/>
      <w:textAlignment w:val="baseline"/>
    </w:pPr>
    <w:rPr>
      <w:rFonts w:ascii="Times New Roman" w:eastAsia="Times New Roman" w:hAnsi="Times New Roman" w:cs="Times New Roman"/>
      <w:bCs w:val="0"/>
      <w:sz w:val="24"/>
      <w:szCs w:val="20"/>
      <w:lang w:val="es-ES_tradnl" w:eastAsia="en-US"/>
    </w:rPr>
  </w:style>
  <w:style w:type="paragraph" w:customStyle="1" w:styleId="Note">
    <w:name w:val="Note"/>
    <w:basedOn w:val="Normal"/>
    <w:rsid w:val="00C05FC5"/>
    <w:pPr>
      <w:tabs>
        <w:tab w:val="left" w:pos="794"/>
        <w:tab w:val="left" w:pos="1191"/>
        <w:tab w:val="left" w:pos="1588"/>
        <w:tab w:val="left" w:pos="1985"/>
      </w:tabs>
      <w:overflowPunct w:val="0"/>
      <w:autoSpaceDE w:val="0"/>
      <w:autoSpaceDN w:val="0"/>
      <w:adjustRightInd w:val="0"/>
      <w:spacing w:before="80" w:after="0"/>
      <w:textAlignment w:val="baseline"/>
    </w:pPr>
    <w:rPr>
      <w:rFonts w:ascii="Times New Roman" w:eastAsia="Times New Roman" w:hAnsi="Times New Roman" w:cs="Times New Roman"/>
      <w:bCs w:val="0"/>
      <w:sz w:val="24"/>
      <w:szCs w:val="20"/>
      <w:lang w:val="es-ES_tradnl" w:eastAsia="en-US"/>
    </w:rPr>
  </w:style>
  <w:style w:type="character" w:styleId="PageNumber">
    <w:name w:val="page number"/>
    <w:basedOn w:val="DefaultParagraphFont"/>
    <w:rsid w:val="00C05FC5"/>
  </w:style>
  <w:style w:type="paragraph" w:customStyle="1" w:styleId="PartNo">
    <w:name w:val="Part_No"/>
    <w:basedOn w:val="AnnexNo"/>
    <w:next w:val="Normal"/>
    <w:rsid w:val="00C05FC5"/>
  </w:style>
  <w:style w:type="paragraph" w:customStyle="1" w:styleId="Partref">
    <w:name w:val="Part_ref"/>
    <w:basedOn w:val="Annexref"/>
    <w:next w:val="Normal"/>
    <w:rsid w:val="00C05FC5"/>
  </w:style>
  <w:style w:type="paragraph" w:customStyle="1" w:styleId="Parttitle">
    <w:name w:val="Part_title"/>
    <w:basedOn w:val="Annextitle"/>
    <w:next w:val="Normalaftertitle"/>
    <w:rsid w:val="00C05FC5"/>
  </w:style>
  <w:style w:type="paragraph" w:customStyle="1" w:styleId="RecNo">
    <w:name w:val="Rec_No"/>
    <w:basedOn w:val="Normal"/>
    <w:next w:val="Normal"/>
    <w:rsid w:val="00C05FC5"/>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eastAsia="Times New Roman" w:hAnsi="Times New Roman" w:cs="Times New Roman"/>
      <w:bCs w:val="0"/>
      <w:caps/>
      <w:sz w:val="28"/>
      <w:szCs w:val="20"/>
      <w:lang w:val="es-ES_tradnl" w:eastAsia="en-US"/>
    </w:rPr>
  </w:style>
  <w:style w:type="paragraph" w:customStyle="1" w:styleId="Rectitle">
    <w:name w:val="Rec_title"/>
    <w:basedOn w:val="RecNo"/>
    <w:next w:val="Normal"/>
    <w:rsid w:val="00C05FC5"/>
    <w:pPr>
      <w:spacing w:before="240"/>
    </w:pPr>
    <w:rPr>
      <w:rFonts w:ascii="Times New Roman Bold" w:hAnsi="Times New Roman Bold"/>
      <w:b/>
      <w:caps w:val="0"/>
    </w:rPr>
  </w:style>
  <w:style w:type="paragraph" w:customStyle="1" w:styleId="Recref">
    <w:name w:val="Rec_ref"/>
    <w:basedOn w:val="Rectitle"/>
    <w:next w:val="Normal"/>
    <w:rsid w:val="00C05FC5"/>
    <w:pPr>
      <w:tabs>
        <w:tab w:val="clear" w:pos="794"/>
        <w:tab w:val="clear" w:pos="1191"/>
        <w:tab w:val="clear" w:pos="1588"/>
        <w:tab w:val="clear" w:pos="1985"/>
      </w:tabs>
      <w:spacing w:before="120"/>
    </w:pPr>
    <w:rPr>
      <w:rFonts w:ascii="Times New Roman" w:hAnsi="Times New Roman"/>
      <w:b w:val="0"/>
      <w:i/>
      <w:sz w:val="24"/>
    </w:rPr>
  </w:style>
  <w:style w:type="paragraph" w:customStyle="1" w:styleId="Recdate">
    <w:name w:val="Rec_date"/>
    <w:basedOn w:val="Recref"/>
    <w:next w:val="Normalaftertitle"/>
    <w:rsid w:val="00C05FC5"/>
    <w:pPr>
      <w:jc w:val="right"/>
    </w:pPr>
    <w:rPr>
      <w:sz w:val="22"/>
    </w:rPr>
  </w:style>
  <w:style w:type="paragraph" w:customStyle="1" w:styleId="Questiondate">
    <w:name w:val="Question_date"/>
    <w:basedOn w:val="Recdate"/>
    <w:next w:val="Normalaftertitle"/>
    <w:rsid w:val="00C05FC5"/>
  </w:style>
  <w:style w:type="paragraph" w:customStyle="1" w:styleId="QuestionNo">
    <w:name w:val="Question_No"/>
    <w:basedOn w:val="RecNo"/>
    <w:next w:val="Normal"/>
    <w:rsid w:val="00C05FC5"/>
  </w:style>
  <w:style w:type="paragraph" w:customStyle="1" w:styleId="Questionref">
    <w:name w:val="Question_ref"/>
    <w:basedOn w:val="Recref"/>
    <w:next w:val="Questiondate"/>
    <w:rsid w:val="00C05FC5"/>
  </w:style>
  <w:style w:type="paragraph" w:customStyle="1" w:styleId="Questiontitle">
    <w:name w:val="Question_title"/>
    <w:basedOn w:val="Rectitle"/>
    <w:next w:val="Questionref"/>
    <w:rsid w:val="00C05FC5"/>
  </w:style>
  <w:style w:type="character" w:customStyle="1" w:styleId="Recdef">
    <w:name w:val="Rec_def"/>
    <w:basedOn w:val="DefaultParagraphFont"/>
    <w:rsid w:val="00C05FC5"/>
    <w:rPr>
      <w:b/>
    </w:rPr>
  </w:style>
  <w:style w:type="paragraph" w:customStyle="1" w:styleId="Reftext">
    <w:name w:val="Ref_text"/>
    <w:basedOn w:val="Normal"/>
    <w:rsid w:val="00C05FC5"/>
    <w:pPr>
      <w:tabs>
        <w:tab w:val="left" w:pos="794"/>
        <w:tab w:val="left" w:pos="1191"/>
        <w:tab w:val="left" w:pos="1588"/>
        <w:tab w:val="left" w:pos="1985"/>
      </w:tabs>
      <w:overflowPunct w:val="0"/>
      <w:autoSpaceDE w:val="0"/>
      <w:autoSpaceDN w:val="0"/>
      <w:adjustRightInd w:val="0"/>
      <w:spacing w:after="0"/>
      <w:ind w:left="794" w:hanging="794"/>
      <w:textAlignment w:val="baseline"/>
    </w:pPr>
    <w:rPr>
      <w:rFonts w:ascii="Times New Roman" w:eastAsia="Times New Roman" w:hAnsi="Times New Roman" w:cs="Times New Roman"/>
      <w:bCs w:val="0"/>
      <w:sz w:val="24"/>
      <w:szCs w:val="20"/>
      <w:lang w:val="es-ES_tradnl" w:eastAsia="en-US"/>
    </w:rPr>
  </w:style>
  <w:style w:type="paragraph" w:customStyle="1" w:styleId="Reftitle">
    <w:name w:val="Ref_title"/>
    <w:basedOn w:val="Normal"/>
    <w:next w:val="Reftext"/>
    <w:rsid w:val="00C05FC5"/>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eastAsia="Times New Roman" w:hAnsi="Times New Roman" w:cs="Times New Roman"/>
      <w:bCs w:val="0"/>
      <w:caps/>
      <w:sz w:val="24"/>
      <w:szCs w:val="20"/>
      <w:lang w:val="es-ES_tradnl" w:eastAsia="en-US"/>
    </w:rPr>
  </w:style>
  <w:style w:type="paragraph" w:customStyle="1" w:styleId="Repdate">
    <w:name w:val="Rep_date"/>
    <w:basedOn w:val="Recdate"/>
    <w:next w:val="Normalaftertitle"/>
    <w:rsid w:val="00C05FC5"/>
  </w:style>
  <w:style w:type="paragraph" w:customStyle="1" w:styleId="RepNo">
    <w:name w:val="Rep_No"/>
    <w:basedOn w:val="RecNo"/>
    <w:next w:val="Normal"/>
    <w:rsid w:val="00C05FC5"/>
  </w:style>
  <w:style w:type="paragraph" w:customStyle="1" w:styleId="Repref">
    <w:name w:val="Rep_ref"/>
    <w:basedOn w:val="Recref"/>
    <w:next w:val="Repdate"/>
    <w:rsid w:val="00C05FC5"/>
  </w:style>
  <w:style w:type="paragraph" w:customStyle="1" w:styleId="Reptitle">
    <w:name w:val="Rep_title"/>
    <w:basedOn w:val="Rectitle"/>
    <w:next w:val="Repref"/>
    <w:rsid w:val="00C05FC5"/>
  </w:style>
  <w:style w:type="paragraph" w:customStyle="1" w:styleId="Resdate">
    <w:name w:val="Res_date"/>
    <w:basedOn w:val="Recdate"/>
    <w:next w:val="Normalaftertitle"/>
    <w:rsid w:val="00C05FC5"/>
  </w:style>
  <w:style w:type="character" w:customStyle="1" w:styleId="Resdef">
    <w:name w:val="Res_def"/>
    <w:basedOn w:val="DefaultParagraphFont"/>
    <w:rsid w:val="00C05FC5"/>
    <w:rPr>
      <w:rFonts w:ascii="Times New Roman" w:hAnsi="Times New Roman"/>
      <w:b/>
    </w:rPr>
  </w:style>
  <w:style w:type="paragraph" w:customStyle="1" w:styleId="ResNo">
    <w:name w:val="Res_No"/>
    <w:basedOn w:val="RecNo"/>
    <w:next w:val="Normal"/>
    <w:rsid w:val="00C05FC5"/>
  </w:style>
  <w:style w:type="paragraph" w:customStyle="1" w:styleId="Resref">
    <w:name w:val="Res_ref"/>
    <w:basedOn w:val="Recref"/>
    <w:next w:val="Resdate"/>
    <w:rsid w:val="00C05FC5"/>
  </w:style>
  <w:style w:type="paragraph" w:customStyle="1" w:styleId="Restitle">
    <w:name w:val="Res_title"/>
    <w:basedOn w:val="Rectitle"/>
    <w:next w:val="Resref"/>
    <w:rsid w:val="00C05FC5"/>
  </w:style>
  <w:style w:type="paragraph" w:customStyle="1" w:styleId="SectionNo">
    <w:name w:val="Section_No"/>
    <w:basedOn w:val="AnnexNo"/>
    <w:next w:val="Normal"/>
    <w:rsid w:val="00C05FC5"/>
  </w:style>
  <w:style w:type="paragraph" w:customStyle="1" w:styleId="Sectiontitle">
    <w:name w:val="Section_title"/>
    <w:basedOn w:val="Annextitle"/>
    <w:next w:val="Normalaftertitle"/>
    <w:rsid w:val="00C05FC5"/>
  </w:style>
  <w:style w:type="paragraph" w:customStyle="1" w:styleId="Source">
    <w:name w:val="Source"/>
    <w:basedOn w:val="Normal"/>
    <w:next w:val="Normalaftertitle"/>
    <w:rsid w:val="00C05FC5"/>
    <w:pPr>
      <w:tabs>
        <w:tab w:val="left" w:pos="794"/>
        <w:tab w:val="left" w:pos="1191"/>
        <w:tab w:val="left" w:pos="1588"/>
        <w:tab w:val="left" w:pos="1985"/>
      </w:tabs>
      <w:overflowPunct w:val="0"/>
      <w:autoSpaceDE w:val="0"/>
      <w:autoSpaceDN w:val="0"/>
      <w:adjustRightInd w:val="0"/>
      <w:spacing w:before="840" w:after="200"/>
      <w:jc w:val="center"/>
      <w:textAlignment w:val="baseline"/>
    </w:pPr>
    <w:rPr>
      <w:rFonts w:ascii="Times New Roman" w:eastAsia="Times New Roman" w:hAnsi="Times New Roman" w:cs="Times New Roman"/>
      <w:b/>
      <w:bCs w:val="0"/>
      <w:sz w:val="28"/>
      <w:szCs w:val="20"/>
      <w:lang w:val="es-ES_tradnl" w:eastAsia="en-US"/>
    </w:rPr>
  </w:style>
  <w:style w:type="paragraph" w:customStyle="1" w:styleId="SpecialFooter">
    <w:name w:val="Special Footer"/>
    <w:basedOn w:val="Footer"/>
    <w:rsid w:val="00C05FC5"/>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spacing w:before="0" w:after="0"/>
      <w:jc w:val="both"/>
      <w:textAlignment w:val="baseline"/>
    </w:pPr>
    <w:rPr>
      <w:rFonts w:ascii="Times New Roman" w:eastAsia="Times New Roman" w:hAnsi="Times New Roman" w:cs="Times New Roman"/>
      <w:bCs w:val="0"/>
      <w:sz w:val="16"/>
      <w:szCs w:val="20"/>
      <w:lang w:val="fr-FR" w:eastAsia="en-US"/>
    </w:rPr>
  </w:style>
  <w:style w:type="character" w:customStyle="1" w:styleId="Tablefreq">
    <w:name w:val="Table_freq"/>
    <w:basedOn w:val="DefaultParagraphFont"/>
    <w:rsid w:val="00C05FC5"/>
    <w:rPr>
      <w:b/>
      <w:color w:val="auto"/>
    </w:rPr>
  </w:style>
  <w:style w:type="paragraph" w:customStyle="1" w:styleId="Tabletext">
    <w:name w:val="Table_text"/>
    <w:basedOn w:val="Normal"/>
    <w:rsid w:val="00C05F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eastAsia="Times New Roman" w:hAnsi="Times New Roman" w:cs="Times New Roman"/>
      <w:bCs w:val="0"/>
      <w:sz w:val="22"/>
      <w:szCs w:val="20"/>
      <w:lang w:val="es-ES_tradnl" w:eastAsia="en-US"/>
    </w:rPr>
  </w:style>
  <w:style w:type="paragraph" w:customStyle="1" w:styleId="Tablehead">
    <w:name w:val="Table_head"/>
    <w:basedOn w:val="Tabletext"/>
    <w:next w:val="Tabletext"/>
    <w:rsid w:val="00C05FC5"/>
    <w:pPr>
      <w:keepNext/>
      <w:spacing w:before="80" w:after="80"/>
      <w:jc w:val="center"/>
    </w:pPr>
    <w:rPr>
      <w:b/>
    </w:rPr>
  </w:style>
  <w:style w:type="paragraph" w:customStyle="1" w:styleId="Tablelegend">
    <w:name w:val="Table_legend"/>
    <w:basedOn w:val="Tabletext"/>
    <w:rsid w:val="00C05FC5"/>
    <w:pPr>
      <w:spacing w:before="120"/>
    </w:pPr>
  </w:style>
  <w:style w:type="paragraph" w:customStyle="1" w:styleId="TableNo">
    <w:name w:val="Table_No"/>
    <w:basedOn w:val="Normal"/>
    <w:next w:val="Tabletitle"/>
    <w:rsid w:val="00C05FC5"/>
    <w:pPr>
      <w:keepNext/>
      <w:tabs>
        <w:tab w:val="left" w:pos="794"/>
        <w:tab w:val="left" w:pos="1191"/>
        <w:tab w:val="left" w:pos="1588"/>
        <w:tab w:val="left" w:pos="1985"/>
      </w:tabs>
      <w:overflowPunct w:val="0"/>
      <w:autoSpaceDE w:val="0"/>
      <w:autoSpaceDN w:val="0"/>
      <w:adjustRightInd w:val="0"/>
      <w:spacing w:before="560"/>
      <w:jc w:val="center"/>
      <w:textAlignment w:val="baseline"/>
    </w:pPr>
    <w:rPr>
      <w:rFonts w:ascii="Times New Roman" w:eastAsia="Times New Roman" w:hAnsi="Times New Roman" w:cs="Times New Roman"/>
      <w:bCs w:val="0"/>
      <w:caps/>
      <w:sz w:val="24"/>
      <w:szCs w:val="20"/>
      <w:lang w:eastAsia="en-US"/>
    </w:rPr>
  </w:style>
  <w:style w:type="paragraph" w:customStyle="1" w:styleId="Tableref">
    <w:name w:val="Table_ref"/>
    <w:basedOn w:val="Normal"/>
    <w:next w:val="Tabletitle"/>
    <w:rsid w:val="00C05FC5"/>
    <w:pPr>
      <w:keepNext/>
      <w:tabs>
        <w:tab w:val="left" w:pos="794"/>
        <w:tab w:val="left" w:pos="1191"/>
        <w:tab w:val="left" w:pos="1588"/>
        <w:tab w:val="left" w:pos="1985"/>
      </w:tabs>
      <w:overflowPunct w:val="0"/>
      <w:autoSpaceDE w:val="0"/>
      <w:autoSpaceDN w:val="0"/>
      <w:adjustRightInd w:val="0"/>
      <w:spacing w:before="0"/>
      <w:jc w:val="center"/>
      <w:textAlignment w:val="baseline"/>
    </w:pPr>
    <w:rPr>
      <w:rFonts w:ascii="Times New Roman" w:eastAsia="Times New Roman" w:hAnsi="Times New Roman" w:cs="Times New Roman"/>
      <w:bCs w:val="0"/>
      <w:sz w:val="24"/>
      <w:szCs w:val="20"/>
      <w:lang w:eastAsia="en-US"/>
    </w:rPr>
  </w:style>
  <w:style w:type="paragraph" w:customStyle="1" w:styleId="Title1">
    <w:name w:val="Title 1"/>
    <w:basedOn w:val="Source"/>
    <w:next w:val="Normal"/>
    <w:rsid w:val="00C05FC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05FC5"/>
  </w:style>
  <w:style w:type="paragraph" w:customStyle="1" w:styleId="Title3">
    <w:name w:val="Title 3"/>
    <w:basedOn w:val="Title2"/>
    <w:next w:val="Normal"/>
    <w:rsid w:val="00C05FC5"/>
    <w:rPr>
      <w:caps w:val="0"/>
    </w:rPr>
  </w:style>
  <w:style w:type="paragraph" w:customStyle="1" w:styleId="Title4">
    <w:name w:val="Title 4"/>
    <w:basedOn w:val="Title3"/>
    <w:next w:val="Heading1"/>
    <w:rsid w:val="00C05FC5"/>
    <w:rPr>
      <w:b/>
    </w:rPr>
  </w:style>
  <w:style w:type="paragraph" w:customStyle="1" w:styleId="toc0">
    <w:name w:val="toc 0"/>
    <w:basedOn w:val="Normal"/>
    <w:next w:val="TOC1"/>
    <w:rsid w:val="00C05FC5"/>
    <w:pPr>
      <w:tabs>
        <w:tab w:val="right" w:pos="9781"/>
      </w:tabs>
      <w:overflowPunct w:val="0"/>
      <w:autoSpaceDE w:val="0"/>
      <w:autoSpaceDN w:val="0"/>
      <w:adjustRightInd w:val="0"/>
      <w:spacing w:after="0"/>
      <w:textAlignment w:val="baseline"/>
    </w:pPr>
    <w:rPr>
      <w:rFonts w:ascii="Times New Roman" w:eastAsia="Times New Roman" w:hAnsi="Times New Roman" w:cs="Times New Roman"/>
      <w:b/>
      <w:bCs w:val="0"/>
      <w:sz w:val="24"/>
      <w:szCs w:val="20"/>
      <w:lang w:val="es-ES_tradnl" w:eastAsia="en-US"/>
    </w:rPr>
  </w:style>
  <w:style w:type="paragraph" w:styleId="TOC1">
    <w:name w:val="toc 1"/>
    <w:basedOn w:val="Normal"/>
    <w:next w:val="Normal"/>
    <w:autoRedefine/>
    <w:rsid w:val="00C05FC5"/>
    <w:pPr>
      <w:spacing w:after="100"/>
    </w:pPr>
  </w:style>
  <w:style w:type="paragraph" w:styleId="TOC2">
    <w:name w:val="toc 2"/>
    <w:basedOn w:val="TOC1"/>
    <w:rsid w:val="00C05FC5"/>
    <w:pPr>
      <w:keepLines/>
      <w:tabs>
        <w:tab w:val="left" w:pos="964"/>
        <w:tab w:val="left" w:leader="dot" w:pos="8647"/>
        <w:tab w:val="center" w:pos="9526"/>
      </w:tabs>
      <w:overflowPunct w:val="0"/>
      <w:autoSpaceDE w:val="0"/>
      <w:autoSpaceDN w:val="0"/>
      <w:adjustRightInd w:val="0"/>
      <w:spacing w:after="0"/>
      <w:ind w:left="964" w:hanging="964"/>
      <w:textAlignment w:val="baseline"/>
    </w:pPr>
    <w:rPr>
      <w:rFonts w:ascii="Times New Roman" w:eastAsia="Times New Roman" w:hAnsi="Times New Roman" w:cs="Times New Roman"/>
      <w:bCs w:val="0"/>
      <w:sz w:val="24"/>
      <w:szCs w:val="20"/>
      <w:lang w:eastAsia="en-US"/>
    </w:rPr>
  </w:style>
  <w:style w:type="paragraph" w:styleId="TOC3">
    <w:name w:val="toc 3"/>
    <w:basedOn w:val="TOC2"/>
    <w:rsid w:val="00C05FC5"/>
  </w:style>
  <w:style w:type="paragraph" w:styleId="TOC4">
    <w:name w:val="toc 4"/>
    <w:basedOn w:val="TOC3"/>
    <w:rsid w:val="00C05FC5"/>
  </w:style>
  <w:style w:type="paragraph" w:styleId="TOC5">
    <w:name w:val="toc 5"/>
    <w:basedOn w:val="TOC4"/>
    <w:rsid w:val="00C05FC5"/>
  </w:style>
  <w:style w:type="paragraph" w:styleId="TOC6">
    <w:name w:val="toc 6"/>
    <w:basedOn w:val="TOC4"/>
    <w:rsid w:val="00C05FC5"/>
  </w:style>
  <w:style w:type="paragraph" w:styleId="TOC7">
    <w:name w:val="toc 7"/>
    <w:basedOn w:val="TOC4"/>
    <w:rsid w:val="00C05FC5"/>
  </w:style>
  <w:style w:type="paragraph" w:styleId="TOC8">
    <w:name w:val="toc 8"/>
    <w:basedOn w:val="TOC4"/>
    <w:rsid w:val="00C05FC5"/>
  </w:style>
  <w:style w:type="paragraph" w:styleId="TOC9">
    <w:name w:val="toc 9"/>
    <w:basedOn w:val="TOC3"/>
    <w:rsid w:val="00C05FC5"/>
  </w:style>
  <w:style w:type="paragraph" w:styleId="ListParagraph">
    <w:name w:val="List Paragraph"/>
    <w:basedOn w:val="Normal"/>
    <w:uiPriority w:val="34"/>
    <w:qFormat/>
    <w:rsid w:val="00576F75"/>
    <w:pPr>
      <w:spacing w:before="0" w:after="0"/>
      <w:ind w:left="720"/>
      <w:contextualSpacing/>
    </w:pPr>
    <w:rPr>
      <w:rFonts w:asciiTheme="minorHAnsi" w:eastAsiaTheme="minorHAnsi" w:hAnsiTheme="minorHAnsi" w:cstheme="minorBidi"/>
      <w:bCs w:val="0"/>
      <w:color w:val="00000A"/>
      <w:sz w:val="24"/>
      <w:szCs w:val="24"/>
      <w:lang w:val="en-US" w:eastAsia="en-US"/>
    </w:rPr>
  </w:style>
  <w:style w:type="paragraph" w:customStyle="1" w:styleId="Event">
    <w:name w:val="Event"/>
    <w:basedOn w:val="Normal"/>
    <w:qFormat/>
    <w:rsid w:val="00576F75"/>
    <w:pPr>
      <w:spacing w:before="0" w:after="80"/>
    </w:pPr>
    <w:rPr>
      <w:rFonts w:ascii="Calibri" w:eastAsia="Calibri" w:hAnsi="Calibri" w:cs="Arial"/>
      <w:bCs w:val="0"/>
      <w:sz w:val="18"/>
      <w:szCs w:val="22"/>
      <w:lang w:val="en-US" w:eastAsia="en-US"/>
    </w:rPr>
  </w:style>
  <w:style w:type="character" w:styleId="Strong">
    <w:name w:val="Strong"/>
    <w:basedOn w:val="DefaultParagraphFont"/>
    <w:uiPriority w:val="22"/>
    <w:qFormat/>
    <w:rsid w:val="00576F75"/>
    <w:rPr>
      <w:b/>
      <w:bCs/>
    </w:rPr>
  </w:style>
  <w:style w:type="paragraph" w:customStyle="1" w:styleId="Reasons">
    <w:name w:val="Reasons"/>
    <w:basedOn w:val="Normal"/>
    <w:qFormat/>
    <w:rsid w:val="00A163BA"/>
    <w:pPr>
      <w:spacing w:before="0" w:after="0"/>
    </w:pPr>
    <w:rPr>
      <w:rFonts w:ascii="Times New Roman" w:eastAsia="Times New Roman" w:hAnsi="Times New Roman" w:cs="Times New Roman"/>
      <w:bCs w:val="0"/>
      <w:sz w:val="24"/>
      <w:szCs w:val="20"/>
      <w:lang w:val="en-US" w:eastAsia="en-US"/>
    </w:rPr>
  </w:style>
  <w:style w:type="character" w:customStyle="1" w:styleId="Heading1Char">
    <w:name w:val="Heading 1 Char"/>
    <w:basedOn w:val="DefaultParagraphFont"/>
    <w:link w:val="Heading1"/>
    <w:rsid w:val="00784D25"/>
    <w:rPr>
      <w:rFonts w:eastAsia="Times New Roman"/>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adband-mapping.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en/ITU-D/Conferences/WTDC/WTDC17/RPM-EUR/Pages/default.aspx" TargetMode="External"/><Relationship Id="rId4" Type="http://schemas.openxmlformats.org/officeDocument/2006/relationships/settings" Target="settings.xml"/><Relationship Id="rId9" Type="http://schemas.openxmlformats.org/officeDocument/2006/relationships/hyperlink" Target="https://www.itu.int/md/D14-RPMEUR-ADM-0003/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go/en/wtdc17rp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RPM-E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9B72-DB98-4132-BBC4-01D5E687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PS_RPM-EUR.dotx</Template>
  <TotalTime>99</TotalTime>
  <Pages>11</Pages>
  <Words>5688</Words>
  <Characters>32422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38034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Spanish</dc:creator>
  <cp:lastModifiedBy>Spanish</cp:lastModifiedBy>
  <cp:revision>23</cp:revision>
  <cp:lastPrinted>2017-04-27T06:57:00Z</cp:lastPrinted>
  <dcterms:created xsi:type="dcterms:W3CDTF">2017-04-27T06:15:00Z</dcterms:created>
  <dcterms:modified xsi:type="dcterms:W3CDTF">2017-04-27T08:54:00Z</dcterms:modified>
</cp:coreProperties>
</file>